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intelligence2.xml" ContentType="application/vnd.ms-office.intelligence2+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ody>
    <w:p w:rsidR="00011F6B" w:rsidP="008F6FD7" w:rsidRDefault="0098240C" w14:paraId="7D871165" w14:textId="73F35C59">
      <w:pPr>
        <w:spacing w:after="240"/>
        <w:rPr>
          <w:rStyle w:val="CaracteresInicio1"/>
        </w:rPr>
      </w:pPr>
      <w:r>
        <w:rPr>
          <w:rFonts w:eastAsia="Liberation Sans"/>
          <w:b/>
          <w:noProof/>
          <w:color w:val="000000"/>
          <w:sz w:val="32"/>
          <w:szCs w:val="32"/>
          <w:lang w:val="es-MX" w:eastAsia="es-MX"/>
        </w:rPr>
        <w:drawing>
          <wp:anchor distT="0" distB="0" distL="114300" distR="114300" simplePos="0" relativeHeight="251664384" behindDoc="0" locked="0" layoutInCell="1" allowOverlap="1" wp14:anchorId="0F363784" wp14:editId="2AA67DB4">
            <wp:simplePos x="0" y="0"/>
            <wp:positionH relativeFrom="column">
              <wp:posOffset>-763270</wp:posOffset>
            </wp:positionH>
            <wp:positionV relativeFrom="paragraph">
              <wp:posOffset>-1599565</wp:posOffset>
            </wp:positionV>
            <wp:extent cx="7821648" cy="10152380"/>
            <wp:effectExtent l="0" t="0" r="8255" b="127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rtada informe auditoría_Mesa de trabajo 1.png"/>
                    <pic:cNvPicPr/>
                  </pic:nvPicPr>
                  <pic:blipFill>
                    <a:blip r:embed="rId12">
                      <a:extLst>
                        <a:ext uri="{28A0092B-C50C-407E-A947-70E740481C1C}">
                          <a14:useLocalDpi xmlns:a14="http://schemas.microsoft.com/office/drawing/2010/main" val="0"/>
                        </a:ext>
                      </a:extLst>
                    </a:blip>
                    <a:stretch>
                      <a:fillRect/>
                    </a:stretch>
                  </pic:blipFill>
                  <pic:spPr>
                    <a:xfrm>
                      <a:off x="0" y="0"/>
                      <a:ext cx="7821648" cy="10152380"/>
                    </a:xfrm>
                    <a:prstGeom prst="rect">
                      <a:avLst/>
                    </a:prstGeom>
                  </pic:spPr>
                </pic:pic>
              </a:graphicData>
            </a:graphic>
            <wp14:sizeRelH relativeFrom="page">
              <wp14:pctWidth>0</wp14:pctWidth>
            </wp14:sizeRelH>
            <wp14:sizeRelV relativeFrom="page">
              <wp14:pctHeight>0</wp14:pctHeight>
            </wp14:sizeRelV>
          </wp:anchor>
        </w:drawing>
      </w:r>
      <w:r>
        <w:rPr>
          <w:rFonts w:eastAsia="Liberation Sans"/>
          <w:b/>
          <w:noProof/>
          <w:color w:val="000000"/>
          <w:sz w:val="32"/>
          <w:szCs w:val="32"/>
        </w:rPr>
        <w:softHyphen/>
      </w:r>
      <w:r>
        <w:rPr>
          <w:rFonts w:eastAsia="Liberation Sans"/>
          <w:b/>
          <w:noProof/>
          <w:color w:val="000000"/>
          <w:sz w:val="32"/>
          <w:szCs w:val="32"/>
        </w:rPr>
        <w:softHyphen/>
      </w:r>
      <w:r>
        <w:rPr>
          <w:rFonts w:eastAsia="Liberation Sans"/>
          <w:b/>
          <w:noProof/>
          <w:color w:val="000000"/>
          <w:sz w:val="32"/>
          <w:szCs w:val="32"/>
        </w:rPr>
        <w:softHyphen/>
      </w:r>
      <w:r>
        <w:rPr>
          <w:rFonts w:eastAsia="Liberation Sans"/>
          <w:b/>
          <w:noProof/>
          <w:color w:val="000000"/>
          <w:sz w:val="32"/>
          <w:szCs w:val="32"/>
        </w:rPr>
        <w:softHyphen/>
      </w:r>
    </w:p>
    <w:p w:rsidR="004C5AA0" w:rsidP="008F6FD7" w:rsidRDefault="004C5AA0" w14:paraId="0527E7C3" w14:textId="5891AD4C">
      <w:pPr>
        <w:spacing w:after="240"/>
        <w:rPr>
          <w:rStyle w:val="CaracteresInicio1"/>
        </w:rPr>
      </w:pPr>
    </w:p>
    <w:p w:rsidR="004C5AA0" w:rsidP="008F6FD7" w:rsidRDefault="004C5AA0" w14:paraId="7F50CB92" w14:textId="27845502">
      <w:pPr>
        <w:spacing w:after="240"/>
        <w:rPr>
          <w:rStyle w:val="CaracteresInicio1"/>
        </w:rPr>
      </w:pPr>
    </w:p>
    <w:p w:rsidR="004C5AA0" w:rsidP="008F6FD7" w:rsidRDefault="004C5AA0" w14:paraId="347947A7" w14:textId="0A32B5B7">
      <w:pPr>
        <w:spacing w:after="240"/>
        <w:rPr>
          <w:rStyle w:val="CaracteresInicio1"/>
        </w:rPr>
      </w:pPr>
    </w:p>
    <w:p w:rsidR="004C5AA0" w:rsidP="008F6FD7" w:rsidRDefault="004C5AA0" w14:paraId="4A9BA4DC" w14:textId="359888A8">
      <w:pPr>
        <w:spacing w:after="240"/>
        <w:rPr>
          <w:rStyle w:val="CaracteresInicio1"/>
        </w:rPr>
      </w:pPr>
    </w:p>
    <w:p w:rsidR="004C5AA0" w:rsidP="008F6FD7" w:rsidRDefault="004C5AA0" w14:paraId="1E81AE02" w14:textId="436AF118">
      <w:pPr>
        <w:spacing w:after="240"/>
        <w:rPr>
          <w:rStyle w:val="CaracteresInicio1"/>
        </w:rPr>
      </w:pPr>
    </w:p>
    <w:p w:rsidR="004C5AA0" w:rsidP="008F6FD7" w:rsidRDefault="001269AB" w14:paraId="6217C369" w14:textId="5671E0F5">
      <w:pPr>
        <w:spacing w:after="240"/>
        <w:rPr>
          <w:rStyle w:val="CaracteresInicio1"/>
        </w:rPr>
      </w:pPr>
      <w:r w:rsidRPr="0098240C">
        <w:rPr>
          <w:rStyle w:val="CaracteresInicio1"/>
          <w:noProof/>
          <w:lang w:val="es-MX" w:eastAsia="es-MX"/>
        </w:rPr>
        <mc:AlternateContent>
          <mc:Choice Requires="wps">
            <w:drawing>
              <wp:anchor distT="0" distB="0" distL="114300" distR="114300" simplePos="0" relativeHeight="251666432" behindDoc="0" locked="0" layoutInCell="1" allowOverlap="1" wp14:anchorId="1F5F8F77" wp14:editId="197B893B">
                <wp:simplePos x="0" y="0"/>
                <wp:positionH relativeFrom="column">
                  <wp:posOffset>2893695</wp:posOffset>
                </wp:positionH>
                <wp:positionV relativeFrom="paragraph">
                  <wp:posOffset>70485</wp:posOffset>
                </wp:positionV>
                <wp:extent cx="4106487" cy="1346200"/>
                <wp:effectExtent l="0" t="0" r="0" b="0"/>
                <wp:wrapNone/>
                <wp:docPr id="5" name="Cuadro de texto 5"/>
                <wp:cNvGraphicFramePr/>
                <a:graphic xmlns:a="http://schemas.openxmlformats.org/drawingml/2006/main">
                  <a:graphicData uri="http://schemas.microsoft.com/office/word/2010/wordprocessingShape">
                    <wps:wsp>
                      <wps:cNvSpPr txBox="1"/>
                      <wps:spPr>
                        <a:xfrm>
                          <a:off x="0" y="0"/>
                          <a:ext cx="4106487" cy="1346200"/>
                        </a:xfrm>
                        <a:prstGeom prst="rect">
                          <a:avLst/>
                        </a:prstGeom>
                        <a:noFill/>
                        <a:ln w="6350">
                          <a:noFill/>
                        </a:ln>
                      </wps:spPr>
                      <wps:txbx>
                        <w:txbxContent>
                          <w:p w:rsidRPr="001269AB" w:rsidR="006E48B1" w:rsidP="0098240C" w:rsidRDefault="006E48B1" w14:paraId="405B2DA1" w14:textId="4A5F3E80">
                            <w:pPr>
                              <w:rPr>
                                <w:rFonts w:ascii="Antonio Light" w:hAnsi="Antonio Light"/>
                                <w:color w:val="1F4E79" w:themeColor="accent1" w:themeShade="80"/>
                                <w:sz w:val="32"/>
                                <w:szCs w:val="32"/>
                              </w:rPr>
                            </w:pPr>
                            <w:r w:rsidRPr="001269AB">
                              <w:rPr>
                                <w:rFonts w:ascii="Antonio Light" w:hAnsi="Antonio Light"/>
                                <w:color w:val="1F4E79" w:themeColor="accent1" w:themeShade="80"/>
                                <w:sz w:val="32"/>
                                <w:szCs w:val="32"/>
                              </w:rPr>
                              <w:t>Auditoría Interna de Gestión de la Unidad Administrativa Especial Para la Gestión del Riesgo de Desastres de Cundinamarca.</w:t>
                            </w:r>
                          </w:p>
                          <w:p w:rsidRPr="001269AB" w:rsidR="006E48B1" w:rsidP="0098240C" w:rsidRDefault="006E48B1" w14:paraId="04F24937" w14:textId="77777777">
                            <w:pPr>
                              <w:rPr>
                                <w:rFonts w:ascii="Antonio Light" w:hAnsi="Antonio Light"/>
                                <w:color w:val="1F4E79" w:themeColor="accent1" w:themeShade="80"/>
                                <w:sz w:val="32"/>
                                <w:szCs w:val="32"/>
                              </w:rPr>
                            </w:pPr>
                            <w:r w:rsidRPr="001269AB">
                              <w:rPr>
                                <w:rFonts w:ascii="Antonio Light" w:hAnsi="Antonio Light"/>
                                <w:color w:val="1F4E79" w:themeColor="accent1" w:themeShade="80"/>
                                <w:sz w:val="32"/>
                                <w:szCs w:val="3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1F5F8F77">
                <v:stroke joinstyle="miter"/>
                <v:path gradientshapeok="t" o:connecttype="rect"/>
              </v:shapetype>
              <v:shape id="Cuadro de texto 5" style="position:absolute;left:0;text-align:left;margin-left:227.85pt;margin-top:5.55pt;width:323.35pt;height:10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">
                <v:textbox>
                  <w:txbxContent>
                    <w:p w:rsidRPr="001269AB" w:rsidR="006E48B1" w:rsidP="0098240C" w:rsidRDefault="006E48B1" w14:paraId="405B2DA1" w14:textId="4A5F3E80">
                      <w:pPr>
                        <w:rPr>
                          <w:rFonts w:ascii="Antonio Light" w:hAnsi="Antonio Light"/>
                          <w:color w:val="1F4E79" w:themeColor="accent1" w:themeShade="80"/>
                          <w:sz w:val="32"/>
                          <w:szCs w:val="32"/>
                        </w:rPr>
                      </w:pPr>
                      <w:r w:rsidRPr="001269AB">
                        <w:rPr>
                          <w:rFonts w:ascii="Antonio Light" w:hAnsi="Antonio Light"/>
                          <w:color w:val="1F4E79" w:themeColor="accent1" w:themeShade="80"/>
                          <w:sz w:val="32"/>
                          <w:szCs w:val="32"/>
                        </w:rPr>
                        <w:t>Auditoría Interna de Gestión de la Unidad Administrativa Especial Para la Gestión del Riesgo de Desastres de Cundinamarca.</w:t>
                      </w:r>
                    </w:p>
                    <w:p w:rsidRPr="001269AB" w:rsidR="006E48B1" w:rsidP="0098240C" w:rsidRDefault="006E48B1" w14:paraId="04F24937" w14:textId="77777777">
                      <w:pPr>
                        <w:rPr>
                          <w:rFonts w:ascii="Antonio Light" w:hAnsi="Antonio Light"/>
                          <w:color w:val="1F4E79" w:themeColor="accent1" w:themeShade="80"/>
                          <w:sz w:val="32"/>
                          <w:szCs w:val="32"/>
                        </w:rPr>
                      </w:pPr>
                      <w:r w:rsidRPr="001269AB">
                        <w:rPr>
                          <w:rFonts w:ascii="Antonio Light" w:hAnsi="Antonio Light"/>
                          <w:color w:val="1F4E79" w:themeColor="accent1" w:themeShade="80"/>
                          <w:sz w:val="32"/>
                          <w:szCs w:val="32"/>
                        </w:rPr>
                        <w:t xml:space="preserve">  </w:t>
                      </w:r>
                    </w:p>
                  </w:txbxContent>
                </v:textbox>
              </v:shape>
            </w:pict>
          </mc:Fallback>
        </mc:AlternateContent>
      </w:r>
    </w:p>
    <w:p w:rsidR="004C5AA0" w:rsidP="008F6FD7" w:rsidRDefault="004C5AA0" w14:paraId="43B2DEC8" w14:textId="01AE21A2">
      <w:pPr>
        <w:spacing w:after="240"/>
        <w:rPr>
          <w:rStyle w:val="CaracteresInicio1"/>
        </w:rPr>
      </w:pPr>
    </w:p>
    <w:p w:rsidR="004C5AA0" w:rsidP="008F6FD7" w:rsidRDefault="004C5AA0" w14:paraId="2CBA6B9A" w14:textId="06BEC658">
      <w:pPr>
        <w:spacing w:after="240"/>
        <w:rPr>
          <w:rStyle w:val="CaracteresInicio1"/>
        </w:rPr>
      </w:pPr>
    </w:p>
    <w:p w:rsidR="004C5AA0" w:rsidP="008F6FD7" w:rsidRDefault="004C5AA0" w14:paraId="5FCBD7D0" w14:textId="7CB17686">
      <w:pPr>
        <w:spacing w:after="240"/>
        <w:rPr>
          <w:rStyle w:val="CaracteresInicio1"/>
        </w:rPr>
      </w:pPr>
    </w:p>
    <w:p w:rsidR="004C5AA0" w:rsidP="008F6FD7" w:rsidRDefault="0098240C" w14:paraId="21EC5217" w14:textId="278B015E">
      <w:pPr>
        <w:spacing w:after="240"/>
        <w:rPr>
          <w:rStyle w:val="CaracteresInicio1"/>
        </w:rPr>
      </w:pPr>
      <w:r w:rsidRPr="0098240C">
        <w:rPr>
          <w:rStyle w:val="CaracteresInicio1"/>
          <w:noProof/>
          <w:lang w:val="es-MX" w:eastAsia="es-MX"/>
        </w:rPr>
        <mc:AlternateContent>
          <mc:Choice Requires="wps">
            <w:drawing>
              <wp:anchor distT="0" distB="0" distL="114300" distR="114300" simplePos="0" relativeHeight="251670528" behindDoc="0" locked="0" layoutInCell="1" allowOverlap="1" wp14:anchorId="1D50F346" wp14:editId="4CA0245A">
                <wp:simplePos x="0" y="0"/>
                <wp:positionH relativeFrom="column">
                  <wp:posOffset>2368550</wp:posOffset>
                </wp:positionH>
                <wp:positionV relativeFrom="paragraph">
                  <wp:posOffset>387350</wp:posOffset>
                </wp:positionV>
                <wp:extent cx="4106487" cy="1346200"/>
                <wp:effectExtent l="0" t="0" r="0" b="0"/>
                <wp:wrapNone/>
                <wp:docPr id="3" name="Cuadro de texto 3"/>
                <wp:cNvGraphicFramePr/>
                <a:graphic xmlns:a="http://schemas.openxmlformats.org/drawingml/2006/main">
                  <a:graphicData uri="http://schemas.microsoft.com/office/word/2010/wordprocessingShape">
                    <wps:wsp>
                      <wps:cNvSpPr txBox="1"/>
                      <wps:spPr>
                        <a:xfrm>
                          <a:off x="0" y="0"/>
                          <a:ext cx="4106487" cy="1346200"/>
                        </a:xfrm>
                        <a:prstGeom prst="rect">
                          <a:avLst/>
                        </a:prstGeom>
                        <a:noFill/>
                        <a:ln w="6350">
                          <a:noFill/>
                        </a:ln>
                      </wps:spPr>
                      <wps:txbx>
                        <w:txbxContent>
                          <w:p w:rsidRPr="0098240C" w:rsidR="006E48B1" w:rsidP="0098240C" w:rsidRDefault="006E48B1" w14:paraId="3098F5DD" w14:textId="22FF9634">
                            <w:pPr>
                              <w:rPr>
                                <w:rFonts w:ascii="Anton" w:hAnsi="Anton"/>
                                <w:color w:val="1F4E79" w:themeColor="accent1" w:themeShade="80"/>
                                <w:sz w:val="48"/>
                              </w:rPr>
                            </w:pPr>
                            <w:r w:rsidRPr="0098240C">
                              <w:rPr>
                                <w:rFonts w:ascii="Anton" w:hAnsi="Anton"/>
                                <w:color w:val="1F4E79" w:themeColor="accent1" w:themeShade="80"/>
                                <w:sz w:val="96"/>
                              </w:rPr>
                              <w:t>202</w:t>
                            </w:r>
                            <w:r>
                              <w:rPr>
                                <w:rFonts w:ascii="Anton" w:hAnsi="Anton"/>
                                <w:color w:val="1F4E79" w:themeColor="accent1" w:themeShade="80"/>
                                <w:sz w:val="96"/>
                              </w:rPr>
                              <w:t>6</w:t>
                            </w:r>
                            <w:r w:rsidRPr="0098240C">
                              <w:rPr>
                                <w:rFonts w:ascii="Anton" w:hAnsi="Anton"/>
                                <w:color w:val="1F4E79" w:themeColor="accent1" w:themeShade="80"/>
                                <w:sz w:val="48"/>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uadro de texto 3" style="position:absolute;left:0;text-align:left;margin-left:186.5pt;margin-top:30.5pt;width:323.35pt;height:10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7"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" w14:anchorId="1D50F346">
                <v:textbox>
                  <w:txbxContent>
                    <w:p w:rsidRPr="0098240C" w:rsidR="006E48B1" w:rsidP="0098240C" w:rsidRDefault="006E48B1" w14:paraId="3098F5DD" w14:textId="22FF9634">
                      <w:pPr>
                        <w:rPr>
                          <w:rFonts w:ascii="Anton" w:hAnsi="Anton"/>
                          <w:color w:val="1F4E79" w:themeColor="accent1" w:themeShade="80"/>
                          <w:sz w:val="48"/>
                        </w:rPr>
                      </w:pPr>
                      <w:r w:rsidRPr="0098240C">
                        <w:rPr>
                          <w:rFonts w:ascii="Anton" w:hAnsi="Anton"/>
                          <w:color w:val="1F4E79" w:themeColor="accent1" w:themeShade="80"/>
                          <w:sz w:val="96"/>
                        </w:rPr>
                        <w:t>202</w:t>
                      </w:r>
                      <w:r>
                        <w:rPr>
                          <w:rFonts w:ascii="Anton" w:hAnsi="Anton"/>
                          <w:color w:val="1F4E79" w:themeColor="accent1" w:themeShade="80"/>
                          <w:sz w:val="96"/>
                        </w:rPr>
                        <w:t>6</w:t>
                      </w:r>
                      <w:r w:rsidRPr="0098240C">
                        <w:rPr>
                          <w:rFonts w:ascii="Anton" w:hAnsi="Anton"/>
                          <w:color w:val="1F4E79" w:themeColor="accent1" w:themeShade="80"/>
                          <w:sz w:val="48"/>
                        </w:rPr>
                        <w:t xml:space="preserve">  </w:t>
                      </w:r>
                    </w:p>
                  </w:txbxContent>
                </v:textbox>
              </v:shape>
            </w:pict>
          </mc:Fallback>
        </mc:AlternateContent>
      </w:r>
    </w:p>
    <w:p w:rsidR="004C5AA0" w:rsidP="008F6FD7" w:rsidRDefault="004C5AA0" w14:paraId="21A6AD23" w14:textId="256BC803">
      <w:pPr>
        <w:spacing w:after="240"/>
        <w:rPr>
          <w:rStyle w:val="CaracteresInicio1"/>
        </w:rPr>
      </w:pPr>
    </w:p>
    <w:p w:rsidR="004C5AA0" w:rsidP="008F6FD7" w:rsidRDefault="004C5AA0" w14:paraId="27050083" w14:textId="05F16C86">
      <w:pPr>
        <w:spacing w:after="240"/>
        <w:rPr>
          <w:rStyle w:val="CaracteresInicio1"/>
        </w:rPr>
      </w:pPr>
    </w:p>
    <w:p w:rsidR="004C5AA0" w:rsidP="008F6FD7" w:rsidRDefault="004C5AA0" w14:paraId="19DCF65F" w14:textId="78920436">
      <w:pPr>
        <w:spacing w:after="240"/>
        <w:rPr>
          <w:rStyle w:val="CaracteresInicio1"/>
        </w:rPr>
      </w:pPr>
    </w:p>
    <w:p w:rsidR="004C5AA0" w:rsidP="008F6FD7" w:rsidRDefault="004C5AA0" w14:paraId="6FAA3C65" w14:textId="486577E3">
      <w:pPr>
        <w:spacing w:after="240"/>
        <w:rPr>
          <w:rStyle w:val="CaracteresInicio1"/>
        </w:rPr>
      </w:pPr>
    </w:p>
    <w:p w:rsidR="00011F6B" w:rsidP="008F6FD7" w:rsidRDefault="0098240C" w14:paraId="13F6596E" w14:textId="5819F8BD">
      <w:pPr>
        <w:spacing w:after="240"/>
        <w:rPr>
          <w:rStyle w:val="CaracteresInicio1"/>
        </w:rPr>
      </w:pPr>
      <w:r w:rsidRPr="0098240C">
        <w:rPr>
          <w:rStyle w:val="CaracteresInicio1"/>
          <w:noProof/>
          <w:lang w:val="es-MX" w:eastAsia="es-MX"/>
        </w:rPr>
        <mc:AlternateContent>
          <mc:Choice Requires="wps">
            <w:drawing>
              <wp:anchor distT="0" distB="0" distL="114300" distR="114300" simplePos="0" relativeHeight="251667456" behindDoc="0" locked="0" layoutInCell="1" allowOverlap="1" wp14:anchorId="5DE41698" wp14:editId="50AEBB68">
                <wp:simplePos x="0" y="0"/>
                <wp:positionH relativeFrom="column">
                  <wp:posOffset>3959860</wp:posOffset>
                </wp:positionH>
                <wp:positionV relativeFrom="paragraph">
                  <wp:posOffset>362585</wp:posOffset>
                </wp:positionV>
                <wp:extent cx="2971800" cy="714375"/>
                <wp:effectExtent l="0" t="0" r="0" b="0"/>
                <wp:wrapNone/>
                <wp:docPr id="10" name="Cuadro de texto 10"/>
                <wp:cNvGraphicFramePr/>
                <a:graphic xmlns:a="http://schemas.openxmlformats.org/drawingml/2006/main">
                  <a:graphicData uri="http://schemas.microsoft.com/office/word/2010/wordprocessingShape">
                    <wps:wsp>
                      <wps:cNvSpPr txBox="1"/>
                      <wps:spPr>
                        <a:xfrm>
                          <a:off x="0" y="0"/>
                          <a:ext cx="2971800" cy="714375"/>
                        </a:xfrm>
                        <a:prstGeom prst="rect">
                          <a:avLst/>
                        </a:prstGeom>
                        <a:noFill/>
                        <a:ln w="6350">
                          <a:noFill/>
                        </a:ln>
                      </wps:spPr>
                      <wps:txbx>
                        <w:txbxContent>
                          <w:p w:rsidRPr="00BA369E" w:rsidR="006E48B1" w:rsidP="0098240C" w:rsidRDefault="006E48B1" w14:paraId="5DEF80A5" w14:textId="0C5267E9">
                            <w:pPr>
                              <w:rPr>
                                <w:rFonts w:ascii="Antonio Light" w:hAnsi="Antonio Light"/>
                                <w:color w:val="1F4E79" w:themeColor="accent1" w:themeShade="80"/>
                                <w:sz w:val="36"/>
                                <w:szCs w:val="36"/>
                              </w:rPr>
                            </w:pPr>
                            <w:r>
                              <w:rPr>
                                <w:rFonts w:ascii="Antonio Light" w:hAnsi="Antonio Light"/>
                                <w:color w:val="1F4E79" w:themeColor="accent1" w:themeShade="80"/>
                                <w:sz w:val="36"/>
                                <w:szCs w:val="36"/>
                              </w:rPr>
                              <w:t>1</w:t>
                            </w:r>
                            <w:r w:rsidRPr="00BA369E">
                              <w:rPr>
                                <w:rFonts w:ascii="Antonio Light" w:hAnsi="Antonio Light"/>
                                <w:color w:val="1F4E79" w:themeColor="accent1" w:themeShade="80"/>
                                <w:sz w:val="36"/>
                                <w:szCs w:val="36"/>
                              </w:rPr>
                              <w:t>/</w:t>
                            </w:r>
                            <w:r>
                              <w:rPr>
                                <w:rFonts w:ascii="Antonio Light" w:hAnsi="Antonio Light"/>
                                <w:color w:val="1F4E79" w:themeColor="accent1" w:themeShade="80"/>
                                <w:sz w:val="36"/>
                                <w:szCs w:val="36"/>
                              </w:rPr>
                              <w:t>1</w:t>
                            </w:r>
                            <w:r w:rsidRPr="00BA369E">
                              <w:rPr>
                                <w:rFonts w:ascii="Antonio Light" w:hAnsi="Antonio Light"/>
                                <w:color w:val="1F4E79" w:themeColor="accent1" w:themeShade="80"/>
                                <w:sz w:val="36"/>
                                <w:szCs w:val="36"/>
                              </w:rPr>
                              <w:t>/</w:t>
                            </w:r>
                            <w:r>
                              <w:rPr>
                                <w:rFonts w:ascii="Antonio Light" w:hAnsi="Antonio Light"/>
                                <w:color w:val="1F4E79" w:themeColor="accent1" w:themeShade="80"/>
                                <w:sz w:val="36"/>
                                <w:szCs w:val="36"/>
                              </w:rPr>
                              <w:t>2025 a 31</w:t>
                            </w:r>
                            <w:r w:rsidRPr="00BA369E">
                              <w:rPr>
                                <w:rFonts w:ascii="Antonio Light" w:hAnsi="Antonio Light"/>
                                <w:color w:val="1F4E79" w:themeColor="accent1" w:themeShade="80"/>
                                <w:sz w:val="36"/>
                                <w:szCs w:val="36"/>
                              </w:rPr>
                              <w:t>/</w:t>
                            </w:r>
                            <w:r>
                              <w:rPr>
                                <w:rFonts w:ascii="Antonio Light" w:hAnsi="Antonio Light"/>
                                <w:color w:val="1F4E79" w:themeColor="accent1" w:themeShade="80"/>
                                <w:sz w:val="36"/>
                                <w:szCs w:val="36"/>
                              </w:rPr>
                              <w:t>12</w:t>
                            </w:r>
                            <w:r w:rsidRPr="00BA369E">
                              <w:rPr>
                                <w:rFonts w:ascii="Antonio Light" w:hAnsi="Antonio Light"/>
                                <w:color w:val="1F4E79" w:themeColor="accent1" w:themeShade="80"/>
                                <w:sz w:val="36"/>
                                <w:szCs w:val="36"/>
                              </w:rPr>
                              <w:t>/</w:t>
                            </w:r>
                            <w:r>
                              <w:rPr>
                                <w:rFonts w:ascii="Antonio Light" w:hAnsi="Antonio Light"/>
                                <w:color w:val="1F4E79" w:themeColor="accent1" w:themeShade="80"/>
                                <w:sz w:val="36"/>
                                <w:szCs w:val="36"/>
                              </w:rPr>
                              <w:t>2025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uadro de texto 10" style="position:absolute;left:0;text-align:left;margin-left:311.8pt;margin-top:28.55pt;width:234pt;height:56.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8"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" w14:anchorId="5DE41698">
                <v:textbox>
                  <w:txbxContent>
                    <w:p w:rsidRPr="00BA369E" w:rsidR="006E48B1" w:rsidP="0098240C" w:rsidRDefault="006E48B1" w14:paraId="5DEF80A5" w14:textId="0C5267E9">
                      <w:pPr>
                        <w:rPr>
                          <w:rFonts w:ascii="Antonio Light" w:hAnsi="Antonio Light"/>
                          <w:color w:val="1F4E79" w:themeColor="accent1" w:themeShade="80"/>
                          <w:sz w:val="36"/>
                          <w:szCs w:val="36"/>
                        </w:rPr>
                      </w:pPr>
                      <w:r>
                        <w:rPr>
                          <w:rFonts w:ascii="Antonio Light" w:hAnsi="Antonio Light"/>
                          <w:color w:val="1F4E79" w:themeColor="accent1" w:themeShade="80"/>
                          <w:sz w:val="36"/>
                          <w:szCs w:val="36"/>
                        </w:rPr>
                        <w:t>1</w:t>
                      </w:r>
                      <w:r w:rsidRPr="00BA369E">
                        <w:rPr>
                          <w:rFonts w:ascii="Antonio Light" w:hAnsi="Antonio Light"/>
                          <w:color w:val="1F4E79" w:themeColor="accent1" w:themeShade="80"/>
                          <w:sz w:val="36"/>
                          <w:szCs w:val="36"/>
                        </w:rPr>
                        <w:t>/</w:t>
                      </w:r>
                      <w:r>
                        <w:rPr>
                          <w:rFonts w:ascii="Antonio Light" w:hAnsi="Antonio Light"/>
                          <w:color w:val="1F4E79" w:themeColor="accent1" w:themeShade="80"/>
                          <w:sz w:val="36"/>
                          <w:szCs w:val="36"/>
                        </w:rPr>
                        <w:t>1</w:t>
                      </w:r>
                      <w:r w:rsidRPr="00BA369E">
                        <w:rPr>
                          <w:rFonts w:ascii="Antonio Light" w:hAnsi="Antonio Light"/>
                          <w:color w:val="1F4E79" w:themeColor="accent1" w:themeShade="80"/>
                          <w:sz w:val="36"/>
                          <w:szCs w:val="36"/>
                        </w:rPr>
                        <w:t>/</w:t>
                      </w:r>
                      <w:r>
                        <w:rPr>
                          <w:rFonts w:ascii="Antonio Light" w:hAnsi="Antonio Light"/>
                          <w:color w:val="1F4E79" w:themeColor="accent1" w:themeShade="80"/>
                          <w:sz w:val="36"/>
                          <w:szCs w:val="36"/>
                        </w:rPr>
                        <w:t>2025 a 31</w:t>
                      </w:r>
                      <w:r w:rsidRPr="00BA369E">
                        <w:rPr>
                          <w:rFonts w:ascii="Antonio Light" w:hAnsi="Antonio Light"/>
                          <w:color w:val="1F4E79" w:themeColor="accent1" w:themeShade="80"/>
                          <w:sz w:val="36"/>
                          <w:szCs w:val="36"/>
                        </w:rPr>
                        <w:t>/</w:t>
                      </w:r>
                      <w:r>
                        <w:rPr>
                          <w:rFonts w:ascii="Antonio Light" w:hAnsi="Antonio Light"/>
                          <w:color w:val="1F4E79" w:themeColor="accent1" w:themeShade="80"/>
                          <w:sz w:val="36"/>
                          <w:szCs w:val="36"/>
                        </w:rPr>
                        <w:t>12</w:t>
                      </w:r>
                      <w:r w:rsidRPr="00BA369E">
                        <w:rPr>
                          <w:rFonts w:ascii="Antonio Light" w:hAnsi="Antonio Light"/>
                          <w:color w:val="1F4E79" w:themeColor="accent1" w:themeShade="80"/>
                          <w:sz w:val="36"/>
                          <w:szCs w:val="36"/>
                        </w:rPr>
                        <w:t>/</w:t>
                      </w:r>
                      <w:r>
                        <w:rPr>
                          <w:rFonts w:ascii="Antonio Light" w:hAnsi="Antonio Light"/>
                          <w:color w:val="1F4E79" w:themeColor="accent1" w:themeShade="80"/>
                          <w:sz w:val="36"/>
                          <w:szCs w:val="36"/>
                        </w:rPr>
                        <w:t>2025</w:t>
                      </w:r>
                    </w:p>
                  </w:txbxContent>
                </v:textbox>
              </v:shape>
            </w:pict>
          </mc:Fallback>
        </mc:AlternateContent>
      </w:r>
    </w:p>
    <w:p w:rsidR="00011F6B" w:rsidP="008F6FD7" w:rsidRDefault="0098240C" w14:paraId="3FDD8B50" w14:textId="77683D9A">
      <w:pPr>
        <w:spacing w:after="240"/>
        <w:rPr>
          <w:rStyle w:val="CaracteresInicio1"/>
        </w:rPr>
      </w:pPr>
      <w:r w:rsidRPr="0098240C">
        <w:rPr>
          <w:rStyle w:val="CaracteresInicio1"/>
          <w:noProof/>
          <w:lang w:val="es-MX" w:eastAsia="es-MX"/>
        </w:rPr>
        <mc:AlternateContent xmlns:mc="http://schemas.openxmlformats.org/markup-compatibility/2006">
          <mc:Choice xmlns:mc="http://schemas.openxmlformats.org/markup-compatibility/2006" Requires="wps">
            <w:drawing xmlns:w="http://schemas.openxmlformats.org/wordprocessingml/2006/main">
              <wp:anchor xmlns:wp14="http://schemas.microsoft.com/office/word/2010/wordprocessingDrawing" xmlns:wp="http://schemas.openxmlformats.org/drawingml/2006/wordprocessingDrawing" distT="0" distB="0" distL="114300" distR="114300" simplePos="0" relativeHeight="251668480" behindDoc="0" locked="0" layoutInCell="1" allowOverlap="1" wp14:anchorId="4BF6DD8C" wp14:editId="66738544">
                <wp:simplePos xmlns:wp="http://schemas.openxmlformats.org/drawingml/2006/wordprocessingDrawing" x="0" y="0"/>
                <wp:positionH xmlns:wp="http://schemas.openxmlformats.org/drawingml/2006/wordprocessingDrawing" relativeFrom="column">
                  <wp:posOffset>4198711</wp:posOffset>
                </wp:positionH>
                <wp:positionV xmlns:wp="http://schemas.openxmlformats.org/drawingml/2006/wordprocessingDrawing" relativeFrom="paragraph">
                  <wp:posOffset>640443</wp:posOffset>
                </wp:positionV>
                <wp:extent cx="2426970" cy="714375"/>
                <wp:effectExtent l="0" t="0" r="0" b="0"/>
                <wp:wrapNone xmlns:wp="http://schemas.openxmlformats.org/drawingml/2006/wordprocessingDrawing"/>
                <wp:docPr xmlns:wp="http://schemas.openxmlformats.org/drawingml/2006/wordprocessingDrawing" id="1" name="Cuadro de texto 1"/>
                <wp:cNvGraphicFramePr xmlns:wp="http://schemas.openxmlformats.org/drawingml/2006/wordprocessingDrawing"/>
                <a:graphic xmlns:a="http://schemas.openxmlformats.org/drawingml/2006/main">
                  <a:graphicData uri="http://schemas.microsoft.com/office/word/2010/wordprocessingShape">
                    <wps:wsp xmlns:wps="http://schemas.microsoft.com/office/word/2010/wordprocessingShape">
                      <wps:cNvSpPr/>
                      <wps:spPr>
                        <a:xfrm>
                          <a:off x="0" y="0"/>
                          <a:ext cx="2426970" cy="714375"/>
                        </a:xfrm>
                        <a:prstGeom prst="rect">
                          <a:avLst/>
                        </a:prstGeom>
                        <a:noFill/>
                        <a:ln w="6350">
                          <a:noFill/>
                        </a:ln>
                      </wps:spPr>
                      <wps:txbx>
                        <w:txbxContent>
                          <w:p w:rsidR="002B7684" w:rsidP="002B7684" w:rsidRDefault="002B7684">
                            <w:pPr>
                              <w:spacing w:line="276" w:lineRule="auto"/>
                              <w:rPr>
                                <w:rFonts w:ascii="Antonio Light" w:hAnsi="Antonio Light"/>
                                <w:color w:val="1F4E79"/>
                                <w:kern w:val="0"/>
                                <w:sz w:val="36"/>
                                <w:szCs w:val="36"/>
                                <w:lang w:val="en-US"/>
                                <w14:ligatures xmlns:w14="http://schemas.microsoft.com/office/word/2010/wordml" w14:val="none"/>
                              </w:rPr>
                            </w:pPr>
                            <w:r>
                              <w:rPr>
                                <w:rFonts w:ascii="Antonio Light" w:hAnsi="Antonio Light"/>
                                <w:color w:val="1F4E79"/>
                                <w:sz w:val="36"/>
                                <w:szCs w:val="36"/>
                                <w:lang w:val="en-US"/>
                              </w:rPr>
                              <w:t>22/04/2026</w:t>
                            </w:r>
                          </w:p>
                        </w:txbxContent>
                      </wps:txbx>
                      <wps:bodyPr spcFirstLastPara="0" wrap="square" lIns="91440" tIns="45720" rIns="91440" bIns="45720" anchor="t">
                        <a:noAutofit/>
                      </wps:bodyPr>
                    </wps:wsp>
                  </a:graphicData>
                </a:graphic>
                <wp14:sizeRelH xmlns:wp14="http://schemas.microsoft.com/office/word/2010/wordprocessingDrawing" relativeFrom="margin">
                  <wp14:pctWidth>0</wp14:pctWidth>
                </wp14:sizeRelH>
                <wp14:sizeRelV xmlns:wp14="http://schemas.microsoft.com/office/word/2010/wordprocessingDrawing" relativeFrom="margin">
                  <wp14:pctHeight>0</wp14:pctHeight>
                </wp14:sizeRelV>
              </wp:anchor>
            </w:drawing>
          </mc:Choice>
          <mc:Fallback/>
        </mc:AlternateContent>
      </w:r>
    </w:p>
    <w:p w:rsidR="00011F6B" w:rsidP="008F6FD7" w:rsidRDefault="00011F6B" w14:paraId="32AA26B7" w14:textId="340D92AB">
      <w:pPr>
        <w:spacing w:after="240"/>
        <w:rPr>
          <w:rStyle w:val="CaracteresInicio1"/>
        </w:rPr>
      </w:pPr>
    </w:p>
    <w:p w:rsidRPr="008F6FD7" w:rsidR="00A034C3" w:rsidP="008F6FD7" w:rsidRDefault="005B0085" w14:paraId="1E8994BB" w14:textId="4D9ADC1C">
      <w:pPr>
        <w:spacing w:after="240"/>
        <w:rPr>
          <w:rStyle w:val="CaracteresInicio1"/>
        </w:rPr>
      </w:pPr>
      <w:r w:rsidRPr="0003231C">
        <w:rPr>
          <w:rStyle w:val="CaracteresInicio1"/>
        </w:rPr>
        <w:t>Tabla de Contenido</w:t>
      </w:r>
    </w:p>
    <w:p w:rsidR="0004678D" w:rsidRDefault="0004678D" w14:paraId="19B11D23" w14:textId="41A80281">
      <w:pPr>
        <w:pStyle w:val="TDC1"/>
        <w:tabs>
          <w:tab w:val="left" w:pos="440"/>
        </w:tabs>
        <w:rPr>
          <w:rFonts w:asciiTheme="minorHAnsi" w:hAnsiTheme="minorHAnsi" w:eastAsiaTheme="minorEastAsia" w:cstheme="minorBidi"/>
          <w:noProof/>
          <w:lang w:val="es-CO"/>
        </w:rPr>
      </w:pPr>
      <w:r>
        <w:fldChar w:fldCharType="begin"/>
      </w:r>
      <w:r>
        <w:instrText xml:space="preserve"> TOC \o "1-5" \h \z \u </w:instrText>
      </w:r>
      <w:r>
        <w:fldChar w:fldCharType="separate"/>
      </w:r>
      <w:hyperlink w:history="1" w:anchor="_Toc206759636">
        <w:r w:rsidRPr="00E94E77">
          <w:rPr>
            <w:rStyle w:val="Hipervnculo"/>
            <w:noProof/>
          </w:rPr>
          <w:t>1.</w:t>
        </w:r>
        <w:r>
          <w:rPr>
            <w:rFonts w:asciiTheme="minorHAnsi" w:hAnsiTheme="minorHAnsi" w:eastAsiaTheme="minorEastAsia" w:cstheme="minorBidi"/>
            <w:noProof/>
            <w:lang w:val="es-CO"/>
          </w:rPr>
          <w:tab/>
        </w:r>
        <w:r w:rsidRPr="00E94E77">
          <w:rPr>
            <w:rStyle w:val="Hipervnculo"/>
            <w:noProof/>
          </w:rPr>
          <w:t>GENERALIDADES</w:t>
        </w:r>
        <w:r>
          <w:rPr>
            <w:noProof/>
            <w:webHidden/>
          </w:rPr>
          <w:tab/>
        </w:r>
        <w:r>
          <w:rPr>
            <w:noProof/>
            <w:webHidden/>
          </w:rPr>
          <w:fldChar w:fldCharType="begin"/>
        </w:r>
        <w:r>
          <w:rPr>
            <w:noProof/>
            <w:webHidden/>
          </w:rPr>
          <w:instrText xml:space="preserve"> PAGEREF _Toc206759636 \h </w:instrText>
        </w:r>
        <w:r>
          <w:rPr>
            <w:noProof/>
            <w:webHidden/>
          </w:rPr>
        </w:r>
        <w:r>
          <w:rPr>
            <w:noProof/>
            <w:webHidden/>
          </w:rPr>
          <w:fldChar w:fldCharType="separate"/>
        </w:r>
        <w:r>
          <w:rPr>
            <w:noProof/>
            <w:webHidden/>
          </w:rPr>
          <w:t>3</w:t>
        </w:r>
        <w:r>
          <w:rPr>
            <w:noProof/>
            <w:webHidden/>
          </w:rPr>
          <w:fldChar w:fldCharType="end"/>
        </w:r>
      </w:hyperlink>
    </w:p>
    <w:p w:rsidR="0004678D" w:rsidRDefault="006E48B1" w14:paraId="3AB780BC" w14:textId="510D3331">
      <w:pPr>
        <w:pStyle w:val="TDC2"/>
        <w:tabs>
          <w:tab w:val="left" w:pos="880"/>
        </w:tabs>
        <w:rPr>
          <w:rFonts w:asciiTheme="minorHAnsi" w:hAnsiTheme="minorHAnsi" w:eastAsiaTheme="minorEastAsia" w:cstheme="minorBidi"/>
          <w:noProof/>
          <w:lang w:val="es-CO"/>
        </w:rPr>
      </w:pPr>
      <w:hyperlink w:history="1" w:anchor="_Toc206759637">
        <w:r w:rsidRPr="00E94E77" w:rsidR="0004678D">
          <w:rPr>
            <w:rStyle w:val="Hipervnculo"/>
            <w:noProof/>
          </w:rPr>
          <w:t>1.1.</w:t>
        </w:r>
        <w:r w:rsidR="0004678D">
          <w:rPr>
            <w:rFonts w:asciiTheme="minorHAnsi" w:hAnsiTheme="minorHAnsi" w:eastAsiaTheme="minorEastAsia" w:cstheme="minorBidi"/>
            <w:noProof/>
            <w:lang w:val="es-CO"/>
          </w:rPr>
          <w:tab/>
        </w:r>
        <w:r w:rsidRPr="00E94E77" w:rsidR="0004678D">
          <w:rPr>
            <w:rStyle w:val="Hipervnculo"/>
            <w:noProof/>
          </w:rPr>
          <w:t>OBJETIVOS</w:t>
        </w:r>
        <w:r w:rsidR="0004678D">
          <w:rPr>
            <w:noProof/>
            <w:webHidden/>
          </w:rPr>
          <w:tab/>
        </w:r>
        <w:r w:rsidR="0004678D">
          <w:rPr>
            <w:noProof/>
            <w:webHidden/>
          </w:rPr>
          <w:fldChar w:fldCharType="begin"/>
        </w:r>
        <w:r w:rsidR="0004678D">
          <w:rPr>
            <w:noProof/>
            <w:webHidden/>
          </w:rPr>
          <w:instrText xml:space="preserve"> PAGEREF _Toc206759637 \h </w:instrText>
        </w:r>
        <w:r w:rsidR="0004678D">
          <w:rPr>
            <w:noProof/>
            <w:webHidden/>
          </w:rPr>
        </w:r>
        <w:r w:rsidR="0004678D">
          <w:rPr>
            <w:noProof/>
            <w:webHidden/>
          </w:rPr>
          <w:fldChar w:fldCharType="separate"/>
        </w:r>
        <w:r w:rsidR="0004678D">
          <w:rPr>
            <w:noProof/>
            <w:webHidden/>
          </w:rPr>
          <w:t>3</w:t>
        </w:r>
        <w:r w:rsidR="0004678D">
          <w:rPr>
            <w:noProof/>
            <w:webHidden/>
          </w:rPr>
          <w:fldChar w:fldCharType="end"/>
        </w:r>
      </w:hyperlink>
    </w:p>
    <w:p w:rsidR="0004678D" w:rsidRDefault="006E48B1" w14:paraId="2CD28EE7" w14:textId="605216E9">
      <w:pPr>
        <w:pStyle w:val="TDC2"/>
        <w:tabs>
          <w:tab w:val="left" w:pos="880"/>
        </w:tabs>
        <w:rPr>
          <w:rFonts w:asciiTheme="minorHAnsi" w:hAnsiTheme="minorHAnsi" w:eastAsiaTheme="minorEastAsia" w:cstheme="minorBidi"/>
          <w:noProof/>
          <w:lang w:val="es-CO"/>
        </w:rPr>
      </w:pPr>
      <w:hyperlink w:history="1" w:anchor="_Toc206759638">
        <w:r w:rsidRPr="00E94E77" w:rsidR="0004678D">
          <w:rPr>
            <w:rStyle w:val="Hipervnculo"/>
            <w:noProof/>
          </w:rPr>
          <w:t>1.2.</w:t>
        </w:r>
        <w:r w:rsidR="0004678D">
          <w:rPr>
            <w:rFonts w:asciiTheme="minorHAnsi" w:hAnsiTheme="minorHAnsi" w:eastAsiaTheme="minorEastAsia" w:cstheme="minorBidi"/>
            <w:noProof/>
            <w:lang w:val="es-CO"/>
          </w:rPr>
          <w:tab/>
        </w:r>
        <w:r w:rsidRPr="00E94E77" w:rsidR="0004678D">
          <w:rPr>
            <w:rStyle w:val="Hipervnculo"/>
            <w:noProof/>
          </w:rPr>
          <w:t>ALCANCE</w:t>
        </w:r>
        <w:r w:rsidR="0004678D">
          <w:rPr>
            <w:noProof/>
            <w:webHidden/>
          </w:rPr>
          <w:tab/>
        </w:r>
        <w:r w:rsidR="0004678D">
          <w:rPr>
            <w:noProof/>
            <w:webHidden/>
          </w:rPr>
          <w:fldChar w:fldCharType="begin"/>
        </w:r>
        <w:r w:rsidR="0004678D">
          <w:rPr>
            <w:noProof/>
            <w:webHidden/>
          </w:rPr>
          <w:instrText xml:space="preserve"> PAGEREF _Toc206759638 \h </w:instrText>
        </w:r>
        <w:r w:rsidR="0004678D">
          <w:rPr>
            <w:noProof/>
            <w:webHidden/>
          </w:rPr>
        </w:r>
        <w:r w:rsidR="0004678D">
          <w:rPr>
            <w:noProof/>
            <w:webHidden/>
          </w:rPr>
          <w:fldChar w:fldCharType="separate"/>
        </w:r>
        <w:r w:rsidR="0004678D">
          <w:rPr>
            <w:noProof/>
            <w:webHidden/>
          </w:rPr>
          <w:t>3</w:t>
        </w:r>
        <w:r w:rsidR="0004678D">
          <w:rPr>
            <w:noProof/>
            <w:webHidden/>
          </w:rPr>
          <w:fldChar w:fldCharType="end"/>
        </w:r>
      </w:hyperlink>
    </w:p>
    <w:p w:rsidR="0004678D" w:rsidRDefault="006E48B1" w14:paraId="24C10F42" w14:textId="3B6D67BE">
      <w:pPr>
        <w:pStyle w:val="TDC1"/>
        <w:tabs>
          <w:tab w:val="left" w:pos="440"/>
        </w:tabs>
        <w:rPr>
          <w:rFonts w:asciiTheme="minorHAnsi" w:hAnsiTheme="minorHAnsi" w:eastAsiaTheme="minorEastAsia" w:cstheme="minorBidi"/>
          <w:noProof/>
          <w:lang w:val="es-CO"/>
        </w:rPr>
      </w:pPr>
      <w:hyperlink w:history="1" w:anchor="_Toc206759639">
        <w:r w:rsidRPr="00E94E77" w:rsidR="0004678D">
          <w:rPr>
            <w:rStyle w:val="Hipervnculo"/>
            <w:noProof/>
          </w:rPr>
          <w:t>2.</w:t>
        </w:r>
        <w:r w:rsidR="0004678D">
          <w:rPr>
            <w:rFonts w:asciiTheme="minorHAnsi" w:hAnsiTheme="minorHAnsi" w:eastAsiaTheme="minorEastAsia" w:cstheme="minorBidi"/>
            <w:noProof/>
            <w:lang w:val="es-CO"/>
          </w:rPr>
          <w:tab/>
        </w:r>
        <w:r w:rsidRPr="00E94E77" w:rsidR="0004678D">
          <w:rPr>
            <w:rStyle w:val="Hipervnculo"/>
            <w:noProof/>
          </w:rPr>
          <w:t>CRITERIOS DE AUDITORÍA</w:t>
        </w:r>
        <w:r w:rsidR="0004678D">
          <w:rPr>
            <w:noProof/>
            <w:webHidden/>
          </w:rPr>
          <w:tab/>
        </w:r>
        <w:r w:rsidR="0004678D">
          <w:rPr>
            <w:noProof/>
            <w:webHidden/>
          </w:rPr>
          <w:fldChar w:fldCharType="begin"/>
        </w:r>
        <w:r w:rsidR="0004678D">
          <w:rPr>
            <w:noProof/>
            <w:webHidden/>
          </w:rPr>
          <w:instrText xml:space="preserve"> PAGEREF _Toc206759639 \h </w:instrText>
        </w:r>
        <w:r w:rsidR="0004678D">
          <w:rPr>
            <w:noProof/>
            <w:webHidden/>
          </w:rPr>
        </w:r>
        <w:r w:rsidR="0004678D">
          <w:rPr>
            <w:noProof/>
            <w:webHidden/>
          </w:rPr>
          <w:fldChar w:fldCharType="separate"/>
        </w:r>
        <w:r w:rsidR="0004678D">
          <w:rPr>
            <w:noProof/>
            <w:webHidden/>
          </w:rPr>
          <w:t>4</w:t>
        </w:r>
        <w:r w:rsidR="0004678D">
          <w:rPr>
            <w:noProof/>
            <w:webHidden/>
          </w:rPr>
          <w:fldChar w:fldCharType="end"/>
        </w:r>
      </w:hyperlink>
    </w:p>
    <w:p w:rsidR="0004678D" w:rsidRDefault="006E48B1" w14:paraId="1D731A90" w14:textId="61B81FAE">
      <w:pPr>
        <w:pStyle w:val="TDC1"/>
        <w:tabs>
          <w:tab w:val="left" w:pos="440"/>
        </w:tabs>
        <w:rPr>
          <w:rFonts w:asciiTheme="minorHAnsi" w:hAnsiTheme="minorHAnsi" w:eastAsiaTheme="minorEastAsia" w:cstheme="minorBidi"/>
          <w:noProof/>
          <w:lang w:val="es-CO"/>
        </w:rPr>
      </w:pPr>
      <w:hyperlink w:history="1" w:anchor="_Toc206759640">
        <w:r w:rsidRPr="00E94E77" w:rsidR="0004678D">
          <w:rPr>
            <w:rStyle w:val="Hipervnculo"/>
            <w:noProof/>
          </w:rPr>
          <w:t>3.</w:t>
        </w:r>
        <w:r w:rsidR="0004678D">
          <w:rPr>
            <w:rFonts w:asciiTheme="minorHAnsi" w:hAnsiTheme="minorHAnsi" w:eastAsiaTheme="minorEastAsia" w:cstheme="minorBidi"/>
            <w:noProof/>
            <w:lang w:val="es-CO"/>
          </w:rPr>
          <w:tab/>
        </w:r>
        <w:r w:rsidRPr="00E94E77" w:rsidR="0004678D">
          <w:rPr>
            <w:rStyle w:val="Hipervnculo"/>
            <w:noProof/>
          </w:rPr>
          <w:t>METODOLOGÍA</w:t>
        </w:r>
        <w:r w:rsidR="0004678D">
          <w:rPr>
            <w:noProof/>
            <w:webHidden/>
          </w:rPr>
          <w:tab/>
        </w:r>
        <w:r w:rsidR="0004678D">
          <w:rPr>
            <w:noProof/>
            <w:webHidden/>
          </w:rPr>
          <w:fldChar w:fldCharType="begin"/>
        </w:r>
        <w:r w:rsidR="0004678D">
          <w:rPr>
            <w:noProof/>
            <w:webHidden/>
          </w:rPr>
          <w:instrText xml:space="preserve"> PAGEREF _Toc206759640 \h </w:instrText>
        </w:r>
        <w:r w:rsidR="0004678D">
          <w:rPr>
            <w:noProof/>
            <w:webHidden/>
          </w:rPr>
        </w:r>
        <w:r w:rsidR="0004678D">
          <w:rPr>
            <w:noProof/>
            <w:webHidden/>
          </w:rPr>
          <w:fldChar w:fldCharType="separate"/>
        </w:r>
        <w:r w:rsidR="0004678D">
          <w:rPr>
            <w:noProof/>
            <w:webHidden/>
          </w:rPr>
          <w:t>4</w:t>
        </w:r>
        <w:r w:rsidR="0004678D">
          <w:rPr>
            <w:noProof/>
            <w:webHidden/>
          </w:rPr>
          <w:fldChar w:fldCharType="end"/>
        </w:r>
      </w:hyperlink>
    </w:p>
    <w:p w:rsidR="0004678D" w:rsidRDefault="006E48B1" w14:paraId="63CEDA01" w14:textId="0C270E1E">
      <w:pPr>
        <w:pStyle w:val="TDC1"/>
        <w:tabs>
          <w:tab w:val="left" w:pos="440"/>
        </w:tabs>
        <w:rPr>
          <w:rFonts w:asciiTheme="minorHAnsi" w:hAnsiTheme="minorHAnsi" w:eastAsiaTheme="minorEastAsia" w:cstheme="minorBidi"/>
          <w:noProof/>
          <w:lang w:val="es-CO"/>
        </w:rPr>
      </w:pPr>
      <w:hyperlink w:history="1" w:anchor="_Toc206759641">
        <w:r w:rsidRPr="00E94E77" w:rsidR="0004678D">
          <w:rPr>
            <w:rStyle w:val="Hipervnculo"/>
            <w:noProof/>
          </w:rPr>
          <w:t>4.</w:t>
        </w:r>
        <w:r w:rsidR="0004678D">
          <w:rPr>
            <w:rFonts w:asciiTheme="minorHAnsi" w:hAnsiTheme="minorHAnsi" w:eastAsiaTheme="minorEastAsia" w:cstheme="minorBidi"/>
            <w:noProof/>
            <w:lang w:val="es-CO"/>
          </w:rPr>
          <w:tab/>
        </w:r>
        <w:r w:rsidRPr="00E94E77" w:rsidR="0004678D">
          <w:rPr>
            <w:rStyle w:val="Hipervnculo"/>
            <w:noProof/>
          </w:rPr>
          <w:t>ANÁLISIS DE INFORMACIÓN</w:t>
        </w:r>
        <w:r w:rsidR="0004678D">
          <w:rPr>
            <w:noProof/>
            <w:webHidden/>
          </w:rPr>
          <w:tab/>
        </w:r>
        <w:r w:rsidR="0004678D">
          <w:rPr>
            <w:noProof/>
            <w:webHidden/>
          </w:rPr>
          <w:fldChar w:fldCharType="begin"/>
        </w:r>
        <w:r w:rsidR="0004678D">
          <w:rPr>
            <w:noProof/>
            <w:webHidden/>
          </w:rPr>
          <w:instrText xml:space="preserve"> PAGEREF _Toc206759641 \h </w:instrText>
        </w:r>
        <w:r w:rsidR="0004678D">
          <w:rPr>
            <w:noProof/>
            <w:webHidden/>
          </w:rPr>
        </w:r>
        <w:r w:rsidR="0004678D">
          <w:rPr>
            <w:noProof/>
            <w:webHidden/>
          </w:rPr>
          <w:fldChar w:fldCharType="separate"/>
        </w:r>
        <w:r w:rsidR="0004678D">
          <w:rPr>
            <w:noProof/>
            <w:webHidden/>
          </w:rPr>
          <w:t>4</w:t>
        </w:r>
        <w:r w:rsidR="0004678D">
          <w:rPr>
            <w:noProof/>
            <w:webHidden/>
          </w:rPr>
          <w:fldChar w:fldCharType="end"/>
        </w:r>
      </w:hyperlink>
    </w:p>
    <w:p w:rsidR="0004678D" w:rsidRDefault="006E48B1" w14:paraId="118E5473" w14:textId="50E5CF9D">
      <w:pPr>
        <w:pStyle w:val="TDC2"/>
        <w:tabs>
          <w:tab w:val="left" w:pos="880"/>
        </w:tabs>
        <w:rPr>
          <w:rFonts w:asciiTheme="minorHAnsi" w:hAnsiTheme="minorHAnsi" w:eastAsiaTheme="minorEastAsia" w:cstheme="minorBidi"/>
          <w:noProof/>
          <w:lang w:val="es-CO"/>
        </w:rPr>
      </w:pPr>
      <w:hyperlink w:history="1" w:anchor="_Toc206759642">
        <w:r w:rsidRPr="00E94E77" w:rsidR="0004678D">
          <w:rPr>
            <w:rStyle w:val="Hipervnculo"/>
            <w:noProof/>
          </w:rPr>
          <w:t>4.1.</w:t>
        </w:r>
        <w:r w:rsidR="0004678D">
          <w:rPr>
            <w:rFonts w:asciiTheme="minorHAnsi" w:hAnsiTheme="minorHAnsi" w:eastAsiaTheme="minorEastAsia" w:cstheme="minorBidi"/>
            <w:noProof/>
            <w:lang w:val="es-CO"/>
          </w:rPr>
          <w:tab/>
        </w:r>
        <w:r w:rsidRPr="00E94E77" w:rsidR="0004678D">
          <w:rPr>
            <w:rStyle w:val="Hipervnculo"/>
            <w:noProof/>
          </w:rPr>
          <w:t>[PRIMER OBJETIVO ESPECÍFICO O TEMA EVALUADO]</w:t>
        </w:r>
        <w:r w:rsidR="0004678D">
          <w:rPr>
            <w:noProof/>
            <w:webHidden/>
          </w:rPr>
          <w:tab/>
        </w:r>
        <w:r w:rsidR="0004678D">
          <w:rPr>
            <w:noProof/>
            <w:webHidden/>
          </w:rPr>
          <w:fldChar w:fldCharType="begin"/>
        </w:r>
        <w:r w:rsidR="0004678D">
          <w:rPr>
            <w:noProof/>
            <w:webHidden/>
          </w:rPr>
          <w:instrText xml:space="preserve"> PAGEREF _Toc206759642 \h </w:instrText>
        </w:r>
        <w:r w:rsidR="0004678D">
          <w:rPr>
            <w:noProof/>
            <w:webHidden/>
          </w:rPr>
        </w:r>
        <w:r w:rsidR="0004678D">
          <w:rPr>
            <w:noProof/>
            <w:webHidden/>
          </w:rPr>
          <w:fldChar w:fldCharType="separate"/>
        </w:r>
        <w:r w:rsidR="0004678D">
          <w:rPr>
            <w:noProof/>
            <w:webHidden/>
          </w:rPr>
          <w:t>4</w:t>
        </w:r>
        <w:r w:rsidR="0004678D">
          <w:rPr>
            <w:noProof/>
            <w:webHidden/>
          </w:rPr>
          <w:fldChar w:fldCharType="end"/>
        </w:r>
      </w:hyperlink>
    </w:p>
    <w:p w:rsidR="0004678D" w:rsidRDefault="006E48B1" w14:paraId="1C4A6B77" w14:textId="7E51F9C0">
      <w:pPr>
        <w:pStyle w:val="TDC2"/>
        <w:tabs>
          <w:tab w:val="left" w:pos="880"/>
        </w:tabs>
        <w:rPr>
          <w:rFonts w:asciiTheme="minorHAnsi" w:hAnsiTheme="minorHAnsi" w:eastAsiaTheme="minorEastAsia" w:cstheme="minorBidi"/>
          <w:noProof/>
          <w:lang w:val="es-CO"/>
        </w:rPr>
      </w:pPr>
      <w:hyperlink w:history="1" w:anchor="_Toc206759643">
        <w:r w:rsidRPr="00E94E77" w:rsidR="0004678D">
          <w:rPr>
            <w:rStyle w:val="Hipervnculo"/>
            <w:noProof/>
          </w:rPr>
          <w:t>4.2.</w:t>
        </w:r>
        <w:r w:rsidR="0004678D">
          <w:rPr>
            <w:rFonts w:asciiTheme="minorHAnsi" w:hAnsiTheme="minorHAnsi" w:eastAsiaTheme="minorEastAsia" w:cstheme="minorBidi"/>
            <w:noProof/>
            <w:lang w:val="es-CO"/>
          </w:rPr>
          <w:tab/>
        </w:r>
        <w:r w:rsidRPr="00E94E77" w:rsidR="0004678D">
          <w:rPr>
            <w:rStyle w:val="Hipervnculo"/>
            <w:noProof/>
          </w:rPr>
          <w:t>[SEGUNDO OBJETIVO ESPECÍFICO O TEMA EVALUADO]</w:t>
        </w:r>
        <w:r w:rsidR="0004678D">
          <w:rPr>
            <w:noProof/>
            <w:webHidden/>
          </w:rPr>
          <w:tab/>
        </w:r>
        <w:r w:rsidR="0004678D">
          <w:rPr>
            <w:noProof/>
            <w:webHidden/>
          </w:rPr>
          <w:fldChar w:fldCharType="begin"/>
        </w:r>
        <w:r w:rsidR="0004678D">
          <w:rPr>
            <w:noProof/>
            <w:webHidden/>
          </w:rPr>
          <w:instrText xml:space="preserve"> PAGEREF _Toc206759643 \h </w:instrText>
        </w:r>
        <w:r w:rsidR="0004678D">
          <w:rPr>
            <w:noProof/>
            <w:webHidden/>
          </w:rPr>
        </w:r>
        <w:r w:rsidR="0004678D">
          <w:rPr>
            <w:noProof/>
            <w:webHidden/>
          </w:rPr>
          <w:fldChar w:fldCharType="separate"/>
        </w:r>
        <w:r w:rsidR="0004678D">
          <w:rPr>
            <w:noProof/>
            <w:webHidden/>
          </w:rPr>
          <w:t>4</w:t>
        </w:r>
        <w:r w:rsidR="0004678D">
          <w:rPr>
            <w:noProof/>
            <w:webHidden/>
          </w:rPr>
          <w:fldChar w:fldCharType="end"/>
        </w:r>
      </w:hyperlink>
    </w:p>
    <w:p w:rsidR="0004678D" w:rsidRDefault="006E48B1" w14:paraId="6E0963BC" w14:textId="23A8989A">
      <w:pPr>
        <w:pStyle w:val="TDC1"/>
        <w:tabs>
          <w:tab w:val="left" w:pos="440"/>
        </w:tabs>
        <w:rPr>
          <w:rFonts w:asciiTheme="minorHAnsi" w:hAnsiTheme="minorHAnsi" w:eastAsiaTheme="minorEastAsia" w:cstheme="minorBidi"/>
          <w:noProof/>
          <w:lang w:val="es-CO"/>
        </w:rPr>
      </w:pPr>
      <w:hyperlink w:history="1" w:anchor="_Toc206759644">
        <w:r w:rsidRPr="00E94E77" w:rsidR="0004678D">
          <w:rPr>
            <w:rStyle w:val="Hipervnculo"/>
            <w:bCs/>
            <w:noProof/>
          </w:rPr>
          <w:t>5.</w:t>
        </w:r>
        <w:r w:rsidR="0004678D">
          <w:rPr>
            <w:rFonts w:asciiTheme="minorHAnsi" w:hAnsiTheme="minorHAnsi" w:eastAsiaTheme="minorEastAsia" w:cstheme="minorBidi"/>
            <w:noProof/>
            <w:lang w:val="es-CO"/>
          </w:rPr>
          <w:tab/>
        </w:r>
        <w:r w:rsidRPr="00E94E77" w:rsidR="0004678D">
          <w:rPr>
            <w:rStyle w:val="Hipervnculo"/>
            <w:noProof/>
          </w:rPr>
          <w:t>EVALUACIÓN DE LA GESTIÓN DEL RIESGO</w:t>
        </w:r>
        <w:r w:rsidR="0004678D">
          <w:rPr>
            <w:noProof/>
            <w:webHidden/>
          </w:rPr>
          <w:tab/>
        </w:r>
        <w:r w:rsidR="0004678D">
          <w:rPr>
            <w:noProof/>
            <w:webHidden/>
          </w:rPr>
          <w:fldChar w:fldCharType="begin"/>
        </w:r>
        <w:r w:rsidR="0004678D">
          <w:rPr>
            <w:noProof/>
            <w:webHidden/>
          </w:rPr>
          <w:instrText xml:space="preserve"> PAGEREF _Toc206759644 \h </w:instrText>
        </w:r>
        <w:r w:rsidR="0004678D">
          <w:rPr>
            <w:noProof/>
            <w:webHidden/>
          </w:rPr>
        </w:r>
        <w:r w:rsidR="0004678D">
          <w:rPr>
            <w:noProof/>
            <w:webHidden/>
          </w:rPr>
          <w:fldChar w:fldCharType="separate"/>
        </w:r>
        <w:r w:rsidR="0004678D">
          <w:rPr>
            <w:noProof/>
            <w:webHidden/>
          </w:rPr>
          <w:t>5</w:t>
        </w:r>
        <w:r w:rsidR="0004678D">
          <w:rPr>
            <w:noProof/>
            <w:webHidden/>
          </w:rPr>
          <w:fldChar w:fldCharType="end"/>
        </w:r>
      </w:hyperlink>
    </w:p>
    <w:p w:rsidR="0004678D" w:rsidRDefault="006E48B1" w14:paraId="79440347" w14:textId="27AAB37C">
      <w:pPr>
        <w:pStyle w:val="TDC1"/>
        <w:tabs>
          <w:tab w:val="left" w:pos="440"/>
        </w:tabs>
        <w:rPr>
          <w:rFonts w:asciiTheme="minorHAnsi" w:hAnsiTheme="minorHAnsi" w:eastAsiaTheme="minorEastAsia" w:cstheme="minorBidi"/>
          <w:noProof/>
          <w:lang w:val="es-CO"/>
        </w:rPr>
      </w:pPr>
      <w:hyperlink w:history="1" w:anchor="_Toc206759645">
        <w:r w:rsidRPr="00E94E77" w:rsidR="0004678D">
          <w:rPr>
            <w:rStyle w:val="Hipervnculo"/>
            <w:bCs/>
            <w:noProof/>
          </w:rPr>
          <w:t>6.</w:t>
        </w:r>
        <w:r w:rsidR="0004678D">
          <w:rPr>
            <w:rFonts w:asciiTheme="minorHAnsi" w:hAnsiTheme="minorHAnsi" w:eastAsiaTheme="minorEastAsia" w:cstheme="minorBidi"/>
            <w:noProof/>
            <w:lang w:val="es-CO"/>
          </w:rPr>
          <w:tab/>
        </w:r>
        <w:r w:rsidRPr="00E94E77" w:rsidR="0004678D">
          <w:rPr>
            <w:rStyle w:val="Hipervnculo"/>
            <w:noProof/>
          </w:rPr>
          <w:t>EVALUACIÓN DEL SISTEMA DE CONTROL INTERNO</w:t>
        </w:r>
        <w:r w:rsidR="0004678D">
          <w:rPr>
            <w:noProof/>
            <w:webHidden/>
          </w:rPr>
          <w:tab/>
        </w:r>
        <w:r w:rsidR="0004678D">
          <w:rPr>
            <w:noProof/>
            <w:webHidden/>
          </w:rPr>
          <w:fldChar w:fldCharType="begin"/>
        </w:r>
        <w:r w:rsidR="0004678D">
          <w:rPr>
            <w:noProof/>
            <w:webHidden/>
          </w:rPr>
          <w:instrText xml:space="preserve"> PAGEREF _Toc206759645 \h </w:instrText>
        </w:r>
        <w:r w:rsidR="0004678D">
          <w:rPr>
            <w:noProof/>
            <w:webHidden/>
          </w:rPr>
        </w:r>
        <w:r w:rsidR="0004678D">
          <w:rPr>
            <w:noProof/>
            <w:webHidden/>
          </w:rPr>
          <w:fldChar w:fldCharType="separate"/>
        </w:r>
        <w:r w:rsidR="0004678D">
          <w:rPr>
            <w:noProof/>
            <w:webHidden/>
          </w:rPr>
          <w:t>7</w:t>
        </w:r>
        <w:r w:rsidR="0004678D">
          <w:rPr>
            <w:noProof/>
            <w:webHidden/>
          </w:rPr>
          <w:fldChar w:fldCharType="end"/>
        </w:r>
      </w:hyperlink>
    </w:p>
    <w:p w:rsidR="0004678D" w:rsidRDefault="006E48B1" w14:paraId="413EAEDB" w14:textId="54586276">
      <w:pPr>
        <w:pStyle w:val="TDC1"/>
        <w:tabs>
          <w:tab w:val="left" w:pos="440"/>
        </w:tabs>
        <w:rPr>
          <w:rFonts w:asciiTheme="minorHAnsi" w:hAnsiTheme="minorHAnsi" w:eastAsiaTheme="minorEastAsia" w:cstheme="minorBidi"/>
          <w:noProof/>
          <w:lang w:val="es-CO"/>
        </w:rPr>
      </w:pPr>
      <w:hyperlink w:history="1" w:anchor="_Toc206759646">
        <w:r w:rsidRPr="00E94E77" w:rsidR="0004678D">
          <w:rPr>
            <w:rStyle w:val="Hipervnculo"/>
            <w:noProof/>
          </w:rPr>
          <w:t>7.</w:t>
        </w:r>
        <w:r w:rsidR="0004678D">
          <w:rPr>
            <w:rFonts w:asciiTheme="minorHAnsi" w:hAnsiTheme="minorHAnsi" w:eastAsiaTheme="minorEastAsia" w:cstheme="minorBidi"/>
            <w:noProof/>
            <w:lang w:val="es-CO"/>
          </w:rPr>
          <w:tab/>
        </w:r>
        <w:r w:rsidRPr="00E94E77" w:rsidR="0004678D">
          <w:rPr>
            <w:rStyle w:val="Hipervnculo"/>
            <w:noProof/>
          </w:rPr>
          <w:t>LIMITACIONES PARA EL TRABAJO DE AUDITORÍA INTERNA</w:t>
        </w:r>
        <w:r w:rsidR="0004678D">
          <w:rPr>
            <w:noProof/>
            <w:webHidden/>
          </w:rPr>
          <w:tab/>
        </w:r>
        <w:r w:rsidR="0004678D">
          <w:rPr>
            <w:noProof/>
            <w:webHidden/>
          </w:rPr>
          <w:fldChar w:fldCharType="begin"/>
        </w:r>
        <w:r w:rsidR="0004678D">
          <w:rPr>
            <w:noProof/>
            <w:webHidden/>
          </w:rPr>
          <w:instrText xml:space="preserve"> PAGEREF _Toc206759646 \h </w:instrText>
        </w:r>
        <w:r w:rsidR="0004678D">
          <w:rPr>
            <w:noProof/>
            <w:webHidden/>
          </w:rPr>
        </w:r>
        <w:r w:rsidR="0004678D">
          <w:rPr>
            <w:noProof/>
            <w:webHidden/>
          </w:rPr>
          <w:fldChar w:fldCharType="separate"/>
        </w:r>
        <w:r w:rsidR="0004678D">
          <w:rPr>
            <w:noProof/>
            <w:webHidden/>
          </w:rPr>
          <w:t>8</w:t>
        </w:r>
        <w:r w:rsidR="0004678D">
          <w:rPr>
            <w:noProof/>
            <w:webHidden/>
          </w:rPr>
          <w:fldChar w:fldCharType="end"/>
        </w:r>
      </w:hyperlink>
    </w:p>
    <w:p w:rsidR="0004678D" w:rsidRDefault="006E48B1" w14:paraId="1CC6EF56" w14:textId="1508ED1C">
      <w:pPr>
        <w:pStyle w:val="TDC1"/>
        <w:tabs>
          <w:tab w:val="left" w:pos="440"/>
        </w:tabs>
        <w:rPr>
          <w:rFonts w:asciiTheme="minorHAnsi" w:hAnsiTheme="minorHAnsi" w:eastAsiaTheme="minorEastAsia" w:cstheme="minorBidi"/>
          <w:noProof/>
          <w:lang w:val="es-CO"/>
        </w:rPr>
      </w:pPr>
      <w:hyperlink w:history="1" w:anchor="_Toc206759647">
        <w:r w:rsidRPr="00E94E77" w:rsidR="0004678D">
          <w:rPr>
            <w:rStyle w:val="Hipervnculo"/>
            <w:noProof/>
          </w:rPr>
          <w:t>8.</w:t>
        </w:r>
        <w:r w:rsidR="0004678D">
          <w:rPr>
            <w:rFonts w:asciiTheme="minorHAnsi" w:hAnsiTheme="minorHAnsi" w:eastAsiaTheme="minorEastAsia" w:cstheme="minorBidi"/>
            <w:noProof/>
            <w:lang w:val="es-CO"/>
          </w:rPr>
          <w:tab/>
        </w:r>
        <w:r w:rsidRPr="00E94E77" w:rsidR="0004678D">
          <w:rPr>
            <w:rStyle w:val="Hipervnculo"/>
            <w:noProof/>
          </w:rPr>
          <w:t>RESULTADOS DE AUDITORÍA</w:t>
        </w:r>
        <w:r w:rsidR="0004678D">
          <w:rPr>
            <w:noProof/>
            <w:webHidden/>
          </w:rPr>
          <w:tab/>
        </w:r>
        <w:r w:rsidR="0004678D">
          <w:rPr>
            <w:noProof/>
            <w:webHidden/>
          </w:rPr>
          <w:fldChar w:fldCharType="begin"/>
        </w:r>
        <w:r w:rsidR="0004678D">
          <w:rPr>
            <w:noProof/>
            <w:webHidden/>
          </w:rPr>
          <w:instrText xml:space="preserve"> PAGEREF _Toc206759647 \h </w:instrText>
        </w:r>
        <w:r w:rsidR="0004678D">
          <w:rPr>
            <w:noProof/>
            <w:webHidden/>
          </w:rPr>
        </w:r>
        <w:r w:rsidR="0004678D">
          <w:rPr>
            <w:noProof/>
            <w:webHidden/>
          </w:rPr>
          <w:fldChar w:fldCharType="separate"/>
        </w:r>
        <w:r w:rsidR="0004678D">
          <w:rPr>
            <w:noProof/>
            <w:webHidden/>
          </w:rPr>
          <w:t>8</w:t>
        </w:r>
        <w:r w:rsidR="0004678D">
          <w:rPr>
            <w:noProof/>
            <w:webHidden/>
          </w:rPr>
          <w:fldChar w:fldCharType="end"/>
        </w:r>
      </w:hyperlink>
    </w:p>
    <w:p w:rsidR="0004678D" w:rsidRDefault="006E48B1" w14:paraId="16D87FAD" w14:textId="62783E7F">
      <w:pPr>
        <w:pStyle w:val="TDC2"/>
        <w:tabs>
          <w:tab w:val="left" w:pos="880"/>
        </w:tabs>
        <w:rPr>
          <w:rFonts w:asciiTheme="minorHAnsi" w:hAnsiTheme="minorHAnsi" w:eastAsiaTheme="minorEastAsia" w:cstheme="minorBidi"/>
          <w:noProof/>
          <w:lang w:val="es-CO"/>
        </w:rPr>
      </w:pPr>
      <w:hyperlink w:history="1" w:anchor="_Toc206759648">
        <w:r w:rsidRPr="00E94E77" w:rsidR="0004678D">
          <w:rPr>
            <w:rStyle w:val="Hipervnculo"/>
            <w:bCs/>
            <w:noProof/>
          </w:rPr>
          <w:t>8.1.</w:t>
        </w:r>
        <w:r w:rsidR="0004678D">
          <w:rPr>
            <w:rFonts w:asciiTheme="minorHAnsi" w:hAnsiTheme="minorHAnsi" w:eastAsiaTheme="minorEastAsia" w:cstheme="minorBidi"/>
            <w:noProof/>
            <w:lang w:val="es-CO"/>
          </w:rPr>
          <w:tab/>
        </w:r>
        <w:r w:rsidRPr="00E94E77" w:rsidR="0004678D">
          <w:rPr>
            <w:rStyle w:val="Hipervnculo"/>
            <w:noProof/>
          </w:rPr>
          <w:t>FORTALEZAS</w:t>
        </w:r>
        <w:r w:rsidR="0004678D">
          <w:rPr>
            <w:noProof/>
            <w:webHidden/>
          </w:rPr>
          <w:tab/>
        </w:r>
        <w:r w:rsidR="0004678D">
          <w:rPr>
            <w:noProof/>
            <w:webHidden/>
          </w:rPr>
          <w:fldChar w:fldCharType="begin"/>
        </w:r>
        <w:r w:rsidR="0004678D">
          <w:rPr>
            <w:noProof/>
            <w:webHidden/>
          </w:rPr>
          <w:instrText xml:space="preserve"> PAGEREF _Toc206759648 \h </w:instrText>
        </w:r>
        <w:r w:rsidR="0004678D">
          <w:rPr>
            <w:noProof/>
            <w:webHidden/>
          </w:rPr>
        </w:r>
        <w:r w:rsidR="0004678D">
          <w:rPr>
            <w:noProof/>
            <w:webHidden/>
          </w:rPr>
          <w:fldChar w:fldCharType="separate"/>
        </w:r>
        <w:r w:rsidR="0004678D">
          <w:rPr>
            <w:noProof/>
            <w:webHidden/>
          </w:rPr>
          <w:t>8</w:t>
        </w:r>
        <w:r w:rsidR="0004678D">
          <w:rPr>
            <w:noProof/>
            <w:webHidden/>
          </w:rPr>
          <w:fldChar w:fldCharType="end"/>
        </w:r>
      </w:hyperlink>
    </w:p>
    <w:p w:rsidR="0004678D" w:rsidRDefault="006E48B1" w14:paraId="0AA6C3A0" w14:textId="0E1B9CCA">
      <w:pPr>
        <w:pStyle w:val="TDC2"/>
        <w:tabs>
          <w:tab w:val="left" w:pos="880"/>
        </w:tabs>
        <w:rPr>
          <w:rFonts w:asciiTheme="minorHAnsi" w:hAnsiTheme="minorHAnsi" w:eastAsiaTheme="minorEastAsia" w:cstheme="minorBidi"/>
          <w:noProof/>
          <w:lang w:val="es-CO"/>
        </w:rPr>
      </w:pPr>
      <w:hyperlink w:history="1" w:anchor="_Toc206759649">
        <w:r w:rsidRPr="00E94E77" w:rsidR="0004678D">
          <w:rPr>
            <w:rStyle w:val="Hipervnculo"/>
            <w:bCs/>
            <w:noProof/>
          </w:rPr>
          <w:t>8.2.</w:t>
        </w:r>
        <w:r w:rsidR="0004678D">
          <w:rPr>
            <w:rFonts w:asciiTheme="minorHAnsi" w:hAnsiTheme="minorHAnsi" w:eastAsiaTheme="minorEastAsia" w:cstheme="minorBidi"/>
            <w:noProof/>
            <w:lang w:val="es-CO"/>
          </w:rPr>
          <w:tab/>
        </w:r>
        <w:r w:rsidRPr="00E94E77" w:rsidR="0004678D">
          <w:rPr>
            <w:rStyle w:val="Hipervnculo"/>
            <w:noProof/>
          </w:rPr>
          <w:t>OPORTUNIDADES DE MEJORA</w:t>
        </w:r>
        <w:r w:rsidR="0004678D">
          <w:rPr>
            <w:noProof/>
            <w:webHidden/>
          </w:rPr>
          <w:tab/>
        </w:r>
        <w:r w:rsidR="0004678D">
          <w:rPr>
            <w:noProof/>
            <w:webHidden/>
          </w:rPr>
          <w:fldChar w:fldCharType="begin"/>
        </w:r>
        <w:r w:rsidR="0004678D">
          <w:rPr>
            <w:noProof/>
            <w:webHidden/>
          </w:rPr>
          <w:instrText xml:space="preserve"> PAGEREF _Toc206759649 \h </w:instrText>
        </w:r>
        <w:r w:rsidR="0004678D">
          <w:rPr>
            <w:noProof/>
            <w:webHidden/>
          </w:rPr>
        </w:r>
        <w:r w:rsidR="0004678D">
          <w:rPr>
            <w:noProof/>
            <w:webHidden/>
          </w:rPr>
          <w:fldChar w:fldCharType="separate"/>
        </w:r>
        <w:r w:rsidR="0004678D">
          <w:rPr>
            <w:noProof/>
            <w:webHidden/>
          </w:rPr>
          <w:t>8</w:t>
        </w:r>
        <w:r w:rsidR="0004678D">
          <w:rPr>
            <w:noProof/>
            <w:webHidden/>
          </w:rPr>
          <w:fldChar w:fldCharType="end"/>
        </w:r>
      </w:hyperlink>
    </w:p>
    <w:p w:rsidR="0004678D" w:rsidRDefault="006E48B1" w14:paraId="3AAB984F" w14:textId="379B1941">
      <w:pPr>
        <w:pStyle w:val="TDC2"/>
        <w:tabs>
          <w:tab w:val="left" w:pos="880"/>
        </w:tabs>
        <w:rPr>
          <w:rFonts w:asciiTheme="minorHAnsi" w:hAnsiTheme="minorHAnsi" w:eastAsiaTheme="minorEastAsia" w:cstheme="minorBidi"/>
          <w:noProof/>
          <w:lang w:val="es-CO"/>
        </w:rPr>
      </w:pPr>
      <w:hyperlink w:history="1" w:anchor="_Toc206759650">
        <w:r w:rsidRPr="00E94E77" w:rsidR="0004678D">
          <w:rPr>
            <w:rStyle w:val="Hipervnculo"/>
            <w:noProof/>
          </w:rPr>
          <w:t>8.3.</w:t>
        </w:r>
        <w:r w:rsidR="0004678D">
          <w:rPr>
            <w:rFonts w:asciiTheme="minorHAnsi" w:hAnsiTheme="minorHAnsi" w:eastAsiaTheme="minorEastAsia" w:cstheme="minorBidi"/>
            <w:noProof/>
            <w:lang w:val="es-CO"/>
          </w:rPr>
          <w:tab/>
        </w:r>
        <w:r w:rsidRPr="00E94E77" w:rsidR="0004678D">
          <w:rPr>
            <w:rStyle w:val="Hipervnculo"/>
            <w:noProof/>
          </w:rPr>
          <w:t>INCUMPLIMIENTOS</w:t>
        </w:r>
        <w:r w:rsidR="0004678D">
          <w:rPr>
            <w:noProof/>
            <w:webHidden/>
          </w:rPr>
          <w:tab/>
        </w:r>
        <w:r w:rsidR="0004678D">
          <w:rPr>
            <w:noProof/>
            <w:webHidden/>
          </w:rPr>
          <w:fldChar w:fldCharType="begin"/>
        </w:r>
        <w:r w:rsidR="0004678D">
          <w:rPr>
            <w:noProof/>
            <w:webHidden/>
          </w:rPr>
          <w:instrText xml:space="preserve"> PAGEREF _Toc206759650 \h </w:instrText>
        </w:r>
        <w:r w:rsidR="0004678D">
          <w:rPr>
            <w:noProof/>
            <w:webHidden/>
          </w:rPr>
        </w:r>
        <w:r w:rsidR="0004678D">
          <w:rPr>
            <w:noProof/>
            <w:webHidden/>
          </w:rPr>
          <w:fldChar w:fldCharType="separate"/>
        </w:r>
        <w:r w:rsidR="0004678D">
          <w:rPr>
            <w:noProof/>
            <w:webHidden/>
          </w:rPr>
          <w:t>9</w:t>
        </w:r>
        <w:r w:rsidR="0004678D">
          <w:rPr>
            <w:noProof/>
            <w:webHidden/>
          </w:rPr>
          <w:fldChar w:fldCharType="end"/>
        </w:r>
      </w:hyperlink>
    </w:p>
    <w:p w:rsidR="0004678D" w:rsidRDefault="006E48B1" w14:paraId="63FED79A" w14:textId="1CD65CE0">
      <w:pPr>
        <w:pStyle w:val="TDC1"/>
        <w:tabs>
          <w:tab w:val="left" w:pos="440"/>
        </w:tabs>
        <w:rPr>
          <w:rFonts w:asciiTheme="minorHAnsi" w:hAnsiTheme="minorHAnsi" w:eastAsiaTheme="minorEastAsia" w:cstheme="minorBidi"/>
          <w:noProof/>
          <w:lang w:val="es-CO"/>
        </w:rPr>
      </w:pPr>
      <w:hyperlink w:history="1" w:anchor="_Toc206759651">
        <w:r w:rsidRPr="00E94E77" w:rsidR="0004678D">
          <w:rPr>
            <w:rStyle w:val="Hipervnculo"/>
            <w:noProof/>
          </w:rPr>
          <w:t>9.</w:t>
        </w:r>
        <w:r w:rsidR="0004678D">
          <w:rPr>
            <w:rFonts w:asciiTheme="minorHAnsi" w:hAnsiTheme="minorHAnsi" w:eastAsiaTheme="minorEastAsia" w:cstheme="minorBidi"/>
            <w:noProof/>
            <w:lang w:val="es-CO"/>
          </w:rPr>
          <w:tab/>
        </w:r>
        <w:r w:rsidRPr="00E94E77" w:rsidR="0004678D">
          <w:rPr>
            <w:rStyle w:val="Hipervnculo"/>
            <w:noProof/>
          </w:rPr>
          <w:t>CONCLUSIONES Y/O RECOMENDACIONES</w:t>
        </w:r>
        <w:r w:rsidR="0004678D">
          <w:rPr>
            <w:noProof/>
            <w:webHidden/>
          </w:rPr>
          <w:tab/>
        </w:r>
        <w:r w:rsidR="0004678D">
          <w:rPr>
            <w:noProof/>
            <w:webHidden/>
          </w:rPr>
          <w:fldChar w:fldCharType="begin"/>
        </w:r>
        <w:r w:rsidR="0004678D">
          <w:rPr>
            <w:noProof/>
            <w:webHidden/>
          </w:rPr>
          <w:instrText xml:space="preserve"> PAGEREF _Toc206759651 \h </w:instrText>
        </w:r>
        <w:r w:rsidR="0004678D">
          <w:rPr>
            <w:noProof/>
            <w:webHidden/>
          </w:rPr>
        </w:r>
        <w:r w:rsidR="0004678D">
          <w:rPr>
            <w:noProof/>
            <w:webHidden/>
          </w:rPr>
          <w:fldChar w:fldCharType="separate"/>
        </w:r>
        <w:r w:rsidR="0004678D">
          <w:rPr>
            <w:noProof/>
            <w:webHidden/>
          </w:rPr>
          <w:t>10</w:t>
        </w:r>
        <w:r w:rsidR="0004678D">
          <w:rPr>
            <w:noProof/>
            <w:webHidden/>
          </w:rPr>
          <w:fldChar w:fldCharType="end"/>
        </w:r>
      </w:hyperlink>
    </w:p>
    <w:p w:rsidR="008E5552" w:rsidP="008E5552" w:rsidRDefault="0004678D" w14:paraId="3D99D950" w14:textId="42A22508">
      <w:r>
        <w:fldChar w:fldCharType="end"/>
      </w:r>
    </w:p>
    <w:p w:rsidR="008E5552" w:rsidP="008E5552" w:rsidRDefault="008E5552" w14:paraId="7E2A40E1" w14:textId="3607E8A8"/>
    <w:p w:rsidR="0004678D" w:rsidP="008E5552" w:rsidRDefault="0004678D" w14:paraId="39801415" w14:textId="77777777"/>
    <w:p w:rsidR="0004678D" w:rsidP="008E5552" w:rsidRDefault="0004678D" w14:paraId="6D0887B3" w14:textId="77777777"/>
    <w:p w:rsidR="0005050A" w:rsidP="008E5552" w:rsidRDefault="0005050A" w14:paraId="7EFB9F4A" w14:textId="77777777"/>
    <w:p w:rsidR="0005050A" w:rsidP="008E5552" w:rsidRDefault="0005050A" w14:paraId="20FC2662" w14:textId="77777777"/>
    <w:p w:rsidR="0004678D" w:rsidP="008E5552" w:rsidRDefault="0004678D" w14:paraId="7EE980FF" w14:textId="77777777"/>
    <w:p w:rsidR="0004678D" w:rsidP="008E5552" w:rsidRDefault="0004678D" w14:paraId="1F4AEBBC" w14:textId="77777777"/>
    <w:p w:rsidR="0004678D" w:rsidP="008E5552" w:rsidRDefault="0004678D" w14:paraId="42B0C99B" w14:textId="77777777"/>
    <w:p w:rsidR="0004678D" w:rsidP="008E5552" w:rsidRDefault="0004678D" w14:paraId="2CA01E3A" w14:textId="77777777"/>
    <w:p w:rsidR="009A7F71" w:rsidP="008E5552" w:rsidRDefault="009A7F71" w14:paraId="3593EBCF" w14:textId="77777777"/>
    <w:p w:rsidR="008E5552" w:rsidP="008E5552" w:rsidRDefault="008E5552" w14:paraId="687544AE" w14:textId="75D8A445"/>
    <w:p w:rsidR="008E5552" w:rsidP="008E5552" w:rsidRDefault="008E5552" w14:paraId="1322DBD6" w14:textId="3B586274"/>
    <w:p w:rsidR="008E5552" w:rsidP="008E5552" w:rsidRDefault="008E5552" w14:paraId="48C5E172" w14:textId="6A669C11"/>
    <w:p w:rsidR="008E5552" w:rsidP="008E5552" w:rsidRDefault="008E5552" w14:paraId="7D7E2737" w14:textId="6BB37086"/>
    <w:p w:rsidR="008E5552" w:rsidP="008E5552" w:rsidRDefault="008E5552" w14:paraId="5DF0B525" w14:textId="76623F01"/>
    <w:p w:rsidR="008E5552" w:rsidP="008E5552" w:rsidRDefault="008E5552" w14:paraId="3217FF27" w14:textId="5DA44353"/>
    <w:p w:rsidR="00DB0F06" w:rsidP="00DB0F06" w:rsidRDefault="00DB0F06" w14:paraId="047F19A2" w14:textId="46DD2C77">
      <w:pPr>
        <w:pStyle w:val="Cabecera1"/>
      </w:pPr>
      <w:bookmarkStart w:name="_Toc206756952" w:id="0"/>
    </w:p>
    <w:p w:rsidR="008E5552" w:rsidP="0ED4F347" w:rsidRDefault="009F3AF7" w14:paraId="2B1884CA" w14:textId="4784AF77">
      <w:pPr>
        <w:pStyle w:val="Ttulo1"/>
        <w:rPr/>
      </w:pPr>
      <w:bookmarkStart w:name="_Toc206758782" w:id="1"/>
      <w:bookmarkStart w:name="_Toc206758798" w:id="2"/>
      <w:bookmarkStart w:name="_Toc206758846" w:id="3"/>
      <w:bookmarkStart w:name="_Toc206758862" w:id="4"/>
      <w:bookmarkStart w:name="_Toc206759085" w:id="5"/>
      <w:bookmarkStart w:name="_Toc206759636" w:id="6"/>
      <w:r w:rsidR="415DF38A">
        <w:rPr/>
        <w:t>GENERALIDADES</w:t>
      </w:r>
      <w:bookmarkEnd w:id="0"/>
      <w:bookmarkEnd w:id="1"/>
      <w:bookmarkEnd w:id="2"/>
      <w:bookmarkEnd w:id="3"/>
      <w:bookmarkEnd w:id="4"/>
      <w:bookmarkEnd w:id="5"/>
      <w:bookmarkEnd w:id="6"/>
    </w:p>
    <w:tbl>
      <w:tblPr>
        <w:tblStyle w:val="Tablaconcuadrcula"/>
        <w:tblW w:w="10529"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62"/>
        <w:gridCol w:w="9967"/>
      </w:tblGrid>
      <w:tr w:rsidR="00501C90" w:rsidTr="0ED4F347" w14:paraId="501B9202" w14:textId="77777777">
        <w:trPr>
          <w:trHeight w:val="532"/>
        </w:trPr>
        <w:tc>
          <w:tcPr>
            <w:tcW w:w="562" w:type="dxa"/>
            <w:tcBorders>
              <w:top w:val="dashSmallGap" w:color="auto" w:sz="4" w:space="0"/>
              <w:left w:val="dashSmallGap" w:color="auto" w:sz="4" w:space="0"/>
              <w:bottom w:val="dashSmallGap" w:color="auto" w:sz="4" w:space="0"/>
              <w:right w:val="dashSmallGap" w:color="auto" w:sz="4" w:space="0"/>
            </w:tcBorders>
            <w:tcMar/>
            <w:vAlign w:val="center"/>
          </w:tcPr>
          <w:p w:rsidR="00501C90" w:rsidP="0ED4F347" w:rsidRDefault="00C37F84" w14:paraId="046A1E24" w14:textId="29323CDE">
            <w:pPr>
              <w:pStyle w:val="Normal"/>
              <w:suppressLineNumbers w:val="0"/>
              <w:bidi w:val="0"/>
              <w:spacing w:before="0" w:beforeAutospacing="off" w:after="0" w:afterAutospacing="off" w:line="276" w:lineRule="auto"/>
              <w:ind w:left="0" w:right="0"/>
              <w:jc w:val="center"/>
            </w:pPr>
            <w:r w:rsidRPr="0ED4F347" w:rsidR="146A81F2">
              <w:rPr>
                <w:sz w:val="24"/>
                <w:szCs w:val="24"/>
                <w:lang w:val="es-ES"/>
              </w:rPr>
              <w:t>X</w:t>
            </w:r>
          </w:p>
        </w:tc>
        <w:tc>
          <w:tcPr>
            <w:tcW w:w="9967" w:type="dxa"/>
            <w:tcBorders>
              <w:left w:val="dashSmallGap" w:color="auto" w:sz="4" w:space="0"/>
            </w:tcBorders>
            <w:tcMar/>
            <w:vAlign w:val="center"/>
          </w:tcPr>
          <w:p w:rsidRPr="005D4B5A" w:rsidR="00501C90" w:rsidP="00501C90" w:rsidRDefault="00501C90" w14:paraId="7612F3B0" w14:textId="6961FE9D">
            <w:pPr>
              <w:jc w:val="left"/>
              <w:rPr>
                <w:sz w:val="24"/>
                <w:szCs w:val="24"/>
                <w:lang w:val="es-ES_tradnl"/>
              </w:rPr>
            </w:pPr>
            <w:r w:rsidRPr="005D4B5A">
              <w:rPr>
                <w:sz w:val="24"/>
                <w:szCs w:val="24"/>
                <w:lang w:val="es-ES_tradnl"/>
              </w:rPr>
              <w:t>Auditoria de gestión</w:t>
            </w:r>
          </w:p>
        </w:tc>
      </w:tr>
      <w:tr w:rsidR="00501C90" w:rsidTr="0ED4F347" w14:paraId="402DB004" w14:textId="77777777">
        <w:trPr>
          <w:trHeight w:val="568"/>
        </w:trPr>
        <w:tc>
          <w:tcPr>
            <w:tcW w:w="562" w:type="dxa"/>
            <w:tcBorders>
              <w:top w:val="dashSmallGap" w:color="auto" w:sz="4" w:space="0"/>
              <w:left w:val="dashSmallGap" w:color="auto" w:sz="4" w:space="0"/>
              <w:bottom w:val="dashSmallGap" w:color="auto" w:sz="4" w:space="0"/>
              <w:right w:val="dashSmallGap" w:color="auto" w:sz="4" w:space="0"/>
            </w:tcBorders>
            <w:tcMar/>
            <w:vAlign w:val="center"/>
          </w:tcPr>
          <w:p w:rsidR="00501C90" w:rsidP="005D4B5A" w:rsidRDefault="00501C90" w14:paraId="4CBD464B" w14:textId="44D4A57E">
            <w:pPr>
              <w:jc w:val="center"/>
              <w:rPr>
                <w:lang w:val="es-ES_tradnl"/>
              </w:rPr>
            </w:pPr>
          </w:p>
        </w:tc>
        <w:tc>
          <w:tcPr>
            <w:tcW w:w="9967" w:type="dxa"/>
            <w:tcBorders>
              <w:left w:val="dashSmallGap" w:color="auto" w:sz="4" w:space="0"/>
            </w:tcBorders>
            <w:tcMar/>
            <w:vAlign w:val="center"/>
          </w:tcPr>
          <w:p w:rsidRPr="005D4B5A" w:rsidR="00501C90" w:rsidP="00501C90" w:rsidRDefault="00501C90" w14:paraId="143E96D9" w14:textId="6D734A8A">
            <w:pPr>
              <w:jc w:val="left"/>
              <w:rPr>
                <w:sz w:val="24"/>
                <w:szCs w:val="24"/>
                <w:lang w:val="es-ES_tradnl"/>
              </w:rPr>
            </w:pPr>
            <w:r w:rsidRPr="005D4B5A">
              <w:rPr>
                <w:sz w:val="24"/>
                <w:szCs w:val="24"/>
                <w:lang w:val="es-ES_tradnl"/>
              </w:rPr>
              <w:t>Auditoría de Cumplimiento</w:t>
            </w:r>
          </w:p>
        </w:tc>
      </w:tr>
      <w:tr w:rsidR="00501C90" w:rsidTr="0ED4F347" w14:paraId="2F92321D" w14:textId="77777777">
        <w:trPr>
          <w:trHeight w:val="548"/>
        </w:trPr>
        <w:tc>
          <w:tcPr>
            <w:tcW w:w="562" w:type="dxa"/>
            <w:tcBorders>
              <w:top w:val="dashSmallGap" w:color="auto" w:sz="4" w:space="0"/>
              <w:left w:val="dashSmallGap" w:color="auto" w:sz="4" w:space="0"/>
              <w:bottom w:val="dashSmallGap" w:color="auto" w:sz="4" w:space="0"/>
              <w:right w:val="dashSmallGap" w:color="auto" w:sz="4" w:space="0"/>
            </w:tcBorders>
            <w:tcMar/>
            <w:vAlign w:val="center"/>
          </w:tcPr>
          <w:p w:rsidR="00501C90" w:rsidP="005D4B5A" w:rsidRDefault="00501C90" w14:paraId="33C6513C" w14:textId="776660CF">
            <w:pPr>
              <w:jc w:val="center"/>
              <w:rPr>
                <w:lang w:val="es-ES_tradnl"/>
              </w:rPr>
            </w:pPr>
          </w:p>
        </w:tc>
        <w:tc>
          <w:tcPr>
            <w:tcW w:w="9967" w:type="dxa"/>
            <w:tcBorders>
              <w:left w:val="dashSmallGap" w:color="auto" w:sz="4" w:space="0"/>
            </w:tcBorders>
            <w:tcMar/>
            <w:vAlign w:val="center"/>
          </w:tcPr>
          <w:p w:rsidRPr="005D4B5A" w:rsidR="00501C90" w:rsidP="00501C90" w:rsidRDefault="00501C90" w14:paraId="5A274516" w14:textId="0230D861">
            <w:pPr>
              <w:jc w:val="left"/>
              <w:rPr>
                <w:sz w:val="24"/>
                <w:szCs w:val="24"/>
                <w:lang w:val="es-ES_tradnl"/>
              </w:rPr>
            </w:pPr>
            <w:r w:rsidRPr="005D4B5A">
              <w:rPr>
                <w:sz w:val="24"/>
                <w:szCs w:val="24"/>
                <w:lang w:val="es-ES_tradnl"/>
              </w:rPr>
              <w:t>Auditoría Específica</w:t>
            </w:r>
          </w:p>
        </w:tc>
      </w:tr>
      <w:tr w:rsidR="00501C90" w:rsidTr="0ED4F347" w14:paraId="48EBA686" w14:textId="77777777">
        <w:trPr>
          <w:trHeight w:val="418"/>
        </w:trPr>
        <w:tc>
          <w:tcPr>
            <w:tcW w:w="562" w:type="dxa"/>
            <w:tcBorders>
              <w:top w:val="dashSmallGap" w:color="auto" w:sz="4" w:space="0"/>
            </w:tcBorders>
            <w:tcMar/>
          </w:tcPr>
          <w:p w:rsidR="00501C90" w:rsidP="006F4CFE" w:rsidRDefault="00501C90" w14:paraId="7EEBEF65" w14:textId="27801305">
            <w:pPr>
              <w:rPr>
                <w:noProof/>
                <w:lang w:val="es-ES_tradnl"/>
              </w:rPr>
            </w:pPr>
          </w:p>
        </w:tc>
        <w:tc>
          <w:tcPr>
            <w:tcW w:w="9967" w:type="dxa"/>
            <w:tcMar/>
            <w:vAlign w:val="center"/>
          </w:tcPr>
          <w:p w:rsidRPr="005D4B5A" w:rsidR="00501C90" w:rsidP="00501C90" w:rsidRDefault="00501C90" w14:paraId="3C4BF465" w14:textId="35505DFC">
            <w:pPr>
              <w:jc w:val="left"/>
              <w:rPr>
                <w:sz w:val="24"/>
                <w:szCs w:val="24"/>
                <w:lang w:val="es-ES_tradnl"/>
              </w:rPr>
            </w:pPr>
            <w:r w:rsidRPr="005D4B5A">
              <w:rPr>
                <w:sz w:val="24"/>
                <w:szCs w:val="24"/>
                <w:lang w:val="es-ES_tradnl"/>
              </w:rPr>
              <w:t>Otra:</w:t>
            </w:r>
          </w:p>
        </w:tc>
      </w:tr>
    </w:tbl>
    <w:p w:rsidR="00501C90" w:rsidP="0ED4F347" w:rsidRDefault="00501C90" w14:paraId="2DB97968" w14:textId="087EAA3F">
      <w:pPr>
        <w:pStyle w:val="Ttulo2"/>
        <w:spacing w:before="0" w:after="0"/>
        <w:rPr>
          <w:rFonts w:ascii="Arial" w:hAnsi="Arial" w:eastAsia="Arial" w:cs="Arial"/>
          <w:sz w:val="24"/>
          <w:szCs w:val="24"/>
        </w:rPr>
      </w:pPr>
      <w:bookmarkStart w:name="_Toc206758783" w:id="7"/>
      <w:bookmarkStart w:name="_Toc206758799" w:id="8"/>
      <w:bookmarkStart w:name="_Toc206758847" w:id="9"/>
      <w:bookmarkStart w:name="_Toc206758863" w:id="10"/>
      <w:bookmarkStart w:name="_Toc206759086" w:id="11"/>
      <w:bookmarkStart w:name="_Toc206759637" w:id="12"/>
      <w:r w:rsidRPr="0ED4F347" w:rsidR="5F6FE8D8">
        <w:rPr>
          <w:rFonts w:ascii="Arial" w:hAnsi="Arial" w:eastAsia="Arial" w:cs="Arial"/>
          <w:sz w:val="24"/>
          <w:szCs w:val="24"/>
        </w:rPr>
        <w:t>OBJETIVOS</w:t>
      </w:r>
      <w:bookmarkEnd w:id="7"/>
      <w:bookmarkEnd w:id="8"/>
      <w:bookmarkEnd w:id="9"/>
      <w:bookmarkEnd w:id="10"/>
      <w:bookmarkEnd w:id="11"/>
      <w:bookmarkEnd w:id="12"/>
    </w:p>
    <w:p w:rsidRPr="000A41E5" w:rsidR="00501C90" w:rsidP="0ED4F347" w:rsidRDefault="00501C90" w14:paraId="33D318F4" w14:textId="53C4B0D1">
      <w:pPr>
        <w:rPr>
          <w:rFonts w:ascii="Arial" w:hAnsi="Arial" w:eastAsia="Arial" w:cs="Arial"/>
          <w:i w:val="0"/>
          <w:iCs w:val="0"/>
          <w:sz w:val="24"/>
          <w:szCs w:val="24"/>
          <w:lang w:val="es-ES"/>
        </w:rPr>
      </w:pPr>
      <w:r w:rsidRPr="0ED4F347" w:rsidR="5F6FE8D8">
        <w:rPr>
          <w:rFonts w:ascii="Arial" w:hAnsi="Arial" w:eastAsia="Arial" w:cs="Arial"/>
          <w:i w:val="0"/>
          <w:iCs w:val="0"/>
          <w:sz w:val="24"/>
          <w:szCs w:val="24"/>
          <w:lang w:val="es-ES"/>
        </w:rPr>
        <w:t xml:space="preserve">Objetivo General: </w:t>
      </w:r>
      <w:r w:rsidRPr="0ED4F347" w:rsidR="70C56454">
        <w:rPr>
          <w:rFonts w:ascii="Arial" w:hAnsi="Arial" w:eastAsia="Arial" w:cs="Arial"/>
          <w:i w:val="0"/>
          <w:iCs w:val="0"/>
          <w:sz w:val="24"/>
          <w:szCs w:val="24"/>
        </w:rPr>
        <w:t>Evaluar la gestión de la UAEGRD de Cundinamarca en la alineación de la Política Pública y del Plan Departamental para la Gestión del Riesgo de Desastres con la normatividad nacional y el Plan de Desarrollo, la efectividad de los controles asociados a los ejes estratégicos misionales a partir de un evento ocurrido, verificando los componentes contractuales y documentales, así como el funcionamiento del sistema de control interno.</w:t>
      </w:r>
    </w:p>
    <w:p w:rsidRPr="000A41E5" w:rsidR="00501C90" w:rsidP="0ED4F347" w:rsidRDefault="00501C90" w14:paraId="547E8821" w14:textId="12AC3CFB">
      <w:pPr>
        <w:pStyle w:val="Ttulo2"/>
        <w:numPr>
          <w:ilvl w:val="0"/>
          <w:numId w:val="0"/>
        </w:numPr>
        <w:ind w:left="0"/>
        <w:rPr>
          <w:rFonts w:ascii="Arial" w:hAnsi="Arial" w:eastAsia="Arial" w:cs="Arial"/>
          <w:lang w:val="es-ES_tradnl"/>
        </w:rPr>
      </w:pPr>
      <w:r w:rsidRPr="0ED4F347" w:rsidR="2C7A2C34">
        <w:rPr>
          <w:rFonts w:ascii="Arial" w:hAnsi="Arial" w:eastAsia="Arial" w:cs="Arial"/>
          <w:sz w:val="24"/>
          <w:szCs w:val="24"/>
        </w:rPr>
        <w:t>1.1.1</w:t>
      </w:r>
      <w:r w:rsidRPr="0ED4F347" w:rsidR="2C7A2C34">
        <w:rPr>
          <w:rFonts w:ascii="Arial" w:hAnsi="Arial" w:eastAsia="Arial" w:cs="Arial"/>
        </w:rPr>
        <w:t xml:space="preserve">. </w:t>
      </w:r>
      <w:r w:rsidRPr="0ED4F347" w:rsidR="2C7A2C34">
        <w:rPr>
          <w:rFonts w:ascii="Arial" w:hAnsi="Arial" w:eastAsia="Arial" w:cs="Arial"/>
          <w:b w:val="1"/>
          <w:bCs w:val="1"/>
          <w:i w:val="0"/>
          <w:iCs w:val="0"/>
          <w:sz w:val="24"/>
          <w:szCs w:val="24"/>
          <w:lang w:val="es-ES"/>
        </w:rPr>
        <w:t>Objetivos Específicos:</w:t>
      </w:r>
      <w:r w:rsidRPr="0ED4F347" w:rsidR="2C7A2C34">
        <w:rPr>
          <w:rFonts w:ascii="Arial" w:hAnsi="Arial" w:eastAsia="Arial" w:cs="Arial"/>
        </w:rPr>
        <w:t xml:space="preserve"> </w:t>
      </w:r>
    </w:p>
    <w:p w:rsidRPr="005D4B5A" w:rsidR="00501C90" w:rsidP="0ED4F347" w:rsidRDefault="00BB0A12" w14:paraId="1D41B3AD" w14:textId="49F3451B">
      <w:pPr>
        <w:pStyle w:val="Prrafodelista"/>
        <w:numPr>
          <w:ilvl w:val="0"/>
          <w:numId w:val="10"/>
        </w:numPr>
        <w:rPr>
          <w:rFonts w:ascii="Arial" w:hAnsi="Arial" w:eastAsia="Arial" w:cs="Arial"/>
          <w:i w:val="0"/>
          <w:iCs w:val="0"/>
          <w:sz w:val="24"/>
          <w:szCs w:val="24"/>
          <w:lang w:val="es-ES"/>
        </w:rPr>
      </w:pPr>
      <w:r w:rsidRPr="0ED4F347" w:rsidR="6EE75567">
        <w:rPr>
          <w:rFonts w:ascii="Arial" w:hAnsi="Arial" w:eastAsia="Arial" w:cs="Arial"/>
          <w:i w:val="0"/>
          <w:iCs w:val="0"/>
          <w:sz w:val="24"/>
          <w:szCs w:val="24"/>
        </w:rPr>
        <w:t>Evaluar el grado de alineación del Plan Departamental para la Gestión del Riesgo de Desastres de Cundinamarca con la normatividad nacional vigente aplicable y con el Plan de Desarrollo Departamental.</w:t>
      </w:r>
    </w:p>
    <w:p w:rsidRPr="005D4B5A" w:rsidR="00501C90" w:rsidP="0ED4F347" w:rsidRDefault="00BB0A12" w14:paraId="1FBC37D8" w14:textId="1E38AC33">
      <w:pPr>
        <w:pStyle w:val="Prrafodelista"/>
        <w:numPr>
          <w:ilvl w:val="0"/>
          <w:numId w:val="10"/>
        </w:numPr>
        <w:rPr>
          <w:rFonts w:ascii="Arial" w:hAnsi="Arial" w:eastAsia="Arial" w:cs="Arial"/>
          <w:i w:val="0"/>
          <w:iCs w:val="0"/>
          <w:sz w:val="24"/>
          <w:szCs w:val="24"/>
          <w:lang w:val="es-ES"/>
        </w:rPr>
      </w:pPr>
      <w:r w:rsidRPr="0ED4F347" w:rsidR="6EE75567">
        <w:rPr>
          <w:rFonts w:ascii="Arial" w:hAnsi="Arial" w:eastAsia="Arial" w:cs="Arial"/>
          <w:i w:val="0"/>
          <w:iCs w:val="0"/>
          <w:sz w:val="24"/>
          <w:szCs w:val="24"/>
        </w:rPr>
        <w:t>Evaluar el cumplimiento de las acciones de manejo, así como la eficacia de los controles establecidos en el Procedimiento de Atención de Emergencias, el Plan de Acción Específico y los mecanismos de Coordinación Institucional, mediante la verificación de la trazabilidad de un desastre ocurrido durante el período evaluado y el análisis de su incidencia en el desempeño del proceso. En este marco, se verificará una muestra de la gestión contractual y documental asociada.</w:t>
      </w:r>
    </w:p>
    <w:p w:rsidRPr="005D4B5A" w:rsidR="00501C90" w:rsidP="0ED4F347" w:rsidRDefault="005E64B2" w14:paraId="5048958F" w14:textId="37987699">
      <w:pPr>
        <w:pStyle w:val="Prrafodelista"/>
        <w:numPr>
          <w:ilvl w:val="0"/>
          <w:numId w:val="10"/>
        </w:numPr>
        <w:rPr>
          <w:rFonts w:ascii="Arial" w:hAnsi="Arial" w:eastAsia="Arial" w:cs="Arial"/>
          <w:i w:val="0"/>
          <w:iCs w:val="0"/>
          <w:sz w:val="24"/>
          <w:szCs w:val="24"/>
          <w:lang w:val="es-ES"/>
        </w:rPr>
      </w:pPr>
      <w:r w:rsidRPr="0ED4F347" w:rsidR="7EDC769A">
        <w:rPr>
          <w:rFonts w:ascii="Arial" w:hAnsi="Arial" w:eastAsia="Arial" w:cs="Arial"/>
          <w:i w:val="0"/>
          <w:iCs w:val="0"/>
          <w:sz w:val="24"/>
          <w:szCs w:val="24"/>
        </w:rPr>
        <w:t>Evaluar las acciones de conocimiento y reducción de riesgos que la Unidad adelantó previo a que ocurriera el desastre natural que toma como nuestra en el objetivo 2.</w:t>
      </w:r>
    </w:p>
    <w:p w:rsidRPr="0075265E" w:rsidR="00501C90" w:rsidP="0ED4F347" w:rsidRDefault="0075265E" w14:paraId="7E180AC1" w14:textId="592A4FA6">
      <w:pPr>
        <w:pStyle w:val="Prrafodelista"/>
        <w:numPr>
          <w:ilvl w:val="0"/>
          <w:numId w:val="10"/>
        </w:numPr>
        <w:rPr>
          <w:rFonts w:ascii="Arial" w:hAnsi="Arial" w:eastAsia="Arial" w:cs="Arial"/>
          <w:i w:val="0"/>
          <w:iCs w:val="0"/>
          <w:sz w:val="24"/>
          <w:szCs w:val="24"/>
          <w:lang w:val="es-ES"/>
        </w:rPr>
      </w:pPr>
      <w:r w:rsidRPr="0ED4F347" w:rsidR="3194C5AD">
        <w:rPr>
          <w:rFonts w:ascii="Arial" w:hAnsi="Arial" w:eastAsia="Arial" w:cs="Arial"/>
          <w:i w:val="0"/>
          <w:iCs w:val="0"/>
          <w:sz w:val="24"/>
          <w:szCs w:val="24"/>
        </w:rPr>
        <w:t xml:space="preserve">Conocer, a través de la información que suministre la UAEGRD, las actuaciones adelantadas por la dependencia con relación al Derecho de Petición – Solicitud de acompañamiento preventivo OCI </w:t>
      </w:r>
      <w:r w:rsidRPr="0ED4F347" w:rsidR="3194C5AD">
        <w:rPr>
          <w:rFonts w:ascii="Arial" w:hAnsi="Arial" w:eastAsia="Arial" w:cs="Arial"/>
          <w:i w:val="0"/>
          <w:iCs w:val="0"/>
          <w:sz w:val="24"/>
          <w:szCs w:val="24"/>
        </w:rPr>
        <w:t>recepcionado</w:t>
      </w:r>
      <w:r w:rsidRPr="0ED4F347" w:rsidR="3194C5AD">
        <w:rPr>
          <w:rFonts w:ascii="Arial" w:hAnsi="Arial" w:eastAsia="Arial" w:cs="Arial"/>
          <w:i w:val="0"/>
          <w:iCs w:val="0"/>
          <w:sz w:val="24"/>
          <w:szCs w:val="24"/>
        </w:rPr>
        <w:t xml:space="preserve"> el 04 de enero del 2026.</w:t>
      </w:r>
    </w:p>
    <w:p w:rsidRPr="005D4B5A" w:rsidR="0075265E" w:rsidP="0ED4F347" w:rsidRDefault="0075265E" w14:paraId="471B98CC" w14:textId="65106CA8">
      <w:pPr>
        <w:pStyle w:val="Prrafodelista"/>
        <w:numPr>
          <w:ilvl w:val="0"/>
          <w:numId w:val="10"/>
        </w:numPr>
        <w:rPr>
          <w:rFonts w:ascii="Arial" w:hAnsi="Arial" w:eastAsia="Arial" w:cs="Arial"/>
          <w:i w:val="0"/>
          <w:iCs w:val="0"/>
          <w:sz w:val="24"/>
          <w:szCs w:val="24"/>
          <w:lang w:val="es-ES"/>
        </w:rPr>
      </w:pPr>
      <w:r w:rsidRPr="0ED4F347" w:rsidR="3194C5AD">
        <w:rPr>
          <w:rFonts w:ascii="Arial" w:hAnsi="Arial" w:eastAsia="Arial" w:cs="Arial"/>
          <w:i w:val="0"/>
          <w:iCs w:val="0"/>
          <w:sz w:val="24"/>
          <w:szCs w:val="24"/>
        </w:rPr>
        <w:t>Evaluar la efectividad del sistema de control interno mediante el análisis de sus componentes fundamentales, identificando fortalezas, debilidades y oportunidades de mejora que contribuyan al cumplimiento de los objetivos, la mitigación de riesgos y la optimización de los procesos internos.</w:t>
      </w:r>
    </w:p>
    <w:p w:rsidRPr="00675F82" w:rsidR="00DB0F06" w:rsidP="0ED4F347" w:rsidRDefault="00DB0F06" w14:paraId="0DDB1033" w14:textId="606F6E58">
      <w:pPr>
        <w:pStyle w:val="Normal"/>
        <w:rPr>
          <w:rFonts w:ascii="Arial" w:hAnsi="Arial" w:eastAsia="Arial" w:cs="Arial"/>
          <w:i w:val="0"/>
          <w:iCs w:val="0"/>
          <w:sz w:val="24"/>
          <w:szCs w:val="24"/>
          <w:lang w:val="es-ES"/>
        </w:rPr>
      </w:pPr>
    </w:p>
    <w:p w:rsidR="5F6FE8D8" w:rsidP="0ED4F347" w:rsidRDefault="5F6FE8D8" w14:paraId="7FCA625D" w14:textId="207DC6D0">
      <w:pPr>
        <w:pStyle w:val="Ttulo2"/>
        <w:spacing w:before="0" w:after="0"/>
        <w:rPr>
          <w:sz w:val="32"/>
          <w:szCs w:val="32"/>
        </w:rPr>
      </w:pPr>
      <w:bookmarkStart w:name="_Toc206758784" w:id="13"/>
      <w:bookmarkStart w:name="_Toc206758800" w:id="14"/>
      <w:bookmarkStart w:name="_Toc206758848" w:id="15"/>
      <w:bookmarkStart w:name="_Toc206758864" w:id="16"/>
      <w:bookmarkStart w:name="_Toc206759087" w:id="17"/>
      <w:bookmarkStart w:name="_Toc206759638" w:id="18"/>
      <w:r w:rsidRPr="0ED4F347" w:rsidR="5F6FE8D8">
        <w:rPr>
          <w:sz w:val="32"/>
          <w:szCs w:val="32"/>
        </w:rPr>
        <w:t>ALCANCE</w:t>
      </w:r>
      <w:bookmarkEnd w:id="13"/>
      <w:bookmarkEnd w:id="14"/>
      <w:bookmarkEnd w:id="15"/>
      <w:bookmarkEnd w:id="16"/>
      <w:bookmarkEnd w:id="17"/>
      <w:bookmarkEnd w:id="18"/>
    </w:p>
    <w:p w:rsidRPr="002E6B3C" w:rsidR="002E6B3C" w:rsidP="0ED4F347" w:rsidRDefault="002E6B3C" w14:paraId="20D27637" w14:textId="361416CC">
      <w:pPr>
        <w:shd w:val="clear" w:color="auto" w:fill="FFFFFF" w:themeFill="background1"/>
        <w:spacing w:line="240" w:lineRule="auto"/>
        <w:rPr>
          <w:rFonts w:eastAsia="Times New Roman"/>
          <w:color w:val="242424"/>
          <w:sz w:val="24"/>
          <w:szCs w:val="24"/>
          <w:lang w:val="es-CO"/>
        </w:rPr>
      </w:pPr>
      <w:r w:rsidRPr="0ED4F347" w:rsidR="52216A3D">
        <w:rPr>
          <w:rFonts w:eastAsia="Times New Roman"/>
          <w:color w:val="242424"/>
          <w:sz w:val="24"/>
          <w:szCs w:val="24"/>
          <w:lang w:val="es-CO"/>
        </w:rPr>
        <w:t>La auditoría se realizará entre el 13 de febrero y el 2</w:t>
      </w:r>
      <w:r w:rsidRPr="0ED4F347" w:rsidR="3F1CDB5F">
        <w:rPr>
          <w:rFonts w:eastAsia="Times New Roman"/>
          <w:color w:val="242424"/>
          <w:sz w:val="24"/>
          <w:szCs w:val="24"/>
          <w:lang w:val="es-CO"/>
        </w:rPr>
        <w:t>7</w:t>
      </w:r>
      <w:r w:rsidRPr="0ED4F347" w:rsidR="52216A3D">
        <w:rPr>
          <w:rFonts w:eastAsia="Times New Roman"/>
          <w:color w:val="242424"/>
          <w:sz w:val="24"/>
          <w:szCs w:val="24"/>
          <w:lang w:val="es-CO"/>
        </w:rPr>
        <w:t xml:space="preserve"> de abril de 2026</w:t>
      </w:r>
      <w:r w:rsidRPr="0ED4F347">
        <w:rPr>
          <w:rStyle w:val="Refdenotaalpie"/>
          <w:rFonts w:eastAsia="Times New Roman"/>
          <w:color w:val="242424"/>
          <w:sz w:val="24"/>
          <w:szCs w:val="24"/>
          <w:lang w:val="es-CO"/>
        </w:rPr>
        <w:footnoteReference w:id="304"/>
      </w:r>
      <w:r w:rsidRPr="0ED4F347" w:rsidR="52216A3D">
        <w:rPr>
          <w:rFonts w:eastAsia="Times New Roman"/>
          <w:color w:val="242424"/>
          <w:sz w:val="24"/>
          <w:szCs w:val="24"/>
          <w:lang w:val="es-CO"/>
        </w:rPr>
        <w:t>, en las instalaciones de la UAEGRD del nivel central de la Gobernación de Cundinamarca y evaluará la gestión de la UAEGRD de Cundinamarca en la alineación de la Política Pública y del Plan Departamental para la Gestión del Riesgo de Desastres con la normatividad nacional y el Plan de Desarrollo, la efectividad de los controles asociados a los ejes estratégicos misionales a partir de un evento ocurrido, verificando los componentes contractuales y documentales, así como el funcionamiento del sistema de control interno.</w:t>
      </w:r>
    </w:p>
    <w:p w:rsidRPr="002E6B3C" w:rsidR="002E6B3C" w:rsidP="0ED4F347" w:rsidRDefault="002E6B3C" w14:paraId="450DD9F2" w14:textId="77777777">
      <w:pPr>
        <w:shd w:val="clear" w:color="auto" w:fill="FFFFFF" w:themeFill="background1"/>
        <w:spacing w:line="240" w:lineRule="auto"/>
        <w:rPr>
          <w:rFonts w:eastAsia="Times New Roman"/>
          <w:color w:val="242424"/>
          <w:sz w:val="24"/>
          <w:szCs w:val="24"/>
          <w:lang w:val="es-CO"/>
        </w:rPr>
      </w:pPr>
    </w:p>
    <w:p w:rsidRPr="002E6B3C" w:rsidR="002E6B3C" w:rsidP="002E6B3C" w:rsidRDefault="002E6B3C" w14:paraId="3F6EFB12" w14:textId="77777777">
      <w:pPr>
        <w:shd w:val="clear" w:color="auto" w:fill="FFFFFF"/>
        <w:spacing w:line="240" w:lineRule="auto"/>
        <w:rPr>
          <w:rFonts w:eastAsia="Times New Roman"/>
          <w:color w:val="242424"/>
          <w:sz w:val="24"/>
          <w:szCs w:val="24"/>
          <w:lang w:val="es-CO"/>
        </w:rPr>
      </w:pPr>
      <w:r w:rsidRPr="002E6B3C">
        <w:rPr>
          <w:rFonts w:eastAsia="Times New Roman"/>
          <w:color w:val="242424"/>
          <w:sz w:val="24"/>
          <w:szCs w:val="24"/>
          <w:lang w:val="es-CO"/>
        </w:rPr>
        <w:t>El ejercicio se centrará en:</w:t>
      </w:r>
    </w:p>
    <w:p w:rsidRPr="002E6B3C" w:rsidR="002E6B3C" w:rsidP="002E6B3C" w:rsidRDefault="002E6B3C" w14:paraId="1FA2B96F" w14:textId="77777777">
      <w:pPr>
        <w:shd w:val="clear" w:color="auto" w:fill="FFFFFF"/>
        <w:spacing w:line="240" w:lineRule="auto"/>
        <w:rPr>
          <w:rFonts w:eastAsia="Times New Roman"/>
          <w:color w:val="242424"/>
          <w:sz w:val="24"/>
          <w:szCs w:val="24"/>
          <w:lang w:val="es-CO"/>
        </w:rPr>
      </w:pPr>
    </w:p>
    <w:p w:rsidRPr="002E6B3C" w:rsidR="002E6B3C" w:rsidP="002E6B3C" w:rsidRDefault="002E6B3C" w14:paraId="40B08D46" w14:textId="77777777">
      <w:pPr>
        <w:shd w:val="clear" w:color="auto" w:fill="FFFFFF"/>
        <w:spacing w:line="240" w:lineRule="auto"/>
        <w:rPr>
          <w:rFonts w:eastAsia="Times New Roman"/>
          <w:color w:val="242424"/>
          <w:sz w:val="24"/>
          <w:szCs w:val="24"/>
          <w:lang w:val="es-CO"/>
        </w:rPr>
      </w:pPr>
      <w:r w:rsidRPr="002E6B3C">
        <w:rPr>
          <w:rFonts w:eastAsia="Times New Roman"/>
          <w:color w:val="242424"/>
          <w:sz w:val="24"/>
          <w:szCs w:val="24"/>
          <w:lang w:val="es-CO"/>
        </w:rPr>
        <w:t>- La revisión del Plan Departamental para la Gestión del Riesgo de Desastres, limitada a su alineación con la normatividad nacional aplicable y con el Plan de Desarrollo Departamental.</w:t>
      </w:r>
    </w:p>
    <w:p w:rsidRPr="002E6B3C" w:rsidR="002E6B3C" w:rsidP="002E6B3C" w:rsidRDefault="002E6B3C" w14:paraId="502887E0" w14:textId="77777777">
      <w:pPr>
        <w:shd w:val="clear" w:color="auto" w:fill="FFFFFF"/>
        <w:spacing w:line="240" w:lineRule="auto"/>
        <w:rPr>
          <w:rFonts w:eastAsia="Times New Roman"/>
          <w:color w:val="242424"/>
          <w:sz w:val="24"/>
          <w:szCs w:val="24"/>
          <w:lang w:val="es-CO"/>
        </w:rPr>
      </w:pPr>
      <w:r w:rsidRPr="002E6B3C">
        <w:rPr>
          <w:rFonts w:eastAsia="Times New Roman"/>
          <w:color w:val="242424"/>
          <w:sz w:val="24"/>
          <w:szCs w:val="24"/>
          <w:lang w:val="es-CO"/>
        </w:rPr>
        <w:t>- La verificación de la trazabilidad del desastre seleccionado, incluyendo la aplicación del Procedimiento de Atención de Emergencias, del Plan de Acción Específico y de los mecanismos de coordinación institucional, así como una muestra de la gestión contractual y documental asociada.</w:t>
      </w:r>
    </w:p>
    <w:p w:rsidRPr="002E6B3C" w:rsidR="002E6B3C" w:rsidP="002E6B3C" w:rsidRDefault="002E6B3C" w14:paraId="3DF18739" w14:textId="77777777">
      <w:pPr>
        <w:shd w:val="clear" w:color="auto" w:fill="FFFFFF"/>
        <w:spacing w:line="240" w:lineRule="auto"/>
        <w:rPr>
          <w:rFonts w:eastAsia="Times New Roman"/>
          <w:color w:val="242424"/>
          <w:sz w:val="24"/>
          <w:szCs w:val="24"/>
          <w:lang w:val="es-CO"/>
        </w:rPr>
      </w:pPr>
      <w:r w:rsidRPr="002E6B3C">
        <w:rPr>
          <w:rFonts w:eastAsia="Times New Roman"/>
          <w:color w:val="242424"/>
          <w:sz w:val="24"/>
          <w:szCs w:val="24"/>
          <w:lang w:val="es-CO"/>
        </w:rPr>
        <w:t>- La evaluación de las acciones de conocimiento y reducción de riesgos relacionadas con el evento analizado.</w:t>
      </w:r>
    </w:p>
    <w:p w:rsidRPr="002E6B3C" w:rsidR="002E6B3C" w:rsidP="002E6B3C" w:rsidRDefault="002E6B3C" w14:paraId="75DD704B" w14:textId="77777777">
      <w:pPr>
        <w:shd w:val="clear" w:color="auto" w:fill="FFFFFF"/>
        <w:spacing w:line="240" w:lineRule="auto"/>
        <w:rPr>
          <w:rFonts w:eastAsia="Times New Roman"/>
          <w:color w:val="242424"/>
          <w:sz w:val="24"/>
          <w:szCs w:val="24"/>
          <w:lang w:val="es-CO"/>
        </w:rPr>
      </w:pPr>
      <w:r w:rsidRPr="002E6B3C">
        <w:rPr>
          <w:rFonts w:eastAsia="Times New Roman"/>
          <w:color w:val="242424"/>
          <w:sz w:val="24"/>
          <w:szCs w:val="24"/>
          <w:lang w:val="es-CO"/>
        </w:rPr>
        <w:t xml:space="preserve">- Las actuaciones adelantadas por la dependencia con relación al Derecho de Petición – Solicitud de acompañamiento preventivo OCI </w:t>
      </w:r>
      <w:proofErr w:type="spellStart"/>
      <w:r w:rsidRPr="002E6B3C">
        <w:rPr>
          <w:rFonts w:eastAsia="Times New Roman"/>
          <w:color w:val="242424"/>
          <w:sz w:val="24"/>
          <w:szCs w:val="24"/>
          <w:lang w:val="es-CO"/>
        </w:rPr>
        <w:t>recepcionado</w:t>
      </w:r>
      <w:proofErr w:type="spellEnd"/>
      <w:r w:rsidRPr="002E6B3C">
        <w:rPr>
          <w:rFonts w:eastAsia="Times New Roman"/>
          <w:color w:val="242424"/>
          <w:sz w:val="24"/>
          <w:szCs w:val="24"/>
          <w:lang w:val="es-CO"/>
        </w:rPr>
        <w:t xml:space="preserve"> el 04 de enero del 2026. </w:t>
      </w:r>
    </w:p>
    <w:p w:rsidR="00501C90" w:rsidP="00E5166E" w:rsidRDefault="002E6B3C" w14:paraId="4A1AA17A" w14:textId="2D9AE2D0">
      <w:pPr>
        <w:shd w:val="clear" w:color="auto" w:fill="FFFFFF"/>
        <w:spacing w:line="240" w:lineRule="auto"/>
        <w:rPr>
          <w:rFonts w:eastAsia="Times New Roman"/>
          <w:color w:val="242424"/>
          <w:sz w:val="24"/>
          <w:szCs w:val="24"/>
          <w:lang w:val="es-CO"/>
        </w:rPr>
      </w:pPr>
      <w:r w:rsidRPr="002E6B3C">
        <w:rPr>
          <w:rFonts w:eastAsia="Times New Roman"/>
          <w:color w:val="242424"/>
          <w:sz w:val="24"/>
          <w:szCs w:val="24"/>
          <w:lang w:val="es-CO"/>
        </w:rPr>
        <w:t>- El análisis de la efectividad del sistema de control interno vinculado a la planificación, atención y recuperación del desastre, dentro del ámbito de competencia de la UAEGRD.</w:t>
      </w:r>
    </w:p>
    <w:p w:rsidRPr="00E5166E" w:rsidR="00E5166E" w:rsidP="00E5166E" w:rsidRDefault="00E5166E" w14:paraId="4470B094" w14:textId="77777777">
      <w:pPr>
        <w:shd w:val="clear" w:color="auto" w:fill="FFFFFF"/>
        <w:spacing w:line="240" w:lineRule="auto"/>
        <w:rPr>
          <w:rFonts w:eastAsia="Times New Roman"/>
          <w:color w:val="242424"/>
          <w:sz w:val="24"/>
          <w:szCs w:val="24"/>
          <w:lang w:val="es-CO"/>
        </w:rPr>
      </w:pPr>
    </w:p>
    <w:p w:rsidR="00C00AE2" w:rsidP="00817C9D" w:rsidRDefault="00DB0B69" w14:paraId="1F56729B" w14:textId="5E1DA75D">
      <w:pPr>
        <w:pStyle w:val="Ttulo1"/>
        <w:rPr/>
      </w:pPr>
      <w:bookmarkStart w:name="_Toc206756953" w:id="19"/>
      <w:bookmarkStart w:name="_Toc206758785" w:id="20"/>
      <w:bookmarkStart w:name="_Toc206758801" w:id="21"/>
      <w:bookmarkStart w:name="_Toc206758849" w:id="22"/>
      <w:bookmarkStart w:name="_Toc206758865" w:id="23"/>
      <w:bookmarkStart w:name="_Toc206759088" w:id="24"/>
      <w:bookmarkStart w:name="_Toc206759639" w:id="25"/>
      <w:r w:rsidR="024AC03D">
        <w:rPr/>
        <w:t>C</w:t>
      </w:r>
      <w:r w:rsidR="024AC03D">
        <w:rPr/>
        <w:t>RITERIOS DE AUDITORÍA</w:t>
      </w:r>
      <w:bookmarkEnd w:id="19"/>
      <w:bookmarkEnd w:id="20"/>
      <w:bookmarkEnd w:id="21"/>
      <w:bookmarkEnd w:id="22"/>
      <w:bookmarkEnd w:id="23"/>
      <w:bookmarkEnd w:id="24"/>
      <w:bookmarkEnd w:id="25"/>
    </w:p>
    <w:p w:rsidRPr="00151D23" w:rsidR="00F45FE5" w:rsidP="0ED4F347" w:rsidRDefault="00F45FE5" w14:paraId="4D8A44F0" w14:textId="77777777">
      <w:pPr>
        <w:pStyle w:val="GrisIndicaciones"/>
        <w:numPr>
          <w:ilvl w:val="0"/>
          <w:numId w:val="12"/>
        </w:numPr>
        <w:rPr>
          <w:i w:val="0"/>
          <w:iCs w:val="0"/>
          <w:color w:val="auto"/>
          <w:sz w:val="24"/>
          <w:szCs w:val="24"/>
        </w:rPr>
      </w:pPr>
      <w:r w:rsidRPr="0ED4F347" w:rsidR="1407FFFE">
        <w:rPr>
          <w:i w:val="0"/>
          <w:iCs w:val="0"/>
          <w:color w:val="auto"/>
          <w:sz w:val="24"/>
          <w:szCs w:val="24"/>
        </w:rPr>
        <w:t xml:space="preserve">Constitución Política de Colombia de 1991 (Artículos 209 y 269) </w:t>
      </w:r>
    </w:p>
    <w:p w:rsidRPr="00151D23" w:rsidR="05C46DFF" w:rsidP="0ED4F347" w:rsidRDefault="00F45FE5" w14:paraId="494F2111" w14:textId="48CC380E">
      <w:pPr>
        <w:pStyle w:val="GrisIndicaciones"/>
        <w:numPr>
          <w:ilvl w:val="0"/>
          <w:numId w:val="12"/>
        </w:numPr>
        <w:rPr>
          <w:i w:val="0"/>
          <w:iCs w:val="0"/>
          <w:color w:val="auto"/>
          <w:sz w:val="24"/>
          <w:szCs w:val="24"/>
        </w:rPr>
      </w:pPr>
      <w:r w:rsidRPr="0ED4F347" w:rsidR="1407FFFE">
        <w:rPr>
          <w:i w:val="0"/>
          <w:iCs w:val="0"/>
          <w:color w:val="auto"/>
          <w:sz w:val="24"/>
          <w:szCs w:val="24"/>
        </w:rPr>
        <w:t>Ley 80 de 1993 – Por la cual se expide el Estatuto General de Contratación de la Administración Pública y Ley 1150 de 2007 – Por medio de la cual se introducen medidas para la eficiencia y la transparencia en la Ley 80 de 1993 y se dictan otras disposiciones generales sobre contratación con Recursos Públicos</w:t>
      </w:r>
      <w:r w:rsidRPr="0ED4F347" w:rsidR="5A55A394">
        <w:rPr>
          <w:i w:val="0"/>
          <w:iCs w:val="0"/>
          <w:color w:val="auto"/>
          <w:sz w:val="24"/>
          <w:szCs w:val="24"/>
        </w:rPr>
        <w:t>.</w:t>
      </w:r>
    </w:p>
    <w:p w:rsidRPr="00151D23" w:rsidR="000A7CA6" w:rsidP="0ED4F347" w:rsidRDefault="000A7CA6" w14:paraId="5C03C5BC" w14:textId="4818BDAA">
      <w:pPr>
        <w:pStyle w:val="GrisIndicaciones"/>
        <w:numPr>
          <w:ilvl w:val="0"/>
          <w:numId w:val="12"/>
        </w:numPr>
        <w:rPr>
          <w:i w:val="0"/>
          <w:iCs w:val="0"/>
          <w:color w:val="auto"/>
          <w:sz w:val="24"/>
          <w:szCs w:val="24"/>
        </w:rPr>
      </w:pPr>
      <w:r w:rsidRPr="0ED4F347" w:rsidR="5A55A394">
        <w:rPr>
          <w:i w:val="0"/>
          <w:iCs w:val="0"/>
          <w:color w:val="auto"/>
          <w:sz w:val="24"/>
          <w:szCs w:val="24"/>
        </w:rPr>
        <w:t>Ley 87 de 1993 – Por la cual se establecen normas para el ejercicio del control interno en las entidades y organismos del Estado y se dictan otras disposiciones</w:t>
      </w:r>
      <w:r w:rsidRPr="0ED4F347" w:rsidR="346C77DD">
        <w:rPr>
          <w:i w:val="0"/>
          <w:iCs w:val="0"/>
          <w:color w:val="auto"/>
          <w:sz w:val="24"/>
          <w:szCs w:val="24"/>
        </w:rPr>
        <w:t>.</w:t>
      </w:r>
    </w:p>
    <w:p w:rsidRPr="00151D23" w:rsidR="000A7CA6" w:rsidP="0ED4F347" w:rsidRDefault="000A7CA6" w14:paraId="6BFD211F" w14:textId="5FBE6B41">
      <w:pPr>
        <w:pStyle w:val="GrisIndicaciones"/>
        <w:numPr>
          <w:ilvl w:val="0"/>
          <w:numId w:val="12"/>
        </w:numPr>
        <w:rPr>
          <w:i w:val="0"/>
          <w:iCs w:val="0"/>
          <w:color w:val="auto"/>
          <w:sz w:val="24"/>
          <w:szCs w:val="24"/>
        </w:rPr>
      </w:pPr>
      <w:r w:rsidRPr="0ED4F347" w:rsidR="5A55A394">
        <w:rPr>
          <w:i w:val="0"/>
          <w:iCs w:val="0"/>
          <w:color w:val="auto"/>
          <w:sz w:val="24"/>
          <w:szCs w:val="24"/>
        </w:rPr>
        <w:t>Ley 152 de 1994 – Por la cual se establece la Ley Orgánica del Plan de Desarrollo</w:t>
      </w:r>
      <w:r w:rsidRPr="0ED4F347" w:rsidR="49CCC374">
        <w:rPr>
          <w:i w:val="0"/>
          <w:iCs w:val="0"/>
          <w:color w:val="auto"/>
          <w:sz w:val="24"/>
          <w:szCs w:val="24"/>
        </w:rPr>
        <w:t>.</w:t>
      </w:r>
    </w:p>
    <w:p w:rsidRPr="00151D23" w:rsidR="000A7CA6" w:rsidP="0ED4F347" w:rsidRDefault="000A7CA6" w14:paraId="7BF85F51" w14:textId="2FF170B4">
      <w:pPr>
        <w:pStyle w:val="GrisIndicaciones"/>
        <w:numPr>
          <w:ilvl w:val="0"/>
          <w:numId w:val="12"/>
        </w:numPr>
        <w:rPr>
          <w:i w:val="0"/>
          <w:iCs w:val="0"/>
          <w:color w:val="auto"/>
          <w:sz w:val="24"/>
          <w:szCs w:val="24"/>
        </w:rPr>
      </w:pPr>
      <w:r w:rsidRPr="0ED4F347" w:rsidR="5A55A394">
        <w:rPr>
          <w:i w:val="0"/>
          <w:iCs w:val="0"/>
          <w:color w:val="auto"/>
          <w:sz w:val="24"/>
          <w:szCs w:val="24"/>
        </w:rPr>
        <w:t xml:space="preserve">Ley 489 de 1998 – Por la cual se dictan normas sobre la organización y funcionamiento de las entidades del orden nacional, se expiden disposiciones, principios y reglas generales para el </w:t>
      </w:r>
      <w:r w:rsidRPr="0ED4F347" w:rsidR="5A55A394">
        <w:rPr>
          <w:i w:val="0"/>
          <w:iCs w:val="0"/>
          <w:color w:val="auto"/>
          <w:sz w:val="24"/>
          <w:szCs w:val="24"/>
        </w:rPr>
        <w:t>ejercicio de las atribuciones previstas en los numerales 15 y 16 del artículo 189 de la Constitución Política y se dictan otras disposiciones</w:t>
      </w:r>
      <w:r w:rsidRPr="0ED4F347" w:rsidR="4D14CE6B">
        <w:rPr>
          <w:i w:val="0"/>
          <w:iCs w:val="0"/>
          <w:color w:val="auto"/>
          <w:sz w:val="24"/>
          <w:szCs w:val="24"/>
        </w:rPr>
        <w:t>.</w:t>
      </w:r>
    </w:p>
    <w:p w:rsidRPr="00151D23" w:rsidR="000A7CA6" w:rsidP="0ED4F347" w:rsidRDefault="00467F3E" w14:paraId="1EAA11C5" w14:textId="0F3BE6BE">
      <w:pPr>
        <w:pStyle w:val="GrisIndicaciones"/>
        <w:numPr>
          <w:ilvl w:val="0"/>
          <w:numId w:val="12"/>
        </w:numPr>
        <w:rPr>
          <w:i w:val="0"/>
          <w:iCs w:val="0"/>
          <w:color w:val="auto"/>
          <w:sz w:val="24"/>
          <w:szCs w:val="24"/>
        </w:rPr>
      </w:pPr>
      <w:r w:rsidRPr="0ED4F347" w:rsidR="3FF18CC7">
        <w:rPr>
          <w:i w:val="0"/>
          <w:iCs w:val="0"/>
          <w:color w:val="auto"/>
          <w:sz w:val="24"/>
          <w:szCs w:val="24"/>
        </w:rPr>
        <w:t>Ley 1454 de 2011 - por la cual se dictan normas orgánicas sobre ordenamiento territorial y se modifican otras disposiciones.</w:t>
      </w:r>
    </w:p>
    <w:p w:rsidRPr="00151D23" w:rsidR="00467F3E" w:rsidP="0ED4F347" w:rsidRDefault="00467F3E" w14:paraId="2F6320E9" w14:textId="517F049C">
      <w:pPr>
        <w:pStyle w:val="Prrafodelista"/>
        <w:numPr>
          <w:ilvl w:val="0"/>
          <w:numId w:val="12"/>
        </w:numPr>
        <w:shd w:val="clear" w:color="auto" w:fill="FFFFFF" w:themeFill="background1"/>
        <w:spacing w:line="240" w:lineRule="auto"/>
        <w:jc w:val="left"/>
        <w:rPr>
          <w:rFonts w:eastAsia="Times New Roman"/>
          <w:i w:val="0"/>
          <w:iCs w:val="0"/>
          <w:sz w:val="24"/>
          <w:szCs w:val="24"/>
          <w:lang w:val="es-CO"/>
        </w:rPr>
      </w:pPr>
      <w:r w:rsidRPr="0ED4F347" w:rsidR="3FF18CC7">
        <w:rPr>
          <w:rFonts w:eastAsia="Times New Roman"/>
          <w:i w:val="0"/>
          <w:iCs w:val="0"/>
          <w:sz w:val="24"/>
          <w:szCs w:val="24"/>
          <w:lang w:val="es-CO"/>
        </w:rPr>
        <w:t xml:space="preserve">Ley </w:t>
      </w:r>
      <w:r w:rsidRPr="0ED4F347" w:rsidR="3FF18CC7">
        <w:rPr>
          <w:rFonts w:eastAsia="Arial"/>
          <w:i w:val="0"/>
          <w:iCs w:val="0"/>
          <w:sz w:val="24"/>
          <w:szCs w:val="24"/>
          <w:lang w:val="es-CO"/>
        </w:rPr>
        <w:t>1523</w:t>
      </w:r>
      <w:r w:rsidRPr="0ED4F347" w:rsidR="3FF18CC7">
        <w:rPr>
          <w:rFonts w:eastAsia="Times New Roman"/>
          <w:i w:val="0"/>
          <w:iCs w:val="0"/>
          <w:sz w:val="24"/>
          <w:szCs w:val="24"/>
          <w:lang w:val="es-CO"/>
        </w:rPr>
        <w:t xml:space="preserve"> de 2012 - Por la cual se adopta la política nacional de gestión del riesgo de desastres y se establece el Sistema Nacional de Gestión del Riesgo de Desastres y se dictan otras disposiciones.</w:t>
      </w:r>
    </w:p>
    <w:p w:rsidRPr="00151D23" w:rsidR="00467F3E" w:rsidP="0ED4F347" w:rsidRDefault="007E7047" w14:paraId="1799D65F" w14:textId="345D2921">
      <w:pPr>
        <w:pStyle w:val="GrisIndicaciones"/>
        <w:numPr>
          <w:ilvl w:val="0"/>
          <w:numId w:val="12"/>
        </w:numPr>
        <w:rPr>
          <w:i w:val="0"/>
          <w:iCs w:val="0"/>
          <w:color w:val="auto"/>
          <w:sz w:val="24"/>
          <w:szCs w:val="24"/>
        </w:rPr>
      </w:pPr>
      <w:r w:rsidRPr="0ED4F347" w:rsidR="76CC0843">
        <w:rPr>
          <w:i w:val="0"/>
          <w:iCs w:val="0"/>
          <w:color w:val="auto"/>
          <w:sz w:val="24"/>
          <w:szCs w:val="24"/>
        </w:rPr>
        <w:t>Decreto 943 de 2014 – Por el cual se actualiza el Modelo Estándar de Control Interno – MECI</w:t>
      </w:r>
    </w:p>
    <w:p w:rsidR="76CC0843" w:rsidP="0ED4F347" w:rsidRDefault="76CC0843" w14:paraId="5DC4B5A8" w14:textId="404FB156">
      <w:pPr>
        <w:pStyle w:val="GrisIndicaciones"/>
        <w:numPr>
          <w:ilvl w:val="0"/>
          <w:numId w:val="12"/>
        </w:numPr>
        <w:rPr>
          <w:i w:val="0"/>
          <w:iCs w:val="0"/>
          <w:color w:val="auto"/>
          <w:sz w:val="24"/>
          <w:szCs w:val="24"/>
        </w:rPr>
      </w:pPr>
      <w:r w:rsidRPr="0ED4F347" w:rsidR="76CC0843">
        <w:rPr>
          <w:i w:val="0"/>
          <w:iCs w:val="0"/>
          <w:color w:val="auto"/>
          <w:sz w:val="24"/>
          <w:szCs w:val="24"/>
        </w:rPr>
        <w:t xml:space="preserve">Decreto 1807 de 2014 - Por el cual se reglamenta el </w:t>
      </w:r>
      <w:r w:rsidRPr="0ED4F347" w:rsidR="6BB8396B">
        <w:rPr>
          <w:i w:val="0"/>
          <w:iCs w:val="0"/>
          <w:color w:val="auto"/>
          <w:sz w:val="24"/>
          <w:szCs w:val="24"/>
        </w:rPr>
        <w:t>artículo</w:t>
      </w:r>
      <w:r w:rsidRPr="0ED4F347" w:rsidR="76CC0843">
        <w:rPr>
          <w:i w:val="0"/>
          <w:iCs w:val="0"/>
          <w:color w:val="auto"/>
          <w:sz w:val="24"/>
          <w:szCs w:val="24"/>
        </w:rPr>
        <w:t xml:space="preserve"> 189 del decreto ley 019 de 2012 en lo relativo a la incorporación de la Gestión del Riesgo en los planes de ordenamiento territorial</w:t>
      </w:r>
      <w:r w:rsidRPr="0ED4F347" w:rsidR="0BE18A03">
        <w:rPr>
          <w:i w:val="0"/>
          <w:iCs w:val="0"/>
          <w:color w:val="auto"/>
          <w:sz w:val="24"/>
          <w:szCs w:val="24"/>
        </w:rPr>
        <w:t>.</w:t>
      </w:r>
    </w:p>
    <w:p w:rsidR="7A23F7BD" w:rsidP="0ED4F347" w:rsidRDefault="7A23F7BD" w14:paraId="4A8BEC16" w14:textId="6F2C168F">
      <w:pPr>
        <w:pStyle w:val="GrisIndicaciones"/>
        <w:numPr>
          <w:ilvl w:val="0"/>
          <w:numId w:val="12"/>
        </w:numPr>
        <w:rPr>
          <w:i w:val="0"/>
          <w:iCs w:val="0"/>
          <w:color w:val="auto"/>
          <w:sz w:val="24"/>
          <w:szCs w:val="24"/>
        </w:rPr>
      </w:pPr>
      <w:r w:rsidRPr="0ED4F347" w:rsidR="7A23F7BD">
        <w:rPr>
          <w:i w:val="0"/>
          <w:iCs w:val="0"/>
          <w:color w:val="auto"/>
          <w:sz w:val="24"/>
          <w:szCs w:val="24"/>
        </w:rPr>
        <w:t xml:space="preserve">Ordenanza 140 de 2012 – Por la cual se crea, conforma y organiza el Fondo de Gestión del Riesgo de Desastres del Departamento de Cundinamarca y se dictan </w:t>
      </w:r>
      <w:r w:rsidRPr="0ED4F347" w:rsidR="03B2BE45">
        <w:rPr>
          <w:i w:val="0"/>
          <w:iCs w:val="0"/>
          <w:color w:val="auto"/>
          <w:sz w:val="24"/>
          <w:szCs w:val="24"/>
        </w:rPr>
        <w:t>otras disposiciones.</w:t>
      </w:r>
    </w:p>
    <w:p w:rsidRPr="00151D23" w:rsidR="007E7047" w:rsidP="0ED4F347" w:rsidRDefault="007E7047" w14:paraId="6828168A" w14:textId="4824C61A">
      <w:pPr>
        <w:pStyle w:val="GrisIndicaciones"/>
        <w:numPr>
          <w:ilvl w:val="0"/>
          <w:numId w:val="12"/>
        </w:numPr>
        <w:rPr>
          <w:i w:val="0"/>
          <w:iCs w:val="0"/>
          <w:color w:val="auto"/>
          <w:sz w:val="24"/>
          <w:szCs w:val="24"/>
        </w:rPr>
      </w:pPr>
      <w:r w:rsidRPr="0ED4F347" w:rsidR="76CC0843">
        <w:rPr>
          <w:i w:val="0"/>
          <w:iCs w:val="0"/>
          <w:color w:val="auto"/>
          <w:sz w:val="24"/>
          <w:szCs w:val="24"/>
        </w:rPr>
        <w:t xml:space="preserve">Ordenanza 066 de 2018- Por la cual se adopta la </w:t>
      </w:r>
      <w:r w:rsidRPr="0ED4F347" w:rsidR="6BB8396B">
        <w:rPr>
          <w:i w:val="0"/>
          <w:iCs w:val="0"/>
          <w:color w:val="auto"/>
          <w:sz w:val="24"/>
          <w:szCs w:val="24"/>
        </w:rPr>
        <w:t>política</w:t>
      </w:r>
      <w:r w:rsidRPr="0ED4F347" w:rsidR="76CC0843">
        <w:rPr>
          <w:i w:val="0"/>
          <w:iCs w:val="0"/>
          <w:color w:val="auto"/>
          <w:sz w:val="24"/>
          <w:szCs w:val="24"/>
        </w:rPr>
        <w:t xml:space="preserve"> </w:t>
      </w:r>
      <w:r w:rsidRPr="0ED4F347" w:rsidR="6BB8396B">
        <w:rPr>
          <w:i w:val="0"/>
          <w:iCs w:val="0"/>
          <w:color w:val="auto"/>
          <w:sz w:val="24"/>
          <w:szCs w:val="24"/>
        </w:rPr>
        <w:t>pública</w:t>
      </w:r>
      <w:r w:rsidRPr="0ED4F347" w:rsidR="76CC0843">
        <w:rPr>
          <w:i w:val="0"/>
          <w:iCs w:val="0"/>
          <w:color w:val="auto"/>
          <w:sz w:val="24"/>
          <w:szCs w:val="24"/>
        </w:rPr>
        <w:t xml:space="preserve"> para la gestión del riesgo de desastres de Cundinamarca, se modifica la organización del sistema departamental de gestión del riesgo, se modifica el </w:t>
      </w:r>
      <w:r w:rsidRPr="0ED4F347" w:rsidR="6BB8396B">
        <w:rPr>
          <w:i w:val="0"/>
          <w:iCs w:val="0"/>
          <w:color w:val="auto"/>
          <w:sz w:val="24"/>
          <w:szCs w:val="24"/>
        </w:rPr>
        <w:t>artículo</w:t>
      </w:r>
      <w:r w:rsidRPr="0ED4F347" w:rsidR="76CC0843">
        <w:rPr>
          <w:i w:val="0"/>
          <w:iCs w:val="0"/>
          <w:color w:val="auto"/>
          <w:sz w:val="24"/>
          <w:szCs w:val="24"/>
        </w:rPr>
        <w:t xml:space="preserve"> 346 de la ordenanza departamental 216 de 2014 y se dictan otras disposiciones.</w:t>
      </w:r>
    </w:p>
    <w:p w:rsidRPr="00151D23" w:rsidR="007E7047" w:rsidP="0ED4F347" w:rsidRDefault="007E7047" w14:paraId="07CE586C" w14:textId="2049C41B">
      <w:pPr>
        <w:pStyle w:val="GrisIndicaciones"/>
        <w:numPr>
          <w:ilvl w:val="0"/>
          <w:numId w:val="12"/>
        </w:numPr>
        <w:rPr>
          <w:i w:val="0"/>
          <w:iCs w:val="0"/>
          <w:color w:val="auto"/>
          <w:sz w:val="24"/>
          <w:szCs w:val="24"/>
        </w:rPr>
      </w:pPr>
      <w:r w:rsidRPr="0ED4F347" w:rsidR="76CC0843">
        <w:rPr>
          <w:i w:val="0"/>
          <w:iCs w:val="0"/>
          <w:color w:val="auto"/>
          <w:sz w:val="24"/>
          <w:szCs w:val="24"/>
        </w:rPr>
        <w:t>Ordenanza No. 001-2024- Por el cual se adopta el Plan Departamental de Desarrollo 2024-2028, "Gobernando: más que un plan"</w:t>
      </w:r>
    </w:p>
    <w:p w:rsidRPr="00151D23" w:rsidR="00820D25" w:rsidP="0ED4F347" w:rsidRDefault="00820D25" w14:paraId="7C427C00" w14:textId="5D7F885B">
      <w:pPr>
        <w:pStyle w:val="GrisIndicaciones"/>
        <w:numPr>
          <w:ilvl w:val="0"/>
          <w:numId w:val="12"/>
        </w:numPr>
        <w:rPr>
          <w:i w:val="0"/>
          <w:iCs w:val="0"/>
          <w:color w:val="auto"/>
          <w:sz w:val="24"/>
          <w:szCs w:val="24"/>
        </w:rPr>
      </w:pPr>
      <w:r w:rsidRPr="0ED4F347" w:rsidR="318E4DF4">
        <w:rPr>
          <w:i w:val="0"/>
          <w:iCs w:val="0"/>
          <w:color w:val="auto"/>
          <w:sz w:val="24"/>
          <w:szCs w:val="24"/>
        </w:rPr>
        <w:t>Decreto 161 de 2024 -Por el cual se adopta el Manual de gestión contractual, Sistema de Compra Pública, Supervisión, Control y Procedimiento Sancionatorio del Departamento de Cundinamarca”</w:t>
      </w:r>
    </w:p>
    <w:p w:rsidRPr="00151D23" w:rsidR="00B96B0C" w:rsidP="0ED4F347" w:rsidRDefault="00820D25" w14:paraId="68F3708D" w14:textId="33F25133">
      <w:pPr>
        <w:pStyle w:val="GrisIndicaciones"/>
        <w:numPr>
          <w:ilvl w:val="0"/>
          <w:numId w:val="12"/>
        </w:numPr>
        <w:rPr>
          <w:i w:val="0"/>
          <w:iCs w:val="0"/>
          <w:color w:val="auto"/>
          <w:sz w:val="24"/>
          <w:szCs w:val="24"/>
        </w:rPr>
      </w:pPr>
      <w:r w:rsidRPr="0ED4F347" w:rsidR="318E4DF4">
        <w:rPr>
          <w:i w:val="0"/>
          <w:iCs w:val="0"/>
          <w:color w:val="auto"/>
          <w:sz w:val="24"/>
          <w:szCs w:val="24"/>
        </w:rPr>
        <w:t xml:space="preserve">Decreto </w:t>
      </w:r>
      <w:r w:rsidRPr="0ED4F347" w:rsidR="318E4DF4">
        <w:rPr>
          <w:i w:val="0"/>
          <w:iCs w:val="0"/>
          <w:color w:val="auto"/>
          <w:sz w:val="24"/>
          <w:szCs w:val="24"/>
        </w:rPr>
        <w:t>Ordenanzal</w:t>
      </w:r>
      <w:r w:rsidRPr="0ED4F347" w:rsidR="318E4DF4">
        <w:rPr>
          <w:i w:val="0"/>
          <w:iCs w:val="0"/>
          <w:color w:val="auto"/>
          <w:sz w:val="24"/>
          <w:szCs w:val="24"/>
        </w:rPr>
        <w:t xml:space="preserve"> 406 de 2024 – Por el cual se establece la estructura de la administración pública departamental, se define la organización interna y las funciones de las dependencias del sector central de la administración pública de Cundinamarca y se dictan otras disposiciones</w:t>
      </w:r>
      <w:r w:rsidRPr="0ED4F347" w:rsidR="7DB21FA3">
        <w:rPr>
          <w:i w:val="0"/>
          <w:iCs w:val="0"/>
          <w:color w:val="auto"/>
          <w:sz w:val="24"/>
          <w:szCs w:val="24"/>
        </w:rPr>
        <w:t>.</w:t>
      </w:r>
    </w:p>
    <w:p w:rsidR="6F316CEE" w:rsidP="0ED4F347" w:rsidRDefault="6F316CEE" w14:paraId="0136F106" w14:textId="33AE80EA">
      <w:pPr>
        <w:pStyle w:val="GrisIndicaciones"/>
        <w:numPr>
          <w:ilvl w:val="0"/>
          <w:numId w:val="12"/>
        </w:numPr>
        <w:rPr>
          <w:rFonts w:eastAsia="Arial"/>
        </w:rPr>
      </w:pPr>
      <w:r w:rsidRPr="0ED4F347" w:rsidR="6F316CEE">
        <w:rPr>
          <w:rFonts w:ascii="Arial" w:hAnsi="Arial" w:eastAsia="Calibri" w:cs="Arial"/>
          <w:i w:val="0"/>
          <w:iCs w:val="0"/>
          <w:color w:val="auto"/>
          <w:sz w:val="24"/>
          <w:szCs w:val="24"/>
          <w:lang w:eastAsia="es-CO" w:bidi="ar-SA"/>
        </w:rPr>
        <w:t xml:space="preserve">Procedimiento de Atención de Emergencias </w:t>
      </w:r>
      <w:r w:rsidRPr="0ED4F347" w:rsidR="6EB3322A">
        <w:rPr>
          <w:rFonts w:ascii="Arial" w:hAnsi="Arial" w:eastAsia="Calibri" w:cs="Arial"/>
          <w:i w:val="0"/>
          <w:iCs w:val="0"/>
          <w:color w:val="auto"/>
          <w:sz w:val="24"/>
          <w:szCs w:val="24"/>
          <w:lang w:eastAsia="es-CO" w:bidi="ar-SA"/>
        </w:rPr>
        <w:t>(</w:t>
      </w:r>
      <w:r w:rsidRPr="0ED4F347" w:rsidR="6F316CEE">
        <w:rPr>
          <w:rFonts w:ascii="Arial" w:hAnsi="Arial" w:eastAsia="Calibri" w:cs="Arial"/>
          <w:i w:val="0"/>
          <w:iCs w:val="0"/>
          <w:color w:val="auto"/>
          <w:sz w:val="24"/>
          <w:szCs w:val="24"/>
          <w:lang w:eastAsia="es-CO" w:bidi="ar-SA"/>
        </w:rPr>
        <w:t>M FT PR 008</w:t>
      </w:r>
      <w:r w:rsidRPr="0ED4F347" w:rsidR="37F6D8B0">
        <w:rPr>
          <w:rFonts w:ascii="Arial" w:hAnsi="Arial" w:eastAsia="Calibri" w:cs="Arial"/>
          <w:i w:val="0"/>
          <w:iCs w:val="0"/>
          <w:color w:val="auto"/>
          <w:sz w:val="24"/>
          <w:szCs w:val="24"/>
          <w:lang w:eastAsia="es-CO" w:bidi="ar-SA"/>
        </w:rPr>
        <w:t>)</w:t>
      </w:r>
      <w:r w:rsidRPr="0ED4F347" w:rsidR="623CEA1C">
        <w:rPr>
          <w:rFonts w:ascii="Arial" w:hAnsi="Arial" w:eastAsia="Calibri" w:cs="Arial"/>
          <w:i w:val="0"/>
          <w:iCs w:val="0"/>
          <w:color w:val="auto"/>
          <w:sz w:val="24"/>
          <w:szCs w:val="24"/>
          <w:lang w:eastAsia="es-CO" w:bidi="ar-SA"/>
        </w:rPr>
        <w:t xml:space="preserve"> V</w:t>
      </w:r>
      <w:r w:rsidRPr="0ED4F347" w:rsidR="52FAC2CF">
        <w:rPr>
          <w:rFonts w:ascii="Arial" w:hAnsi="Arial" w:eastAsia="Calibri" w:cs="Arial"/>
          <w:i w:val="0"/>
          <w:iCs w:val="0"/>
          <w:color w:val="auto"/>
          <w:sz w:val="24"/>
          <w:szCs w:val="24"/>
          <w:lang w:eastAsia="es-CO" w:bidi="ar-SA"/>
        </w:rPr>
        <w:t>8</w:t>
      </w:r>
      <w:r w:rsidRPr="0ED4F347" w:rsidR="1A809554">
        <w:rPr>
          <w:rFonts w:ascii="Arial" w:hAnsi="Arial" w:eastAsia="Calibri" w:cs="Arial"/>
          <w:i w:val="0"/>
          <w:iCs w:val="0"/>
          <w:color w:val="auto"/>
          <w:sz w:val="24"/>
          <w:szCs w:val="24"/>
          <w:lang w:eastAsia="es-CO" w:bidi="ar-SA"/>
        </w:rPr>
        <w:t>.</w:t>
      </w:r>
    </w:p>
    <w:p w:rsidR="6F316CEE" w:rsidP="0ED4F347" w:rsidRDefault="6F316CEE" w14:paraId="4BD28A48" w14:textId="3F60D871">
      <w:pPr>
        <w:pStyle w:val="GrisIndicaciones"/>
        <w:numPr>
          <w:ilvl w:val="0"/>
          <w:numId w:val="12"/>
        </w:numPr>
        <w:rPr>
          <w:rFonts w:eastAsia="Arial"/>
        </w:rPr>
      </w:pPr>
      <w:r w:rsidRPr="0ED4F347" w:rsidR="6F316CEE">
        <w:rPr>
          <w:rFonts w:ascii="Arial" w:hAnsi="Arial" w:eastAsia="Arial" w:cs="Arial"/>
          <w:i w:val="0"/>
          <w:iCs w:val="0"/>
          <w:color w:val="000000" w:themeColor="text1" w:themeTint="FF" w:themeShade="FF"/>
          <w:sz w:val="24"/>
          <w:szCs w:val="24"/>
        </w:rPr>
        <w:t xml:space="preserve">Procedimiento del Plan de Acción Específico </w:t>
      </w:r>
      <w:r w:rsidRPr="0ED4F347" w:rsidR="0F08A3FF">
        <w:rPr>
          <w:rFonts w:ascii="Arial" w:hAnsi="Arial" w:eastAsia="Arial" w:cs="Arial"/>
          <w:i w:val="0"/>
          <w:iCs w:val="0"/>
          <w:color w:val="000000" w:themeColor="text1" w:themeTint="FF" w:themeShade="FF"/>
          <w:sz w:val="24"/>
          <w:szCs w:val="24"/>
        </w:rPr>
        <w:t>(</w:t>
      </w:r>
      <w:r w:rsidRPr="0ED4F347" w:rsidR="6F316CEE">
        <w:rPr>
          <w:rFonts w:ascii="Arial" w:hAnsi="Arial" w:eastAsia="Arial" w:cs="Arial"/>
          <w:i w:val="0"/>
          <w:iCs w:val="0"/>
          <w:color w:val="000000" w:themeColor="text1" w:themeTint="FF" w:themeShade="FF"/>
          <w:sz w:val="24"/>
          <w:szCs w:val="24"/>
        </w:rPr>
        <w:t>M</w:t>
      </w:r>
      <w:r>
        <w:noBreakHyphen/>
      </w:r>
      <w:r w:rsidRPr="0ED4F347" w:rsidR="6F316CEE">
        <w:rPr>
          <w:rFonts w:ascii="Arial" w:hAnsi="Arial" w:eastAsia="Arial" w:cs="Arial"/>
          <w:i w:val="0"/>
          <w:iCs w:val="0"/>
          <w:color w:val="000000" w:themeColor="text1" w:themeTint="FF" w:themeShade="FF"/>
          <w:sz w:val="24"/>
          <w:szCs w:val="24"/>
        </w:rPr>
        <w:t>FT</w:t>
      </w:r>
      <w:r>
        <w:noBreakHyphen/>
      </w:r>
      <w:r w:rsidRPr="0ED4F347" w:rsidR="6F316CEE">
        <w:rPr>
          <w:rFonts w:ascii="Arial" w:hAnsi="Arial" w:eastAsia="Arial" w:cs="Arial"/>
          <w:i w:val="0"/>
          <w:iCs w:val="0"/>
          <w:color w:val="000000" w:themeColor="text1" w:themeTint="FF" w:themeShade="FF"/>
          <w:sz w:val="24"/>
          <w:szCs w:val="24"/>
        </w:rPr>
        <w:t>PR</w:t>
      </w:r>
      <w:r>
        <w:noBreakHyphen/>
      </w:r>
      <w:r w:rsidRPr="0ED4F347" w:rsidR="6F316CEE">
        <w:rPr>
          <w:rFonts w:ascii="Arial" w:hAnsi="Arial" w:eastAsia="Arial" w:cs="Arial"/>
          <w:i w:val="0"/>
          <w:iCs w:val="0"/>
          <w:color w:val="000000" w:themeColor="text1" w:themeTint="FF" w:themeShade="FF"/>
          <w:sz w:val="24"/>
          <w:szCs w:val="24"/>
        </w:rPr>
        <w:t>018</w:t>
      </w:r>
      <w:r w:rsidRPr="0ED4F347" w:rsidR="1F1D8E09">
        <w:rPr>
          <w:rFonts w:ascii="Arial" w:hAnsi="Arial" w:eastAsia="Arial" w:cs="Arial"/>
          <w:i w:val="0"/>
          <w:iCs w:val="0"/>
          <w:color w:val="000000" w:themeColor="text1" w:themeTint="FF" w:themeShade="FF"/>
          <w:sz w:val="24"/>
          <w:szCs w:val="24"/>
        </w:rPr>
        <w:t>)</w:t>
      </w:r>
      <w:r w:rsidRPr="0ED4F347" w:rsidR="628A8F8D">
        <w:rPr>
          <w:rFonts w:ascii="Arial" w:hAnsi="Arial" w:eastAsia="Arial" w:cs="Arial"/>
          <w:i w:val="0"/>
          <w:iCs w:val="0"/>
          <w:color w:val="000000" w:themeColor="text1" w:themeTint="FF" w:themeShade="FF"/>
          <w:sz w:val="24"/>
          <w:szCs w:val="24"/>
        </w:rPr>
        <w:t xml:space="preserve"> V</w:t>
      </w:r>
      <w:r w:rsidRPr="0ED4F347" w:rsidR="5FB50C4A">
        <w:rPr>
          <w:rFonts w:ascii="Arial" w:hAnsi="Arial" w:eastAsia="Arial" w:cs="Arial"/>
          <w:i w:val="0"/>
          <w:iCs w:val="0"/>
          <w:color w:val="000000" w:themeColor="text1" w:themeTint="FF" w:themeShade="FF"/>
          <w:sz w:val="24"/>
          <w:szCs w:val="24"/>
        </w:rPr>
        <w:t>1</w:t>
      </w:r>
      <w:r w:rsidRPr="0ED4F347" w:rsidR="6F316CEE">
        <w:rPr>
          <w:rFonts w:ascii="Arial" w:hAnsi="Arial" w:eastAsia="Arial" w:cs="Arial"/>
          <w:i w:val="0"/>
          <w:iCs w:val="0"/>
          <w:color w:val="000000" w:themeColor="text1" w:themeTint="FF" w:themeShade="FF"/>
          <w:sz w:val="24"/>
          <w:szCs w:val="24"/>
        </w:rPr>
        <w:t xml:space="preserve">. </w:t>
      </w:r>
    </w:p>
    <w:p w:rsidR="6F316CEE" w:rsidP="0ED4F347" w:rsidRDefault="6F316CEE" w14:paraId="47301999" w14:textId="1A6FED4D">
      <w:pPr>
        <w:pStyle w:val="GrisIndicaciones"/>
        <w:numPr>
          <w:ilvl w:val="0"/>
          <w:numId w:val="12"/>
        </w:numPr>
        <w:rPr>
          <w:rFonts w:ascii="Arial" w:hAnsi="Arial" w:eastAsia="Arial" w:cs="Arial"/>
          <w:i w:val="0"/>
          <w:iCs w:val="0"/>
          <w:color w:val="000000" w:themeColor="text1" w:themeTint="FF" w:themeShade="FF"/>
          <w:sz w:val="24"/>
          <w:szCs w:val="24"/>
        </w:rPr>
      </w:pPr>
      <w:r w:rsidRPr="0ED4F347" w:rsidR="6F316CEE">
        <w:rPr>
          <w:rFonts w:ascii="Arial" w:hAnsi="Arial" w:eastAsia="Arial" w:cs="Arial"/>
          <w:i w:val="0"/>
          <w:iCs w:val="0"/>
          <w:color w:val="000000" w:themeColor="text1" w:themeTint="FF" w:themeShade="FF"/>
          <w:sz w:val="24"/>
          <w:szCs w:val="24"/>
        </w:rPr>
        <w:t xml:space="preserve">Procedimiento de Coordinación Interinstitucional </w:t>
      </w:r>
      <w:r w:rsidRPr="0ED4F347" w:rsidR="564145DE">
        <w:rPr>
          <w:rFonts w:ascii="Arial" w:hAnsi="Arial" w:eastAsia="Arial" w:cs="Arial"/>
          <w:i w:val="0"/>
          <w:iCs w:val="0"/>
          <w:color w:val="000000" w:themeColor="text1" w:themeTint="FF" w:themeShade="FF"/>
          <w:sz w:val="24"/>
          <w:szCs w:val="24"/>
        </w:rPr>
        <w:t>(</w:t>
      </w:r>
      <w:r w:rsidRPr="0ED4F347" w:rsidR="6F316CEE">
        <w:rPr>
          <w:rFonts w:ascii="Arial" w:hAnsi="Arial" w:eastAsia="Arial" w:cs="Arial"/>
          <w:i w:val="0"/>
          <w:iCs w:val="0"/>
          <w:color w:val="000000" w:themeColor="text1" w:themeTint="FF" w:themeShade="FF"/>
          <w:sz w:val="24"/>
          <w:szCs w:val="24"/>
        </w:rPr>
        <w:t>M</w:t>
      </w:r>
      <w:r>
        <w:noBreakHyphen/>
      </w:r>
      <w:r w:rsidRPr="0ED4F347" w:rsidR="6F316CEE">
        <w:rPr>
          <w:rFonts w:ascii="Arial" w:hAnsi="Arial" w:eastAsia="Arial" w:cs="Arial"/>
          <w:i w:val="0"/>
          <w:iCs w:val="0"/>
          <w:color w:val="000000" w:themeColor="text1" w:themeTint="FF" w:themeShade="FF"/>
          <w:sz w:val="24"/>
          <w:szCs w:val="24"/>
        </w:rPr>
        <w:t>FT</w:t>
      </w:r>
      <w:r>
        <w:noBreakHyphen/>
      </w:r>
      <w:r w:rsidRPr="0ED4F347" w:rsidR="6F316CEE">
        <w:rPr>
          <w:rFonts w:ascii="Arial" w:hAnsi="Arial" w:eastAsia="Arial" w:cs="Arial"/>
          <w:i w:val="0"/>
          <w:iCs w:val="0"/>
          <w:color w:val="000000" w:themeColor="text1" w:themeTint="FF" w:themeShade="FF"/>
          <w:sz w:val="24"/>
          <w:szCs w:val="24"/>
        </w:rPr>
        <w:t>PR</w:t>
      </w:r>
      <w:r>
        <w:noBreakHyphen/>
      </w:r>
      <w:r w:rsidRPr="0ED4F347" w:rsidR="6F316CEE">
        <w:rPr>
          <w:rFonts w:ascii="Arial" w:hAnsi="Arial" w:eastAsia="Arial" w:cs="Arial"/>
          <w:i w:val="0"/>
          <w:iCs w:val="0"/>
          <w:color w:val="000000" w:themeColor="text1" w:themeTint="FF" w:themeShade="FF"/>
          <w:sz w:val="24"/>
          <w:szCs w:val="24"/>
        </w:rPr>
        <w:t>006</w:t>
      </w:r>
      <w:r w:rsidRPr="0ED4F347" w:rsidR="5B751578">
        <w:rPr>
          <w:rFonts w:ascii="Arial" w:hAnsi="Arial" w:eastAsia="Arial" w:cs="Arial"/>
          <w:i w:val="0"/>
          <w:iCs w:val="0"/>
          <w:color w:val="000000" w:themeColor="text1" w:themeTint="FF" w:themeShade="FF"/>
          <w:sz w:val="24"/>
          <w:szCs w:val="24"/>
        </w:rPr>
        <w:t>)</w:t>
      </w:r>
      <w:r w:rsidRPr="0ED4F347" w:rsidR="3D5B8E1F">
        <w:rPr>
          <w:rFonts w:ascii="Arial" w:hAnsi="Arial" w:eastAsia="Arial" w:cs="Arial"/>
          <w:i w:val="0"/>
          <w:iCs w:val="0"/>
          <w:color w:val="000000" w:themeColor="text1" w:themeTint="FF" w:themeShade="FF"/>
          <w:sz w:val="24"/>
          <w:szCs w:val="24"/>
        </w:rPr>
        <w:t xml:space="preserve"> V</w:t>
      </w:r>
      <w:r w:rsidRPr="0ED4F347" w:rsidR="750A3BEB">
        <w:rPr>
          <w:rFonts w:ascii="Arial" w:hAnsi="Arial" w:eastAsia="Arial" w:cs="Arial"/>
          <w:i w:val="0"/>
          <w:iCs w:val="0"/>
          <w:color w:val="000000" w:themeColor="text1" w:themeTint="FF" w:themeShade="FF"/>
          <w:sz w:val="24"/>
          <w:szCs w:val="24"/>
        </w:rPr>
        <w:t>3</w:t>
      </w:r>
      <w:r w:rsidRPr="0ED4F347" w:rsidR="6F316CEE">
        <w:rPr>
          <w:rFonts w:ascii="Arial" w:hAnsi="Arial" w:eastAsia="Arial" w:cs="Arial"/>
          <w:i w:val="0"/>
          <w:iCs w:val="0"/>
          <w:color w:val="000000" w:themeColor="text1" w:themeTint="FF" w:themeShade="FF"/>
          <w:sz w:val="24"/>
          <w:szCs w:val="24"/>
        </w:rPr>
        <w:t xml:space="preserve">. </w:t>
      </w:r>
    </w:p>
    <w:p w:rsidR="6F316CEE" w:rsidP="0ED4F347" w:rsidRDefault="6F316CEE" w14:paraId="64919665" w14:textId="5F529EEF">
      <w:pPr>
        <w:pStyle w:val="GrisIndicaciones"/>
        <w:numPr>
          <w:ilvl w:val="0"/>
          <w:numId w:val="12"/>
        </w:numPr>
        <w:rPr>
          <w:rFonts w:ascii="Arial" w:hAnsi="Arial" w:eastAsia="Arial" w:cs="Arial"/>
          <w:i w:val="0"/>
          <w:iCs w:val="0"/>
          <w:color w:val="000000" w:themeColor="text1" w:themeTint="FF" w:themeShade="FF"/>
          <w:sz w:val="24"/>
          <w:szCs w:val="24"/>
        </w:rPr>
      </w:pPr>
      <w:r w:rsidRPr="0ED4F347" w:rsidR="6F316CEE">
        <w:rPr>
          <w:rFonts w:ascii="Arial" w:hAnsi="Arial" w:eastAsia="Arial" w:cs="Arial"/>
          <w:i w:val="0"/>
          <w:iCs w:val="0"/>
          <w:color w:val="000000" w:themeColor="text1" w:themeTint="FF" w:themeShade="FF"/>
          <w:sz w:val="24"/>
          <w:szCs w:val="24"/>
        </w:rPr>
        <w:t xml:space="preserve">Procedimiento “Entrega de Ayudas Humanitarias” </w:t>
      </w:r>
      <w:r w:rsidRPr="0ED4F347" w:rsidR="7A69ADFA">
        <w:rPr>
          <w:rFonts w:ascii="Arial" w:hAnsi="Arial" w:eastAsia="Arial" w:cs="Arial"/>
          <w:i w:val="0"/>
          <w:iCs w:val="0"/>
          <w:color w:val="000000" w:themeColor="text1" w:themeTint="FF" w:themeShade="FF"/>
          <w:sz w:val="24"/>
          <w:szCs w:val="24"/>
        </w:rPr>
        <w:t>(</w:t>
      </w:r>
      <w:r w:rsidRPr="0ED4F347" w:rsidR="6F316CEE">
        <w:rPr>
          <w:rFonts w:ascii="Arial" w:hAnsi="Arial" w:eastAsia="Arial" w:cs="Arial"/>
          <w:i w:val="0"/>
          <w:iCs w:val="0"/>
          <w:color w:val="000000" w:themeColor="text1" w:themeTint="FF" w:themeShade="FF"/>
          <w:sz w:val="24"/>
          <w:szCs w:val="24"/>
        </w:rPr>
        <w:t>M</w:t>
      </w:r>
      <w:r>
        <w:noBreakHyphen/>
      </w:r>
      <w:r w:rsidRPr="0ED4F347" w:rsidR="6F316CEE">
        <w:rPr>
          <w:rFonts w:ascii="Arial" w:hAnsi="Arial" w:eastAsia="Arial" w:cs="Arial"/>
          <w:i w:val="0"/>
          <w:iCs w:val="0"/>
          <w:color w:val="000000" w:themeColor="text1" w:themeTint="FF" w:themeShade="FF"/>
          <w:sz w:val="24"/>
          <w:szCs w:val="24"/>
        </w:rPr>
        <w:t>FT</w:t>
      </w:r>
      <w:r>
        <w:noBreakHyphen/>
      </w:r>
      <w:r w:rsidRPr="0ED4F347" w:rsidR="6F316CEE">
        <w:rPr>
          <w:rFonts w:ascii="Arial" w:hAnsi="Arial" w:eastAsia="Arial" w:cs="Arial"/>
          <w:i w:val="0"/>
          <w:iCs w:val="0"/>
          <w:color w:val="000000" w:themeColor="text1" w:themeTint="FF" w:themeShade="FF"/>
          <w:sz w:val="24"/>
          <w:szCs w:val="24"/>
        </w:rPr>
        <w:t>PR</w:t>
      </w:r>
      <w:r>
        <w:noBreakHyphen/>
      </w:r>
      <w:r w:rsidRPr="0ED4F347" w:rsidR="6F316CEE">
        <w:rPr>
          <w:rFonts w:ascii="Arial" w:hAnsi="Arial" w:eastAsia="Arial" w:cs="Arial"/>
          <w:i w:val="0"/>
          <w:iCs w:val="0"/>
          <w:color w:val="000000" w:themeColor="text1" w:themeTint="FF" w:themeShade="FF"/>
          <w:sz w:val="24"/>
          <w:szCs w:val="24"/>
        </w:rPr>
        <w:t>010</w:t>
      </w:r>
      <w:r w:rsidRPr="0ED4F347" w:rsidR="64050D68">
        <w:rPr>
          <w:rFonts w:ascii="Arial" w:hAnsi="Arial" w:eastAsia="Arial" w:cs="Arial"/>
          <w:i w:val="0"/>
          <w:iCs w:val="0"/>
          <w:color w:val="000000" w:themeColor="text1" w:themeTint="FF" w:themeShade="FF"/>
          <w:sz w:val="24"/>
          <w:szCs w:val="24"/>
        </w:rPr>
        <w:t>)</w:t>
      </w:r>
      <w:r w:rsidRPr="0ED4F347" w:rsidR="4475AED4">
        <w:rPr>
          <w:rFonts w:ascii="Arial" w:hAnsi="Arial" w:eastAsia="Arial" w:cs="Arial"/>
          <w:i w:val="0"/>
          <w:iCs w:val="0"/>
          <w:color w:val="000000" w:themeColor="text1" w:themeTint="FF" w:themeShade="FF"/>
          <w:sz w:val="24"/>
          <w:szCs w:val="24"/>
        </w:rPr>
        <w:t xml:space="preserve"> V</w:t>
      </w:r>
      <w:r w:rsidRPr="0ED4F347" w:rsidR="3AEFE085">
        <w:rPr>
          <w:rFonts w:ascii="Arial" w:hAnsi="Arial" w:eastAsia="Arial" w:cs="Arial"/>
          <w:i w:val="0"/>
          <w:iCs w:val="0"/>
          <w:color w:val="000000" w:themeColor="text1" w:themeTint="FF" w:themeShade="FF"/>
          <w:sz w:val="24"/>
          <w:szCs w:val="24"/>
        </w:rPr>
        <w:t>3</w:t>
      </w:r>
      <w:r w:rsidRPr="0ED4F347" w:rsidR="4DCA2A36">
        <w:rPr>
          <w:rFonts w:ascii="Arial" w:hAnsi="Arial" w:eastAsia="Arial" w:cs="Arial"/>
          <w:i w:val="0"/>
          <w:iCs w:val="0"/>
          <w:color w:val="000000" w:themeColor="text1" w:themeTint="FF" w:themeShade="FF"/>
          <w:sz w:val="24"/>
          <w:szCs w:val="24"/>
        </w:rPr>
        <w:t>.</w:t>
      </w:r>
    </w:p>
    <w:p w:rsidR="0ED4F347" w:rsidP="0ED4F347" w:rsidRDefault="0ED4F347" w14:paraId="68D1125B" w14:textId="4113F7B3">
      <w:pPr>
        <w:pStyle w:val="GrisIndicaciones"/>
        <w:ind w:left="360"/>
        <w:rPr>
          <w:i w:val="0"/>
          <w:iCs w:val="0"/>
          <w:color w:val="auto"/>
          <w:sz w:val="24"/>
          <w:szCs w:val="24"/>
        </w:rPr>
      </w:pPr>
    </w:p>
    <w:p w:rsidR="00A034C3" w:rsidP="00817C9D" w:rsidRDefault="00FE0B42" w14:paraId="6ABA18CC" w14:textId="18296AC4">
      <w:pPr>
        <w:pStyle w:val="Ttulo1"/>
      </w:pPr>
      <w:bookmarkStart w:name="_Toc206756954" w:id="26"/>
      <w:bookmarkStart w:name="_Toc206758786" w:id="27"/>
      <w:bookmarkStart w:name="_Toc206758802" w:id="28"/>
      <w:bookmarkStart w:name="_Toc206758850" w:id="29"/>
      <w:bookmarkStart w:name="_Toc206758866" w:id="30"/>
      <w:bookmarkStart w:name="_Toc206759089" w:id="31"/>
      <w:bookmarkStart w:name="_Toc206759640" w:id="32"/>
      <w:r>
        <w:t>METODOLOGÍA</w:t>
      </w:r>
      <w:bookmarkEnd w:id="26"/>
      <w:bookmarkEnd w:id="27"/>
      <w:bookmarkEnd w:id="28"/>
      <w:bookmarkEnd w:id="29"/>
      <w:bookmarkEnd w:id="30"/>
      <w:bookmarkEnd w:id="31"/>
      <w:bookmarkEnd w:id="32"/>
    </w:p>
    <w:p w:rsidRPr="000059DC" w:rsidR="00B77B04" w:rsidP="00B77B04" w:rsidRDefault="00B77B04" w14:paraId="57E68EB3" w14:textId="7A338034">
      <w:pPr>
        <w:spacing w:after="160" w:line="278" w:lineRule="auto"/>
        <w:rPr>
          <w:sz w:val="24"/>
          <w:szCs w:val="24"/>
        </w:rPr>
      </w:pPr>
      <w:r w:rsidRPr="0ED4F347" w:rsidR="54DEB064">
        <w:rPr>
          <w:sz w:val="24"/>
          <w:szCs w:val="24"/>
        </w:rPr>
        <w:t xml:space="preserve">La Auditoría Interna de Gestión se centró en revisar cómo actuó la </w:t>
      </w:r>
      <w:r w:rsidRPr="0ED4F347" w:rsidR="470CE2D7">
        <w:rPr>
          <w:sz w:val="24"/>
          <w:szCs w:val="24"/>
        </w:rPr>
        <w:t>Unidad Administración Especial a la Gestión de Riesgos de Desastres (</w:t>
      </w:r>
      <w:r w:rsidRPr="0ED4F347" w:rsidR="54DEB064">
        <w:rPr>
          <w:sz w:val="24"/>
          <w:szCs w:val="24"/>
        </w:rPr>
        <w:t>UAEGRD</w:t>
      </w:r>
      <w:r w:rsidRPr="0ED4F347" w:rsidR="6CB09D11">
        <w:rPr>
          <w:sz w:val="24"/>
          <w:szCs w:val="24"/>
        </w:rPr>
        <w:t>)</w:t>
      </w:r>
      <w:r w:rsidRPr="0ED4F347" w:rsidR="54DEB064">
        <w:rPr>
          <w:sz w:val="24"/>
          <w:szCs w:val="24"/>
        </w:rPr>
        <w:t xml:space="preserve"> frente al sismo ocurrido el 8 de junio de 2025 en los municipios de Medina y </w:t>
      </w:r>
      <w:r w:rsidRPr="0ED4F347" w:rsidR="54DEB064">
        <w:rPr>
          <w:sz w:val="24"/>
          <w:szCs w:val="24"/>
        </w:rPr>
        <w:t>Paratebueno</w:t>
      </w:r>
      <w:r w:rsidRPr="0ED4F347" w:rsidR="54DEB064">
        <w:rPr>
          <w:sz w:val="24"/>
          <w:szCs w:val="24"/>
        </w:rPr>
        <w:t>, en el Departamento de Cundinamarca.</w:t>
      </w:r>
    </w:p>
    <w:p w:rsidRPr="000059DC" w:rsidR="003805DA" w:rsidP="003805DA" w:rsidRDefault="003805DA" w14:paraId="3AA645C2" w14:textId="77777777">
      <w:pPr>
        <w:rPr>
          <w:sz w:val="24"/>
          <w:szCs w:val="24"/>
        </w:rPr>
      </w:pPr>
      <w:r w:rsidRPr="000059DC">
        <w:rPr>
          <w:sz w:val="24"/>
          <w:szCs w:val="24"/>
        </w:rPr>
        <w:t>A partir de este evento, el trabajo se diseñó con un enfoque aplicado y basado en riesgos: se revisaron los principales insumos de gestión de la UAEGRD (planes, procedimientos, informes técnicos, actas, censos y soportes contractuales) y se compararon con lo que realmente sucedió antes, durante y después del sismo del 8 de junio de 2025.</w:t>
      </w:r>
    </w:p>
    <w:p w:rsidRPr="000059DC" w:rsidR="00B45F0B" w:rsidP="00B77B04" w:rsidRDefault="00B45F0B" w14:paraId="5A63C437" w14:textId="77777777">
      <w:pPr>
        <w:rPr>
          <w:sz w:val="24"/>
          <w:szCs w:val="24"/>
        </w:rPr>
      </w:pPr>
    </w:p>
    <w:p w:rsidRPr="000059DC" w:rsidR="003A3B91" w:rsidP="003A3B91" w:rsidRDefault="00B77B04" w14:paraId="52BF1555" w14:textId="410C6D0E">
      <w:pPr>
        <w:rPr>
          <w:sz w:val="24"/>
          <w:szCs w:val="24"/>
        </w:rPr>
      </w:pPr>
      <w:r w:rsidRPr="1C3D137E">
        <w:rPr>
          <w:sz w:val="24"/>
          <w:szCs w:val="24"/>
        </w:rPr>
        <w:t>En particular, se analizó cómo se aplicaron los procedimientos misionales de la Entidad: Procedimiento de Atención de Emergencias M</w:t>
      </w:r>
      <w:r>
        <w:noBreakHyphen/>
      </w:r>
      <w:r w:rsidRPr="1C3D137E">
        <w:rPr>
          <w:sz w:val="24"/>
          <w:szCs w:val="24"/>
        </w:rPr>
        <w:t>FT</w:t>
      </w:r>
      <w:r>
        <w:noBreakHyphen/>
      </w:r>
      <w:r w:rsidRPr="1C3D137E">
        <w:rPr>
          <w:sz w:val="24"/>
          <w:szCs w:val="24"/>
        </w:rPr>
        <w:t>PR</w:t>
      </w:r>
      <w:r>
        <w:noBreakHyphen/>
      </w:r>
      <w:r w:rsidRPr="1C3D137E">
        <w:rPr>
          <w:sz w:val="24"/>
          <w:szCs w:val="24"/>
        </w:rPr>
        <w:t>008, Procedimiento Plan de Acción Específico M</w:t>
      </w:r>
      <w:r>
        <w:noBreakHyphen/>
      </w:r>
      <w:r w:rsidRPr="1C3D137E">
        <w:rPr>
          <w:sz w:val="24"/>
          <w:szCs w:val="24"/>
        </w:rPr>
        <w:t>FT</w:t>
      </w:r>
      <w:r>
        <w:noBreakHyphen/>
      </w:r>
      <w:r w:rsidRPr="1C3D137E">
        <w:rPr>
          <w:sz w:val="24"/>
          <w:szCs w:val="24"/>
        </w:rPr>
        <w:t>PR</w:t>
      </w:r>
      <w:r>
        <w:noBreakHyphen/>
      </w:r>
      <w:r w:rsidRPr="1C3D137E">
        <w:rPr>
          <w:sz w:val="24"/>
          <w:szCs w:val="24"/>
        </w:rPr>
        <w:t>018, Procedimiento de Coordinación Interinstitucional M</w:t>
      </w:r>
      <w:r>
        <w:noBreakHyphen/>
      </w:r>
      <w:r w:rsidRPr="1C3D137E">
        <w:rPr>
          <w:sz w:val="24"/>
          <w:szCs w:val="24"/>
        </w:rPr>
        <w:t>FT</w:t>
      </w:r>
      <w:r>
        <w:noBreakHyphen/>
      </w:r>
      <w:r w:rsidRPr="1C3D137E">
        <w:rPr>
          <w:sz w:val="24"/>
          <w:szCs w:val="24"/>
        </w:rPr>
        <w:t>PR</w:t>
      </w:r>
      <w:r>
        <w:noBreakHyphen/>
      </w:r>
      <w:r w:rsidRPr="1C3D137E">
        <w:rPr>
          <w:sz w:val="24"/>
          <w:szCs w:val="24"/>
        </w:rPr>
        <w:t xml:space="preserve">006 y Procedimiento </w:t>
      </w:r>
      <w:r w:rsidRPr="1C3D137E">
        <w:rPr>
          <w:sz w:val="24"/>
          <w:szCs w:val="24"/>
        </w:rPr>
        <w:lastRenderedPageBreak/>
        <w:t>Entrega de Ayudas Humanitarias M</w:t>
      </w:r>
      <w:r>
        <w:noBreakHyphen/>
      </w:r>
      <w:r w:rsidRPr="1C3D137E">
        <w:rPr>
          <w:sz w:val="24"/>
          <w:szCs w:val="24"/>
        </w:rPr>
        <w:t>FT</w:t>
      </w:r>
      <w:r>
        <w:noBreakHyphen/>
      </w:r>
      <w:r w:rsidRPr="1C3D137E">
        <w:rPr>
          <w:sz w:val="24"/>
          <w:szCs w:val="24"/>
        </w:rPr>
        <w:t>PR</w:t>
      </w:r>
      <w:r>
        <w:noBreakHyphen/>
      </w:r>
      <w:r w:rsidRPr="1C3D137E">
        <w:rPr>
          <w:sz w:val="24"/>
          <w:szCs w:val="24"/>
        </w:rPr>
        <w:t xml:space="preserve">010, todos ellos en el contexto de la atención y recuperación del evento sísmico que afectó a los municipios de Medina y </w:t>
      </w:r>
      <w:proofErr w:type="spellStart"/>
      <w:r w:rsidRPr="1C3D137E">
        <w:rPr>
          <w:sz w:val="24"/>
          <w:szCs w:val="24"/>
        </w:rPr>
        <w:t>Paratebueno</w:t>
      </w:r>
      <w:proofErr w:type="spellEnd"/>
      <w:r w:rsidRPr="1C3D137E">
        <w:rPr>
          <w:sz w:val="24"/>
          <w:szCs w:val="24"/>
        </w:rPr>
        <w:t xml:space="preserve"> el 8 de junio de 2025.</w:t>
      </w:r>
    </w:p>
    <w:p w:rsidR="1C3D137E" w:rsidP="1C3D137E" w:rsidRDefault="1C3D137E" w14:paraId="771178F3" w14:textId="3821DAC6">
      <w:pPr>
        <w:rPr>
          <w:sz w:val="24"/>
          <w:szCs w:val="24"/>
        </w:rPr>
      </w:pPr>
    </w:p>
    <w:p w:rsidR="3FCC5570" w:rsidP="1C3D137E" w:rsidRDefault="3FCC5570" w14:paraId="68B3767B" w14:textId="1B022AC5">
      <w:pPr>
        <w:rPr>
          <w:sz w:val="24"/>
          <w:szCs w:val="24"/>
        </w:rPr>
      </w:pPr>
      <w:r w:rsidRPr="1C3D137E">
        <w:rPr>
          <w:sz w:val="24"/>
          <w:szCs w:val="24"/>
        </w:rPr>
        <w:t>De otro lado, se procedió a revisar el grado de articulación del Plan Departamental para la Gestión del Riesgo de Desastres de Cundinamarca, adoptado en desarrollo de la Ley 1523 de 2012, y el Plan de Desarrollo Departamental aprobado mediante Ordenanza 066 de 2018,</w:t>
      </w:r>
    </w:p>
    <w:p w:rsidRPr="000059DC" w:rsidR="003A3B91" w:rsidP="003A3B91" w:rsidRDefault="003A3B91" w14:paraId="7396F2A7" w14:textId="77777777">
      <w:pPr>
        <w:rPr>
          <w:sz w:val="24"/>
          <w:szCs w:val="24"/>
        </w:rPr>
      </w:pPr>
    </w:p>
    <w:p w:rsidRPr="000059DC" w:rsidR="00B77B04" w:rsidP="003A3B91" w:rsidRDefault="00B77B04" w14:paraId="0BC11061" w14:textId="07A22CA2">
      <w:pPr>
        <w:rPr>
          <w:sz w:val="24"/>
          <w:szCs w:val="24"/>
        </w:rPr>
      </w:pPr>
      <w:r w:rsidRPr="000059DC">
        <w:rPr>
          <w:sz w:val="24"/>
          <w:szCs w:val="24"/>
        </w:rPr>
        <w:t>La auditoría combinó dos tipos de análisis:</w:t>
      </w:r>
    </w:p>
    <w:p w:rsidRPr="000059DC" w:rsidR="003A3B91" w:rsidP="003A3B91" w:rsidRDefault="003A3B91" w14:paraId="5C69B442" w14:textId="77777777">
      <w:pPr>
        <w:rPr>
          <w:sz w:val="24"/>
          <w:szCs w:val="24"/>
        </w:rPr>
      </w:pPr>
    </w:p>
    <w:p w:rsidRPr="000059DC" w:rsidR="00B77B04" w:rsidP="00153268" w:rsidRDefault="00B77B04" w14:paraId="089E1E2D" w14:textId="568411F1">
      <w:pPr>
        <w:numPr>
          <w:ilvl w:val="0"/>
          <w:numId w:val="13"/>
        </w:numPr>
        <w:spacing w:after="160" w:line="278" w:lineRule="auto"/>
        <w:rPr>
          <w:sz w:val="24"/>
          <w:szCs w:val="24"/>
        </w:rPr>
      </w:pPr>
      <w:r w:rsidRPr="1C3D137E">
        <w:rPr>
          <w:sz w:val="24"/>
          <w:szCs w:val="24"/>
        </w:rPr>
        <w:t xml:space="preserve">Una revisión cualitativa, verificando el cumplimiento de la normativa (Ley 1523 de 2012, Ordenanza 066 de 2018, </w:t>
      </w:r>
      <w:r w:rsidRPr="1C3D137E" w:rsidR="3E1D0FF3">
        <w:rPr>
          <w:sz w:val="24"/>
          <w:szCs w:val="24"/>
        </w:rPr>
        <w:t xml:space="preserve">Ordenanza 140 de 2012 y </w:t>
      </w:r>
      <w:r w:rsidRPr="1C3D137E">
        <w:rPr>
          <w:sz w:val="24"/>
          <w:szCs w:val="24"/>
        </w:rPr>
        <w:t xml:space="preserve">Decreto </w:t>
      </w:r>
      <w:proofErr w:type="spellStart"/>
      <w:r w:rsidRPr="1C3D137E">
        <w:rPr>
          <w:sz w:val="24"/>
          <w:szCs w:val="24"/>
        </w:rPr>
        <w:t>Ordenanzal</w:t>
      </w:r>
      <w:proofErr w:type="spellEnd"/>
      <w:r w:rsidRPr="1C3D137E">
        <w:rPr>
          <w:sz w:val="24"/>
          <w:szCs w:val="24"/>
        </w:rPr>
        <w:t xml:space="preserve"> 406) y de las actividades previstas en los procedimientos M</w:t>
      </w:r>
      <w:r>
        <w:noBreakHyphen/>
      </w:r>
      <w:r w:rsidRPr="1C3D137E">
        <w:rPr>
          <w:sz w:val="24"/>
          <w:szCs w:val="24"/>
        </w:rPr>
        <w:t>FT</w:t>
      </w:r>
      <w:r>
        <w:noBreakHyphen/>
      </w:r>
      <w:r w:rsidRPr="1C3D137E">
        <w:rPr>
          <w:sz w:val="24"/>
          <w:szCs w:val="24"/>
        </w:rPr>
        <w:t>PR</w:t>
      </w:r>
      <w:r>
        <w:noBreakHyphen/>
      </w:r>
      <w:r w:rsidRPr="1C3D137E">
        <w:rPr>
          <w:sz w:val="24"/>
          <w:szCs w:val="24"/>
        </w:rPr>
        <w:t>008, M</w:t>
      </w:r>
      <w:r>
        <w:noBreakHyphen/>
      </w:r>
      <w:r w:rsidRPr="1C3D137E">
        <w:rPr>
          <w:sz w:val="24"/>
          <w:szCs w:val="24"/>
        </w:rPr>
        <w:t>FT</w:t>
      </w:r>
      <w:r>
        <w:noBreakHyphen/>
      </w:r>
      <w:r w:rsidRPr="1C3D137E">
        <w:rPr>
          <w:sz w:val="24"/>
          <w:szCs w:val="24"/>
        </w:rPr>
        <w:t>PR</w:t>
      </w:r>
      <w:r>
        <w:noBreakHyphen/>
      </w:r>
      <w:r w:rsidRPr="1C3D137E">
        <w:rPr>
          <w:sz w:val="24"/>
          <w:szCs w:val="24"/>
        </w:rPr>
        <w:t>018, M</w:t>
      </w:r>
      <w:r>
        <w:noBreakHyphen/>
      </w:r>
      <w:r w:rsidRPr="1C3D137E">
        <w:rPr>
          <w:sz w:val="24"/>
          <w:szCs w:val="24"/>
        </w:rPr>
        <w:t>FT</w:t>
      </w:r>
      <w:r>
        <w:noBreakHyphen/>
      </w:r>
      <w:r w:rsidRPr="1C3D137E">
        <w:rPr>
          <w:sz w:val="24"/>
          <w:szCs w:val="24"/>
        </w:rPr>
        <w:t>PR</w:t>
      </w:r>
      <w:r>
        <w:noBreakHyphen/>
      </w:r>
      <w:r w:rsidRPr="1C3D137E">
        <w:rPr>
          <w:sz w:val="24"/>
          <w:szCs w:val="24"/>
        </w:rPr>
        <w:t>006 y M</w:t>
      </w:r>
      <w:r>
        <w:noBreakHyphen/>
      </w:r>
      <w:r w:rsidRPr="1C3D137E">
        <w:rPr>
          <w:sz w:val="24"/>
          <w:szCs w:val="24"/>
        </w:rPr>
        <w:t>FT</w:t>
      </w:r>
      <w:r>
        <w:noBreakHyphen/>
      </w:r>
      <w:r w:rsidRPr="1C3D137E">
        <w:rPr>
          <w:sz w:val="24"/>
          <w:szCs w:val="24"/>
        </w:rPr>
        <w:t>PR</w:t>
      </w:r>
      <w:r>
        <w:noBreakHyphen/>
      </w:r>
      <w:r w:rsidRPr="1C3D137E">
        <w:rPr>
          <w:sz w:val="24"/>
          <w:szCs w:val="24"/>
        </w:rPr>
        <w:t>010 para cada fase del manejo del desastre.</w:t>
      </w:r>
    </w:p>
    <w:p w:rsidR="691A930C" w:rsidP="00153268" w:rsidRDefault="691A930C" w14:paraId="4C86F6EB" w14:textId="5901802B">
      <w:pPr>
        <w:numPr>
          <w:ilvl w:val="0"/>
          <w:numId w:val="13"/>
        </w:numPr>
        <w:spacing w:after="160" w:line="278" w:lineRule="auto"/>
        <w:rPr>
          <w:rFonts w:eastAsia="Arial"/>
          <w:sz w:val="24"/>
          <w:szCs w:val="24"/>
        </w:rPr>
      </w:pPr>
      <w:r w:rsidRPr="1C3D137E">
        <w:rPr>
          <w:rFonts w:eastAsia="Arial"/>
          <w:sz w:val="24"/>
          <w:szCs w:val="24"/>
        </w:rPr>
        <w:t>Se realizó una valoración cuantitativa mediante el uso, en los papeles de trabajo, de una rúbrica como la presentada en la Tabla 1. A partir del número de actividades de los procedimientos y de los artículos de la Ley 1523 de 2012, se determinó la calificación máxima posible y, con base en esta, se calculó el porcentaje de cumplimiento.</w:t>
      </w:r>
    </w:p>
    <w:p w:rsidR="691A930C" w:rsidP="0ED4F347" w:rsidRDefault="691A930C" w14:paraId="4F5257FD" w14:textId="5188C0C9">
      <w:pPr>
        <w:spacing w:after="160" w:line="278" w:lineRule="auto"/>
        <w:ind w:left="360"/>
        <w:rPr>
          <w:rFonts w:eastAsia="Arial"/>
          <w:sz w:val="24"/>
          <w:szCs w:val="24"/>
        </w:rPr>
      </w:pPr>
      <w:r w:rsidRPr="0ED4F347" w:rsidR="71DBCAD2">
        <w:rPr>
          <w:rFonts w:eastAsia="Arial"/>
          <w:sz w:val="24"/>
          <w:szCs w:val="24"/>
        </w:rPr>
        <w:t>Esta herramienta permitió asignar puntajes a las actividades y controles de los procedimientos evaluados, así como calcular los porcentajes de cumplimiento y clasificar los resultados en niveles de desempeño: “cumple”, “cumple parcialmente”</w:t>
      </w:r>
      <w:r w:rsidRPr="0ED4F347" w:rsidR="23289F9C">
        <w:rPr>
          <w:rFonts w:eastAsia="Arial"/>
          <w:sz w:val="24"/>
          <w:szCs w:val="24"/>
        </w:rPr>
        <w:t xml:space="preserve">, “cumple recomendación” </w:t>
      </w:r>
      <w:r w:rsidRPr="0ED4F347" w:rsidR="71DBCAD2">
        <w:rPr>
          <w:rFonts w:eastAsia="Arial"/>
          <w:sz w:val="24"/>
          <w:szCs w:val="24"/>
        </w:rPr>
        <w:t>y “no cumple”, de acuerdo con los rangos establecidos. Asimismo, se asociaron los respectivos hallazgos: “cumplimiento”, “oportunidad de mejora”</w:t>
      </w:r>
      <w:r w:rsidRPr="0ED4F347" w:rsidR="475749DD">
        <w:rPr>
          <w:rFonts w:eastAsia="Arial"/>
          <w:sz w:val="24"/>
          <w:szCs w:val="24"/>
        </w:rPr>
        <w:t xml:space="preserve">, “recomendación” </w:t>
      </w:r>
      <w:r w:rsidRPr="0ED4F347" w:rsidR="71DBCAD2">
        <w:rPr>
          <w:rFonts w:eastAsia="Arial"/>
          <w:sz w:val="24"/>
          <w:szCs w:val="24"/>
        </w:rPr>
        <w:t>e “incumplimiento”, como se muestra en la Tabla 2.</w:t>
      </w:r>
    </w:p>
    <w:p w:rsidR="0ED4F347" w:rsidP="0ED4F347" w:rsidRDefault="0ED4F347" w14:paraId="787F5588" w14:textId="171190C9">
      <w:pPr>
        <w:spacing w:after="160" w:line="278" w:lineRule="auto"/>
        <w:ind w:left="360"/>
        <w:rPr>
          <w:rFonts w:eastAsia="Arial"/>
          <w:sz w:val="24"/>
          <w:szCs w:val="24"/>
        </w:rPr>
      </w:pPr>
    </w:p>
    <w:p w:rsidR="0ED4F347" w:rsidP="0ED4F347" w:rsidRDefault="0ED4F347" w14:paraId="7F212A18" w14:textId="7D1FDCC2">
      <w:pPr>
        <w:spacing w:after="160" w:line="278" w:lineRule="auto"/>
        <w:ind w:left="360"/>
        <w:rPr>
          <w:rFonts w:eastAsia="Arial"/>
          <w:sz w:val="24"/>
          <w:szCs w:val="24"/>
        </w:rPr>
      </w:pPr>
    </w:p>
    <w:p w:rsidR="604DC1C5" w:rsidP="1C3D137E" w:rsidRDefault="604DC1C5" w14:paraId="672053C8" w14:textId="175FD50D">
      <w:pPr>
        <w:spacing w:after="160" w:line="278" w:lineRule="auto"/>
        <w:ind w:left="360"/>
        <w:rPr>
          <w:rFonts w:eastAsia="Arial"/>
          <w:sz w:val="24"/>
          <w:szCs w:val="24"/>
        </w:rPr>
      </w:pPr>
      <w:r w:rsidRPr="0ED4F347" w:rsidR="6688B21A">
        <w:rPr>
          <w:rFonts w:eastAsia="Arial"/>
          <w:sz w:val="24"/>
          <w:szCs w:val="24"/>
        </w:rPr>
        <w:t>Tabla 1</w:t>
      </w:r>
      <w:r w:rsidRPr="0ED4F347" w:rsidR="3F6D1D70">
        <w:rPr>
          <w:rFonts w:eastAsia="Arial"/>
          <w:sz w:val="24"/>
          <w:szCs w:val="24"/>
        </w:rPr>
        <w:t xml:space="preserve">. </w:t>
      </w:r>
      <w:r w:rsidRPr="0ED4F347" w:rsidR="50F1D864">
        <w:rPr>
          <w:rFonts w:eastAsia="Arial"/>
          <w:sz w:val="24"/>
          <w:szCs w:val="24"/>
        </w:rPr>
        <w:t>Escala de cumplimiento</w:t>
      </w:r>
      <w:r w:rsidRPr="0ED4F347" w:rsidR="67B88D51">
        <w:rPr>
          <w:rFonts w:eastAsia="Arial"/>
          <w:sz w:val="24"/>
          <w:szCs w:val="24"/>
        </w:rPr>
        <w:t>.</w:t>
      </w:r>
    </w:p>
    <w:tbl>
      <w:tblPr>
        <w:tblStyle w:val="Tablaconcuadrcula"/>
        <w:tblW w:w="0" w:type="auto"/>
        <w:jc w:val="center"/>
        <w:tblLook w:val="06A0" w:firstRow="1" w:lastRow="0" w:firstColumn="1" w:lastColumn="0" w:noHBand="1" w:noVBand="1"/>
      </w:tblPr>
      <w:tblGrid>
        <w:gridCol w:w="3510"/>
        <w:gridCol w:w="3510"/>
      </w:tblGrid>
      <w:tr w:rsidR="1C3D137E" w:rsidTr="0ED4F347" w14:paraId="5DE62319" w14:textId="77777777">
        <w:trPr>
          <w:trHeight w:val="330"/>
          <w:jc w:val="center"/>
        </w:trPr>
        <w:tc>
          <w:tcPr>
            <w:tcW w:w="3510" w:type="dxa"/>
            <w:shd w:val="clear" w:color="auto" w:fill="D9E2F3" w:themeFill="accent5" w:themeFillTint="33"/>
            <w:tcMar/>
          </w:tcPr>
          <w:p w:rsidR="1C3D137E" w:rsidP="0ED4F347" w:rsidRDefault="1C3D137E" w14:paraId="1C834620" w14:textId="709C96FD">
            <w:pPr>
              <w:jc w:val="center"/>
              <w:rPr>
                <w:b w:val="1"/>
                <w:bCs w:val="1"/>
                <w:sz w:val="24"/>
                <w:szCs w:val="24"/>
              </w:rPr>
            </w:pPr>
            <w:r w:rsidRPr="0ED4F347" w:rsidR="28B33C6B">
              <w:rPr>
                <w:b w:val="1"/>
                <w:bCs w:val="1"/>
                <w:sz w:val="24"/>
                <w:szCs w:val="24"/>
              </w:rPr>
              <w:t>Resultado</w:t>
            </w:r>
          </w:p>
        </w:tc>
        <w:tc>
          <w:tcPr>
            <w:tcW w:w="3510" w:type="dxa"/>
            <w:shd w:val="clear" w:color="auto" w:fill="D9E2F3" w:themeFill="accent5" w:themeFillTint="33"/>
            <w:tcMar/>
          </w:tcPr>
          <w:p w:rsidR="58699314" w:rsidP="0ED4F347" w:rsidRDefault="58699314" w14:paraId="69E8887F" w14:textId="7D5A4849">
            <w:pPr>
              <w:jc w:val="center"/>
              <w:rPr>
                <w:b w:val="1"/>
                <w:bCs w:val="1"/>
                <w:sz w:val="24"/>
                <w:szCs w:val="24"/>
              </w:rPr>
            </w:pPr>
            <w:r w:rsidRPr="0ED4F347" w:rsidR="1D6E3FDA">
              <w:rPr>
                <w:b w:val="1"/>
                <w:bCs w:val="1"/>
                <w:sz w:val="24"/>
                <w:szCs w:val="24"/>
              </w:rPr>
              <w:t>Valor asignado</w:t>
            </w:r>
          </w:p>
        </w:tc>
      </w:tr>
      <w:tr w:rsidR="1C3D137E" w:rsidTr="0ED4F347" w14:paraId="0D45785A" w14:textId="77777777">
        <w:trPr>
          <w:trHeight w:val="300"/>
          <w:jc w:val="center"/>
        </w:trPr>
        <w:tc>
          <w:tcPr>
            <w:tcW w:w="3510" w:type="dxa"/>
            <w:tcMar/>
          </w:tcPr>
          <w:p w:rsidR="1C3D137E" w:rsidP="1C3D137E" w:rsidRDefault="1C3D137E" w14:paraId="567EE4F9" w14:textId="50792048">
            <w:pPr>
              <w:jc w:val="left"/>
              <w:rPr>
                <w:sz w:val="24"/>
                <w:szCs w:val="24"/>
              </w:rPr>
            </w:pPr>
            <w:r w:rsidRPr="1C3D137E">
              <w:rPr>
                <w:sz w:val="24"/>
                <w:szCs w:val="24"/>
              </w:rPr>
              <w:t>Cumple</w:t>
            </w:r>
          </w:p>
        </w:tc>
        <w:tc>
          <w:tcPr>
            <w:tcW w:w="3510" w:type="dxa"/>
            <w:tcMar/>
          </w:tcPr>
          <w:p w:rsidR="501C8D65" w:rsidP="0ED4F347" w:rsidRDefault="501C8D65" w14:paraId="6498A14E" w14:textId="2B5828E0">
            <w:pPr>
              <w:jc w:val="center"/>
              <w:rPr>
                <w:sz w:val="24"/>
                <w:szCs w:val="24"/>
              </w:rPr>
            </w:pPr>
            <w:r w:rsidRPr="0ED4F347" w:rsidR="28576592">
              <w:rPr>
                <w:sz w:val="24"/>
                <w:szCs w:val="24"/>
              </w:rPr>
              <w:t>2</w:t>
            </w:r>
          </w:p>
        </w:tc>
      </w:tr>
      <w:tr w:rsidR="1C3D137E" w:rsidTr="0ED4F347" w14:paraId="308A85E1" w14:textId="77777777">
        <w:trPr>
          <w:trHeight w:val="300"/>
          <w:jc w:val="center"/>
        </w:trPr>
        <w:tc>
          <w:tcPr>
            <w:tcW w:w="3510" w:type="dxa"/>
            <w:tcMar/>
          </w:tcPr>
          <w:p w:rsidR="1C3D137E" w:rsidP="1C3D137E" w:rsidRDefault="1C3D137E" w14:paraId="5E4D6BA9" w14:textId="029BB005">
            <w:pPr>
              <w:jc w:val="left"/>
              <w:rPr>
                <w:sz w:val="24"/>
                <w:szCs w:val="24"/>
              </w:rPr>
            </w:pPr>
            <w:r w:rsidRPr="1C3D137E">
              <w:rPr>
                <w:sz w:val="24"/>
                <w:szCs w:val="24"/>
              </w:rPr>
              <w:t>Cumple Parcialmente</w:t>
            </w:r>
          </w:p>
        </w:tc>
        <w:tc>
          <w:tcPr>
            <w:tcW w:w="3510" w:type="dxa"/>
            <w:tcMar/>
          </w:tcPr>
          <w:p w:rsidR="78463DDC" w:rsidP="0ED4F347" w:rsidRDefault="78463DDC" w14:paraId="36FF611E" w14:textId="5DC3113F">
            <w:pPr>
              <w:jc w:val="center"/>
              <w:rPr>
                <w:sz w:val="24"/>
                <w:szCs w:val="24"/>
              </w:rPr>
            </w:pPr>
            <w:r w:rsidRPr="0ED4F347" w:rsidR="3C2A8F38">
              <w:rPr>
                <w:sz w:val="24"/>
                <w:szCs w:val="24"/>
              </w:rPr>
              <w:t>1</w:t>
            </w:r>
          </w:p>
        </w:tc>
      </w:tr>
      <w:tr w:rsidR="1C3D137E" w:rsidTr="0ED4F347" w14:paraId="759027D0" w14:textId="77777777">
        <w:trPr>
          <w:trHeight w:val="300"/>
          <w:jc w:val="center"/>
        </w:trPr>
        <w:tc>
          <w:tcPr>
            <w:tcW w:w="3510" w:type="dxa"/>
            <w:tcMar/>
          </w:tcPr>
          <w:p w:rsidR="1C3D137E" w:rsidP="1C3D137E" w:rsidRDefault="1C3D137E" w14:paraId="5013BB33" w14:textId="1F200341">
            <w:pPr>
              <w:jc w:val="left"/>
              <w:rPr>
                <w:sz w:val="24"/>
                <w:szCs w:val="24"/>
              </w:rPr>
            </w:pPr>
            <w:r w:rsidRPr="1C3D137E">
              <w:rPr>
                <w:sz w:val="24"/>
                <w:szCs w:val="24"/>
              </w:rPr>
              <w:t>No cumple</w:t>
            </w:r>
          </w:p>
        </w:tc>
        <w:tc>
          <w:tcPr>
            <w:tcW w:w="3510" w:type="dxa"/>
            <w:tcMar/>
          </w:tcPr>
          <w:p w:rsidR="330BFBB0" w:rsidP="0ED4F347" w:rsidRDefault="330BFBB0" w14:paraId="7805195E" w14:textId="6F029294">
            <w:pPr>
              <w:jc w:val="center"/>
              <w:rPr>
                <w:sz w:val="24"/>
                <w:szCs w:val="24"/>
              </w:rPr>
            </w:pPr>
            <w:r w:rsidRPr="0ED4F347" w:rsidR="5F5AFA62">
              <w:rPr>
                <w:sz w:val="24"/>
                <w:szCs w:val="24"/>
              </w:rPr>
              <w:t>0</w:t>
            </w:r>
          </w:p>
        </w:tc>
      </w:tr>
    </w:tbl>
    <w:p w:rsidR="1C3D137E" w:rsidP="0ED4F347" w:rsidRDefault="1C3D137E" w14:paraId="4236514D" w14:textId="773430AC">
      <w:pPr>
        <w:spacing w:after="160" w:line="278" w:lineRule="auto"/>
        <w:ind w:left="360"/>
        <w:jc w:val="center"/>
        <w:rPr>
          <w:rFonts w:eastAsia="Arial"/>
          <w:sz w:val="16"/>
          <w:szCs w:val="16"/>
        </w:rPr>
      </w:pPr>
      <w:r w:rsidRPr="0ED4F347" w:rsidR="3FE85BD5">
        <w:rPr>
          <w:rFonts w:eastAsia="Arial"/>
          <w:sz w:val="16"/>
          <w:szCs w:val="16"/>
        </w:rPr>
        <w:t>Fuente: Elaboración propia, tomada de la Contraloría de Bogotá.</w:t>
      </w:r>
    </w:p>
    <w:p w:rsidR="0DB1AE06" w:rsidP="1C3D137E" w:rsidRDefault="0DB1AE06" w14:paraId="166E2AAA" w14:textId="7459C0EB">
      <w:pPr>
        <w:spacing w:after="160" w:line="278" w:lineRule="auto"/>
        <w:ind w:left="360"/>
        <w:rPr>
          <w:sz w:val="24"/>
          <w:szCs w:val="24"/>
        </w:rPr>
      </w:pPr>
      <w:r w:rsidRPr="0ED4F347" w:rsidR="098E1443">
        <w:rPr>
          <w:sz w:val="24"/>
          <w:szCs w:val="24"/>
        </w:rPr>
        <w:t xml:space="preserve">Tabla </w:t>
      </w:r>
      <w:r w:rsidRPr="0ED4F347" w:rsidR="4105EF1D">
        <w:rPr>
          <w:sz w:val="24"/>
          <w:szCs w:val="24"/>
        </w:rPr>
        <w:t>2</w:t>
      </w:r>
      <w:r w:rsidRPr="0ED4F347" w:rsidR="06DF2859">
        <w:rPr>
          <w:sz w:val="24"/>
          <w:szCs w:val="24"/>
        </w:rPr>
        <w:t xml:space="preserve">. </w:t>
      </w:r>
      <w:r w:rsidRPr="0ED4F347" w:rsidR="49438567">
        <w:rPr>
          <w:sz w:val="24"/>
          <w:szCs w:val="24"/>
        </w:rPr>
        <w:t>Rango de clasificación y resultados</w:t>
      </w:r>
      <w:r w:rsidRPr="0ED4F347" w:rsidR="5E7D434C">
        <w:rPr>
          <w:sz w:val="24"/>
          <w:szCs w:val="24"/>
        </w:rPr>
        <w:t>.</w:t>
      </w:r>
    </w:p>
    <w:tbl>
      <w:tblPr>
        <w:tblStyle w:val="Tablaconcuadrcula"/>
        <w:tblW w:w="0" w:type="auto"/>
        <w:jc w:val="center"/>
        <w:tblLook w:val="06A0" w:firstRow="1" w:lastRow="0" w:firstColumn="1" w:lastColumn="0" w:noHBand="1" w:noVBand="1"/>
      </w:tblPr>
      <w:tblGrid>
        <w:gridCol w:w="3509"/>
        <w:gridCol w:w="3510"/>
        <w:gridCol w:w="3510"/>
      </w:tblGrid>
      <w:tr w:rsidR="1C3D137E" w:rsidTr="0ED4F347" w14:paraId="48A0F8B1" w14:textId="77777777">
        <w:trPr>
          <w:trHeight w:val="330"/>
        </w:trPr>
        <w:tc>
          <w:tcPr>
            <w:tcW w:w="3510" w:type="dxa"/>
            <w:shd w:val="clear" w:color="auto" w:fill="D9E2F3" w:themeFill="accent5" w:themeFillTint="33"/>
            <w:tcMar/>
          </w:tcPr>
          <w:p w:rsidR="4F76CC9F" w:rsidP="0ED4F347" w:rsidRDefault="4F76CC9F" w14:paraId="0E8AF90E" w14:textId="03FFB2CD">
            <w:pPr>
              <w:jc w:val="center"/>
              <w:rPr>
                <w:b w:val="1"/>
                <w:bCs w:val="1"/>
                <w:sz w:val="24"/>
                <w:szCs w:val="24"/>
              </w:rPr>
            </w:pPr>
            <w:r w:rsidRPr="0ED4F347" w:rsidR="3C7ABF10">
              <w:rPr>
                <w:b w:val="1"/>
                <w:bCs w:val="1"/>
                <w:sz w:val="24"/>
                <w:szCs w:val="24"/>
              </w:rPr>
              <w:t>Rango</w:t>
            </w:r>
          </w:p>
        </w:tc>
        <w:tc>
          <w:tcPr>
            <w:tcW w:w="3510" w:type="dxa"/>
            <w:shd w:val="clear" w:color="auto" w:fill="D9E2F3" w:themeFill="accent5" w:themeFillTint="33"/>
            <w:tcMar/>
          </w:tcPr>
          <w:p w:rsidR="2FC4E0F8" w:rsidP="0ED4F347" w:rsidRDefault="2FC4E0F8" w14:paraId="690808A8" w14:textId="709C96FD">
            <w:pPr>
              <w:jc w:val="center"/>
              <w:rPr>
                <w:b w:val="1"/>
                <w:bCs w:val="1"/>
                <w:sz w:val="24"/>
                <w:szCs w:val="24"/>
              </w:rPr>
            </w:pPr>
            <w:r w:rsidRPr="0ED4F347" w:rsidR="024681B3">
              <w:rPr>
                <w:b w:val="1"/>
                <w:bCs w:val="1"/>
                <w:sz w:val="24"/>
                <w:szCs w:val="24"/>
              </w:rPr>
              <w:t>Resultado</w:t>
            </w:r>
          </w:p>
        </w:tc>
        <w:tc>
          <w:tcPr>
            <w:tcW w:w="3510" w:type="dxa"/>
            <w:shd w:val="clear" w:color="auto" w:fill="D9E2F3" w:themeFill="accent5" w:themeFillTint="33"/>
            <w:tcMar/>
          </w:tcPr>
          <w:p w:rsidR="2FC4E0F8" w:rsidP="0ED4F347" w:rsidRDefault="2FC4E0F8" w14:paraId="07162CF9" w14:textId="11678507">
            <w:pPr>
              <w:jc w:val="center"/>
              <w:rPr>
                <w:b w:val="1"/>
                <w:bCs w:val="1"/>
                <w:sz w:val="24"/>
                <w:szCs w:val="24"/>
              </w:rPr>
            </w:pPr>
            <w:r w:rsidRPr="0ED4F347" w:rsidR="024681B3">
              <w:rPr>
                <w:b w:val="1"/>
                <w:bCs w:val="1"/>
                <w:sz w:val="24"/>
                <w:szCs w:val="24"/>
              </w:rPr>
              <w:t>Hallazgo</w:t>
            </w:r>
          </w:p>
        </w:tc>
      </w:tr>
      <w:tr w:rsidR="1C3D137E" w:rsidTr="0ED4F347" w14:paraId="10FE0965" w14:textId="77777777">
        <w:trPr>
          <w:trHeight w:val="300"/>
        </w:trPr>
        <w:tc>
          <w:tcPr>
            <w:tcW w:w="3510" w:type="dxa"/>
            <w:tcMar/>
          </w:tcPr>
          <w:p w:rsidR="2FC4E0F8" w:rsidP="0ED4F347" w:rsidRDefault="2FC4E0F8" w14:paraId="2EC772EA" w14:textId="34174451">
            <w:pPr>
              <w:jc w:val="center"/>
              <w:rPr>
                <w:sz w:val="24"/>
                <w:szCs w:val="24"/>
              </w:rPr>
            </w:pPr>
            <w:r w:rsidRPr="0ED4F347" w:rsidR="024681B3">
              <w:rPr>
                <w:sz w:val="24"/>
                <w:szCs w:val="24"/>
              </w:rPr>
              <w:t>100</w:t>
            </w:r>
          </w:p>
        </w:tc>
        <w:tc>
          <w:tcPr>
            <w:tcW w:w="3510" w:type="dxa"/>
            <w:tcMar/>
          </w:tcPr>
          <w:p w:rsidR="2FC4E0F8" w:rsidP="1C3D137E" w:rsidRDefault="2FC4E0F8" w14:paraId="1747113C" w14:textId="50792048">
            <w:pPr>
              <w:rPr>
                <w:sz w:val="24"/>
                <w:szCs w:val="24"/>
              </w:rPr>
            </w:pPr>
            <w:r w:rsidRPr="1C3D137E">
              <w:rPr>
                <w:sz w:val="24"/>
                <w:szCs w:val="24"/>
              </w:rPr>
              <w:t>Cumple</w:t>
            </w:r>
          </w:p>
        </w:tc>
        <w:tc>
          <w:tcPr>
            <w:tcW w:w="3510" w:type="dxa"/>
            <w:tcMar/>
          </w:tcPr>
          <w:p w:rsidR="2FC4E0F8" w:rsidP="1C3D137E" w:rsidRDefault="2FC4E0F8" w14:paraId="3E2F2452" w14:textId="7F691391">
            <w:pPr>
              <w:rPr>
                <w:sz w:val="24"/>
                <w:szCs w:val="24"/>
              </w:rPr>
            </w:pPr>
            <w:r w:rsidRPr="1C3D137E">
              <w:rPr>
                <w:sz w:val="24"/>
                <w:szCs w:val="24"/>
              </w:rPr>
              <w:t>Cumplimiento</w:t>
            </w:r>
          </w:p>
        </w:tc>
      </w:tr>
      <w:tr w:rsidR="0ED4F347" w:rsidTr="0ED4F347" w14:paraId="3F101EA3">
        <w:trPr>
          <w:trHeight w:val="300"/>
        </w:trPr>
        <w:tc>
          <w:tcPr>
            <w:tcW w:w="3509" w:type="dxa"/>
            <w:tcMar/>
          </w:tcPr>
          <w:p w:rsidR="2AED1578" w:rsidP="0ED4F347" w:rsidRDefault="2AED1578" w14:paraId="2F4E5533" w14:textId="2660DEBA">
            <w:pPr>
              <w:pStyle w:val="Normal"/>
              <w:jc w:val="center"/>
              <w:rPr>
                <w:sz w:val="24"/>
                <w:szCs w:val="24"/>
              </w:rPr>
            </w:pPr>
            <w:r w:rsidRPr="0ED4F347" w:rsidR="2AED1578">
              <w:rPr>
                <w:sz w:val="24"/>
                <w:szCs w:val="24"/>
              </w:rPr>
              <w:t>91-99</w:t>
            </w:r>
          </w:p>
        </w:tc>
        <w:tc>
          <w:tcPr>
            <w:tcW w:w="3510" w:type="dxa"/>
            <w:tcMar/>
          </w:tcPr>
          <w:p w:rsidR="2AED1578" w:rsidP="0ED4F347" w:rsidRDefault="2AED1578" w14:paraId="39AC595F" w14:textId="378619F6">
            <w:pPr>
              <w:pStyle w:val="Normal"/>
              <w:rPr>
                <w:sz w:val="24"/>
                <w:szCs w:val="24"/>
              </w:rPr>
            </w:pPr>
            <w:r w:rsidRPr="0ED4F347" w:rsidR="2AED1578">
              <w:rPr>
                <w:sz w:val="24"/>
                <w:szCs w:val="24"/>
              </w:rPr>
              <w:t>Cumple</w:t>
            </w:r>
          </w:p>
        </w:tc>
        <w:tc>
          <w:tcPr>
            <w:tcW w:w="3510" w:type="dxa"/>
            <w:tcMar/>
          </w:tcPr>
          <w:p w:rsidR="2AED1578" w:rsidP="0ED4F347" w:rsidRDefault="2AED1578" w14:paraId="04E4D992" w14:textId="31886ADE">
            <w:pPr>
              <w:pStyle w:val="Normal"/>
              <w:rPr>
                <w:sz w:val="24"/>
                <w:szCs w:val="24"/>
              </w:rPr>
            </w:pPr>
            <w:r w:rsidRPr="0ED4F347" w:rsidR="2AED1578">
              <w:rPr>
                <w:sz w:val="24"/>
                <w:szCs w:val="24"/>
              </w:rPr>
              <w:t>Recomendación</w:t>
            </w:r>
          </w:p>
        </w:tc>
      </w:tr>
      <w:tr w:rsidR="1C3D137E" w:rsidTr="0ED4F347" w14:paraId="197D9A83" w14:textId="77777777">
        <w:trPr>
          <w:trHeight w:val="300"/>
        </w:trPr>
        <w:tc>
          <w:tcPr>
            <w:tcW w:w="3510" w:type="dxa"/>
            <w:tcMar/>
          </w:tcPr>
          <w:p w:rsidR="2FC4E0F8" w:rsidP="0ED4F347" w:rsidRDefault="2FC4E0F8" w14:paraId="19598E88" w14:textId="7A088D2D">
            <w:pPr>
              <w:jc w:val="center"/>
              <w:rPr>
                <w:sz w:val="24"/>
                <w:szCs w:val="24"/>
              </w:rPr>
            </w:pPr>
            <w:r w:rsidRPr="0ED4F347" w:rsidR="024681B3">
              <w:rPr>
                <w:sz w:val="24"/>
                <w:szCs w:val="24"/>
              </w:rPr>
              <w:t>80-90</w:t>
            </w:r>
          </w:p>
        </w:tc>
        <w:tc>
          <w:tcPr>
            <w:tcW w:w="3510" w:type="dxa"/>
            <w:tcMar/>
          </w:tcPr>
          <w:p w:rsidR="2FC4E0F8" w:rsidP="1C3D137E" w:rsidRDefault="2FC4E0F8" w14:paraId="24E659E0" w14:textId="029BB005">
            <w:pPr>
              <w:rPr>
                <w:sz w:val="24"/>
                <w:szCs w:val="24"/>
              </w:rPr>
            </w:pPr>
            <w:r w:rsidRPr="1C3D137E">
              <w:rPr>
                <w:sz w:val="24"/>
                <w:szCs w:val="24"/>
              </w:rPr>
              <w:t>Cumple Parcialmente</w:t>
            </w:r>
          </w:p>
        </w:tc>
        <w:tc>
          <w:tcPr>
            <w:tcW w:w="3510" w:type="dxa"/>
            <w:tcMar/>
          </w:tcPr>
          <w:p w:rsidR="09C5AF7A" w:rsidP="1C3D137E" w:rsidRDefault="09C5AF7A" w14:paraId="29B14D45" w14:textId="5F5A4E39">
            <w:pPr>
              <w:rPr>
                <w:sz w:val="24"/>
                <w:szCs w:val="24"/>
              </w:rPr>
            </w:pPr>
            <w:r w:rsidRPr="1C3D137E">
              <w:rPr>
                <w:sz w:val="24"/>
                <w:szCs w:val="24"/>
              </w:rPr>
              <w:t>Oportunidad de mejora</w:t>
            </w:r>
          </w:p>
        </w:tc>
      </w:tr>
      <w:tr w:rsidR="1C3D137E" w:rsidTr="0ED4F347" w14:paraId="226FBE8C" w14:textId="77777777">
        <w:trPr>
          <w:trHeight w:val="300"/>
        </w:trPr>
        <w:tc>
          <w:tcPr>
            <w:tcW w:w="3510" w:type="dxa"/>
            <w:tcMar/>
          </w:tcPr>
          <w:p w:rsidR="2FC4E0F8" w:rsidP="0ED4F347" w:rsidRDefault="2FC4E0F8" w14:paraId="1D255BF5" w14:textId="598DF13C">
            <w:pPr>
              <w:jc w:val="center"/>
              <w:rPr>
                <w:sz w:val="24"/>
                <w:szCs w:val="24"/>
              </w:rPr>
            </w:pPr>
            <w:r w:rsidRPr="0ED4F347" w:rsidR="024681B3">
              <w:rPr>
                <w:sz w:val="24"/>
                <w:szCs w:val="24"/>
              </w:rPr>
              <w:t>0-79</w:t>
            </w:r>
          </w:p>
        </w:tc>
        <w:tc>
          <w:tcPr>
            <w:tcW w:w="3510" w:type="dxa"/>
            <w:tcMar/>
          </w:tcPr>
          <w:p w:rsidR="2FC4E0F8" w:rsidP="1C3D137E" w:rsidRDefault="2FC4E0F8" w14:paraId="165AFAEA" w14:textId="1F200341">
            <w:pPr>
              <w:rPr>
                <w:sz w:val="24"/>
                <w:szCs w:val="24"/>
              </w:rPr>
            </w:pPr>
            <w:r w:rsidRPr="1C3D137E">
              <w:rPr>
                <w:sz w:val="24"/>
                <w:szCs w:val="24"/>
              </w:rPr>
              <w:t>No cumple</w:t>
            </w:r>
          </w:p>
        </w:tc>
        <w:tc>
          <w:tcPr>
            <w:tcW w:w="3510" w:type="dxa"/>
            <w:tcMar/>
          </w:tcPr>
          <w:p w:rsidR="1A5A90F4" w:rsidP="1C3D137E" w:rsidRDefault="1A5A90F4" w14:paraId="653DE65E" w14:textId="432E7707">
            <w:pPr>
              <w:rPr>
                <w:sz w:val="24"/>
                <w:szCs w:val="24"/>
              </w:rPr>
            </w:pPr>
            <w:r w:rsidRPr="1C3D137E">
              <w:rPr>
                <w:sz w:val="24"/>
                <w:szCs w:val="24"/>
              </w:rPr>
              <w:t>Incumplimiento</w:t>
            </w:r>
          </w:p>
        </w:tc>
      </w:tr>
    </w:tbl>
    <w:p w:rsidR="54A5AB10" w:rsidP="0ED4F347" w:rsidRDefault="54A5AB10" w14:paraId="27EC7B57" w14:textId="62F89825">
      <w:pPr>
        <w:spacing w:after="160" w:line="278" w:lineRule="auto"/>
        <w:ind w:left="360"/>
        <w:jc w:val="center"/>
        <w:rPr>
          <w:sz w:val="16"/>
          <w:szCs w:val="16"/>
        </w:rPr>
      </w:pPr>
      <w:r w:rsidRPr="0ED4F347" w:rsidR="4C948826">
        <w:rPr>
          <w:sz w:val="16"/>
          <w:szCs w:val="16"/>
        </w:rPr>
        <w:t>Fuente: Elaboración propia OCI</w:t>
      </w:r>
    </w:p>
    <w:p w:rsidRPr="000059DC" w:rsidR="008F6FD7" w:rsidP="1C3D137E" w:rsidRDefault="00B77B04" w14:paraId="1DFF2F8A" w14:textId="1DB46E54">
      <w:pPr>
        <w:spacing w:after="160" w:line="278" w:lineRule="auto"/>
        <w:ind w:left="360"/>
        <w:rPr>
          <w:sz w:val="24"/>
          <w:szCs w:val="24"/>
        </w:rPr>
      </w:pPr>
      <w:r w:rsidRPr="1C3D137E">
        <w:rPr>
          <w:sz w:val="24"/>
          <w:szCs w:val="24"/>
        </w:rPr>
        <w:t>Con este enfoque se buscó, de manera sencilla pero rigurosa, comprobar si lo que está escrito en los planes, en la normatividad y en los procedimientos M</w:t>
      </w:r>
      <w:r>
        <w:noBreakHyphen/>
      </w:r>
      <w:r w:rsidRPr="1C3D137E">
        <w:rPr>
          <w:sz w:val="24"/>
          <w:szCs w:val="24"/>
        </w:rPr>
        <w:t>FT</w:t>
      </w:r>
      <w:r>
        <w:noBreakHyphen/>
      </w:r>
      <w:r w:rsidRPr="1C3D137E">
        <w:rPr>
          <w:sz w:val="24"/>
          <w:szCs w:val="24"/>
        </w:rPr>
        <w:t>PR</w:t>
      </w:r>
      <w:r>
        <w:noBreakHyphen/>
      </w:r>
      <w:r w:rsidRPr="1C3D137E">
        <w:rPr>
          <w:sz w:val="24"/>
          <w:szCs w:val="24"/>
        </w:rPr>
        <w:t>008, M</w:t>
      </w:r>
      <w:r>
        <w:noBreakHyphen/>
      </w:r>
      <w:r w:rsidRPr="1C3D137E">
        <w:rPr>
          <w:sz w:val="24"/>
          <w:szCs w:val="24"/>
        </w:rPr>
        <w:t>FT</w:t>
      </w:r>
      <w:r>
        <w:noBreakHyphen/>
      </w:r>
      <w:r w:rsidRPr="1C3D137E">
        <w:rPr>
          <w:sz w:val="24"/>
          <w:szCs w:val="24"/>
        </w:rPr>
        <w:t>PR</w:t>
      </w:r>
      <w:r>
        <w:noBreakHyphen/>
      </w:r>
      <w:r w:rsidRPr="1C3D137E">
        <w:rPr>
          <w:sz w:val="24"/>
          <w:szCs w:val="24"/>
        </w:rPr>
        <w:t>018, M</w:t>
      </w:r>
      <w:r>
        <w:noBreakHyphen/>
      </w:r>
      <w:r w:rsidRPr="1C3D137E">
        <w:rPr>
          <w:sz w:val="24"/>
          <w:szCs w:val="24"/>
        </w:rPr>
        <w:t>FT</w:t>
      </w:r>
      <w:r>
        <w:noBreakHyphen/>
      </w:r>
      <w:r w:rsidRPr="1C3D137E">
        <w:rPr>
          <w:sz w:val="24"/>
          <w:szCs w:val="24"/>
        </w:rPr>
        <w:t>PR</w:t>
      </w:r>
      <w:r>
        <w:noBreakHyphen/>
      </w:r>
      <w:r w:rsidRPr="1C3D137E">
        <w:rPr>
          <w:sz w:val="24"/>
          <w:szCs w:val="24"/>
        </w:rPr>
        <w:t>006 y M</w:t>
      </w:r>
      <w:r>
        <w:noBreakHyphen/>
      </w:r>
      <w:r w:rsidRPr="1C3D137E">
        <w:rPr>
          <w:sz w:val="24"/>
          <w:szCs w:val="24"/>
        </w:rPr>
        <w:t>FT</w:t>
      </w:r>
      <w:r>
        <w:noBreakHyphen/>
      </w:r>
      <w:r w:rsidRPr="1C3D137E">
        <w:rPr>
          <w:sz w:val="24"/>
          <w:szCs w:val="24"/>
        </w:rPr>
        <w:t>PR</w:t>
      </w:r>
      <w:r>
        <w:noBreakHyphen/>
      </w:r>
      <w:r w:rsidRPr="1C3D137E">
        <w:rPr>
          <w:sz w:val="24"/>
          <w:szCs w:val="24"/>
        </w:rPr>
        <w:t xml:space="preserve">010 se cumplió en la práctica durante el sismo del 8 de junio de 2025, y valorar qué tan efectivos fueron los controles, la gestión contractual y documental y el sistema de control interno de la UAEGRD frente a </w:t>
      </w:r>
      <w:r w:rsidRPr="1C3D137E" w:rsidR="007F6048">
        <w:rPr>
          <w:sz w:val="24"/>
          <w:szCs w:val="24"/>
        </w:rPr>
        <w:t>la</w:t>
      </w:r>
      <w:r w:rsidRPr="1C3D137E">
        <w:rPr>
          <w:sz w:val="24"/>
          <w:szCs w:val="24"/>
        </w:rPr>
        <w:t xml:space="preserve"> emergencia en los municipios de Medina y </w:t>
      </w:r>
      <w:proofErr w:type="spellStart"/>
      <w:r w:rsidRPr="1C3D137E" w:rsidR="569F74FB">
        <w:rPr>
          <w:sz w:val="24"/>
          <w:szCs w:val="24"/>
        </w:rPr>
        <w:t>Paratebueno</w:t>
      </w:r>
      <w:proofErr w:type="spellEnd"/>
      <w:r w:rsidRPr="1C3D137E" w:rsidR="569F74FB">
        <w:rPr>
          <w:sz w:val="24"/>
          <w:szCs w:val="24"/>
        </w:rPr>
        <w:t>.</w:t>
      </w:r>
    </w:p>
    <w:p w:rsidRPr="00CE1EAC" w:rsidR="0003231C" w:rsidP="00817C9D" w:rsidRDefault="00A26BB2" w14:paraId="43C97839" w14:textId="4D7D1FC7">
      <w:pPr>
        <w:pStyle w:val="Ttulo1"/>
      </w:pPr>
      <w:bookmarkStart w:name="_Toc206756955" w:id="33"/>
      <w:bookmarkStart w:name="_Toc206758787" w:id="34"/>
      <w:bookmarkStart w:name="_Toc206758803" w:id="35"/>
      <w:bookmarkStart w:name="_Toc206758851" w:id="36"/>
      <w:bookmarkStart w:name="_Toc206758867" w:id="37"/>
      <w:bookmarkStart w:name="_Toc206759090" w:id="38"/>
      <w:bookmarkStart w:name="_Toc206759641" w:id="39"/>
      <w:r>
        <w:t>ANÁLISIS DE</w:t>
      </w:r>
      <w:r w:rsidR="000F521C">
        <w:t xml:space="preserve"> </w:t>
      </w:r>
      <w:r w:rsidR="00DD1B38">
        <w:t>INFORMACIÓN</w:t>
      </w:r>
      <w:bookmarkEnd w:id="33"/>
      <w:bookmarkEnd w:id="34"/>
      <w:bookmarkEnd w:id="35"/>
      <w:bookmarkEnd w:id="36"/>
      <w:bookmarkEnd w:id="37"/>
      <w:bookmarkEnd w:id="38"/>
      <w:bookmarkEnd w:id="39"/>
    </w:p>
    <w:p w:rsidRPr="00CE1EAC" w:rsidR="00D916C5" w:rsidP="1C3D137E" w:rsidRDefault="7813CDE7" w14:paraId="089B0DAC" w14:textId="40855AAB">
      <w:pPr>
        <w:pStyle w:val="Ttulo2"/>
        <w:rPr>
          <w:lang w:val="es-ES"/>
        </w:rPr>
      </w:pPr>
      <w:r w:rsidRPr="1C3D137E">
        <w:rPr>
          <w:lang w:val="es-ES"/>
        </w:rPr>
        <w:t>Grado de alineación del Plan Departamental para la Gestión del Riesgo de Desastres de Cundinamarca con la normatividad nacional vigente aplicable y con el Plan de Desarrollo Departamental.</w:t>
      </w:r>
    </w:p>
    <w:p w:rsidRPr="00CE1EAC" w:rsidR="00D916C5" w:rsidP="1C3D137E" w:rsidRDefault="7813CDE7" w14:paraId="22A94593" w14:textId="183A7945">
      <w:pPr>
        <w:pStyle w:val="Ttulo2"/>
        <w:numPr>
          <w:ilvl w:val="0"/>
          <w:numId w:val="0"/>
        </w:numPr>
        <w:rPr>
          <w:b w:val="0"/>
          <w:bCs w:val="0"/>
          <w:lang w:val="es-ES"/>
        </w:rPr>
      </w:pPr>
      <w:bookmarkStart w:name="_Toc1581695342" w:id="40"/>
      <w:bookmarkStart w:name="_Toc206756956" w:id="41"/>
      <w:bookmarkStart w:name="_Toc206758788" w:id="42"/>
      <w:bookmarkStart w:name="_Toc206758804" w:id="43"/>
      <w:bookmarkStart w:name="_Toc206758852" w:id="44"/>
      <w:bookmarkStart w:name="_Toc206758868" w:id="45"/>
      <w:bookmarkStart w:name="_Toc206759091" w:id="46"/>
      <w:bookmarkStart w:name="_Toc206759642" w:id="47"/>
      <w:r w:rsidRPr="0ED4F347" w:rsidR="79C7639C">
        <w:rPr>
          <w:lang w:val="es-ES"/>
        </w:rPr>
        <w:t xml:space="preserve">Objetivo 1: </w:t>
      </w:r>
      <w:r w:rsidRPr="0ED4F347" w:rsidR="13D0CCA0">
        <w:rPr>
          <w:b w:val="0"/>
          <w:bCs w:val="0"/>
          <w:lang w:val="es-ES"/>
        </w:rPr>
        <w:t>Evaluar el grado de alineación del Plan Departamental para la Gestión del Riesgo de Desastres de Cundinamarca con la normatividad nacional vigente aplicable y con el Plan de Desarrollo Departamental.</w:t>
      </w:r>
      <w:bookmarkEnd w:id="40"/>
      <w:bookmarkEnd w:id="41"/>
      <w:bookmarkEnd w:id="42"/>
      <w:bookmarkEnd w:id="43"/>
      <w:bookmarkEnd w:id="44"/>
      <w:bookmarkEnd w:id="45"/>
      <w:bookmarkEnd w:id="46"/>
      <w:bookmarkEnd w:id="47"/>
    </w:p>
    <w:p w:rsidR="1C3D137E" w:rsidP="0ED4F347" w:rsidRDefault="1C3D137E" w14:paraId="4D7CDC79" w14:textId="4ABD773D">
      <w:pPr>
        <w:rPr>
          <w:sz w:val="24"/>
          <w:szCs w:val="24"/>
        </w:rPr>
      </w:pPr>
    </w:p>
    <w:p w:rsidR="7B013B69" w:rsidP="0ED4F347" w:rsidRDefault="7B013B69" w14:paraId="5FFDDCB1" w14:textId="1D3217C5">
      <w:pPr>
        <w:spacing w:after="160"/>
        <w:rPr>
          <w:rFonts w:eastAsia="Arial"/>
          <w:sz w:val="24"/>
          <w:szCs w:val="24"/>
        </w:rPr>
      </w:pPr>
      <w:r w:rsidRPr="0ED4F347" w:rsidR="304FAD38">
        <w:rPr>
          <w:b w:val="1"/>
          <w:bCs w:val="1"/>
          <w:sz w:val="24"/>
          <w:szCs w:val="24"/>
        </w:rPr>
        <w:t>4.1.</w:t>
      </w:r>
      <w:r w:rsidRPr="0ED4F347" w:rsidR="4CCD7CC7">
        <w:rPr>
          <w:b w:val="1"/>
          <w:bCs w:val="1"/>
          <w:sz w:val="24"/>
          <w:szCs w:val="24"/>
        </w:rPr>
        <w:t>1</w:t>
      </w:r>
      <w:r w:rsidRPr="0ED4F347" w:rsidR="2CA5A8FB">
        <w:rPr>
          <w:b w:val="1"/>
          <w:bCs w:val="1"/>
          <w:sz w:val="24"/>
          <w:szCs w:val="24"/>
        </w:rPr>
        <w:t xml:space="preserve">. </w:t>
      </w:r>
      <w:r w:rsidRPr="0ED4F347" w:rsidR="7AAABB2D">
        <w:rPr>
          <w:rFonts w:eastAsia="Arial"/>
          <w:b w:val="1"/>
          <w:bCs w:val="1"/>
          <w:sz w:val="24"/>
          <w:szCs w:val="24"/>
          <w:lang w:val="es"/>
        </w:rPr>
        <w:t>Alineación del Plan Departamental para la Gestión del Riesgo de Desastres de Cundinamarca con la normatividad nacional vigente aplicable y con el Plan de Desarrollo Departamental</w:t>
      </w:r>
    </w:p>
    <w:p w:rsidRPr="00BB630A" w:rsidR="001260D6" w:rsidP="1C3D137E" w:rsidRDefault="001260D6" w14:paraId="76FCF5CB" w14:textId="79DA87AC">
      <w:pPr>
        <w:spacing w:before="100" w:beforeAutospacing="1" w:after="100" w:afterAutospacing="1" w:line="240" w:lineRule="auto"/>
        <w:rPr>
          <w:rFonts w:eastAsia="Times New Roman"/>
          <w:sz w:val="24"/>
          <w:szCs w:val="24"/>
          <w:lang w:eastAsia="es-MX"/>
        </w:rPr>
      </w:pPr>
      <w:r w:rsidRPr="1C3D137E">
        <w:rPr>
          <w:rFonts w:eastAsia="Times New Roman"/>
          <w:sz w:val="24"/>
          <w:szCs w:val="24"/>
          <w:lang w:eastAsia="es-MX"/>
        </w:rPr>
        <w:t>En el marco del análisis comparativo realizado, tomando como referente la Ley 1523 de 2012, “</w:t>
      </w:r>
      <w:r w:rsidRPr="1C3D137E" w:rsidR="3606D385">
        <w:rPr>
          <w:rFonts w:eastAsia="Times New Roman"/>
          <w:sz w:val="24"/>
          <w:szCs w:val="24"/>
          <w:lang w:eastAsia="es-MX"/>
        </w:rPr>
        <w:t>P</w:t>
      </w:r>
      <w:r w:rsidRPr="1C3D137E">
        <w:rPr>
          <w:rFonts w:eastAsia="Times New Roman"/>
          <w:sz w:val="24"/>
          <w:szCs w:val="24"/>
          <w:lang w:eastAsia="es-MX"/>
        </w:rPr>
        <w:t>or la cual se adopta la Política Nacional de Gestión del Riesgo de Desastres y se establece el Sistema Nacional de Gestión del Riesgo de Desastres”, se efectuó una revisión artículo por artículo frente a la Ordenanza Departamental 066 de 2018, “</w:t>
      </w:r>
      <w:r w:rsidRPr="1C3D137E" w:rsidR="488C06EE">
        <w:rPr>
          <w:rFonts w:eastAsia="Times New Roman"/>
          <w:sz w:val="24"/>
          <w:szCs w:val="24"/>
          <w:lang w:eastAsia="es-MX"/>
        </w:rPr>
        <w:t>P</w:t>
      </w:r>
      <w:r w:rsidRPr="1C3D137E">
        <w:rPr>
          <w:rFonts w:eastAsia="Times New Roman"/>
          <w:sz w:val="24"/>
          <w:szCs w:val="24"/>
          <w:lang w:eastAsia="es-MX"/>
        </w:rPr>
        <w:t>or la cual se adopta la Política Pública para la Gestión del Riesgo de Desastres en Cundinamarca y se modifica la organización del Sistema Departamental de Gestión del Riesgo”, así como frente a la Ordenanza Departamental 140 de 2012, “</w:t>
      </w:r>
      <w:r w:rsidRPr="1C3D137E" w:rsidR="49D0B31E">
        <w:rPr>
          <w:rFonts w:eastAsia="Times New Roman"/>
          <w:sz w:val="24"/>
          <w:szCs w:val="24"/>
          <w:lang w:eastAsia="es-MX"/>
        </w:rPr>
        <w:t>P</w:t>
      </w:r>
      <w:r w:rsidRPr="1C3D137E">
        <w:rPr>
          <w:rFonts w:eastAsia="Times New Roman"/>
          <w:sz w:val="24"/>
          <w:szCs w:val="24"/>
          <w:lang w:eastAsia="es-MX"/>
        </w:rPr>
        <w:t>or la cual se crea, conforma y organiza el Fondo de Gestión del Riesgo de Desastres del Departamento de Cundinamarca”.</w:t>
      </w:r>
    </w:p>
    <w:p w:rsidRPr="00BB630A" w:rsidR="001260D6" w:rsidP="0ED4F347" w:rsidRDefault="001260D6" w14:paraId="616E5365" w14:textId="4D7D8118">
      <w:pPr>
        <w:spacing w:before="100" w:beforeAutospacing="on" w:after="100" w:afterAutospacing="on" w:line="240" w:lineRule="auto"/>
        <w:rPr>
          <w:rFonts w:eastAsia="Times New Roman"/>
          <w:color w:val="FF0000"/>
          <w:sz w:val="24"/>
          <w:szCs w:val="24"/>
          <w:lang w:eastAsia="es-MX"/>
        </w:rPr>
      </w:pPr>
      <w:r w:rsidRPr="0ED4F347" w:rsidR="13699E4F">
        <w:rPr>
          <w:rFonts w:eastAsia="Times New Roman"/>
          <w:sz w:val="24"/>
          <w:szCs w:val="24"/>
          <w:lang w:eastAsia="es-MX"/>
        </w:rPr>
        <w:t xml:space="preserve">Como resultado de este ejercicio, se evidenció un nivel de alineación del </w:t>
      </w:r>
      <w:r w:rsidRPr="0ED4F347" w:rsidR="13699E4F">
        <w:rPr>
          <w:rFonts w:eastAsia="Times New Roman"/>
          <w:b w:val="1"/>
          <w:bCs w:val="1"/>
          <w:sz w:val="24"/>
          <w:szCs w:val="24"/>
          <w:lang w:eastAsia="es-MX"/>
        </w:rPr>
        <w:t>97%</w:t>
      </w:r>
      <w:r w:rsidRPr="0ED4F347" w:rsidR="13699E4F">
        <w:rPr>
          <w:rFonts w:eastAsia="Times New Roman"/>
          <w:b w:val="1"/>
          <w:bCs w:val="1"/>
          <w:sz w:val="24"/>
          <w:szCs w:val="24"/>
          <w:lang w:eastAsia="es-MX"/>
        </w:rPr>
        <w:t>,</w:t>
      </w:r>
      <w:r w:rsidRPr="0ED4F347" w:rsidR="13699E4F">
        <w:rPr>
          <w:rFonts w:eastAsia="Times New Roman"/>
          <w:sz w:val="24"/>
          <w:szCs w:val="24"/>
          <w:lang w:eastAsia="es-MX"/>
        </w:rPr>
        <w:t xml:space="preserve"> distribuido de la siguiente manera: de los </w:t>
      </w:r>
      <w:r w:rsidRPr="0ED4F347" w:rsidR="4CF2CCED">
        <w:rPr>
          <w:rFonts w:eastAsia="Times New Roman"/>
          <w:sz w:val="24"/>
          <w:szCs w:val="24"/>
          <w:lang w:eastAsia="es-MX"/>
        </w:rPr>
        <w:t>96</w:t>
      </w:r>
      <w:r w:rsidRPr="0ED4F347" w:rsidR="13699E4F">
        <w:rPr>
          <w:rFonts w:eastAsia="Times New Roman"/>
          <w:sz w:val="24"/>
          <w:szCs w:val="24"/>
          <w:lang w:eastAsia="es-MX"/>
        </w:rPr>
        <w:t xml:space="preserve"> artículos</w:t>
      </w:r>
      <w:r w:rsidRPr="0ED4F347" w:rsidR="13699E4F">
        <w:rPr>
          <w:rFonts w:eastAsia="Times New Roman"/>
          <w:sz w:val="24"/>
          <w:szCs w:val="24"/>
          <w:lang w:eastAsia="es-MX"/>
        </w:rPr>
        <w:t xml:space="preserve"> de la ley, se determinó que </w:t>
      </w:r>
      <w:r w:rsidRPr="0ED4F347" w:rsidR="07594BBC">
        <w:rPr>
          <w:rFonts w:eastAsia="Times New Roman"/>
          <w:sz w:val="24"/>
          <w:szCs w:val="24"/>
          <w:lang w:eastAsia="es-MX"/>
        </w:rPr>
        <w:t>siete</w:t>
      </w:r>
      <w:r w:rsidRPr="0ED4F347" w:rsidR="13699E4F">
        <w:rPr>
          <w:rFonts w:eastAsia="Times New Roman"/>
          <w:sz w:val="24"/>
          <w:szCs w:val="24"/>
          <w:lang w:eastAsia="es-MX"/>
        </w:rPr>
        <w:t xml:space="preserve"> </w:t>
      </w:r>
      <w:r w:rsidRPr="0ED4F347" w:rsidR="13699E4F">
        <w:rPr>
          <w:rFonts w:eastAsia="Times New Roman"/>
          <w:sz w:val="24"/>
          <w:szCs w:val="24"/>
          <w:lang w:eastAsia="es-MX"/>
        </w:rPr>
        <w:t>(</w:t>
      </w:r>
      <w:r w:rsidRPr="0ED4F347" w:rsidR="714EFAD6">
        <w:rPr>
          <w:rFonts w:eastAsia="Times New Roman"/>
          <w:sz w:val="24"/>
          <w:szCs w:val="24"/>
          <w:lang w:eastAsia="es-MX"/>
        </w:rPr>
        <w:t>7</w:t>
      </w:r>
      <w:r w:rsidRPr="0ED4F347" w:rsidR="13699E4F">
        <w:rPr>
          <w:rFonts w:eastAsia="Times New Roman"/>
          <w:sz w:val="24"/>
          <w:szCs w:val="24"/>
          <w:lang w:eastAsia="es-MX"/>
        </w:rPr>
        <w:t>) (</w:t>
      </w:r>
      <w:r w:rsidRPr="0ED4F347" w:rsidR="066E960A">
        <w:rPr>
          <w:rFonts w:eastAsia="Times New Roman"/>
          <w:sz w:val="24"/>
          <w:szCs w:val="24"/>
          <w:lang w:eastAsia="es-MX"/>
        </w:rPr>
        <w:t>42,</w:t>
      </w:r>
      <w:r w:rsidRPr="0ED4F347" w:rsidR="18C53F0F">
        <w:rPr>
          <w:rFonts w:eastAsia="Times New Roman"/>
          <w:sz w:val="24"/>
          <w:szCs w:val="24"/>
          <w:lang w:eastAsia="es-MX"/>
        </w:rPr>
        <w:t xml:space="preserve"> 43, 44,</w:t>
      </w:r>
      <w:r w:rsidRPr="0ED4F347" w:rsidR="066E960A">
        <w:rPr>
          <w:rFonts w:eastAsia="Times New Roman"/>
          <w:sz w:val="24"/>
          <w:szCs w:val="24"/>
          <w:lang w:eastAsia="es-MX"/>
        </w:rPr>
        <w:t xml:space="preserve"> </w:t>
      </w:r>
      <w:r w:rsidRPr="0ED4F347" w:rsidR="13699E4F">
        <w:rPr>
          <w:rFonts w:eastAsia="Times New Roman"/>
          <w:sz w:val="24"/>
          <w:szCs w:val="24"/>
          <w:lang w:eastAsia="es-MX"/>
        </w:rPr>
        <w:t xml:space="preserve">92, 93, 94 y 95) no son aplicables dentro del ámbito de competencia departamental para su incorporación en la normativa territorial; en consecuencia, se evaluaron un total de </w:t>
      </w:r>
      <w:r w:rsidRPr="0ED4F347" w:rsidR="7D27BF40">
        <w:rPr>
          <w:rFonts w:eastAsia="Times New Roman"/>
          <w:sz w:val="24"/>
          <w:szCs w:val="24"/>
          <w:lang w:eastAsia="es-MX"/>
        </w:rPr>
        <w:t>89</w:t>
      </w:r>
      <w:r w:rsidRPr="0ED4F347" w:rsidR="13699E4F">
        <w:rPr>
          <w:rFonts w:eastAsia="Times New Roman"/>
          <w:sz w:val="24"/>
          <w:szCs w:val="24"/>
          <w:lang w:eastAsia="es-MX"/>
        </w:rPr>
        <w:t xml:space="preserve"> </w:t>
      </w:r>
      <w:r w:rsidRPr="0ED4F347" w:rsidR="13699E4F">
        <w:rPr>
          <w:rFonts w:eastAsia="Times New Roman"/>
          <w:sz w:val="24"/>
          <w:szCs w:val="24"/>
          <w:lang w:eastAsia="es-MX"/>
        </w:rPr>
        <w:t xml:space="preserve">artículos. De estos, ochenta y </w:t>
      </w:r>
      <w:r w:rsidRPr="0ED4F347" w:rsidR="2BC87FA0">
        <w:rPr>
          <w:rFonts w:eastAsia="Times New Roman"/>
          <w:sz w:val="24"/>
          <w:szCs w:val="24"/>
          <w:lang w:eastAsia="es-MX"/>
        </w:rPr>
        <w:t xml:space="preserve">ocho </w:t>
      </w:r>
      <w:r w:rsidRPr="0ED4F347" w:rsidR="13699E4F">
        <w:rPr>
          <w:rFonts w:eastAsia="Times New Roman"/>
          <w:sz w:val="24"/>
          <w:szCs w:val="24"/>
          <w:lang w:eastAsia="es-MX"/>
        </w:rPr>
        <w:t>(8</w:t>
      </w:r>
      <w:r w:rsidRPr="0ED4F347" w:rsidR="29BBEE4E">
        <w:rPr>
          <w:rFonts w:eastAsia="Times New Roman"/>
          <w:sz w:val="24"/>
          <w:szCs w:val="24"/>
          <w:lang w:eastAsia="es-MX"/>
        </w:rPr>
        <w:t>6</w:t>
      </w:r>
      <w:r w:rsidRPr="0ED4F347" w:rsidR="13699E4F">
        <w:rPr>
          <w:rFonts w:eastAsia="Times New Roman"/>
          <w:sz w:val="24"/>
          <w:szCs w:val="24"/>
          <w:lang w:eastAsia="es-MX"/>
        </w:rPr>
        <w:t xml:space="preserve">) presentan alineación total con el referente nacional y </w:t>
      </w:r>
      <w:r w:rsidRPr="0ED4F347" w:rsidR="5CC49AB1">
        <w:rPr>
          <w:rFonts w:eastAsia="Times New Roman"/>
          <w:sz w:val="24"/>
          <w:szCs w:val="24"/>
          <w:lang w:eastAsia="es-MX"/>
        </w:rPr>
        <w:t xml:space="preserve">tres </w:t>
      </w:r>
      <w:r w:rsidRPr="0ED4F347" w:rsidR="13699E4F">
        <w:rPr>
          <w:rFonts w:eastAsia="Times New Roman"/>
          <w:sz w:val="24"/>
          <w:szCs w:val="24"/>
          <w:lang w:eastAsia="es-MX"/>
        </w:rPr>
        <w:t>(</w:t>
      </w:r>
      <w:r w:rsidRPr="0ED4F347" w:rsidR="401C0A87">
        <w:rPr>
          <w:rFonts w:eastAsia="Times New Roman"/>
          <w:sz w:val="24"/>
          <w:szCs w:val="24"/>
          <w:lang w:eastAsia="es-MX"/>
        </w:rPr>
        <w:t>3</w:t>
      </w:r>
      <w:r w:rsidRPr="0ED4F347" w:rsidR="13699E4F">
        <w:rPr>
          <w:rFonts w:eastAsia="Times New Roman"/>
          <w:sz w:val="24"/>
          <w:szCs w:val="24"/>
          <w:lang w:eastAsia="es-MX"/>
        </w:rPr>
        <w:t>) no cumplen</w:t>
      </w:r>
      <w:r w:rsidRPr="0ED4F347" w:rsidR="20A0721D">
        <w:rPr>
          <w:rFonts w:eastAsia="Times New Roman"/>
          <w:sz w:val="24"/>
          <w:szCs w:val="24"/>
          <w:lang w:eastAsia="es-MX"/>
        </w:rPr>
        <w:t xml:space="preserve"> (4, 31, 59)</w:t>
      </w:r>
      <w:r w:rsidRPr="0ED4F347" w:rsidR="13699E4F">
        <w:rPr>
          <w:rFonts w:eastAsia="Times New Roman"/>
          <w:sz w:val="24"/>
          <w:szCs w:val="24"/>
          <w:lang w:eastAsia="es-MX"/>
        </w:rPr>
        <w:t>.</w:t>
      </w:r>
    </w:p>
    <w:p w:rsidRPr="00BB630A" w:rsidR="001260D6" w:rsidP="1C3D137E" w:rsidRDefault="001260D6" w14:paraId="60824433" w14:textId="5FF6184F">
      <w:pPr>
        <w:spacing w:before="100" w:beforeAutospacing="1" w:after="100" w:afterAutospacing="1" w:line="240" w:lineRule="auto"/>
        <w:rPr>
          <w:rFonts w:eastAsia="Times New Roman"/>
          <w:color w:val="FF0000"/>
          <w:sz w:val="24"/>
          <w:szCs w:val="24"/>
          <w:lang w:eastAsia="es-MX"/>
        </w:rPr>
      </w:pPr>
      <w:r w:rsidRPr="1C3D137E">
        <w:rPr>
          <w:rFonts w:eastAsia="Times New Roman"/>
          <w:sz w:val="24"/>
          <w:szCs w:val="24"/>
          <w:lang w:eastAsia="es-MX"/>
        </w:rPr>
        <w:t xml:space="preserve">Dentro de este grupo que presenta cumplimiento se destaca el artículo 29, en el cual se hace referencia a la Secretaría de Integración Territorial, dependencia que fue fusionada con la Secretaría de Prospectiva e Integración Territorial mediante la expedición del Decreto </w:t>
      </w:r>
      <w:proofErr w:type="spellStart"/>
      <w:r w:rsidRPr="1C3D137E">
        <w:rPr>
          <w:rFonts w:eastAsia="Times New Roman"/>
          <w:sz w:val="24"/>
          <w:szCs w:val="24"/>
          <w:lang w:eastAsia="es-MX"/>
        </w:rPr>
        <w:t>Ordenanzal</w:t>
      </w:r>
      <w:proofErr w:type="spellEnd"/>
      <w:r w:rsidRPr="1C3D137E">
        <w:rPr>
          <w:rFonts w:eastAsia="Times New Roman"/>
          <w:sz w:val="24"/>
          <w:szCs w:val="24"/>
          <w:lang w:eastAsia="es-MX"/>
        </w:rPr>
        <w:t xml:space="preserve"> 406 de 2024</w:t>
      </w:r>
      <w:r w:rsidRPr="1C3D137E" w:rsidR="6E93409F">
        <w:rPr>
          <w:rFonts w:eastAsia="Times New Roman"/>
          <w:sz w:val="24"/>
          <w:szCs w:val="24"/>
          <w:lang w:eastAsia="es-MX"/>
        </w:rPr>
        <w:t>, e</w:t>
      </w:r>
      <w:r w:rsidRPr="1C3D137E">
        <w:rPr>
          <w:rFonts w:eastAsia="Times New Roman"/>
          <w:sz w:val="24"/>
          <w:szCs w:val="24"/>
          <w:lang w:eastAsia="es-MX"/>
        </w:rPr>
        <w:t>n consecuencia, se hace necesaria la actualización de dicha referencia conforme a la estructura administrativa vigente.</w:t>
      </w:r>
    </w:p>
    <w:p w:rsidRPr="00BB630A" w:rsidR="001260D6" w:rsidP="001260D6" w:rsidRDefault="001260D6" w14:paraId="007F31B2" w14:textId="77777777">
      <w:pPr>
        <w:spacing w:before="100" w:beforeAutospacing="1" w:after="100" w:afterAutospacing="1" w:line="240" w:lineRule="auto"/>
        <w:rPr>
          <w:rFonts w:eastAsia="Times New Roman"/>
          <w:sz w:val="24"/>
          <w:szCs w:val="24"/>
          <w:lang w:eastAsia="es-MX"/>
        </w:rPr>
      </w:pPr>
      <w:r w:rsidRPr="1C3D137E">
        <w:rPr>
          <w:rFonts w:eastAsia="Times New Roman"/>
          <w:sz w:val="24"/>
          <w:szCs w:val="24"/>
          <w:lang w:eastAsia="es-MX"/>
        </w:rPr>
        <w:t>Así mismo, y en relación con el Capítulo VII (artículos 65 al 89), relativo al Régimen Especial para Situaciones de Desastre y Calamidad Pública, se observó que la Ordenanza 066 de 2018 no desagrega de manera detallada los 25 artículos que componen este acápite. No obstante, se determina que existe alineación entre el marco nacional y el departamental, toda vez que este último, en el artículo 49, parágrafo primero, remite expresamente a lo previsto en los capítulos VI y VII de la Ley 1523 de 2012; adicionalmente, su parágrafo segundo contempla la posibilidad de adoptar medidas especiales en concordancia con la normativa nacional.</w:t>
      </w:r>
    </w:p>
    <w:p w:rsidRPr="00BB630A" w:rsidR="001260D6" w:rsidP="1C3D137E" w:rsidRDefault="001260D6" w14:paraId="309DB275" w14:textId="1205B7E5">
      <w:pPr>
        <w:spacing w:before="100" w:beforeAutospacing="1" w:after="100" w:afterAutospacing="1" w:line="240" w:lineRule="auto"/>
        <w:rPr>
          <w:rFonts w:eastAsia="Times New Roman"/>
          <w:b/>
          <w:bCs/>
          <w:sz w:val="24"/>
          <w:szCs w:val="24"/>
          <w:lang w:eastAsia="es-MX"/>
        </w:rPr>
      </w:pPr>
      <w:r w:rsidRPr="1C3D137E">
        <w:rPr>
          <w:rFonts w:eastAsia="Times New Roman"/>
          <w:sz w:val="24"/>
          <w:szCs w:val="24"/>
          <w:lang w:eastAsia="es-MX"/>
        </w:rPr>
        <w:t>De los 9</w:t>
      </w:r>
      <w:r w:rsidRPr="1C3D137E" w:rsidR="35FF1F7A">
        <w:rPr>
          <w:rFonts w:eastAsia="Times New Roman"/>
          <w:sz w:val="24"/>
          <w:szCs w:val="24"/>
          <w:lang w:eastAsia="es-MX"/>
        </w:rPr>
        <w:t>1</w:t>
      </w:r>
      <w:r w:rsidRPr="1C3D137E">
        <w:rPr>
          <w:rFonts w:eastAsia="Times New Roman"/>
          <w:sz w:val="24"/>
          <w:szCs w:val="24"/>
          <w:lang w:eastAsia="es-MX"/>
        </w:rPr>
        <w:t xml:space="preserve"> artículos analizados de la Ley 1523 de 2012, se identificó que </w:t>
      </w:r>
      <w:r w:rsidRPr="1C3D137E" w:rsidR="5F98A9FB">
        <w:rPr>
          <w:rFonts w:eastAsia="Times New Roman"/>
          <w:sz w:val="24"/>
          <w:szCs w:val="24"/>
          <w:lang w:eastAsia="es-MX"/>
        </w:rPr>
        <w:t>tres</w:t>
      </w:r>
      <w:r w:rsidRPr="1C3D137E">
        <w:rPr>
          <w:rFonts w:eastAsia="Times New Roman"/>
          <w:sz w:val="24"/>
          <w:szCs w:val="24"/>
          <w:lang w:eastAsia="es-MX"/>
        </w:rPr>
        <w:t xml:space="preserve"> (</w:t>
      </w:r>
      <w:r w:rsidRPr="1C3D137E" w:rsidR="3CA54F55">
        <w:rPr>
          <w:rFonts w:eastAsia="Times New Roman"/>
          <w:sz w:val="24"/>
          <w:szCs w:val="24"/>
          <w:lang w:eastAsia="es-MX"/>
        </w:rPr>
        <w:t>3</w:t>
      </w:r>
      <w:r w:rsidRPr="1C3D137E">
        <w:rPr>
          <w:rFonts w:eastAsia="Times New Roman"/>
          <w:sz w:val="24"/>
          <w:szCs w:val="24"/>
          <w:lang w:eastAsia="es-MX"/>
        </w:rPr>
        <w:t xml:space="preserve">) no se encuentran </w:t>
      </w:r>
      <w:r w:rsidRPr="1C3D137E" w:rsidR="4106F2A4">
        <w:rPr>
          <w:rFonts w:eastAsia="Times New Roman"/>
          <w:sz w:val="24"/>
          <w:szCs w:val="24"/>
          <w:lang w:eastAsia="es-MX"/>
        </w:rPr>
        <w:t xml:space="preserve">completamente </w:t>
      </w:r>
      <w:r w:rsidRPr="1C3D137E">
        <w:rPr>
          <w:rFonts w:eastAsia="Times New Roman"/>
          <w:sz w:val="24"/>
          <w:szCs w:val="24"/>
          <w:lang w:eastAsia="es-MX"/>
        </w:rPr>
        <w:t>desarrollados en la normatividad departamental (Ordenanzas 066 de 2018 y 140 de 2012)</w:t>
      </w:r>
      <w:r w:rsidRPr="1C3D137E" w:rsidR="70D2DF7F">
        <w:rPr>
          <w:rFonts w:eastAsia="Times New Roman"/>
          <w:sz w:val="24"/>
          <w:szCs w:val="24"/>
          <w:lang w:eastAsia="es-MX"/>
        </w:rPr>
        <w:t>;</w:t>
      </w:r>
      <w:r w:rsidRPr="1C3D137E" w:rsidR="70D2DF7F">
        <w:rPr>
          <w:rFonts w:eastAsia="Times New Roman"/>
          <w:color w:val="7030A0"/>
          <w:sz w:val="24"/>
          <w:szCs w:val="24"/>
          <w:lang w:eastAsia="es-MX"/>
        </w:rPr>
        <w:t xml:space="preserve"> </w:t>
      </w:r>
      <w:r w:rsidRPr="1C3D137E" w:rsidR="2150B333">
        <w:rPr>
          <w:rFonts w:eastAsia="Times New Roman"/>
          <w:sz w:val="24"/>
          <w:szCs w:val="24"/>
          <w:lang w:eastAsia="es-MX"/>
        </w:rPr>
        <w:t>Aunque el artículo 54 de la Ordenanza 066 de 2018, establece que</w:t>
      </w:r>
      <w:r w:rsidRPr="1C3D137E" w:rsidR="2150B333">
        <w:rPr>
          <w:rFonts w:eastAsia="Times New Roman"/>
          <w:i/>
          <w:iCs/>
          <w:sz w:val="24"/>
          <w:szCs w:val="24"/>
          <w:lang w:eastAsia="es-MX"/>
        </w:rPr>
        <w:t xml:space="preserve"> “para efectos de lo no previsto en la presente ordenanza se aplicará lo dispuesto en la Ley 1523 del 2012 y demás normativa nacional y departamental concordante”, </w:t>
      </w:r>
      <w:r w:rsidRPr="1C3D137E" w:rsidR="2150B333">
        <w:rPr>
          <w:rFonts w:eastAsia="Times New Roman"/>
          <w:sz w:val="24"/>
          <w:szCs w:val="24"/>
          <w:lang w:eastAsia="es-MX"/>
        </w:rPr>
        <w:t>los documentos analizados no permiten evidenciar su desarrollo en el contexto del departamento de Cundinamarca.</w:t>
      </w:r>
    </w:p>
    <w:p w:rsidRPr="00BB630A" w:rsidR="001260D6" w:rsidP="0ED4F347" w:rsidRDefault="509EAA4C" w14:paraId="7D2077E8" w14:textId="094991AC">
      <w:pPr>
        <w:spacing w:before="100" w:beforeAutospacing="on" w:after="100" w:afterAutospacing="on" w:line="240" w:lineRule="auto"/>
        <w:rPr>
          <w:rFonts w:eastAsia="Times New Roman"/>
          <w:sz w:val="24"/>
          <w:szCs w:val="24"/>
          <w:lang w:val="es" w:eastAsia="es-MX"/>
        </w:rPr>
      </w:pPr>
      <w:r w:rsidRPr="1C3D137E" w:rsidR="6E3753A1">
        <w:rPr>
          <w:rFonts w:eastAsia="Times New Roman"/>
          <w:sz w:val="24"/>
          <w:szCs w:val="24"/>
          <w:lang w:eastAsia="es-MX"/>
        </w:rPr>
        <w:t xml:space="preserve">Esta situación evidenció una </w:t>
      </w:r>
      <w:r w:rsidRPr="1C3D137E" w:rsidR="6E3753A1">
        <w:rPr>
          <w:rFonts w:eastAsia="Times New Roman"/>
          <w:b w:val="1"/>
          <w:bCs w:val="1"/>
          <w:sz w:val="24"/>
          <w:szCs w:val="24"/>
          <w:lang w:eastAsia="es-MX"/>
        </w:rPr>
        <w:t>Oportunidad de Mejora</w:t>
      </w:r>
      <w:r w:rsidRPr="1C3D137E" w:rsidR="08F7CDBC">
        <w:rPr>
          <w:rFonts w:eastAsia="Times New Roman"/>
          <w:b w:val="1"/>
          <w:bCs w:val="1"/>
          <w:sz w:val="24"/>
          <w:szCs w:val="24"/>
          <w:lang w:eastAsia="es-MX"/>
        </w:rPr>
        <w:t xml:space="preserve"> </w:t>
      </w:r>
      <w:r w:rsidRPr="1C3D137E" w:rsidR="78DEB1A5">
        <w:rPr>
          <w:rFonts w:eastAsia="Times New Roman"/>
          <w:b w:val="1"/>
          <w:bCs w:val="1"/>
          <w:sz w:val="24"/>
          <w:szCs w:val="24"/>
          <w:lang w:eastAsia="es-MX"/>
        </w:rPr>
        <w:t>No.</w:t>
      </w:r>
      <w:r w:rsidRPr="1C3D137E" w:rsidR="08F7CDBC">
        <w:rPr>
          <w:rFonts w:eastAsia="Times New Roman"/>
          <w:b w:val="1"/>
          <w:bCs w:val="1"/>
          <w:sz w:val="24"/>
          <w:szCs w:val="24"/>
          <w:lang w:eastAsia="es-MX"/>
        </w:rPr>
        <w:t xml:space="preserve"> </w:t>
      </w:r>
      <w:r w:rsidRPr="1C3D137E" w:rsidR="2DD4378F">
        <w:rPr>
          <w:rFonts w:eastAsia="Times New Roman"/>
          <w:b w:val="1"/>
          <w:bCs w:val="1"/>
          <w:sz w:val="24"/>
          <w:szCs w:val="24"/>
          <w:lang w:eastAsia="es-MX"/>
        </w:rPr>
        <w:t>8.2.</w:t>
      </w:r>
      <w:r w:rsidRPr="1C3D137E" w:rsidR="08F7CDBC">
        <w:rPr>
          <w:rFonts w:eastAsia="Times New Roman"/>
          <w:b w:val="1"/>
          <w:bCs w:val="1"/>
          <w:sz w:val="24"/>
          <w:szCs w:val="24"/>
          <w:lang w:eastAsia="es-MX"/>
        </w:rPr>
        <w:t>1</w:t>
      </w:r>
      <w:r w:rsidRPr="1C3D137E" w:rsidR="001260D6">
        <w:rPr>
          <w:rStyle w:val="Refdenotaalpie"/>
          <w:rFonts w:eastAsia="Times New Roman"/>
          <w:sz w:val="24"/>
          <w:szCs w:val="24"/>
          <w:lang w:eastAsia="es-MX"/>
        </w:rPr>
        <w:footnoteReference w:id="1"/>
      </w:r>
      <w:r w:rsidRPr="1C3D137E" w:rsidR="6E3753A1">
        <w:rPr>
          <w:rFonts w:eastAsia="Times New Roman"/>
          <w:sz w:val="24"/>
          <w:szCs w:val="24"/>
          <w:lang w:eastAsia="es-MX"/>
        </w:rPr>
        <w:t xml:space="preserve">, ya que </w:t>
      </w:r>
      <w:r w:rsidRPr="1C3D137E" w:rsidR="6E3753A1">
        <w:rPr>
          <w:rFonts w:eastAsia="Times New Roman"/>
          <w:sz w:val="24"/>
          <w:szCs w:val="24"/>
          <w:lang w:val="es" w:eastAsia="es-MX"/>
        </w:rPr>
        <w:t xml:space="preserve">se observa que, en algunos casos, la regulación se apoya principalmente en remisiones generales o en la aplicación directa de la norma nacional, lo cual, si bien es jurídicamente </w:t>
      </w:r>
      <w:r w:rsidRPr="1C3D137E" w:rsidR="6E3753A1">
        <w:rPr>
          <w:rFonts w:eastAsia="Times New Roman"/>
          <w:sz w:val="24"/>
          <w:szCs w:val="24"/>
          <w:lang w:val="es" w:eastAsia="es-MX"/>
        </w:rPr>
        <w:t xml:space="preserve">válido, puede generar espacios de interpretación en su aplicación en el ámbito territorial y no necesariamente garantiza un nivel </w:t>
      </w:r>
      <w:r w:rsidRPr="1C3D137E" w:rsidR="6E3753A1">
        <w:rPr>
          <w:rFonts w:eastAsia="Times New Roman"/>
          <w:sz w:val="24"/>
          <w:szCs w:val="24"/>
          <w:lang w:val="es" w:eastAsia="es-MX"/>
        </w:rPr>
        <w:lastRenderedPageBreak/>
        <w:t xml:space="preserve">suficiente de claridad operativa en la implementación de los lineamientos, particularmente en lo relacionado con la asignación de responsabilidades y la definición de procedimientos. </w:t>
      </w:r>
      <w:r w:rsidRPr="1C3D137E" w:rsidR="6E3753A1">
        <w:rPr>
          <w:rFonts w:eastAsia="Times New Roman"/>
          <w:sz w:val="24"/>
          <w:szCs w:val="24"/>
          <w:lang w:eastAsia="es-MX"/>
        </w:rPr>
        <w:t xml:space="preserve"> </w:t>
      </w:r>
    </w:p>
    <w:p w:rsidRPr="00BB630A" w:rsidR="001260D6" w:rsidP="1C3D137E" w:rsidRDefault="509EAA4C" w14:paraId="6B089FF7" w14:textId="37340C50">
      <w:pPr>
        <w:spacing w:line="240" w:lineRule="auto"/>
        <w:rPr>
          <w:rFonts w:eastAsia="Times New Roman"/>
          <w:sz w:val="24"/>
          <w:szCs w:val="24"/>
          <w:lang w:val="es" w:eastAsia="es-MX"/>
        </w:rPr>
      </w:pPr>
      <w:r w:rsidRPr="1C3D137E">
        <w:rPr>
          <w:rFonts w:eastAsia="Times New Roman"/>
          <w:sz w:val="24"/>
          <w:szCs w:val="24"/>
          <w:lang w:val="es" w:eastAsia="es-MX"/>
        </w:rPr>
        <w:t>En este sentido, si bien del análisis efectuado se evidencia que la Ordenanza 066 de 2018 incorpora desarrollos específicos, asignación de roles institucionales y remisiones a normativa nacional en varios de los artículos objeto de revisión, dichos desarrollos se presentan, con diferencias en el nivel de detalle, alcance y profundidad frente al referente nacional.</w:t>
      </w:r>
    </w:p>
    <w:p w:rsidRPr="00BB630A" w:rsidR="001260D6" w:rsidP="1C3D137E" w:rsidRDefault="001260D6" w14:paraId="05CDE11E" w14:textId="6D62B73D">
      <w:pPr>
        <w:spacing w:before="100" w:beforeAutospacing="1" w:after="100" w:afterAutospacing="1" w:line="240" w:lineRule="auto"/>
        <w:rPr>
          <w:rFonts w:eastAsia="Times New Roman"/>
          <w:sz w:val="24"/>
          <w:szCs w:val="24"/>
          <w:lang w:eastAsia="es-MX"/>
        </w:rPr>
      </w:pPr>
      <w:r w:rsidRPr="1C3D137E">
        <w:rPr>
          <w:rFonts w:eastAsia="Times New Roman"/>
          <w:sz w:val="24"/>
          <w:szCs w:val="24"/>
          <w:lang w:eastAsia="es-MX"/>
        </w:rPr>
        <w:t xml:space="preserve">A continuación, se presenta el detalle de los </w:t>
      </w:r>
      <w:r w:rsidRPr="1C3D137E" w:rsidR="1DB951A4">
        <w:rPr>
          <w:rFonts w:eastAsia="Times New Roman"/>
          <w:sz w:val="24"/>
          <w:szCs w:val="24"/>
          <w:lang w:eastAsia="es-MX"/>
        </w:rPr>
        <w:t>tres</w:t>
      </w:r>
      <w:r w:rsidRPr="1C3D137E">
        <w:rPr>
          <w:rFonts w:eastAsia="Times New Roman"/>
          <w:sz w:val="24"/>
          <w:szCs w:val="24"/>
          <w:lang w:eastAsia="es-MX"/>
        </w:rPr>
        <w:t xml:space="preserve"> artículos en referencia, requiere ajuste:</w:t>
      </w:r>
    </w:p>
    <w:p w:rsidRPr="00BB630A" w:rsidR="001260D6" w:rsidP="00153268" w:rsidRDefault="001260D6" w14:paraId="4641E944" w14:textId="77777777">
      <w:pPr>
        <w:pStyle w:val="Prrafodelista"/>
        <w:numPr>
          <w:ilvl w:val="0"/>
          <w:numId w:val="14"/>
        </w:numPr>
        <w:spacing w:before="100" w:beforeAutospacing="1" w:after="100" w:afterAutospacing="1" w:line="240" w:lineRule="auto"/>
        <w:rPr>
          <w:rFonts w:eastAsia="Times New Roman"/>
          <w:sz w:val="24"/>
          <w:szCs w:val="24"/>
          <w:lang w:eastAsia="es-MX"/>
        </w:rPr>
      </w:pPr>
      <w:r w:rsidRPr="1C3D137E">
        <w:rPr>
          <w:rFonts w:eastAsia="Times New Roman"/>
          <w:sz w:val="24"/>
          <w:szCs w:val="24"/>
          <w:lang w:eastAsia="es-MX"/>
        </w:rPr>
        <w:t>En relación con el artículo 4, sobre definiciones técnicas del sistema y de la gestión del riesgo, se observa que la Ordenanza 066 de 2018 no desarrolla un glosario con la misma amplitud del referente nacional, privilegiando definiciones orientadas al enfoque de política pública sobre conceptos técnicos específicos. Adicionalmente, se evidenció que este desarrollo tampoco se encuentra incorporado en la Política Pública para la Gestión del Riesgo de Desastres ni en el Plan Departamental para la Gestión del Riesgo de Desastres, en su calidad de documento técnico.</w:t>
      </w:r>
    </w:p>
    <w:p w:rsidRPr="00BB630A" w:rsidR="001260D6" w:rsidP="1C3D137E" w:rsidRDefault="001260D6" w14:paraId="1C193C63" w14:textId="7634984F">
      <w:pPr>
        <w:pStyle w:val="Prrafodelista"/>
        <w:spacing w:before="100" w:beforeAutospacing="1" w:after="100" w:afterAutospacing="1" w:line="240" w:lineRule="auto"/>
        <w:ind w:left="360"/>
        <w:rPr>
          <w:rFonts w:eastAsia="Times New Roman"/>
          <w:sz w:val="24"/>
          <w:szCs w:val="24"/>
          <w:lang w:eastAsia="es-MX"/>
        </w:rPr>
      </w:pPr>
    </w:p>
    <w:p w:rsidRPr="00BB630A" w:rsidR="001260D6" w:rsidP="1C3D137E" w:rsidRDefault="46C32689" w14:paraId="536E0BA5" w14:textId="5893D990">
      <w:pPr>
        <w:pStyle w:val="Prrafodelista"/>
        <w:spacing w:before="100" w:beforeAutospacing="1" w:after="100" w:afterAutospacing="1" w:line="240" w:lineRule="auto"/>
        <w:ind w:left="360"/>
        <w:rPr>
          <w:rFonts w:eastAsia="Times New Roman"/>
          <w:sz w:val="24"/>
          <w:szCs w:val="24"/>
          <w:lang w:eastAsia="es-MX"/>
        </w:rPr>
      </w:pPr>
      <w:r w:rsidRPr="1C3D137E">
        <w:rPr>
          <w:rFonts w:eastAsia="Times New Roman"/>
          <w:sz w:val="24"/>
          <w:szCs w:val="24"/>
          <w:lang w:eastAsia="es-MX"/>
        </w:rPr>
        <w:t>Si bien la Unidad manifestó que la Ley 1523 de 2012 no establece la obligación de que las entidades territoriales reproduzcan su glosario, y que su incorporación podría generar un riesgo de desactualización, se considera pertinente precisar que la Ley 2474 de 2025 introduce modificaciones sustanciales a dicha norma, particularmente al reconocer e incluir a los animales como sujetos destinatarios de las medidas de atención, prevención y respuesta en la gestión del riesgo de desastres. En este sentido, el artículo 4 de la Ley 2474 de 2025, a través de sus numerales 5, 8, 10, 11, 21 y 27, modifica el artículo 4 de la Ley 1523 de 2012, lo que evidencia la necesidad de mantener actualizados los instrumentos normativos territoriales para garantizar su coherencia y aplicabilidad.</w:t>
      </w:r>
    </w:p>
    <w:p w:rsidRPr="00BB630A" w:rsidR="001260D6" w:rsidP="1C3D137E" w:rsidRDefault="001260D6" w14:paraId="6E0A0FFC" w14:textId="204AF533">
      <w:pPr>
        <w:pStyle w:val="Prrafodelista"/>
        <w:spacing w:before="100" w:beforeAutospacing="1" w:after="100" w:afterAutospacing="1" w:line="240" w:lineRule="auto"/>
        <w:ind w:left="360"/>
        <w:rPr>
          <w:rFonts w:eastAsia="Times New Roman"/>
          <w:sz w:val="24"/>
          <w:szCs w:val="24"/>
          <w:lang w:eastAsia="es-MX"/>
        </w:rPr>
      </w:pPr>
    </w:p>
    <w:p w:rsidRPr="00BB630A" w:rsidR="001260D6" w:rsidP="00153268" w:rsidRDefault="5B6F211D" w14:paraId="10C69EE1" w14:textId="0CA2D319">
      <w:pPr>
        <w:pStyle w:val="Prrafodelista"/>
        <w:numPr>
          <w:ilvl w:val="0"/>
          <w:numId w:val="14"/>
        </w:numPr>
        <w:spacing w:before="100" w:beforeAutospacing="1" w:after="100" w:afterAutospacing="1" w:line="240" w:lineRule="auto"/>
        <w:rPr>
          <w:rFonts w:eastAsia="Times New Roman"/>
          <w:sz w:val="24"/>
          <w:szCs w:val="24"/>
          <w:lang w:eastAsia="es-MX"/>
        </w:rPr>
      </w:pPr>
      <w:r w:rsidRPr="1C3D137E">
        <w:rPr>
          <w:rFonts w:eastAsia="Times New Roman"/>
          <w:sz w:val="24"/>
          <w:szCs w:val="24"/>
          <w:lang w:eastAsia="es-MX"/>
        </w:rPr>
        <w:t>Respecto del artículo 31, relativo al papel de las Corporaciones Autónomas Regionales (CAR) dentro del Sistema Nacional, se observa que la Ordenanza 066 de 2018 no define de manera expresa las responsabilidades de estas entidades en el Sistema Departamental, lo que genera posibles inconsistencias en la asignación de roles y puede limitar su articulación efectiva en el ámbito territorial.</w:t>
      </w:r>
    </w:p>
    <w:p w:rsidRPr="00BB630A" w:rsidR="001260D6" w:rsidP="1C3D137E" w:rsidRDefault="001260D6" w14:paraId="0BC9CA49" w14:textId="3FD115D9">
      <w:pPr>
        <w:pStyle w:val="Prrafodelista"/>
        <w:spacing w:before="240" w:after="240" w:line="240" w:lineRule="auto"/>
        <w:ind w:left="360"/>
        <w:rPr>
          <w:rFonts w:eastAsia="Times New Roman"/>
          <w:sz w:val="24"/>
          <w:szCs w:val="24"/>
          <w:lang w:eastAsia="es-MX"/>
        </w:rPr>
      </w:pPr>
    </w:p>
    <w:p w:rsidRPr="00BB630A" w:rsidR="001260D6" w:rsidP="1C3D137E" w:rsidRDefault="5B6F211D" w14:paraId="114807F2" w14:textId="40B17B7A">
      <w:pPr>
        <w:pStyle w:val="Prrafodelista"/>
        <w:spacing w:before="240" w:after="240" w:line="240" w:lineRule="auto"/>
        <w:ind w:left="360"/>
        <w:rPr>
          <w:rFonts w:eastAsia="Times New Roman"/>
          <w:sz w:val="24"/>
          <w:szCs w:val="24"/>
          <w:lang w:eastAsia="es-MX"/>
        </w:rPr>
      </w:pPr>
      <w:r w:rsidRPr="1C3D137E">
        <w:rPr>
          <w:rFonts w:eastAsia="Times New Roman"/>
          <w:sz w:val="24"/>
          <w:szCs w:val="24"/>
          <w:lang w:eastAsia="es-MX"/>
        </w:rPr>
        <w:t>No obstante, la Unidad precisó que la Ordenanza 066 de 2018 sí contempla a las CAR como integrantes del Sistema Departamental, asignándoles funciones en diversas instancias; sin embargo, dicha incorporación no se encuentra desarrollada con el nivel de claridad y especificidad requerido en cuanto a sus responsabilidades, lo que podría afectar la adecuada coordinación interinstitucional.</w:t>
      </w:r>
    </w:p>
    <w:p w:rsidRPr="00BB630A" w:rsidR="001260D6" w:rsidP="1C3D137E" w:rsidRDefault="001260D6" w14:paraId="2DB4A35C" w14:textId="05C773B7">
      <w:pPr>
        <w:pStyle w:val="Prrafodelista"/>
        <w:spacing w:before="240" w:after="240" w:line="240" w:lineRule="auto"/>
        <w:ind w:left="360"/>
        <w:rPr>
          <w:rFonts w:eastAsia="Times New Roman"/>
          <w:sz w:val="24"/>
          <w:szCs w:val="24"/>
          <w:lang w:eastAsia="es-MX"/>
        </w:rPr>
      </w:pPr>
    </w:p>
    <w:p w:rsidRPr="00BB630A" w:rsidR="001260D6" w:rsidP="00153268" w:rsidRDefault="2B1A2A08" w14:paraId="3B7737F3" w14:textId="4DE11EAB">
      <w:pPr>
        <w:pStyle w:val="Prrafodelista"/>
        <w:numPr>
          <w:ilvl w:val="0"/>
          <w:numId w:val="14"/>
        </w:numPr>
        <w:spacing w:before="100" w:beforeAutospacing="1" w:after="100" w:afterAutospacing="1" w:line="240" w:lineRule="auto"/>
        <w:rPr>
          <w:rFonts w:eastAsia="Times New Roman"/>
          <w:sz w:val="24"/>
          <w:szCs w:val="24"/>
          <w:lang w:eastAsia="es-MX"/>
        </w:rPr>
      </w:pPr>
      <w:r w:rsidRPr="1C3D137E">
        <w:rPr>
          <w:rFonts w:eastAsia="Times New Roman"/>
          <w:sz w:val="24"/>
          <w:szCs w:val="24"/>
          <w:lang w:eastAsia="es-MX"/>
        </w:rPr>
        <w:lastRenderedPageBreak/>
        <w:t>Finalmente, en relación con el artículo 59, referente a los criterios para la declaratoria de desastre y calamidad pública, se evidencia que la Ordenanza 066 de 2018 no establece parámetros específicos para su determinación, lo cual puede afectar la oportunidad, consistencia y uniformidad en la toma de decisiones frente a la ocurrencia de eventos adversos.</w:t>
      </w:r>
    </w:p>
    <w:p w:rsidRPr="00BB630A" w:rsidR="001260D6" w:rsidP="0ED4F347" w:rsidRDefault="001260D6" w14:paraId="626D8ADC" w14:textId="13419FC6">
      <w:pPr>
        <w:pStyle w:val="Prrafodelista"/>
        <w:spacing w:before="100" w:beforeAutospacing="on" w:after="100" w:afterAutospacing="on" w:line="240" w:lineRule="auto"/>
        <w:ind w:left="360"/>
        <w:rPr>
          <w:rFonts w:eastAsia="Times New Roman"/>
          <w:sz w:val="24"/>
          <w:szCs w:val="24"/>
          <w:lang w:eastAsia="es-MX"/>
        </w:rPr>
      </w:pPr>
    </w:p>
    <w:p w:rsidRPr="00BB630A" w:rsidR="001260D6" w:rsidP="1C3D137E" w:rsidRDefault="2B1A2A08" w14:paraId="1C88EC1C" w14:textId="2806B6AA">
      <w:pPr>
        <w:pStyle w:val="Prrafodelista"/>
        <w:spacing w:before="240" w:after="240" w:line="240" w:lineRule="auto"/>
        <w:ind w:left="360"/>
        <w:rPr>
          <w:rFonts w:eastAsia="Times New Roman"/>
          <w:sz w:val="24"/>
          <w:szCs w:val="24"/>
          <w:lang w:eastAsia="es-MX"/>
        </w:rPr>
      </w:pPr>
      <w:r w:rsidRPr="0ED4F347" w:rsidR="7559F9BC">
        <w:rPr>
          <w:rFonts w:eastAsia="Times New Roman"/>
          <w:sz w:val="24"/>
          <w:szCs w:val="24"/>
          <w:lang w:eastAsia="es-MX"/>
        </w:rPr>
        <w:t xml:space="preserve">En este sentido, y en concordancia con lo dispuesto en el artículo 91 de la Ley 1523 de 2012, las entidades territoriales </w:t>
      </w:r>
      <w:r w:rsidRPr="0ED4F347" w:rsidR="10055321">
        <w:rPr>
          <w:rFonts w:eastAsia="Times New Roman"/>
          <w:sz w:val="24"/>
          <w:szCs w:val="24"/>
          <w:lang w:eastAsia="es-MX"/>
        </w:rPr>
        <w:t>(</w:t>
      </w:r>
      <w:r w:rsidRPr="0ED4F347" w:rsidR="7559F9BC">
        <w:rPr>
          <w:rFonts w:eastAsia="Times New Roman"/>
          <w:sz w:val="24"/>
          <w:szCs w:val="24"/>
          <w:lang w:eastAsia="es-MX"/>
        </w:rPr>
        <w:t>incluyendo el nivel departamental</w:t>
      </w:r>
      <w:r w:rsidRPr="0ED4F347" w:rsidR="06B069CE">
        <w:rPr>
          <w:rFonts w:eastAsia="Times New Roman"/>
          <w:sz w:val="24"/>
          <w:szCs w:val="24"/>
          <w:lang w:eastAsia="es-MX"/>
        </w:rPr>
        <w:t>)</w:t>
      </w:r>
      <w:r w:rsidRPr="0ED4F347" w:rsidR="7559F9BC">
        <w:rPr>
          <w:rFonts w:eastAsia="Times New Roman"/>
          <w:sz w:val="24"/>
          <w:szCs w:val="24"/>
          <w:lang w:eastAsia="es-MX"/>
        </w:rPr>
        <w:t xml:space="preserve"> deben reglamentar las medidas aplicables en situaciones de calamidad pública, ajustándose a los principios, definiciones y disposiciones del régimen especial previsto en dicha norma, con el propósito de garantizar la debida armonización en la gestión del riesgo de desastres entre los distintos niveles de la administración.</w:t>
      </w:r>
    </w:p>
    <w:p w:rsidR="4AA93C10" w:rsidP="0ED4F347" w:rsidRDefault="4AA93C10" w14:paraId="6B0DAFD1" w14:textId="5F7D9FDC">
      <w:pPr>
        <w:pStyle w:val="Ttulo3"/>
        <w:numPr>
          <w:ilvl w:val="0"/>
          <w:numId w:val="0"/>
        </w:numPr>
        <w:spacing w:line="240" w:lineRule="auto"/>
        <w:rPr>
          <w:rFonts w:ascii="Arial" w:hAnsi="Arial" w:eastAsia="Arial" w:cs="Arial"/>
          <w:b w:val="0"/>
          <w:bCs w:val="0"/>
          <w:i w:val="0"/>
          <w:iCs w:val="0"/>
          <w:caps w:val="0"/>
          <w:smallCaps w:val="0"/>
          <w:noProof w:val="0"/>
          <w:color w:val="000000" w:themeColor="text1" w:themeTint="FF" w:themeShade="FF"/>
          <w:sz w:val="22"/>
          <w:szCs w:val="22"/>
          <w:lang w:val="es-ES"/>
        </w:rPr>
      </w:pPr>
      <w:bookmarkStart w:name="_Toc227164159" w:id="48"/>
      <w:r w:rsidRPr="0ED4F347" w:rsidR="4AA93C10">
        <w:rPr>
          <w:sz w:val="24"/>
          <w:szCs w:val="24"/>
          <w:lang w:eastAsia="es-MX"/>
        </w:rPr>
        <w:t>4.1.</w:t>
      </w:r>
      <w:r w:rsidRPr="0ED4F347" w:rsidR="6B5171F2">
        <w:rPr>
          <w:sz w:val="24"/>
          <w:szCs w:val="24"/>
          <w:lang w:eastAsia="es-MX"/>
        </w:rPr>
        <w:t xml:space="preserve">3. </w:t>
      </w:r>
      <w:r w:rsidRPr="0ED4F347" w:rsidR="4AA93C10">
        <w:rPr>
          <w:sz w:val="24"/>
          <w:szCs w:val="24"/>
          <w:lang w:eastAsia="es-MX"/>
        </w:rPr>
        <w:t>A</w:t>
      </w:r>
      <w:r w:rsidRPr="0ED4F347" w:rsidR="13699E4F">
        <w:rPr>
          <w:sz w:val="24"/>
          <w:szCs w:val="24"/>
          <w:lang w:eastAsia="es-MX"/>
        </w:rPr>
        <w:t>lineación entre el Plan Departamental para la Gestión del Riesgo de Desastres de Cundinamarca (PDGRDC) y el Plan de Desarrollo Departamental (PDD)</w:t>
      </w:r>
      <w:r w:rsidRPr="0ED4F347" w:rsidR="7E580376">
        <w:rPr>
          <w:sz w:val="24"/>
          <w:szCs w:val="24"/>
          <w:lang w:eastAsia="es-MX"/>
        </w:rPr>
        <w:t xml:space="preserve"> </w:t>
      </w:r>
      <w:r w:rsidRPr="0ED4F347" w:rsidR="53FB6885">
        <w:rPr>
          <w:sz w:val="24"/>
          <w:szCs w:val="24"/>
          <w:lang w:eastAsia="es-MX"/>
        </w:rPr>
        <w:t>(</w:t>
      </w:r>
      <w:r w:rsidRPr="0ED4F347" w:rsidR="7E580376">
        <w:rPr>
          <w:sz w:val="24"/>
          <w:szCs w:val="24"/>
          <w:lang w:eastAsia="es-MX"/>
        </w:rPr>
        <w:t>Formato</w:t>
      </w:r>
      <w:r w:rsidRPr="0ED4F347" w:rsidR="16F1CE5E">
        <w:rPr>
          <w:sz w:val="24"/>
          <w:szCs w:val="24"/>
          <w:lang w:eastAsia="es-MX"/>
        </w:rPr>
        <w:t xml:space="preserve"> </w:t>
      </w:r>
      <w:bookmarkEnd w:id="48"/>
      <w:r w:rsidRPr="0ED4F347" w:rsidR="16F1CE5E">
        <w:rPr>
          <w:rFonts w:eastAsia="Arial"/>
          <w:sz w:val="24"/>
          <w:szCs w:val="24"/>
          <w:lang w:val="es-ES"/>
        </w:rPr>
        <w:t>E-DEAG-FR_145</w:t>
      </w:r>
      <w:r w:rsidRPr="0ED4F347" w:rsidR="2B7B6E3F">
        <w:rPr>
          <w:rFonts w:eastAsia="Arial"/>
          <w:sz w:val="24"/>
          <w:szCs w:val="24"/>
          <w:lang w:val="es-ES"/>
        </w:rPr>
        <w:t>)</w:t>
      </w:r>
    </w:p>
    <w:p w:rsidRPr="00BB630A" w:rsidR="001260D6" w:rsidP="1C3D137E" w:rsidRDefault="001260D6" w14:paraId="46144290" w14:textId="6D7C1C2B">
      <w:pPr>
        <w:rPr>
          <w:rFonts w:eastAsia="Times New Roman"/>
          <w:sz w:val="24"/>
          <w:szCs w:val="24"/>
          <w:lang w:eastAsia="es-MX"/>
        </w:rPr>
      </w:pPr>
      <w:bookmarkStart w:name="_Toc227164160" w:id="49"/>
      <w:bookmarkEnd w:id="49"/>
      <w:r w:rsidRPr="1C3D137E">
        <w:rPr>
          <w:rFonts w:eastAsia="Times New Roman"/>
          <w:sz w:val="24"/>
          <w:szCs w:val="24"/>
          <w:lang w:eastAsia="es-MX"/>
        </w:rPr>
        <w:t>El Plan Departamental para la Gestión del Riesgo de Desastres de Cundinamarca (PDGRDC) se constituye como un instrumento de planificación para la gestión de riesgos de desastres, que se enmarca en la Política Pública para la Gestión del Riesgo de Desastres de Cundinamarca, a desarrollar en el periodo (2018-2036) y regulados por la Ordenanza 066 de 2018.</w:t>
      </w:r>
    </w:p>
    <w:p w:rsidRPr="00BB630A" w:rsidR="007A1936" w:rsidP="001260D6" w:rsidRDefault="007A1936" w14:paraId="7501FEED" w14:textId="77777777">
      <w:pPr>
        <w:spacing w:line="240" w:lineRule="auto"/>
        <w:rPr>
          <w:rFonts w:eastAsia="Times New Roman"/>
          <w:sz w:val="24"/>
          <w:szCs w:val="24"/>
          <w:lang w:eastAsia="es-MX"/>
        </w:rPr>
      </w:pPr>
    </w:p>
    <w:p w:rsidRPr="00BB630A" w:rsidR="001260D6" w:rsidP="001260D6" w:rsidRDefault="001260D6" w14:paraId="124A7079" w14:textId="57BFD2AC">
      <w:pPr>
        <w:spacing w:line="240" w:lineRule="auto"/>
        <w:rPr>
          <w:rFonts w:eastAsia="Times New Roman"/>
          <w:sz w:val="24"/>
          <w:szCs w:val="24"/>
          <w:lang w:eastAsia="es-MX"/>
        </w:rPr>
      </w:pPr>
      <w:r w:rsidRPr="00BB630A">
        <w:rPr>
          <w:rFonts w:eastAsia="Times New Roman"/>
          <w:sz w:val="24"/>
          <w:szCs w:val="24"/>
          <w:lang w:eastAsia="es-MX"/>
        </w:rPr>
        <w:t>Resultado del proceso auditor, determinó que no existe alineación entre el Plan Departamental para la Gestión del Riesgo de Desastres de Cundinamarca (PDGRDC) y el Plan de Desarrollo Departamental (PDD), tomando en cuenta los siguientes resultados:</w:t>
      </w:r>
    </w:p>
    <w:p w:rsidRPr="00BB630A" w:rsidR="007A1936" w:rsidP="001260D6" w:rsidRDefault="007A1936" w14:paraId="06E58F0E" w14:textId="77777777">
      <w:pPr>
        <w:spacing w:line="240" w:lineRule="auto"/>
        <w:rPr>
          <w:rFonts w:eastAsia="Times New Roman"/>
          <w:sz w:val="24"/>
          <w:szCs w:val="24"/>
          <w:lang w:eastAsia="es-MX"/>
        </w:rPr>
      </w:pPr>
    </w:p>
    <w:p w:rsidRPr="00BB630A" w:rsidR="001260D6" w:rsidP="00153268" w:rsidRDefault="001260D6" w14:paraId="4CC9837C" w14:textId="77777777">
      <w:pPr>
        <w:pStyle w:val="Prrafodelista"/>
        <w:numPr>
          <w:ilvl w:val="0"/>
          <w:numId w:val="16"/>
        </w:numPr>
        <w:spacing w:after="160" w:line="240" w:lineRule="auto"/>
        <w:rPr>
          <w:rFonts w:eastAsia="Times New Roman"/>
          <w:sz w:val="24"/>
          <w:szCs w:val="24"/>
          <w:lang w:eastAsia="es-MX"/>
        </w:rPr>
      </w:pPr>
      <w:r w:rsidRPr="00BB630A">
        <w:rPr>
          <w:rFonts w:eastAsia="Times New Roman"/>
          <w:b/>
          <w:sz w:val="24"/>
          <w:szCs w:val="24"/>
          <w:lang w:eastAsia="es-MX"/>
        </w:rPr>
        <w:t>E-DEAG-FR_145 – Plan de seguimiento UAEGRD:</w:t>
      </w:r>
      <w:r w:rsidRPr="00BB630A">
        <w:rPr>
          <w:rFonts w:eastAsia="Times New Roman"/>
          <w:sz w:val="24"/>
          <w:szCs w:val="24"/>
          <w:lang w:eastAsia="es-MX"/>
        </w:rPr>
        <w:t xml:space="preserve"> Archivo en Excel en el formato “PLAN DE SEGUIMIENTO POLÍTICA PÚBLICA” (E-DEAG-FR-145), que contiene 80 metas producto de la Política Pública para la Gestión del Riesgo de Desastres de Cundinamarca. No obstante, el apartado “</w:t>
      </w:r>
      <w:r w:rsidRPr="00BB630A">
        <w:rPr>
          <w:rFonts w:eastAsia="Times New Roman"/>
          <w:i/>
          <w:sz w:val="24"/>
          <w:szCs w:val="24"/>
          <w:lang w:eastAsia="es-MX"/>
        </w:rPr>
        <w:t>Seguimiento a la implementación de los productos de política en el Plan de Desarrollo</w:t>
      </w:r>
      <w:r w:rsidRPr="00BB630A">
        <w:rPr>
          <w:rFonts w:eastAsia="Times New Roman"/>
          <w:sz w:val="24"/>
          <w:szCs w:val="24"/>
          <w:lang w:eastAsia="es-MX"/>
        </w:rPr>
        <w:t>” se encuentra en blanco, evidenciando que no se ha establecido la relación entre las metas de la política pública y las metas del Plan de Desarrollo vigente (2024-2028), pese a encontrarse el periodo de gobierno en su punto medio (primer cuatrimestre de 2026).</w:t>
      </w:r>
    </w:p>
    <w:p w:rsidRPr="00BB630A" w:rsidR="001260D6" w:rsidP="001260D6" w:rsidRDefault="001260D6" w14:paraId="69C6085B" w14:textId="77777777">
      <w:pPr>
        <w:pStyle w:val="Prrafodelista"/>
        <w:spacing w:line="240" w:lineRule="auto"/>
        <w:rPr>
          <w:rFonts w:eastAsia="Times New Roman"/>
          <w:sz w:val="24"/>
          <w:szCs w:val="24"/>
          <w:lang w:eastAsia="es-MX"/>
        </w:rPr>
      </w:pPr>
    </w:p>
    <w:p w:rsidRPr="00BB630A" w:rsidR="001260D6" w:rsidP="007A1936" w:rsidRDefault="001260D6" w14:paraId="6D3B82DE" w14:textId="77777777">
      <w:pPr>
        <w:pStyle w:val="Prrafodelista"/>
        <w:spacing w:line="240" w:lineRule="auto"/>
        <w:ind w:left="360"/>
        <w:rPr>
          <w:rFonts w:eastAsia="Times New Roman"/>
          <w:sz w:val="24"/>
          <w:szCs w:val="24"/>
          <w:lang w:eastAsia="es-MX"/>
        </w:rPr>
      </w:pPr>
      <w:r w:rsidRPr="00BB630A">
        <w:rPr>
          <w:rFonts w:eastAsia="Times New Roman"/>
          <w:sz w:val="24"/>
          <w:szCs w:val="24"/>
          <w:lang w:eastAsia="es-MX"/>
        </w:rPr>
        <w:t>Adicionalmente y como parte del ejercicio auditor, el día 25 de marzo de 2026 se solicitó, mediante correo electrónico a la Secretaría de Prospectiva e Integración Territorial, la remisión del plan de seguimiento de la política pública (hoja de productos), en el que se evidenciara su articulación con el Plan de Desarrollo; igualmente, se requirieron los soportes del acompañamiento brindado por la Dirección de Estudios Económicos y Políticas Públicas para dicha articulación, así como los informes de seguimiento correspondientes a la vigencia 2025. Solicitud en torno a lo reglamentado en el Gestión del Ciclo Políticas Públicas (E-DEAG-PR-060).</w:t>
      </w:r>
    </w:p>
    <w:p w:rsidRPr="00BB630A" w:rsidR="001260D6" w:rsidP="001260D6" w:rsidRDefault="001260D6" w14:paraId="1F186980" w14:textId="77777777">
      <w:pPr>
        <w:pStyle w:val="Prrafodelista"/>
        <w:spacing w:line="240" w:lineRule="auto"/>
        <w:rPr>
          <w:rFonts w:eastAsia="Times New Roman"/>
          <w:sz w:val="24"/>
          <w:szCs w:val="24"/>
          <w:lang w:eastAsia="es-MX"/>
        </w:rPr>
      </w:pPr>
    </w:p>
    <w:p w:rsidRPr="00BB630A" w:rsidR="001260D6" w:rsidP="00181B15" w:rsidRDefault="001260D6" w14:paraId="069407E1" w14:textId="56932875">
      <w:pPr>
        <w:pStyle w:val="Prrafodelista"/>
        <w:spacing w:line="240" w:lineRule="auto"/>
        <w:ind w:left="360"/>
        <w:rPr>
          <w:rFonts w:eastAsia="Times New Roman"/>
          <w:sz w:val="24"/>
          <w:szCs w:val="24"/>
          <w:lang w:eastAsia="es-MX"/>
        </w:rPr>
      </w:pPr>
      <w:r w:rsidRPr="1C3D137E">
        <w:rPr>
          <w:rFonts w:eastAsia="Times New Roman"/>
          <w:sz w:val="24"/>
          <w:szCs w:val="24"/>
          <w:lang w:eastAsia="es-MX"/>
        </w:rPr>
        <w:lastRenderedPageBreak/>
        <w:t xml:space="preserve">En respuesta, mediante oficio emitido en la misma fecha por el </w:t>
      </w:r>
      <w:r w:rsidRPr="1C3D137E" w:rsidR="5C4BB803">
        <w:rPr>
          <w:rFonts w:eastAsia="Times New Roman"/>
          <w:sz w:val="24"/>
          <w:szCs w:val="24"/>
          <w:lang w:eastAsia="es-MX"/>
        </w:rPr>
        <w:t>director</w:t>
      </w:r>
      <w:r w:rsidRPr="1C3D137E">
        <w:rPr>
          <w:rFonts w:eastAsia="Times New Roman"/>
          <w:sz w:val="24"/>
          <w:szCs w:val="24"/>
          <w:lang w:eastAsia="es-MX"/>
        </w:rPr>
        <w:t xml:space="preserve"> de Planificación Estratégica, se informó que, pese a las múltiples solicitudes formales elevadas a la UAEGRD y a los espacios de articulación interinstitucional desarrollados para avanzar en la consolidación, seguimiento y reporte de la Política Pública de Gestión del Riesgo de Desastres, no se obtuvo respuesta por parte de dicha entidad.</w:t>
      </w:r>
    </w:p>
    <w:p w:rsidRPr="00BB630A" w:rsidR="001260D6" w:rsidP="001260D6" w:rsidRDefault="001260D6" w14:paraId="77FEF4F0" w14:textId="77777777">
      <w:pPr>
        <w:pStyle w:val="Prrafodelista"/>
        <w:spacing w:line="240" w:lineRule="auto"/>
        <w:rPr>
          <w:rFonts w:eastAsia="Times New Roman"/>
          <w:sz w:val="24"/>
          <w:szCs w:val="24"/>
          <w:lang w:eastAsia="es-MX"/>
        </w:rPr>
      </w:pPr>
    </w:p>
    <w:p w:rsidRPr="00BB630A" w:rsidR="001260D6" w:rsidP="00181B15" w:rsidRDefault="001260D6" w14:paraId="0B078FDB" w14:textId="77777777">
      <w:pPr>
        <w:pStyle w:val="Prrafodelista"/>
        <w:spacing w:line="240" w:lineRule="auto"/>
        <w:ind w:left="360"/>
        <w:rPr>
          <w:rFonts w:eastAsia="Times New Roman"/>
          <w:sz w:val="24"/>
          <w:szCs w:val="24"/>
          <w:lang w:eastAsia="es-MX"/>
        </w:rPr>
      </w:pPr>
      <w:r w:rsidRPr="00BB630A">
        <w:rPr>
          <w:rFonts w:eastAsia="Times New Roman"/>
          <w:sz w:val="24"/>
          <w:szCs w:val="24"/>
          <w:lang w:eastAsia="es-MX"/>
        </w:rPr>
        <w:t>Esta situación limitó el desarrollo oportuno y completo del seguimiento, así como la consolidación de los productos asociados a la política pública, evidenciando debilidades en el flujo de información requerido para su monitoreo; lo anterior se traduce en deficiencias en el proceso de seguimiento por parte de la Unidad.</w:t>
      </w:r>
    </w:p>
    <w:p w:rsidRPr="00BB630A" w:rsidR="001260D6" w:rsidP="001260D6" w:rsidRDefault="001260D6" w14:paraId="3C2670FE" w14:textId="77777777">
      <w:pPr>
        <w:pStyle w:val="Prrafodelista"/>
        <w:spacing w:line="240" w:lineRule="auto"/>
        <w:rPr>
          <w:rFonts w:eastAsia="Times New Roman"/>
          <w:sz w:val="24"/>
          <w:szCs w:val="24"/>
          <w:lang w:eastAsia="es-MX"/>
        </w:rPr>
      </w:pPr>
    </w:p>
    <w:p w:rsidRPr="00BB630A" w:rsidR="001260D6" w:rsidP="00153268" w:rsidRDefault="001260D6" w14:paraId="01391C90" w14:textId="5950180B">
      <w:pPr>
        <w:pStyle w:val="Prrafodelista"/>
        <w:numPr>
          <w:ilvl w:val="0"/>
          <w:numId w:val="15"/>
        </w:numPr>
        <w:spacing w:after="160" w:line="240" w:lineRule="auto"/>
        <w:rPr>
          <w:rFonts w:eastAsia="Times New Roman"/>
          <w:sz w:val="24"/>
          <w:szCs w:val="24"/>
          <w:lang w:eastAsia="es-MX"/>
        </w:rPr>
      </w:pPr>
      <w:r w:rsidRPr="1C3D137E">
        <w:rPr>
          <w:rFonts w:eastAsia="Times New Roman"/>
          <w:b/>
          <w:bCs/>
          <w:sz w:val="24"/>
          <w:szCs w:val="24"/>
          <w:lang w:eastAsia="es-MX"/>
        </w:rPr>
        <w:t>3er Informe de Avance de las Políticas Públicas Departamentales – Vigencia 2025 (16 de diciembre de 2025):</w:t>
      </w:r>
      <w:r w:rsidRPr="1C3D137E">
        <w:rPr>
          <w:rFonts w:eastAsia="Times New Roman"/>
          <w:sz w:val="24"/>
          <w:szCs w:val="24"/>
          <w:lang w:eastAsia="es-MX"/>
        </w:rPr>
        <w:t xml:space="preserve"> Documento consolidado por la Secretaría de Prospectiva e Integración Territorial, en el cual se reporta el seguimiento a la Política Pública para la Gestión del Riesgo de Desastres. En este se evidencia avance cualitativo en 10 de las 11 metas de carácter superior de la política. Se destaca que la única meta sin reporte de avance es la meta 3: “</w:t>
      </w:r>
      <w:r w:rsidRPr="1C3D137E">
        <w:rPr>
          <w:rFonts w:eastAsia="Times New Roman"/>
          <w:i/>
          <w:iCs/>
          <w:sz w:val="24"/>
          <w:szCs w:val="24"/>
          <w:lang w:eastAsia="es-MX"/>
        </w:rPr>
        <w:t>Reducir para 2027 las pérdidas económicas directas ocasionadas por los desastres, en relación con el Producto Interno Bruto (PIB) del departamento, en un 50%”,</w:t>
      </w:r>
      <w:r w:rsidRPr="1C3D137E">
        <w:rPr>
          <w:rFonts w:eastAsia="Times New Roman"/>
          <w:sz w:val="24"/>
          <w:szCs w:val="24"/>
          <w:lang w:eastAsia="es-MX"/>
        </w:rPr>
        <w:t xml:space="preserve"> a</w:t>
      </w:r>
      <w:r w:rsidRPr="1C3D137E">
        <w:rPr>
          <w:sz w:val="24"/>
          <w:szCs w:val="24"/>
        </w:rPr>
        <w:t xml:space="preserve"> </w:t>
      </w:r>
      <w:r w:rsidRPr="1C3D137E">
        <w:rPr>
          <w:rFonts w:eastAsia="Times New Roman"/>
          <w:sz w:val="24"/>
          <w:szCs w:val="24"/>
          <w:lang w:eastAsia="es-MX"/>
        </w:rPr>
        <w:t>lo cual constituye una debilidad en el proceso de seguimiento y en la medición de resultados de la política.</w:t>
      </w:r>
    </w:p>
    <w:p w:rsidRPr="00BB630A" w:rsidR="001260D6" w:rsidP="1C3D137E" w:rsidRDefault="001260D6" w14:paraId="109396CE" w14:textId="4067BA64">
      <w:pPr>
        <w:pStyle w:val="Prrafodelista"/>
        <w:spacing w:after="160" w:line="240" w:lineRule="auto"/>
        <w:ind w:left="360"/>
        <w:rPr>
          <w:rFonts w:eastAsia="Times New Roman"/>
          <w:sz w:val="24"/>
          <w:szCs w:val="24"/>
          <w:lang w:eastAsia="es-MX"/>
        </w:rPr>
      </w:pPr>
    </w:p>
    <w:p w:rsidRPr="00BB630A" w:rsidR="001260D6" w:rsidP="1C3D137E" w:rsidRDefault="001260D6" w14:paraId="361A28B8" w14:textId="5DBFC36B">
      <w:pPr>
        <w:pStyle w:val="Prrafodelista"/>
        <w:spacing w:after="160" w:line="240" w:lineRule="auto"/>
        <w:ind w:left="360"/>
        <w:rPr>
          <w:rFonts w:eastAsia="Times New Roman"/>
          <w:sz w:val="24"/>
          <w:szCs w:val="24"/>
          <w:lang w:eastAsia="es-MX"/>
        </w:rPr>
      </w:pPr>
      <w:r w:rsidRPr="1C3D137E">
        <w:rPr>
          <w:rFonts w:eastAsia="Times New Roman"/>
          <w:sz w:val="24"/>
          <w:szCs w:val="24"/>
          <w:lang w:eastAsia="es-MX"/>
        </w:rPr>
        <w:t>Sin embargo, el mismo informe señala que la articulación de las 80 metas de producto con el actual Plan de Desarrollo Departamental se encuentra en proceso, mediante ejercicios de traslado, homologación y armonización.</w:t>
      </w:r>
    </w:p>
    <w:p w:rsidRPr="00BB630A" w:rsidR="00181B15" w:rsidP="001260D6" w:rsidRDefault="00181B15" w14:paraId="73E8D3D0" w14:textId="77777777">
      <w:pPr>
        <w:spacing w:line="240" w:lineRule="auto"/>
        <w:ind w:left="360"/>
        <w:rPr>
          <w:rFonts w:eastAsia="Times New Roman"/>
          <w:sz w:val="24"/>
          <w:szCs w:val="24"/>
          <w:lang w:eastAsia="es-MX"/>
        </w:rPr>
      </w:pPr>
    </w:p>
    <w:p w:rsidRPr="00BB630A" w:rsidR="001260D6" w:rsidP="0ED4F347" w:rsidRDefault="001260D6" w14:paraId="60912EEE" w14:textId="1FCABDDF">
      <w:pPr>
        <w:spacing w:line="240" w:lineRule="auto"/>
        <w:rPr>
          <w:rFonts w:eastAsia="Times New Roman"/>
          <w:sz w:val="24"/>
          <w:szCs w:val="24"/>
          <w:lang w:eastAsia="es-MX"/>
        </w:rPr>
      </w:pPr>
      <w:r w:rsidRPr="1C3D137E" w:rsidR="13699E4F">
        <w:rPr>
          <w:rFonts w:eastAsia="Times New Roman"/>
          <w:sz w:val="24"/>
          <w:szCs w:val="24"/>
          <w:lang w:eastAsia="es-MX"/>
        </w:rPr>
        <w:t>A partir de lo anterior, se evidencia que, a la fecha de la auditoría, no se ha materializado la articulación efectiva entre las metas del PDGRDC y el Plan de Desarrollo Departamental vigente, limitándose a ejercicios en curso sin resultados concretos verificables.</w:t>
      </w:r>
      <w:r w:rsidRPr="1C3D137E" w:rsidR="13699E4F">
        <w:rPr>
          <w:rFonts w:eastAsia="Times New Roman"/>
          <w:sz w:val="24"/>
          <w:szCs w:val="24"/>
          <w:lang w:eastAsia="es-MX"/>
        </w:rPr>
        <w:t xml:space="preserve"> Esta situación contraviene lo establecido en </w:t>
      </w:r>
      <w:r w:rsidRPr="1C3D137E" w:rsidR="019E8801">
        <w:rPr>
          <w:rFonts w:eastAsia="Times New Roman"/>
          <w:sz w:val="24"/>
          <w:szCs w:val="24"/>
          <w:lang w:eastAsia="es-MX"/>
        </w:rPr>
        <w:t xml:space="preserve">el </w:t>
      </w:r>
      <w:r w:rsidRPr="1C3D137E" w:rsidR="09438A9C">
        <w:rPr>
          <w:rFonts w:eastAsia="Times New Roman"/>
          <w:sz w:val="24"/>
          <w:szCs w:val="24"/>
          <w:lang w:eastAsia="es-MX"/>
        </w:rPr>
        <w:t>parágrafo tercero del artículo 37</w:t>
      </w:r>
      <w:r w:rsidRPr="1C3D137E" w:rsidR="13699E4F">
        <w:rPr>
          <w:rFonts w:eastAsia="Times New Roman"/>
          <w:sz w:val="24"/>
          <w:szCs w:val="24"/>
          <w:lang w:eastAsia="es-MX"/>
        </w:rPr>
        <w:t xml:space="preserve"> Ordenanza 066 de 2018, al no evidenciarse la integración requerida entre ambos instrumentos de planificación</w:t>
      </w:r>
      <w:r w:rsidRPr="1C3D137E" w:rsidR="33E83D08">
        <w:rPr>
          <w:rFonts w:eastAsia="Times New Roman"/>
          <w:sz w:val="24"/>
          <w:szCs w:val="24"/>
          <w:lang w:eastAsia="es-MX"/>
        </w:rPr>
        <w:t xml:space="preserve">, lo que constituye un hallazgo tipo </w:t>
      </w:r>
      <w:r w:rsidRPr="1C3D137E" w:rsidR="33E83D08">
        <w:rPr>
          <w:rFonts w:eastAsia="Times New Roman"/>
          <w:b w:val="1"/>
          <w:bCs w:val="1"/>
          <w:sz w:val="24"/>
          <w:szCs w:val="24"/>
          <w:lang w:eastAsia="es-MX"/>
        </w:rPr>
        <w:t>incumplimiento</w:t>
      </w:r>
      <w:r w:rsidRPr="1C3D137E" w:rsidR="7DF84B8D">
        <w:rPr>
          <w:rFonts w:eastAsia="Times New Roman"/>
          <w:b w:val="1"/>
          <w:bCs w:val="1"/>
          <w:sz w:val="24"/>
          <w:szCs w:val="24"/>
          <w:lang w:eastAsia="es-MX"/>
        </w:rPr>
        <w:t xml:space="preserve"> N°</w:t>
      </w:r>
      <w:r w:rsidRPr="1C3D137E" w:rsidR="363B52F8">
        <w:rPr>
          <w:rFonts w:eastAsia="Times New Roman"/>
          <w:b w:val="1"/>
          <w:bCs w:val="1"/>
          <w:sz w:val="24"/>
          <w:szCs w:val="24"/>
          <w:lang w:eastAsia="es-MX"/>
        </w:rPr>
        <w:t xml:space="preserve">8.3.</w:t>
      </w:r>
      <w:r w:rsidRPr="1C3D137E" w:rsidR="7DF84B8D">
        <w:rPr>
          <w:rFonts w:eastAsia="Times New Roman"/>
          <w:b w:val="1"/>
          <w:bCs w:val="1"/>
          <w:sz w:val="24"/>
          <w:szCs w:val="24"/>
          <w:lang w:eastAsia="es-MX"/>
        </w:rPr>
        <w:t xml:space="preserve">1</w:t>
      </w:r>
      <w:r w:rsidRPr="1C3D137E">
        <w:rPr>
          <w:rStyle w:val="Refdenotaalpie"/>
          <w:rFonts w:eastAsia="Times New Roman"/>
          <w:sz w:val="24"/>
          <w:szCs w:val="24"/>
          <w:lang w:eastAsia="es-MX"/>
        </w:rPr>
        <w:footnoteReference w:id="2"/>
      </w:r>
      <w:r w:rsidRPr="1C3D137E" w:rsidR="33E83D08">
        <w:rPr>
          <w:rFonts w:eastAsia="Times New Roman"/>
          <w:sz w:val="24"/>
          <w:szCs w:val="24"/>
          <w:lang w:eastAsia="es-MX"/>
        </w:rPr>
        <w:t>.</w:t>
      </w:r>
    </w:p>
    <w:p w:rsidR="0ED4F347" w:rsidP="0ED4F347" w:rsidRDefault="0ED4F347" w14:paraId="634491C3" w14:textId="0FF52DC5">
      <w:pPr>
        <w:spacing w:line="240" w:lineRule="auto"/>
        <w:rPr>
          <w:rFonts w:eastAsia="Times New Roman"/>
          <w:sz w:val="24"/>
          <w:szCs w:val="24"/>
          <w:lang w:eastAsia="es-MX"/>
        </w:rPr>
      </w:pPr>
    </w:p>
    <w:p w:rsidR="1C3D137E" w:rsidP="0ED4F347" w:rsidRDefault="1C3D137E" w14:paraId="7F30E3FC" w14:textId="643F80B9">
      <w:pPr>
        <w:pStyle w:val="Ttulo2"/>
        <w:spacing w:before="0" w:beforeAutospacing="off" w:after="0" w:afterAutospacing="on"/>
        <w:rPr>
          <w:lang w:val="es-ES"/>
        </w:rPr>
      </w:pPr>
      <w:r w:rsidRPr="0ED4F347" w:rsidR="058203DC">
        <w:rPr>
          <w:sz w:val="28"/>
          <w:szCs w:val="28"/>
          <w:lang w:val="es-ES"/>
        </w:rPr>
        <w:t>A</w:t>
      </w:r>
      <w:r w:rsidRPr="0ED4F347" w:rsidR="5F9A65A9">
        <w:rPr>
          <w:sz w:val="28"/>
          <w:szCs w:val="28"/>
          <w:lang w:val="es-ES"/>
        </w:rPr>
        <w:t>cciones de manejo</w:t>
      </w:r>
      <w:r w:rsidRPr="0ED4F347" w:rsidR="1F25084A">
        <w:rPr>
          <w:sz w:val="28"/>
          <w:szCs w:val="28"/>
          <w:lang w:val="es-ES"/>
        </w:rPr>
        <w:t xml:space="preserve"> UAEGRD</w:t>
      </w:r>
      <w:r w:rsidRPr="0ED4F347" w:rsidR="5F9A65A9">
        <w:rPr>
          <w:sz w:val="28"/>
          <w:szCs w:val="28"/>
          <w:lang w:val="es-ES"/>
        </w:rPr>
        <w:t xml:space="preserve"> – </w:t>
      </w:r>
      <w:r w:rsidRPr="0ED4F347" w:rsidR="658EF6FD">
        <w:rPr>
          <w:sz w:val="28"/>
          <w:szCs w:val="28"/>
          <w:lang w:val="es-ES"/>
        </w:rPr>
        <w:t>Evento Sísmico</w:t>
      </w:r>
      <w:r w:rsidRPr="0ED4F347" w:rsidR="5F9A65A9">
        <w:rPr>
          <w:sz w:val="28"/>
          <w:szCs w:val="28"/>
          <w:lang w:val="es-ES"/>
        </w:rPr>
        <w:t xml:space="preserve"> </w:t>
      </w:r>
      <w:r w:rsidRPr="0ED4F347" w:rsidR="5F9A65A9">
        <w:rPr>
          <w:sz w:val="28"/>
          <w:szCs w:val="28"/>
          <w:lang w:val="es-ES"/>
        </w:rPr>
        <w:t xml:space="preserve">de Medina y </w:t>
      </w:r>
      <w:r w:rsidRPr="0ED4F347" w:rsidR="5F9A65A9">
        <w:rPr>
          <w:sz w:val="28"/>
          <w:szCs w:val="28"/>
          <w:lang w:val="es-ES"/>
        </w:rPr>
        <w:t>Paratebueno</w:t>
      </w:r>
      <w:r w:rsidRPr="0ED4F347" w:rsidR="5F9A65A9">
        <w:rPr>
          <w:sz w:val="28"/>
          <w:szCs w:val="28"/>
          <w:lang w:val="es-ES"/>
        </w:rPr>
        <w:t xml:space="preserve"> del 08 de junio del 2025</w:t>
      </w:r>
      <w:r w:rsidRPr="0ED4F347" w:rsidR="692D6D0A">
        <w:rPr>
          <w:sz w:val="28"/>
          <w:szCs w:val="28"/>
          <w:lang w:val="es-ES"/>
        </w:rPr>
        <w:t>.</w:t>
      </w:r>
    </w:p>
    <w:p w:rsidR="1C3D137E" w:rsidP="0ED4F347" w:rsidRDefault="1C3D137E" w14:paraId="61EA7598" w14:textId="3077EE95">
      <w:pPr>
        <w:pStyle w:val="Ttulo2"/>
        <w:numPr>
          <w:ilvl w:val="0"/>
          <w:numId w:val="0"/>
        </w:numPr>
        <w:spacing w:before="0" w:beforeAutospacing="on" w:after="0" w:afterAutospacing="on"/>
        <w:ind w:left="0"/>
        <w:rPr>
          <w:sz w:val="24"/>
          <w:szCs w:val="24"/>
          <w:lang w:val="es-ES"/>
        </w:rPr>
      </w:pPr>
      <w:bookmarkStart w:name="_Toc206756957" w:id="50"/>
      <w:bookmarkStart w:name="_Toc206758789" w:id="51"/>
      <w:bookmarkStart w:name="_Toc206758805" w:id="52"/>
      <w:bookmarkStart w:name="_Toc206758853" w:id="53"/>
      <w:bookmarkStart w:name="_Toc206758869" w:id="54"/>
      <w:bookmarkStart w:name="_Toc206759092" w:id="55"/>
      <w:bookmarkStart w:name="_Toc206759643" w:id="56"/>
      <w:r w:rsidRPr="0ED4F347" w:rsidR="5F9A65A9">
        <w:rPr>
          <w:sz w:val="24"/>
          <w:szCs w:val="24"/>
          <w:lang w:val="es-ES"/>
        </w:rPr>
        <w:t xml:space="preserve">Objetivo 2. </w:t>
      </w:r>
      <w:r w:rsidRPr="0ED4F347" w:rsidR="041AFAB6">
        <w:rPr>
          <w:b w:val="0"/>
          <w:bCs w:val="0"/>
          <w:sz w:val="24"/>
          <w:szCs w:val="24"/>
          <w:lang w:val="es-ES"/>
        </w:rPr>
        <w:t>Evaluar el cumplimiento de las acciones de manejo, así como la eficacia de los controles establecidos en el Procedimiento de Atención de Emergencias, el Plan de Acción Específico y los mecanismos de Coordinación Institucional, mediante la verificación de la trazabilidad de un desastre ocurrido durante el período evaluado y el análisis de su incidencia en el desempeño del proceso. En este marco, se verificará una muestra de la gestión contractual y documental asociada.</w:t>
      </w:r>
      <w:bookmarkEnd w:id="50"/>
      <w:bookmarkEnd w:id="51"/>
      <w:bookmarkEnd w:id="52"/>
      <w:bookmarkEnd w:id="53"/>
      <w:bookmarkEnd w:id="54"/>
      <w:bookmarkEnd w:id="55"/>
      <w:bookmarkEnd w:id="56"/>
    </w:p>
    <w:p w:rsidRPr="00B90ADA" w:rsidR="007A4EB4" w:rsidP="007A4EB4" w:rsidRDefault="007A4EB4" w14:paraId="089222FF" w14:textId="37E58171">
      <w:pPr>
        <w:spacing w:line="240" w:lineRule="auto"/>
        <w:rPr>
          <w:sz w:val="24"/>
          <w:szCs w:val="24"/>
        </w:rPr>
      </w:pPr>
      <w:r w:rsidRPr="0ED4F347" w:rsidR="6AB5B21B">
        <w:rPr>
          <w:sz w:val="24"/>
          <w:szCs w:val="24"/>
        </w:rPr>
        <w:t xml:space="preserve">El presente </w:t>
      </w:r>
      <w:r w:rsidRPr="0ED4F347" w:rsidR="4B99C98F">
        <w:rPr>
          <w:sz w:val="24"/>
          <w:szCs w:val="24"/>
        </w:rPr>
        <w:t>acápite</w:t>
      </w:r>
      <w:r w:rsidRPr="0ED4F347" w:rsidR="6AB5B21B">
        <w:rPr>
          <w:sz w:val="24"/>
          <w:szCs w:val="24"/>
        </w:rPr>
        <w:t xml:space="preserve"> tiene como propósito evaluar la gestión de la Unidad Administrativa Especial para la Gestión del Riesgo de Desastres de Cundinamarca (UAEGRD) frente al sismo del 8 de junio de 2025 en los municipios de </w:t>
      </w:r>
      <w:r w:rsidRPr="0ED4F347" w:rsidR="6AB5B21B">
        <w:rPr>
          <w:sz w:val="24"/>
          <w:szCs w:val="24"/>
        </w:rPr>
        <w:t>Paratebueno</w:t>
      </w:r>
      <w:r w:rsidRPr="0ED4F347" w:rsidR="6AB5B21B">
        <w:rPr>
          <w:sz w:val="24"/>
          <w:szCs w:val="24"/>
        </w:rPr>
        <w:t xml:space="preserve"> y Medina, con énfasis en la eficacia de los controles establecidos en cuatro instrumentos clave: el Procedimiento de Atención de Emergencias (M</w:t>
      </w:r>
      <w:r>
        <w:noBreakHyphen/>
      </w:r>
      <w:r w:rsidRPr="0ED4F347" w:rsidR="6AB5B21B">
        <w:rPr>
          <w:sz w:val="24"/>
          <w:szCs w:val="24"/>
        </w:rPr>
        <w:t>FT</w:t>
      </w:r>
      <w:r>
        <w:noBreakHyphen/>
      </w:r>
      <w:r w:rsidRPr="0ED4F347" w:rsidR="6AB5B21B">
        <w:rPr>
          <w:sz w:val="24"/>
          <w:szCs w:val="24"/>
        </w:rPr>
        <w:t>PR</w:t>
      </w:r>
      <w:r>
        <w:noBreakHyphen/>
      </w:r>
      <w:r w:rsidRPr="0ED4F347" w:rsidR="6AB5B21B">
        <w:rPr>
          <w:sz w:val="24"/>
          <w:szCs w:val="24"/>
        </w:rPr>
        <w:t>008), el Plan de Acción Específico – PAE (M</w:t>
      </w:r>
      <w:r>
        <w:noBreakHyphen/>
      </w:r>
      <w:r w:rsidRPr="0ED4F347" w:rsidR="6AB5B21B">
        <w:rPr>
          <w:sz w:val="24"/>
          <w:szCs w:val="24"/>
        </w:rPr>
        <w:t>FT</w:t>
      </w:r>
      <w:r>
        <w:noBreakHyphen/>
      </w:r>
      <w:r w:rsidRPr="0ED4F347" w:rsidR="6AB5B21B">
        <w:rPr>
          <w:sz w:val="24"/>
          <w:szCs w:val="24"/>
        </w:rPr>
        <w:t>PR</w:t>
      </w:r>
      <w:r>
        <w:noBreakHyphen/>
      </w:r>
      <w:r w:rsidRPr="0ED4F347" w:rsidR="6AB5B21B">
        <w:rPr>
          <w:sz w:val="24"/>
          <w:szCs w:val="24"/>
        </w:rPr>
        <w:t>018), el Procedimiento de Coordinación Interinstitucional (M</w:t>
      </w:r>
      <w:r>
        <w:noBreakHyphen/>
      </w:r>
      <w:r w:rsidRPr="0ED4F347" w:rsidR="6AB5B21B">
        <w:rPr>
          <w:sz w:val="24"/>
          <w:szCs w:val="24"/>
        </w:rPr>
        <w:t>FT</w:t>
      </w:r>
      <w:r>
        <w:noBreakHyphen/>
      </w:r>
      <w:r w:rsidRPr="0ED4F347" w:rsidR="6AB5B21B">
        <w:rPr>
          <w:sz w:val="24"/>
          <w:szCs w:val="24"/>
        </w:rPr>
        <w:t>PR</w:t>
      </w:r>
      <w:r>
        <w:noBreakHyphen/>
      </w:r>
      <w:r w:rsidRPr="0ED4F347" w:rsidR="6AB5B21B">
        <w:rPr>
          <w:sz w:val="24"/>
          <w:szCs w:val="24"/>
        </w:rPr>
        <w:t>006) y el Procedimiento de Entrega de Ayudas Humanitarias (M</w:t>
      </w:r>
      <w:r>
        <w:noBreakHyphen/>
      </w:r>
      <w:r w:rsidRPr="0ED4F347" w:rsidR="6AB5B21B">
        <w:rPr>
          <w:sz w:val="24"/>
          <w:szCs w:val="24"/>
        </w:rPr>
        <w:t>FT</w:t>
      </w:r>
      <w:r>
        <w:noBreakHyphen/>
      </w:r>
      <w:r w:rsidRPr="0ED4F347" w:rsidR="6AB5B21B">
        <w:rPr>
          <w:sz w:val="24"/>
          <w:szCs w:val="24"/>
        </w:rPr>
        <w:t>PR</w:t>
      </w:r>
      <w:r>
        <w:noBreakHyphen/>
      </w:r>
      <w:r w:rsidRPr="0ED4F347" w:rsidR="6AB5B21B">
        <w:rPr>
          <w:sz w:val="24"/>
          <w:szCs w:val="24"/>
        </w:rPr>
        <w:t>010).</w:t>
      </w:r>
    </w:p>
    <w:p w:rsidRPr="00B90ADA" w:rsidR="002C12B6" w:rsidP="007A4EB4" w:rsidRDefault="002C12B6" w14:paraId="172A3107" w14:textId="77777777">
      <w:pPr>
        <w:spacing w:line="240" w:lineRule="auto"/>
        <w:rPr>
          <w:sz w:val="24"/>
          <w:szCs w:val="24"/>
        </w:rPr>
      </w:pPr>
    </w:p>
    <w:p w:rsidRPr="00B90ADA" w:rsidR="007A4EB4" w:rsidP="007A4EB4" w:rsidRDefault="007A4EB4" w14:paraId="695548FB" w14:textId="138F6553">
      <w:pPr>
        <w:spacing w:line="240" w:lineRule="auto"/>
        <w:rPr>
          <w:sz w:val="24"/>
          <w:szCs w:val="24"/>
        </w:rPr>
      </w:pPr>
      <w:r w:rsidRPr="3AE47990">
        <w:rPr>
          <w:sz w:val="24"/>
          <w:szCs w:val="24"/>
        </w:rPr>
        <w:t xml:space="preserve">En este marco, la auditoría se centra en cómo estos procedimientos se aplicaron realmente durante la emergencia: cómo se recibieron, registraron y consolidaron los reportes; cómo se evaluaron los daños y necesidades (EDAN) y se activó el Plan de Acción Específico; de qué manera operaron los espacios de decisión y coordinación (Consejos y comités, Puestos de Mando Unificado); y cómo se identificó a la población afectada y se ejecutó la entrega de ayudas humanitarias, verificando la trazabilidad entre censos, contratos y planillas de entrega. Para evaluar el nivel de cumplimiento de cada procedimiento se definieron rangos de calificación </w:t>
      </w:r>
      <w:r w:rsidRPr="3AE47990" w:rsidR="20CAFE55">
        <w:rPr>
          <w:sz w:val="24"/>
          <w:szCs w:val="24"/>
        </w:rPr>
        <w:t>como se muestran en las tablas 1 y 2.</w:t>
      </w:r>
    </w:p>
    <w:p w:rsidR="1C3D137E" w:rsidP="1C3D137E" w:rsidRDefault="1C3D137E" w14:paraId="0F1B63B4" w14:textId="5ED913FB">
      <w:pPr>
        <w:spacing w:line="240" w:lineRule="auto"/>
        <w:rPr>
          <w:sz w:val="24"/>
          <w:szCs w:val="24"/>
        </w:rPr>
      </w:pPr>
    </w:p>
    <w:p w:rsidRPr="00B90ADA" w:rsidR="007A4EB4" w:rsidP="1C3D137E" w:rsidRDefault="007A4EB4" w14:paraId="07DDB5CE" w14:textId="4766383D">
      <w:pPr>
        <w:spacing w:line="240" w:lineRule="auto"/>
        <w:rPr>
          <w:sz w:val="24"/>
          <w:szCs w:val="24"/>
        </w:rPr>
      </w:pPr>
      <w:r w:rsidRPr="0ED4F347" w:rsidR="6AB5B21B">
        <w:rPr>
          <w:sz w:val="24"/>
          <w:szCs w:val="24"/>
        </w:rPr>
        <w:t>De acuerdo con la rúbrica trazada por la Oficina de Control Interno el cumplimiento de los procedimientos y los controles evaluados arroja en promedio el 7</w:t>
      </w:r>
      <w:r w:rsidRPr="0ED4F347" w:rsidR="5736C2DC">
        <w:rPr>
          <w:sz w:val="24"/>
          <w:szCs w:val="24"/>
        </w:rPr>
        <w:t>4</w:t>
      </w:r>
      <w:r w:rsidRPr="0ED4F347" w:rsidR="6AB5B21B">
        <w:rPr>
          <w:sz w:val="24"/>
          <w:szCs w:val="24"/>
        </w:rPr>
        <w:t>%</w:t>
      </w:r>
      <w:r w:rsidRPr="0ED4F347" w:rsidR="6C0AB8C4">
        <w:rPr>
          <w:sz w:val="24"/>
          <w:szCs w:val="24"/>
        </w:rPr>
        <w:t xml:space="preserve"> global</w:t>
      </w:r>
      <w:r w:rsidRPr="0ED4F347" w:rsidR="6AB5B21B">
        <w:rPr>
          <w:sz w:val="24"/>
          <w:szCs w:val="24"/>
        </w:rPr>
        <w:t xml:space="preserve"> como se muestra en la tabla</w:t>
      </w:r>
      <w:r w:rsidRPr="0ED4F347" w:rsidR="06C71574">
        <w:rPr>
          <w:sz w:val="24"/>
          <w:szCs w:val="24"/>
        </w:rPr>
        <w:t xml:space="preserve">, lo cual se traduce en </w:t>
      </w:r>
      <w:r w:rsidRPr="0ED4F347" w:rsidR="07FDEE09">
        <w:rPr>
          <w:sz w:val="24"/>
          <w:szCs w:val="24"/>
        </w:rPr>
        <w:t>el</w:t>
      </w:r>
      <w:r w:rsidRPr="0ED4F347" w:rsidR="06C71574">
        <w:rPr>
          <w:sz w:val="24"/>
          <w:szCs w:val="24"/>
        </w:rPr>
        <w:t xml:space="preserve"> </w:t>
      </w:r>
      <w:r w:rsidRPr="0ED4F347" w:rsidR="51BBDD9C">
        <w:rPr>
          <w:sz w:val="24"/>
          <w:szCs w:val="24"/>
        </w:rPr>
        <w:t xml:space="preserve">hallazgo tipo </w:t>
      </w:r>
      <w:r w:rsidRPr="0ED4F347" w:rsidR="06C71574">
        <w:rPr>
          <w:b w:val="1"/>
          <w:bCs w:val="1"/>
          <w:sz w:val="24"/>
          <w:szCs w:val="24"/>
        </w:rPr>
        <w:t>incumplimiento</w:t>
      </w:r>
      <w:r w:rsidRPr="0ED4F347" w:rsidR="2022CEC7">
        <w:rPr>
          <w:b w:val="1"/>
          <w:bCs w:val="1"/>
          <w:sz w:val="24"/>
          <w:szCs w:val="24"/>
        </w:rPr>
        <w:t xml:space="preserve"> </w:t>
      </w:r>
      <w:r w:rsidRPr="0ED4F347" w:rsidR="31CEA710">
        <w:rPr>
          <w:b w:val="1"/>
          <w:bCs w:val="1"/>
          <w:sz w:val="24"/>
          <w:szCs w:val="24"/>
        </w:rPr>
        <w:t>Nº</w:t>
      </w:r>
      <w:r w:rsidRPr="0ED4F347" w:rsidR="31CEA710">
        <w:rPr>
          <w:b w:val="1"/>
          <w:bCs w:val="1"/>
          <w:sz w:val="24"/>
          <w:szCs w:val="24"/>
        </w:rPr>
        <w:t xml:space="preserve"> </w:t>
      </w:r>
      <w:r w:rsidRPr="0ED4F347" w:rsidR="2022CEC7">
        <w:rPr>
          <w:b w:val="1"/>
          <w:bCs w:val="1"/>
          <w:sz w:val="24"/>
          <w:szCs w:val="24"/>
        </w:rPr>
        <w:t>8.3.</w:t>
      </w:r>
      <w:r w:rsidRPr="0ED4F347" w:rsidR="34A39982">
        <w:rPr>
          <w:b w:val="1"/>
          <w:bCs w:val="1"/>
          <w:sz w:val="24"/>
          <w:szCs w:val="24"/>
        </w:rPr>
        <w:t>2</w:t>
      </w:r>
      <w:r w:rsidRPr="0ED4F347">
        <w:rPr>
          <w:rStyle w:val="Refdenotaalpie"/>
          <w:sz w:val="24"/>
          <w:szCs w:val="24"/>
        </w:rPr>
        <w:footnoteReference w:id="27924"/>
      </w:r>
      <w:r w:rsidRPr="0ED4F347" w:rsidR="06C71574">
        <w:rPr>
          <w:sz w:val="24"/>
          <w:szCs w:val="24"/>
        </w:rPr>
        <w:t>.</w:t>
      </w:r>
    </w:p>
    <w:p w:rsidR="00A970A6" w:rsidP="00B90ADA" w:rsidRDefault="00A970A6" w14:paraId="2ED633C8" w14:textId="77777777">
      <w:pPr>
        <w:spacing w:line="240" w:lineRule="auto"/>
        <w:rPr>
          <w:i/>
          <w:iCs/>
          <w:color w:val="44546A" w:themeColor="text2"/>
          <w:sz w:val="18"/>
          <w:szCs w:val="18"/>
        </w:rPr>
      </w:pPr>
    </w:p>
    <w:p w:rsidRPr="003148D4" w:rsidR="007A4EB4" w:rsidP="0ED4F347" w:rsidRDefault="007A4EB4" w14:paraId="5F945389" w14:textId="24860798">
      <w:pPr>
        <w:spacing w:line="240" w:lineRule="auto"/>
        <w:rPr>
          <w:rFonts w:ascii="Arial" w:hAnsi="Arial" w:eastAsia="Arial" w:cs="Arial"/>
          <w:i w:val="0"/>
          <w:iCs w:val="0"/>
          <w:color w:val="auto" w:themeColor="text2"/>
          <w:sz w:val="24"/>
          <w:szCs w:val="24"/>
        </w:rPr>
      </w:pPr>
      <w:r w:rsidRPr="0ED4F347" w:rsidR="6AB5B21B">
        <w:rPr>
          <w:rFonts w:ascii="Arial" w:hAnsi="Arial" w:eastAsia="Arial" w:cs="Arial"/>
          <w:i w:val="0"/>
          <w:iCs w:val="0"/>
          <w:color w:val="auto"/>
          <w:sz w:val="24"/>
          <w:szCs w:val="24"/>
        </w:rPr>
        <w:t xml:space="preserve">Tabla </w:t>
      </w:r>
      <w:r w:rsidRPr="0ED4F347" w:rsidR="5E607C16">
        <w:rPr>
          <w:rFonts w:ascii="Arial" w:hAnsi="Arial" w:eastAsia="Arial" w:cs="Arial"/>
          <w:i w:val="0"/>
          <w:iCs w:val="0"/>
          <w:color w:val="auto"/>
          <w:sz w:val="24"/>
          <w:szCs w:val="24"/>
        </w:rPr>
        <w:t>3</w:t>
      </w:r>
      <w:r w:rsidRPr="0ED4F347" w:rsidR="6AB5B21B">
        <w:rPr>
          <w:rFonts w:ascii="Arial" w:hAnsi="Arial" w:eastAsia="Arial" w:cs="Arial"/>
          <w:i w:val="0"/>
          <w:iCs w:val="0"/>
          <w:color w:val="auto"/>
          <w:sz w:val="24"/>
          <w:szCs w:val="24"/>
        </w:rPr>
        <w:t xml:space="preserve">. </w:t>
      </w:r>
      <w:r w:rsidRPr="0ED4F347" w:rsidR="511F52D8">
        <w:rPr>
          <w:rFonts w:ascii="Arial" w:hAnsi="Arial" w:eastAsia="Arial" w:cs="Arial"/>
          <w:i w:val="0"/>
          <w:iCs w:val="0"/>
          <w:color w:val="auto"/>
          <w:sz w:val="24"/>
          <w:szCs w:val="24"/>
        </w:rPr>
        <w:t>C</w:t>
      </w:r>
      <w:r w:rsidRPr="0ED4F347" w:rsidR="6AB5B21B">
        <w:rPr>
          <w:rFonts w:ascii="Arial" w:hAnsi="Arial" w:eastAsia="Arial" w:cs="Arial"/>
          <w:i w:val="0"/>
          <w:iCs w:val="0"/>
          <w:color w:val="auto"/>
          <w:sz w:val="24"/>
          <w:szCs w:val="24"/>
        </w:rPr>
        <w:t>alificación de procedimientos</w:t>
      </w:r>
    </w:p>
    <w:tbl>
      <w:tblPr>
        <w:tblW w:w="10519" w:type="dxa"/>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Look w:val="06A0" w:firstRow="1" w:lastRow="0" w:firstColumn="1" w:lastColumn="0" w:noHBand="1" w:noVBand="1"/>
      </w:tblPr>
      <w:tblGrid>
        <w:gridCol w:w="894"/>
        <w:gridCol w:w="1599"/>
        <w:gridCol w:w="895"/>
        <w:gridCol w:w="754"/>
        <w:gridCol w:w="724"/>
        <w:gridCol w:w="1061"/>
        <w:gridCol w:w="1440"/>
        <w:gridCol w:w="601"/>
        <w:gridCol w:w="1091"/>
        <w:gridCol w:w="1460"/>
      </w:tblGrid>
      <w:tr w:rsidR="1C3D137E" w:rsidTr="0ED4F347" w14:paraId="313971ED" w14:textId="77777777">
        <w:trPr>
          <w:trHeight w:val="795"/>
        </w:trPr>
        <w:tc>
          <w:tcPr>
            <w:tcW w:w="894" w:type="dxa"/>
            <w:vMerge w:val="restart"/>
            <w:shd w:val="clear" w:color="auto" w:fill="DEEAF6" w:themeFill="accent1" w:themeFillTint="33"/>
            <w:tcMar>
              <w:top w:w="15" w:type="dxa"/>
              <w:left w:w="15" w:type="dxa"/>
              <w:right w:w="15" w:type="dxa"/>
            </w:tcMar>
            <w:vAlign w:val="center"/>
          </w:tcPr>
          <w:p w:rsidR="1C3D137E" w:rsidP="1C3D137E" w:rsidRDefault="1C3D137E" w14:paraId="6AEC4050" w14:textId="3100A2D2">
            <w:pPr>
              <w:jc w:val="center"/>
            </w:pPr>
            <w:r w:rsidRPr="1C3D137E">
              <w:rPr>
                <w:rFonts w:ascii="Calibri" w:hAnsi="Calibri" w:cs="Calibri"/>
                <w:b/>
                <w:bCs/>
                <w:color w:val="000000" w:themeColor="text1"/>
                <w:sz w:val="18"/>
                <w:szCs w:val="18"/>
              </w:rPr>
              <w:t>Código</w:t>
            </w:r>
          </w:p>
        </w:tc>
        <w:tc>
          <w:tcPr>
            <w:tcW w:w="1599" w:type="dxa"/>
            <w:vMerge w:val="restart"/>
            <w:shd w:val="clear" w:color="auto" w:fill="DEEAF6" w:themeFill="accent1" w:themeFillTint="33"/>
            <w:tcMar>
              <w:top w:w="15" w:type="dxa"/>
              <w:left w:w="15" w:type="dxa"/>
              <w:right w:w="15" w:type="dxa"/>
            </w:tcMar>
            <w:vAlign w:val="center"/>
          </w:tcPr>
          <w:p w:rsidR="1C3D137E" w:rsidP="1C3D137E" w:rsidRDefault="1C3D137E" w14:paraId="168EC26E" w14:textId="3CB98B36">
            <w:pPr>
              <w:jc w:val="center"/>
            </w:pPr>
            <w:r w:rsidRPr="1C3D137E">
              <w:rPr>
                <w:rFonts w:ascii="Calibri" w:hAnsi="Calibri" w:cs="Calibri"/>
                <w:b/>
                <w:bCs/>
                <w:color w:val="000000" w:themeColor="text1"/>
                <w:sz w:val="18"/>
                <w:szCs w:val="18"/>
              </w:rPr>
              <w:t>Nombre del Procedimiento</w:t>
            </w:r>
          </w:p>
        </w:tc>
        <w:tc>
          <w:tcPr>
            <w:tcW w:w="895" w:type="dxa"/>
            <w:vMerge w:val="restart"/>
            <w:shd w:val="clear" w:color="auto" w:fill="DEEAF6" w:themeFill="accent1" w:themeFillTint="33"/>
            <w:tcMar>
              <w:top w:w="15" w:type="dxa"/>
              <w:left w:w="15" w:type="dxa"/>
              <w:right w:w="15" w:type="dxa"/>
            </w:tcMar>
            <w:vAlign w:val="center"/>
          </w:tcPr>
          <w:p w:rsidR="1C3D137E" w:rsidP="1C3D137E" w:rsidRDefault="1C3D137E" w14:paraId="4390B4E8" w14:textId="24543523">
            <w:pPr>
              <w:jc w:val="center"/>
            </w:pPr>
            <w:r w:rsidRPr="1C3D137E">
              <w:rPr>
                <w:rFonts w:ascii="Calibri" w:hAnsi="Calibri" w:cs="Calibri"/>
                <w:b/>
                <w:bCs/>
                <w:color w:val="000000" w:themeColor="text1"/>
                <w:sz w:val="18"/>
                <w:szCs w:val="18"/>
              </w:rPr>
              <w:t xml:space="preserve">N° Actividades </w:t>
            </w:r>
          </w:p>
        </w:tc>
        <w:tc>
          <w:tcPr>
            <w:tcW w:w="754" w:type="dxa"/>
            <w:vMerge w:val="restart"/>
            <w:shd w:val="clear" w:color="auto" w:fill="DEEAF6" w:themeFill="accent1" w:themeFillTint="33"/>
            <w:tcMar>
              <w:top w:w="15" w:type="dxa"/>
              <w:left w:w="15" w:type="dxa"/>
              <w:right w:w="15" w:type="dxa"/>
            </w:tcMar>
            <w:vAlign w:val="center"/>
          </w:tcPr>
          <w:p w:rsidR="1C3D137E" w:rsidP="1C3D137E" w:rsidRDefault="1C3D137E" w14:paraId="141D8DDE" w14:textId="20D28D0F">
            <w:pPr>
              <w:jc w:val="center"/>
            </w:pPr>
            <w:r w:rsidRPr="1C3D137E">
              <w:rPr>
                <w:rFonts w:ascii="Calibri" w:hAnsi="Calibri" w:cs="Calibri"/>
                <w:b/>
                <w:bCs/>
                <w:color w:val="000000" w:themeColor="text1"/>
                <w:sz w:val="18"/>
                <w:szCs w:val="18"/>
              </w:rPr>
              <w:t>Puntaje Obtenido</w:t>
            </w:r>
          </w:p>
        </w:tc>
        <w:tc>
          <w:tcPr>
            <w:tcW w:w="724" w:type="dxa"/>
            <w:vMerge w:val="restart"/>
            <w:shd w:val="clear" w:color="auto" w:fill="DEEAF6" w:themeFill="accent1" w:themeFillTint="33"/>
            <w:tcMar>
              <w:top w:w="15" w:type="dxa"/>
              <w:left w:w="15" w:type="dxa"/>
              <w:right w:w="15" w:type="dxa"/>
            </w:tcMar>
            <w:vAlign w:val="center"/>
          </w:tcPr>
          <w:p w:rsidR="1C3D137E" w:rsidP="1C3D137E" w:rsidRDefault="1C3D137E" w14:paraId="7BB952AC" w14:textId="6F3CAFFD">
            <w:pPr>
              <w:jc w:val="center"/>
            </w:pPr>
            <w:r w:rsidRPr="1C3D137E">
              <w:rPr>
                <w:rFonts w:ascii="Calibri" w:hAnsi="Calibri" w:cs="Calibri"/>
                <w:b/>
                <w:bCs/>
                <w:color w:val="000000" w:themeColor="text1"/>
                <w:sz w:val="18"/>
                <w:szCs w:val="18"/>
              </w:rPr>
              <w:t>Puntaje Máximo Esperado</w:t>
            </w:r>
          </w:p>
        </w:tc>
        <w:tc>
          <w:tcPr>
            <w:tcW w:w="3102" w:type="dxa"/>
            <w:gridSpan w:val="3"/>
            <w:shd w:val="clear" w:color="auto" w:fill="DEEAF6" w:themeFill="accent1" w:themeFillTint="33"/>
            <w:tcMar>
              <w:top w:w="15" w:type="dxa"/>
              <w:left w:w="15" w:type="dxa"/>
              <w:right w:w="15" w:type="dxa"/>
            </w:tcMar>
            <w:vAlign w:val="bottom"/>
          </w:tcPr>
          <w:p w:rsidR="1C3D137E" w:rsidP="1C3D137E" w:rsidRDefault="1C3D137E" w14:paraId="1D50BD4C" w14:textId="01FE62EE">
            <w:pPr>
              <w:jc w:val="center"/>
            </w:pPr>
            <w:r w:rsidRPr="1C3D137E">
              <w:rPr>
                <w:rFonts w:ascii="Calibri" w:hAnsi="Calibri" w:cs="Calibri"/>
                <w:b/>
                <w:bCs/>
                <w:color w:val="000000" w:themeColor="text1"/>
                <w:sz w:val="18"/>
                <w:szCs w:val="18"/>
              </w:rPr>
              <w:t>Distribución Cumplimiento de actividades</w:t>
            </w:r>
          </w:p>
        </w:tc>
        <w:tc>
          <w:tcPr>
            <w:tcW w:w="1091" w:type="dxa"/>
            <w:vMerge w:val="restart"/>
            <w:tcBorders>
              <w:left w:val="nil"/>
            </w:tcBorders>
            <w:shd w:val="clear" w:color="auto" w:fill="DEEAF6" w:themeFill="accent1" w:themeFillTint="33"/>
            <w:tcMar>
              <w:top w:w="15" w:type="dxa"/>
              <w:left w:w="15" w:type="dxa"/>
              <w:right w:w="15" w:type="dxa"/>
            </w:tcMar>
            <w:vAlign w:val="center"/>
          </w:tcPr>
          <w:p w:rsidR="1C3D137E" w:rsidP="1C3D137E" w:rsidRDefault="1C3D137E" w14:paraId="1C969FB6" w14:textId="7753B1A1">
            <w:pPr>
              <w:jc w:val="center"/>
            </w:pPr>
            <w:r w:rsidRPr="1C3D137E">
              <w:rPr>
                <w:rFonts w:ascii="Calibri" w:hAnsi="Calibri" w:cs="Calibri"/>
                <w:b/>
                <w:bCs/>
                <w:color w:val="000000" w:themeColor="text1"/>
                <w:sz w:val="18"/>
                <w:szCs w:val="18"/>
              </w:rPr>
              <w:t>% Cumplimiento</w:t>
            </w:r>
          </w:p>
        </w:tc>
        <w:tc>
          <w:tcPr>
            <w:tcW w:w="1460" w:type="dxa"/>
            <w:vMerge w:val="restart"/>
            <w:shd w:val="clear" w:color="auto" w:fill="DEEAF6" w:themeFill="accent1" w:themeFillTint="33"/>
            <w:tcMar>
              <w:top w:w="15" w:type="dxa"/>
              <w:left w:w="15" w:type="dxa"/>
              <w:right w:w="15" w:type="dxa"/>
            </w:tcMar>
            <w:vAlign w:val="center"/>
          </w:tcPr>
          <w:p w:rsidR="1C3D137E" w:rsidP="1C3D137E" w:rsidRDefault="1C3D137E" w14:paraId="4000D6AF" w14:textId="1ED44D29">
            <w:pPr>
              <w:jc w:val="center"/>
            </w:pPr>
            <w:r w:rsidRPr="1C3D137E">
              <w:rPr>
                <w:rFonts w:ascii="Calibri" w:hAnsi="Calibri" w:cs="Calibri"/>
                <w:b/>
                <w:bCs/>
                <w:color w:val="000000" w:themeColor="text1"/>
                <w:sz w:val="18"/>
                <w:szCs w:val="18"/>
              </w:rPr>
              <w:t>Rango de cumplimiento</w:t>
            </w:r>
          </w:p>
        </w:tc>
      </w:tr>
      <w:tr w:rsidR="1C3D137E" w:rsidTr="0ED4F347" w14:paraId="3A112C92" w14:textId="77777777">
        <w:trPr>
          <w:trHeight w:val="495"/>
        </w:trPr>
        <w:tc>
          <w:tcPr>
            <w:tcW w:w="894" w:type="dxa"/>
            <w:vMerge/>
            <w:tcBorders/>
            <w:tcMar/>
            <w:vAlign w:val="center"/>
          </w:tcPr>
          <w:p w:rsidR="001936C1" w:rsidRDefault="001936C1" w14:paraId="17021433" w14:textId="77777777"/>
        </w:tc>
        <w:tc>
          <w:tcPr>
            <w:tcW w:w="1599" w:type="dxa"/>
            <w:vMerge/>
            <w:tcBorders/>
            <w:tcMar/>
            <w:vAlign w:val="center"/>
          </w:tcPr>
          <w:p w:rsidR="001936C1" w:rsidRDefault="001936C1" w14:paraId="482A20BC" w14:textId="77777777"/>
        </w:tc>
        <w:tc>
          <w:tcPr>
            <w:tcW w:w="895" w:type="dxa"/>
            <w:vMerge/>
            <w:tcBorders/>
            <w:tcMar/>
            <w:vAlign w:val="center"/>
          </w:tcPr>
          <w:p w:rsidR="001936C1" w:rsidRDefault="001936C1" w14:paraId="70AD1D90" w14:textId="77777777"/>
        </w:tc>
        <w:tc>
          <w:tcPr>
            <w:tcW w:w="754" w:type="dxa"/>
            <w:vMerge/>
            <w:tcBorders/>
            <w:tcMar/>
            <w:vAlign w:val="center"/>
          </w:tcPr>
          <w:p w:rsidR="001936C1" w:rsidRDefault="001936C1" w14:paraId="4FEE8740" w14:textId="77777777"/>
        </w:tc>
        <w:tc>
          <w:tcPr>
            <w:tcW w:w="724" w:type="dxa"/>
            <w:vMerge/>
            <w:tcBorders/>
            <w:tcMar/>
            <w:vAlign w:val="center"/>
          </w:tcPr>
          <w:p w:rsidR="001936C1" w:rsidRDefault="001936C1" w14:paraId="149A5FA5" w14:textId="77777777"/>
        </w:tc>
        <w:tc>
          <w:tcPr>
            <w:tcW w:w="1061" w:type="dxa"/>
            <w:shd w:val="clear" w:color="auto" w:fill="DEEAF6" w:themeFill="accent1" w:themeFillTint="33"/>
            <w:tcMar>
              <w:top w:w="15" w:type="dxa"/>
              <w:left w:w="15" w:type="dxa"/>
              <w:right w:w="15" w:type="dxa"/>
            </w:tcMar>
            <w:vAlign w:val="center"/>
          </w:tcPr>
          <w:p w:rsidR="1C3D137E" w:rsidP="1C3D137E" w:rsidRDefault="1C3D137E" w14:paraId="0A817D28" w14:textId="4E668433">
            <w:pPr>
              <w:jc w:val="center"/>
            </w:pPr>
            <w:r w:rsidRPr="1C3D137E">
              <w:rPr>
                <w:rFonts w:ascii="Calibri" w:hAnsi="Calibri" w:cs="Calibri"/>
                <w:b/>
                <w:bCs/>
                <w:color w:val="000000" w:themeColor="text1"/>
                <w:sz w:val="18"/>
                <w:szCs w:val="18"/>
              </w:rPr>
              <w:t>Cumplen</w:t>
            </w:r>
          </w:p>
        </w:tc>
        <w:tc>
          <w:tcPr>
            <w:tcW w:w="1440" w:type="dxa"/>
            <w:shd w:val="clear" w:color="auto" w:fill="DEEAF6" w:themeFill="accent1" w:themeFillTint="33"/>
            <w:tcMar>
              <w:top w:w="15" w:type="dxa"/>
              <w:left w:w="15" w:type="dxa"/>
              <w:right w:w="15" w:type="dxa"/>
            </w:tcMar>
            <w:vAlign w:val="center"/>
          </w:tcPr>
          <w:p w:rsidR="1C3D137E" w:rsidP="1C3D137E" w:rsidRDefault="1C3D137E" w14:paraId="1E3F5AF9" w14:textId="78381B84">
            <w:pPr>
              <w:jc w:val="center"/>
            </w:pPr>
            <w:r w:rsidRPr="1C3D137E">
              <w:rPr>
                <w:rFonts w:ascii="Calibri" w:hAnsi="Calibri" w:cs="Calibri"/>
                <w:b/>
                <w:bCs/>
                <w:color w:val="000000" w:themeColor="text1"/>
                <w:sz w:val="18"/>
                <w:szCs w:val="18"/>
              </w:rPr>
              <w:t>Cumplen Parcialmente</w:t>
            </w:r>
          </w:p>
        </w:tc>
        <w:tc>
          <w:tcPr>
            <w:tcW w:w="601" w:type="dxa"/>
            <w:shd w:val="clear" w:color="auto" w:fill="DEEAF6" w:themeFill="accent1" w:themeFillTint="33"/>
            <w:tcMar>
              <w:top w:w="15" w:type="dxa"/>
              <w:left w:w="15" w:type="dxa"/>
              <w:right w:w="15" w:type="dxa"/>
            </w:tcMar>
            <w:vAlign w:val="center"/>
          </w:tcPr>
          <w:p w:rsidR="1C3D137E" w:rsidP="1C3D137E" w:rsidRDefault="1C3D137E" w14:paraId="6B7F55F7" w14:textId="4E96C78E">
            <w:pPr>
              <w:jc w:val="center"/>
            </w:pPr>
            <w:r w:rsidRPr="1C3D137E">
              <w:rPr>
                <w:rFonts w:ascii="Calibri" w:hAnsi="Calibri" w:cs="Calibri"/>
                <w:b/>
                <w:bCs/>
                <w:color w:val="000000" w:themeColor="text1"/>
                <w:sz w:val="18"/>
                <w:szCs w:val="18"/>
              </w:rPr>
              <w:t>No cumplen</w:t>
            </w:r>
          </w:p>
        </w:tc>
        <w:tc>
          <w:tcPr>
            <w:tcW w:w="1091" w:type="dxa"/>
            <w:vMerge/>
            <w:tcBorders/>
            <w:tcMar/>
            <w:vAlign w:val="center"/>
          </w:tcPr>
          <w:p w:rsidR="001936C1" w:rsidRDefault="001936C1" w14:paraId="6D8A3FD1" w14:textId="77777777"/>
        </w:tc>
        <w:tc>
          <w:tcPr>
            <w:tcW w:w="1460" w:type="dxa"/>
            <w:vMerge/>
            <w:tcBorders/>
            <w:tcMar/>
            <w:vAlign w:val="center"/>
          </w:tcPr>
          <w:p w:rsidR="001936C1" w:rsidRDefault="001936C1" w14:paraId="28117F15" w14:textId="77777777"/>
        </w:tc>
      </w:tr>
      <w:tr w:rsidR="1C3D137E" w:rsidTr="0ED4F347" w14:paraId="472A677C" w14:textId="77777777">
        <w:trPr>
          <w:trHeight w:val="480"/>
        </w:trPr>
        <w:tc>
          <w:tcPr>
            <w:tcW w:w="894" w:type="dxa"/>
            <w:tcMar>
              <w:top w:w="15" w:type="dxa"/>
              <w:left w:w="15" w:type="dxa"/>
              <w:right w:w="15" w:type="dxa"/>
            </w:tcMar>
            <w:vAlign w:val="center"/>
          </w:tcPr>
          <w:p w:rsidR="1C3D137E" w:rsidP="1C3D137E" w:rsidRDefault="1C3D137E" w14:paraId="0D659724" w14:textId="0B4BE3CB">
            <w:r w:rsidRPr="1C3D137E">
              <w:rPr>
                <w:rFonts w:ascii="Calibri" w:hAnsi="Calibri" w:cs="Calibri"/>
                <w:color w:val="000000" w:themeColor="text1"/>
                <w:sz w:val="18"/>
                <w:szCs w:val="18"/>
              </w:rPr>
              <w:lastRenderedPageBreak/>
              <w:t>M-FT-PR-018</w:t>
            </w:r>
          </w:p>
        </w:tc>
        <w:tc>
          <w:tcPr>
            <w:tcW w:w="1599" w:type="dxa"/>
            <w:tcMar>
              <w:top w:w="15" w:type="dxa"/>
              <w:left w:w="15" w:type="dxa"/>
              <w:right w:w="15" w:type="dxa"/>
            </w:tcMar>
            <w:vAlign w:val="center"/>
          </w:tcPr>
          <w:p w:rsidR="1C3D137E" w:rsidP="1C3D137E" w:rsidRDefault="1C3D137E" w14:paraId="58BC48E3" w14:textId="4A0A787D">
            <w:r w:rsidRPr="1C3D137E">
              <w:rPr>
                <w:rFonts w:ascii="Calibri" w:hAnsi="Calibri" w:cs="Calibri"/>
                <w:color w:val="000000" w:themeColor="text1"/>
                <w:sz w:val="18"/>
                <w:szCs w:val="18"/>
              </w:rPr>
              <w:t>Plan de Acción Específico (PAE)</w:t>
            </w:r>
          </w:p>
        </w:tc>
        <w:tc>
          <w:tcPr>
            <w:tcW w:w="895" w:type="dxa"/>
            <w:tcMar>
              <w:top w:w="15" w:type="dxa"/>
              <w:left w:w="15" w:type="dxa"/>
              <w:right w:w="15" w:type="dxa"/>
            </w:tcMar>
            <w:vAlign w:val="center"/>
          </w:tcPr>
          <w:p w:rsidR="1C3D137E" w:rsidP="1C3D137E" w:rsidRDefault="1C3D137E" w14:paraId="419884E4" w14:textId="58D3FE72">
            <w:pPr>
              <w:jc w:val="center"/>
            </w:pPr>
            <w:r w:rsidRPr="1C3D137E">
              <w:rPr>
                <w:rFonts w:ascii="Calibri" w:hAnsi="Calibri" w:cs="Calibri"/>
                <w:color w:val="000000" w:themeColor="text1"/>
                <w:sz w:val="18"/>
                <w:szCs w:val="18"/>
              </w:rPr>
              <w:t>9</w:t>
            </w:r>
          </w:p>
        </w:tc>
        <w:tc>
          <w:tcPr>
            <w:tcW w:w="754" w:type="dxa"/>
            <w:tcMar>
              <w:top w:w="15" w:type="dxa"/>
              <w:left w:w="15" w:type="dxa"/>
              <w:right w:w="15" w:type="dxa"/>
            </w:tcMar>
            <w:vAlign w:val="center"/>
          </w:tcPr>
          <w:p w:rsidR="1C3D137E" w:rsidP="1C3D137E" w:rsidRDefault="1C3D137E" w14:paraId="7A3BE70E" w14:textId="691E8DF9">
            <w:pPr>
              <w:jc w:val="center"/>
            </w:pPr>
            <w:r w:rsidRPr="1C3D137E">
              <w:rPr>
                <w:rFonts w:ascii="Calibri" w:hAnsi="Calibri" w:cs="Calibri"/>
                <w:color w:val="000000" w:themeColor="text1"/>
                <w:sz w:val="18"/>
                <w:szCs w:val="18"/>
              </w:rPr>
              <w:t>17</w:t>
            </w:r>
          </w:p>
        </w:tc>
        <w:tc>
          <w:tcPr>
            <w:tcW w:w="724" w:type="dxa"/>
            <w:tcMar>
              <w:top w:w="15" w:type="dxa"/>
              <w:left w:w="15" w:type="dxa"/>
              <w:right w:w="15" w:type="dxa"/>
            </w:tcMar>
            <w:vAlign w:val="center"/>
          </w:tcPr>
          <w:p w:rsidR="1C3D137E" w:rsidP="1C3D137E" w:rsidRDefault="1C3D137E" w14:paraId="27C5664A" w14:textId="70D7324F">
            <w:pPr>
              <w:jc w:val="center"/>
            </w:pPr>
            <w:r w:rsidRPr="1C3D137E">
              <w:rPr>
                <w:rFonts w:ascii="Calibri" w:hAnsi="Calibri" w:cs="Calibri"/>
                <w:color w:val="000000" w:themeColor="text1"/>
                <w:sz w:val="18"/>
                <w:szCs w:val="18"/>
              </w:rPr>
              <w:t>18</w:t>
            </w:r>
          </w:p>
        </w:tc>
        <w:tc>
          <w:tcPr>
            <w:tcW w:w="1061" w:type="dxa"/>
            <w:tcMar>
              <w:top w:w="15" w:type="dxa"/>
              <w:left w:w="15" w:type="dxa"/>
              <w:right w:w="15" w:type="dxa"/>
            </w:tcMar>
            <w:vAlign w:val="center"/>
          </w:tcPr>
          <w:p w:rsidR="1C3D137E" w:rsidP="1C3D137E" w:rsidRDefault="1C3D137E" w14:paraId="5916287E" w14:textId="1A21ED00">
            <w:pPr>
              <w:jc w:val="center"/>
            </w:pPr>
            <w:r w:rsidRPr="0ED4F347" w:rsidR="28B33C6B">
              <w:rPr>
                <w:rFonts w:ascii="Calibri" w:hAnsi="Calibri" w:cs="Calibri"/>
                <w:color w:val="000000" w:themeColor="text1" w:themeTint="FF" w:themeShade="FF"/>
                <w:sz w:val="18"/>
                <w:szCs w:val="18"/>
              </w:rPr>
              <w:t>2,4,5,7,8, 9</w:t>
            </w:r>
          </w:p>
        </w:tc>
        <w:tc>
          <w:tcPr>
            <w:tcW w:w="1440" w:type="dxa"/>
            <w:tcMar>
              <w:top w:w="15" w:type="dxa"/>
              <w:left w:w="15" w:type="dxa"/>
              <w:right w:w="15" w:type="dxa"/>
            </w:tcMar>
            <w:vAlign w:val="center"/>
          </w:tcPr>
          <w:p w:rsidR="1C3D137E" w:rsidP="1C3D137E" w:rsidRDefault="1C3D137E" w14:paraId="4DD2CBCF" w14:textId="4E7016BA">
            <w:pPr>
              <w:jc w:val="center"/>
            </w:pPr>
            <w:r w:rsidRPr="1C3D137E">
              <w:rPr>
                <w:rFonts w:ascii="Calibri" w:hAnsi="Calibri" w:cs="Calibri"/>
                <w:color w:val="000000" w:themeColor="text1"/>
                <w:sz w:val="18"/>
                <w:szCs w:val="18"/>
              </w:rPr>
              <w:t>3</w:t>
            </w:r>
          </w:p>
        </w:tc>
        <w:tc>
          <w:tcPr>
            <w:tcW w:w="601" w:type="dxa"/>
            <w:tcMar>
              <w:top w:w="15" w:type="dxa"/>
              <w:left w:w="15" w:type="dxa"/>
              <w:right w:w="15" w:type="dxa"/>
            </w:tcMar>
            <w:vAlign w:val="center"/>
          </w:tcPr>
          <w:p w:rsidR="1C3D137E" w:rsidP="0ED4F347" w:rsidRDefault="1C3D137E" w14:paraId="12E3C045" w14:textId="212BBAD2">
            <w:pPr>
              <w:jc w:val="center"/>
              <w:rPr>
                <w:rFonts w:ascii="Calibri" w:hAnsi="Calibri" w:cs="Calibri"/>
                <w:color w:val="000000" w:themeColor="text1" w:themeTint="FF" w:themeShade="FF"/>
                <w:sz w:val="18"/>
                <w:szCs w:val="18"/>
              </w:rPr>
            </w:pPr>
            <w:r w:rsidRPr="0ED4F347" w:rsidR="2583D7F7">
              <w:rPr>
                <w:rFonts w:ascii="Calibri" w:hAnsi="Calibri" w:cs="Calibri"/>
                <w:color w:val="000000" w:themeColor="text1" w:themeTint="FF" w:themeShade="FF"/>
                <w:sz w:val="18"/>
                <w:szCs w:val="18"/>
              </w:rPr>
              <w:t>0</w:t>
            </w:r>
          </w:p>
        </w:tc>
        <w:tc>
          <w:tcPr>
            <w:tcW w:w="1091" w:type="dxa"/>
            <w:tcMar>
              <w:top w:w="15" w:type="dxa"/>
              <w:left w:w="15" w:type="dxa"/>
              <w:right w:w="15" w:type="dxa"/>
            </w:tcMar>
            <w:vAlign w:val="center"/>
          </w:tcPr>
          <w:p w:rsidR="1C3D137E" w:rsidP="1C3D137E" w:rsidRDefault="1C3D137E" w14:paraId="291EF900" w14:textId="19698866">
            <w:pPr>
              <w:jc w:val="center"/>
            </w:pPr>
            <w:r w:rsidRPr="1C3D137E">
              <w:rPr>
                <w:rFonts w:ascii="Calibri" w:hAnsi="Calibri" w:cs="Calibri"/>
                <w:color w:val="000000" w:themeColor="text1"/>
                <w:sz w:val="18"/>
                <w:szCs w:val="18"/>
              </w:rPr>
              <w:t>94%</w:t>
            </w:r>
          </w:p>
        </w:tc>
        <w:tc>
          <w:tcPr>
            <w:tcW w:w="1460" w:type="dxa"/>
            <w:tcMar>
              <w:top w:w="15" w:type="dxa"/>
              <w:left w:w="15" w:type="dxa"/>
              <w:right w:w="15" w:type="dxa"/>
            </w:tcMar>
            <w:vAlign w:val="center"/>
          </w:tcPr>
          <w:p w:rsidR="1C3D137E" w:rsidP="1C3D137E" w:rsidRDefault="1C3D137E" w14:paraId="7920950A" w14:textId="4F940B00">
            <w:r w:rsidRPr="1C3D137E">
              <w:rPr>
                <w:rFonts w:ascii="Calibri" w:hAnsi="Calibri" w:cs="Calibri"/>
                <w:color w:val="000000" w:themeColor="text1"/>
                <w:sz w:val="18"/>
                <w:szCs w:val="18"/>
              </w:rPr>
              <w:t>Cumple</w:t>
            </w:r>
          </w:p>
        </w:tc>
      </w:tr>
      <w:tr w:rsidR="1C3D137E" w:rsidTr="0ED4F347" w14:paraId="2DD92253" w14:textId="77777777">
        <w:trPr>
          <w:trHeight w:val="300"/>
        </w:trPr>
        <w:tc>
          <w:tcPr>
            <w:tcW w:w="894" w:type="dxa"/>
            <w:tcMar>
              <w:top w:w="15" w:type="dxa"/>
              <w:left w:w="15" w:type="dxa"/>
              <w:right w:w="15" w:type="dxa"/>
            </w:tcMar>
            <w:vAlign w:val="center"/>
          </w:tcPr>
          <w:p w:rsidR="1C3D137E" w:rsidP="1C3D137E" w:rsidRDefault="1C3D137E" w14:paraId="215B6028" w14:textId="049F1DF9">
            <w:r w:rsidRPr="1C3D137E">
              <w:rPr>
                <w:rFonts w:ascii="Calibri" w:hAnsi="Calibri" w:cs="Calibri"/>
                <w:color w:val="000000" w:themeColor="text1"/>
                <w:sz w:val="18"/>
                <w:szCs w:val="18"/>
              </w:rPr>
              <w:t>M-FT-PR-010</w:t>
            </w:r>
          </w:p>
        </w:tc>
        <w:tc>
          <w:tcPr>
            <w:tcW w:w="1599" w:type="dxa"/>
            <w:tcMar>
              <w:top w:w="15" w:type="dxa"/>
              <w:left w:w="15" w:type="dxa"/>
              <w:right w:w="15" w:type="dxa"/>
            </w:tcMar>
            <w:vAlign w:val="center"/>
          </w:tcPr>
          <w:p w:rsidR="1C3D137E" w:rsidP="1C3D137E" w:rsidRDefault="1C3D137E" w14:paraId="4586A2CB" w14:textId="0D93DCF0">
            <w:r w:rsidRPr="1C3D137E">
              <w:rPr>
                <w:rFonts w:ascii="Calibri" w:hAnsi="Calibri" w:cs="Calibri"/>
                <w:color w:val="000000" w:themeColor="text1"/>
                <w:sz w:val="18"/>
                <w:szCs w:val="18"/>
              </w:rPr>
              <w:t>Ayudas Humanitarias</w:t>
            </w:r>
          </w:p>
        </w:tc>
        <w:tc>
          <w:tcPr>
            <w:tcW w:w="895" w:type="dxa"/>
            <w:tcMar>
              <w:top w:w="15" w:type="dxa"/>
              <w:left w:w="15" w:type="dxa"/>
              <w:right w:w="15" w:type="dxa"/>
            </w:tcMar>
            <w:vAlign w:val="center"/>
          </w:tcPr>
          <w:p w:rsidR="1C3D137E" w:rsidP="1C3D137E" w:rsidRDefault="1C3D137E" w14:paraId="080EA2FA" w14:textId="6BCDAE25">
            <w:pPr>
              <w:jc w:val="center"/>
            </w:pPr>
            <w:r w:rsidRPr="1C3D137E">
              <w:rPr>
                <w:rFonts w:ascii="Calibri" w:hAnsi="Calibri" w:cs="Calibri"/>
                <w:color w:val="000000" w:themeColor="text1"/>
                <w:sz w:val="18"/>
                <w:szCs w:val="18"/>
              </w:rPr>
              <w:t>12</w:t>
            </w:r>
          </w:p>
        </w:tc>
        <w:tc>
          <w:tcPr>
            <w:tcW w:w="754" w:type="dxa"/>
            <w:tcMar>
              <w:top w:w="15" w:type="dxa"/>
              <w:left w:w="15" w:type="dxa"/>
              <w:right w:w="15" w:type="dxa"/>
            </w:tcMar>
            <w:vAlign w:val="center"/>
          </w:tcPr>
          <w:p w:rsidR="1C3D137E" w:rsidP="1C3D137E" w:rsidRDefault="1C3D137E" w14:paraId="1F38C454" w14:textId="3A570C11">
            <w:pPr>
              <w:jc w:val="center"/>
            </w:pPr>
            <w:r w:rsidRPr="0ED4F347" w:rsidR="28B33C6B">
              <w:rPr>
                <w:rFonts w:ascii="Calibri" w:hAnsi="Calibri" w:cs="Calibri"/>
                <w:color w:val="000000" w:themeColor="text1" w:themeTint="FF" w:themeShade="FF"/>
                <w:sz w:val="18"/>
                <w:szCs w:val="18"/>
              </w:rPr>
              <w:t>1</w:t>
            </w:r>
            <w:r w:rsidRPr="0ED4F347" w:rsidR="5E25743F">
              <w:rPr>
                <w:rFonts w:ascii="Calibri" w:hAnsi="Calibri" w:cs="Calibri"/>
                <w:color w:val="000000" w:themeColor="text1" w:themeTint="FF" w:themeShade="FF"/>
                <w:sz w:val="18"/>
                <w:szCs w:val="18"/>
              </w:rPr>
              <w:t>5</w:t>
            </w:r>
          </w:p>
        </w:tc>
        <w:tc>
          <w:tcPr>
            <w:tcW w:w="724" w:type="dxa"/>
            <w:tcMar>
              <w:top w:w="15" w:type="dxa"/>
              <w:left w:w="15" w:type="dxa"/>
              <w:right w:w="15" w:type="dxa"/>
            </w:tcMar>
            <w:vAlign w:val="center"/>
          </w:tcPr>
          <w:p w:rsidR="1C3D137E" w:rsidP="1C3D137E" w:rsidRDefault="1C3D137E" w14:paraId="289EEC22" w14:textId="637D5040">
            <w:pPr>
              <w:jc w:val="center"/>
            </w:pPr>
            <w:r w:rsidRPr="1C3D137E">
              <w:rPr>
                <w:rFonts w:ascii="Calibri" w:hAnsi="Calibri" w:cs="Calibri"/>
                <w:color w:val="000000" w:themeColor="text1"/>
                <w:sz w:val="18"/>
                <w:szCs w:val="18"/>
              </w:rPr>
              <w:t>24</w:t>
            </w:r>
          </w:p>
        </w:tc>
        <w:tc>
          <w:tcPr>
            <w:tcW w:w="1061" w:type="dxa"/>
            <w:tcMar>
              <w:top w:w="15" w:type="dxa"/>
              <w:left w:w="15" w:type="dxa"/>
              <w:right w:w="15" w:type="dxa"/>
            </w:tcMar>
            <w:vAlign w:val="center"/>
          </w:tcPr>
          <w:p w:rsidR="1C3D137E" w:rsidP="004042B6" w:rsidRDefault="1C3D137E" w14:paraId="6FEDE402" w14:textId="44E5E71E">
            <w:pPr>
              <w:jc w:val="center"/>
            </w:pPr>
            <w:r w:rsidRPr="1C3D137E">
              <w:rPr>
                <w:rFonts w:ascii="Calibri" w:hAnsi="Calibri" w:cs="Calibri"/>
                <w:color w:val="000000" w:themeColor="text1"/>
                <w:sz w:val="18"/>
                <w:szCs w:val="18"/>
              </w:rPr>
              <w:t>2,3,8,12,13</w:t>
            </w:r>
          </w:p>
        </w:tc>
        <w:tc>
          <w:tcPr>
            <w:tcW w:w="1440" w:type="dxa"/>
            <w:tcMar>
              <w:top w:w="15" w:type="dxa"/>
              <w:left w:w="15" w:type="dxa"/>
              <w:right w:w="15" w:type="dxa"/>
            </w:tcMar>
            <w:vAlign w:val="center"/>
          </w:tcPr>
          <w:p w:rsidR="1C3D137E" w:rsidP="1C3D137E" w:rsidRDefault="1C3D137E" w14:paraId="1F9587F5" w14:textId="3CBEEEEE">
            <w:pPr>
              <w:jc w:val="center"/>
            </w:pPr>
            <w:r w:rsidRPr="1C3D137E">
              <w:rPr>
                <w:rFonts w:ascii="Calibri" w:hAnsi="Calibri" w:cs="Calibri"/>
                <w:color w:val="000000" w:themeColor="text1"/>
                <w:sz w:val="18"/>
                <w:szCs w:val="18"/>
              </w:rPr>
              <w:t>5,6,9</w:t>
            </w:r>
            <w:r w:rsidR="004042B6">
              <w:rPr>
                <w:rFonts w:ascii="Calibri" w:hAnsi="Calibri" w:cs="Calibri"/>
                <w:color w:val="000000" w:themeColor="text1"/>
                <w:sz w:val="18"/>
                <w:szCs w:val="18"/>
              </w:rPr>
              <w:t>,10,11</w:t>
            </w:r>
          </w:p>
        </w:tc>
        <w:tc>
          <w:tcPr>
            <w:tcW w:w="601" w:type="dxa"/>
            <w:tcMar>
              <w:top w:w="15" w:type="dxa"/>
              <w:left w:w="15" w:type="dxa"/>
              <w:right w:w="15" w:type="dxa"/>
            </w:tcMar>
            <w:vAlign w:val="center"/>
          </w:tcPr>
          <w:p w:rsidR="1C3D137E" w:rsidP="1C3D137E" w:rsidRDefault="1C3D137E" w14:paraId="6FA87297" w14:textId="77A27CDD">
            <w:pPr>
              <w:jc w:val="center"/>
            </w:pPr>
            <w:r w:rsidRPr="1C3D137E">
              <w:rPr>
                <w:rFonts w:ascii="Calibri" w:hAnsi="Calibri" w:cs="Calibri"/>
                <w:color w:val="000000" w:themeColor="text1"/>
                <w:sz w:val="18"/>
                <w:szCs w:val="18"/>
              </w:rPr>
              <w:t>4,7</w:t>
            </w:r>
          </w:p>
        </w:tc>
        <w:tc>
          <w:tcPr>
            <w:tcW w:w="1091" w:type="dxa"/>
            <w:tcMar>
              <w:top w:w="15" w:type="dxa"/>
              <w:left w:w="15" w:type="dxa"/>
              <w:right w:w="15" w:type="dxa"/>
            </w:tcMar>
            <w:vAlign w:val="center"/>
          </w:tcPr>
          <w:p w:rsidR="1C3D137E" w:rsidP="1C3D137E" w:rsidRDefault="006E48B1" w14:paraId="28EC97D9" w14:textId="77A8699C">
            <w:pPr>
              <w:jc w:val="center"/>
            </w:pPr>
            <w:r>
              <w:rPr>
                <w:rFonts w:ascii="Calibri" w:hAnsi="Calibri" w:cs="Calibri"/>
                <w:color w:val="000000" w:themeColor="text1"/>
                <w:sz w:val="18"/>
                <w:szCs w:val="18"/>
              </w:rPr>
              <w:t>63</w:t>
            </w:r>
            <w:r w:rsidRPr="1C3D137E" w:rsidR="1C3D137E">
              <w:rPr>
                <w:rFonts w:ascii="Calibri" w:hAnsi="Calibri" w:cs="Calibri"/>
                <w:color w:val="000000" w:themeColor="text1"/>
                <w:sz w:val="18"/>
                <w:szCs w:val="18"/>
              </w:rPr>
              <w:t>%</w:t>
            </w:r>
          </w:p>
        </w:tc>
        <w:tc>
          <w:tcPr>
            <w:tcW w:w="1460" w:type="dxa"/>
            <w:tcMar>
              <w:top w:w="15" w:type="dxa"/>
              <w:left w:w="15" w:type="dxa"/>
              <w:right w:w="15" w:type="dxa"/>
            </w:tcMar>
            <w:vAlign w:val="center"/>
          </w:tcPr>
          <w:p w:rsidR="1C3D137E" w:rsidP="1C3D137E" w:rsidRDefault="1C3D137E" w14:paraId="478C4CEE" w14:textId="619894FA">
            <w:r w:rsidRPr="1C3D137E">
              <w:rPr>
                <w:rFonts w:ascii="Calibri" w:hAnsi="Calibri" w:cs="Calibri"/>
                <w:color w:val="000000" w:themeColor="text1"/>
                <w:sz w:val="18"/>
                <w:szCs w:val="18"/>
              </w:rPr>
              <w:t>No Cumple</w:t>
            </w:r>
          </w:p>
        </w:tc>
      </w:tr>
      <w:tr w:rsidR="1C3D137E" w:rsidTr="0ED4F347" w14:paraId="07A592BE" w14:textId="77777777">
        <w:trPr>
          <w:trHeight w:val="480"/>
        </w:trPr>
        <w:tc>
          <w:tcPr>
            <w:tcW w:w="894" w:type="dxa"/>
            <w:tcMar>
              <w:top w:w="15" w:type="dxa"/>
              <w:left w:w="15" w:type="dxa"/>
              <w:right w:w="15" w:type="dxa"/>
            </w:tcMar>
            <w:vAlign w:val="center"/>
          </w:tcPr>
          <w:p w:rsidR="1C3D137E" w:rsidP="1C3D137E" w:rsidRDefault="1C3D137E" w14:paraId="74F255CA" w14:textId="09CD672A">
            <w:r w:rsidRPr="1C3D137E">
              <w:rPr>
                <w:rFonts w:ascii="Calibri" w:hAnsi="Calibri" w:cs="Calibri"/>
                <w:color w:val="000000" w:themeColor="text1"/>
                <w:sz w:val="18"/>
                <w:szCs w:val="18"/>
              </w:rPr>
              <w:t>M-FT-PR-006</w:t>
            </w:r>
          </w:p>
        </w:tc>
        <w:tc>
          <w:tcPr>
            <w:tcW w:w="1599" w:type="dxa"/>
            <w:tcMar>
              <w:top w:w="15" w:type="dxa"/>
              <w:left w:w="15" w:type="dxa"/>
              <w:right w:w="15" w:type="dxa"/>
            </w:tcMar>
            <w:vAlign w:val="center"/>
          </w:tcPr>
          <w:p w:rsidR="1C3D137E" w:rsidP="1C3D137E" w:rsidRDefault="1C3D137E" w14:paraId="4EDBC7D3" w14:textId="31B2BC25">
            <w:r w:rsidRPr="1C3D137E">
              <w:rPr>
                <w:rFonts w:ascii="Calibri" w:hAnsi="Calibri" w:cs="Calibri"/>
                <w:color w:val="000000" w:themeColor="text1"/>
                <w:sz w:val="18"/>
                <w:szCs w:val="18"/>
              </w:rPr>
              <w:t>Coordinación Interinstitucional</w:t>
            </w:r>
          </w:p>
        </w:tc>
        <w:tc>
          <w:tcPr>
            <w:tcW w:w="895" w:type="dxa"/>
            <w:tcMar>
              <w:top w:w="15" w:type="dxa"/>
              <w:left w:w="15" w:type="dxa"/>
              <w:right w:w="15" w:type="dxa"/>
            </w:tcMar>
            <w:vAlign w:val="center"/>
          </w:tcPr>
          <w:p w:rsidR="1C3D137E" w:rsidP="1C3D137E" w:rsidRDefault="1C3D137E" w14:paraId="2999B14F" w14:textId="37FCA8ED">
            <w:pPr>
              <w:jc w:val="center"/>
            </w:pPr>
            <w:r w:rsidRPr="1C3D137E">
              <w:rPr>
                <w:rFonts w:ascii="Calibri" w:hAnsi="Calibri" w:cs="Calibri"/>
                <w:color w:val="000000" w:themeColor="text1"/>
                <w:sz w:val="18"/>
                <w:szCs w:val="18"/>
              </w:rPr>
              <w:t>6</w:t>
            </w:r>
          </w:p>
        </w:tc>
        <w:tc>
          <w:tcPr>
            <w:tcW w:w="754" w:type="dxa"/>
            <w:tcMar>
              <w:top w:w="15" w:type="dxa"/>
              <w:left w:w="15" w:type="dxa"/>
              <w:right w:w="15" w:type="dxa"/>
            </w:tcMar>
            <w:vAlign w:val="center"/>
          </w:tcPr>
          <w:p w:rsidR="1C3D137E" w:rsidP="1C3D137E" w:rsidRDefault="1C3D137E" w14:paraId="74C6AA6D" w14:textId="79D68581">
            <w:pPr>
              <w:jc w:val="center"/>
            </w:pPr>
            <w:r w:rsidRPr="1C3D137E">
              <w:rPr>
                <w:rFonts w:ascii="Calibri" w:hAnsi="Calibri" w:cs="Calibri"/>
                <w:color w:val="000000" w:themeColor="text1"/>
                <w:sz w:val="18"/>
                <w:szCs w:val="18"/>
              </w:rPr>
              <w:t>10</w:t>
            </w:r>
          </w:p>
        </w:tc>
        <w:tc>
          <w:tcPr>
            <w:tcW w:w="724" w:type="dxa"/>
            <w:tcMar>
              <w:top w:w="15" w:type="dxa"/>
              <w:left w:w="15" w:type="dxa"/>
              <w:right w:w="15" w:type="dxa"/>
            </w:tcMar>
            <w:vAlign w:val="center"/>
          </w:tcPr>
          <w:p w:rsidR="1C3D137E" w:rsidP="1C3D137E" w:rsidRDefault="1C3D137E" w14:paraId="2B5EE37B" w14:textId="5A90D52B">
            <w:pPr>
              <w:jc w:val="center"/>
            </w:pPr>
            <w:r w:rsidRPr="1C3D137E">
              <w:rPr>
                <w:rFonts w:ascii="Calibri" w:hAnsi="Calibri" w:cs="Calibri"/>
                <w:color w:val="000000" w:themeColor="text1"/>
                <w:sz w:val="18"/>
                <w:szCs w:val="18"/>
              </w:rPr>
              <w:t>12</w:t>
            </w:r>
          </w:p>
        </w:tc>
        <w:tc>
          <w:tcPr>
            <w:tcW w:w="1061" w:type="dxa"/>
            <w:tcMar>
              <w:top w:w="15" w:type="dxa"/>
              <w:left w:w="15" w:type="dxa"/>
              <w:right w:w="15" w:type="dxa"/>
            </w:tcMar>
            <w:vAlign w:val="center"/>
          </w:tcPr>
          <w:p w:rsidR="1C3D137E" w:rsidP="1C3D137E" w:rsidRDefault="1C3D137E" w14:paraId="563A383A" w14:textId="7806A34A">
            <w:pPr>
              <w:jc w:val="center"/>
            </w:pPr>
            <w:r w:rsidRPr="1C3D137E">
              <w:rPr>
                <w:rFonts w:ascii="Calibri" w:hAnsi="Calibri" w:cs="Calibri"/>
                <w:color w:val="000000" w:themeColor="text1"/>
                <w:sz w:val="18"/>
                <w:szCs w:val="18"/>
              </w:rPr>
              <w:t>1,2,3,4,6</w:t>
            </w:r>
          </w:p>
        </w:tc>
        <w:tc>
          <w:tcPr>
            <w:tcW w:w="1440" w:type="dxa"/>
            <w:tcMar>
              <w:top w:w="15" w:type="dxa"/>
              <w:left w:w="15" w:type="dxa"/>
              <w:right w:w="15" w:type="dxa"/>
            </w:tcMar>
            <w:vAlign w:val="center"/>
          </w:tcPr>
          <w:p w:rsidR="1C3D137E" w:rsidP="1C3D137E" w:rsidRDefault="1C3D137E" w14:paraId="632D27DA" w14:textId="472A9E97">
            <w:pPr>
              <w:jc w:val="center"/>
            </w:pPr>
            <w:r w:rsidRPr="1C3D137E">
              <w:rPr>
                <w:rFonts w:ascii="Calibri" w:hAnsi="Calibri" w:cs="Calibri"/>
                <w:color w:val="000000" w:themeColor="text1"/>
                <w:sz w:val="18"/>
                <w:szCs w:val="18"/>
              </w:rPr>
              <w:t>0</w:t>
            </w:r>
          </w:p>
        </w:tc>
        <w:tc>
          <w:tcPr>
            <w:tcW w:w="601" w:type="dxa"/>
            <w:tcMar>
              <w:top w:w="15" w:type="dxa"/>
              <w:left w:w="15" w:type="dxa"/>
              <w:right w:w="15" w:type="dxa"/>
            </w:tcMar>
            <w:vAlign w:val="center"/>
          </w:tcPr>
          <w:p w:rsidR="1C3D137E" w:rsidP="1C3D137E" w:rsidRDefault="1C3D137E" w14:paraId="13515EE3" w14:textId="35B85A99">
            <w:pPr>
              <w:jc w:val="center"/>
            </w:pPr>
            <w:r w:rsidRPr="1C3D137E">
              <w:rPr>
                <w:rFonts w:ascii="Calibri" w:hAnsi="Calibri" w:cs="Calibri"/>
                <w:color w:val="000000" w:themeColor="text1"/>
                <w:sz w:val="18"/>
                <w:szCs w:val="18"/>
              </w:rPr>
              <w:t>5</w:t>
            </w:r>
          </w:p>
        </w:tc>
        <w:tc>
          <w:tcPr>
            <w:tcW w:w="1091" w:type="dxa"/>
            <w:tcMar>
              <w:top w:w="15" w:type="dxa"/>
              <w:left w:w="15" w:type="dxa"/>
              <w:right w:w="15" w:type="dxa"/>
            </w:tcMar>
            <w:vAlign w:val="center"/>
          </w:tcPr>
          <w:p w:rsidR="1C3D137E" w:rsidP="1C3D137E" w:rsidRDefault="1C3D137E" w14:paraId="4D5E2833" w14:textId="3DAFA03B">
            <w:pPr>
              <w:jc w:val="center"/>
            </w:pPr>
            <w:r w:rsidRPr="1C3D137E">
              <w:rPr>
                <w:rFonts w:ascii="Calibri" w:hAnsi="Calibri" w:cs="Calibri"/>
                <w:color w:val="000000" w:themeColor="text1"/>
                <w:sz w:val="18"/>
                <w:szCs w:val="18"/>
              </w:rPr>
              <w:t>83%</w:t>
            </w:r>
          </w:p>
        </w:tc>
        <w:tc>
          <w:tcPr>
            <w:tcW w:w="1460" w:type="dxa"/>
            <w:tcMar>
              <w:top w:w="15" w:type="dxa"/>
              <w:left w:w="15" w:type="dxa"/>
              <w:right w:w="15" w:type="dxa"/>
            </w:tcMar>
            <w:vAlign w:val="center"/>
          </w:tcPr>
          <w:p w:rsidR="1C3D137E" w:rsidP="1C3D137E" w:rsidRDefault="1C3D137E" w14:paraId="2750E2B0" w14:textId="17FE6381">
            <w:r w:rsidRPr="1C3D137E">
              <w:rPr>
                <w:rFonts w:ascii="Calibri" w:hAnsi="Calibri" w:cs="Calibri"/>
                <w:color w:val="000000" w:themeColor="text1"/>
                <w:sz w:val="18"/>
                <w:szCs w:val="18"/>
              </w:rPr>
              <w:t>Oportunidad de Mejora</w:t>
            </w:r>
          </w:p>
        </w:tc>
      </w:tr>
      <w:tr w:rsidR="1C3D137E" w:rsidTr="0ED4F347" w14:paraId="634866CD" w14:textId="77777777">
        <w:trPr>
          <w:trHeight w:val="315"/>
        </w:trPr>
        <w:tc>
          <w:tcPr>
            <w:tcW w:w="894" w:type="dxa"/>
            <w:tcBorders>
              <w:bottom w:val="single" w:color="000000" w:themeColor="text1" w:sz="8" w:space="0"/>
            </w:tcBorders>
            <w:tcMar>
              <w:top w:w="15" w:type="dxa"/>
              <w:left w:w="15" w:type="dxa"/>
              <w:right w:w="15" w:type="dxa"/>
            </w:tcMar>
            <w:vAlign w:val="center"/>
          </w:tcPr>
          <w:p w:rsidR="1C3D137E" w:rsidP="1C3D137E" w:rsidRDefault="1C3D137E" w14:paraId="589B2E3B" w14:textId="6B789EA1">
            <w:r w:rsidRPr="1C3D137E">
              <w:rPr>
                <w:rFonts w:ascii="Calibri" w:hAnsi="Calibri" w:cs="Calibri"/>
                <w:color w:val="000000" w:themeColor="text1"/>
                <w:sz w:val="18"/>
                <w:szCs w:val="18"/>
              </w:rPr>
              <w:t>M-FT-PR-008</w:t>
            </w:r>
          </w:p>
        </w:tc>
        <w:tc>
          <w:tcPr>
            <w:tcW w:w="1599" w:type="dxa"/>
            <w:tcMar>
              <w:top w:w="15" w:type="dxa"/>
              <w:left w:w="15" w:type="dxa"/>
              <w:right w:w="15" w:type="dxa"/>
            </w:tcMar>
            <w:vAlign w:val="center"/>
          </w:tcPr>
          <w:p w:rsidR="1C3D137E" w:rsidP="1C3D137E" w:rsidRDefault="1C3D137E" w14:paraId="57674B2E" w14:textId="1384AE28">
            <w:r w:rsidRPr="1C3D137E">
              <w:rPr>
                <w:rFonts w:ascii="Calibri" w:hAnsi="Calibri" w:cs="Calibri"/>
                <w:color w:val="000000" w:themeColor="text1"/>
                <w:sz w:val="18"/>
                <w:szCs w:val="18"/>
              </w:rPr>
              <w:t>Atención a emergencias</w:t>
            </w:r>
          </w:p>
        </w:tc>
        <w:tc>
          <w:tcPr>
            <w:tcW w:w="895" w:type="dxa"/>
            <w:tcMar>
              <w:top w:w="15" w:type="dxa"/>
              <w:left w:w="15" w:type="dxa"/>
              <w:right w:w="15" w:type="dxa"/>
            </w:tcMar>
            <w:vAlign w:val="center"/>
          </w:tcPr>
          <w:p w:rsidR="1C3D137E" w:rsidP="0ED4F347" w:rsidRDefault="1C3D137E" w14:paraId="28C0D9D6" w14:textId="61AD726F">
            <w:pPr>
              <w:jc w:val="center"/>
              <w:rPr>
                <w:rFonts w:ascii="Calibri" w:hAnsi="Calibri" w:cs="Calibri"/>
                <w:color w:val="000000" w:themeColor="text1" w:themeTint="FF" w:themeShade="FF"/>
                <w:sz w:val="18"/>
                <w:szCs w:val="18"/>
              </w:rPr>
            </w:pPr>
            <w:r w:rsidRPr="0ED4F347" w:rsidR="28B33C6B">
              <w:rPr>
                <w:rFonts w:ascii="Calibri" w:hAnsi="Calibri" w:cs="Calibri"/>
                <w:color w:val="000000" w:themeColor="text1" w:themeTint="FF" w:themeShade="FF"/>
                <w:sz w:val="18"/>
                <w:szCs w:val="18"/>
              </w:rPr>
              <w:t>1</w:t>
            </w:r>
            <w:r w:rsidRPr="0ED4F347" w:rsidR="7BEFCF29">
              <w:rPr>
                <w:rFonts w:ascii="Calibri" w:hAnsi="Calibri" w:cs="Calibri"/>
                <w:color w:val="000000" w:themeColor="text1" w:themeTint="FF" w:themeShade="FF"/>
                <w:sz w:val="18"/>
                <w:szCs w:val="18"/>
              </w:rPr>
              <w:t>6</w:t>
            </w:r>
          </w:p>
        </w:tc>
        <w:tc>
          <w:tcPr>
            <w:tcW w:w="754" w:type="dxa"/>
            <w:tcMar>
              <w:top w:w="15" w:type="dxa"/>
              <w:left w:w="15" w:type="dxa"/>
              <w:right w:w="15" w:type="dxa"/>
            </w:tcMar>
            <w:vAlign w:val="center"/>
          </w:tcPr>
          <w:p w:rsidR="1C3D137E" w:rsidP="1C3D137E" w:rsidRDefault="1C3D137E" w14:paraId="19142997" w14:textId="58DEE24C">
            <w:pPr>
              <w:jc w:val="center"/>
            </w:pPr>
            <w:r w:rsidRPr="0ED4F347" w:rsidR="28B33C6B">
              <w:rPr>
                <w:rFonts w:ascii="Calibri" w:hAnsi="Calibri" w:cs="Calibri"/>
                <w:color w:val="000000" w:themeColor="text1" w:themeTint="FF" w:themeShade="FF"/>
                <w:sz w:val="18"/>
                <w:szCs w:val="18"/>
              </w:rPr>
              <w:t>1</w:t>
            </w:r>
            <w:r w:rsidRPr="0ED4F347" w:rsidR="76162A30">
              <w:rPr>
                <w:rFonts w:ascii="Calibri" w:hAnsi="Calibri" w:cs="Calibri"/>
                <w:color w:val="000000" w:themeColor="text1" w:themeTint="FF" w:themeShade="FF"/>
                <w:sz w:val="18"/>
                <w:szCs w:val="18"/>
              </w:rPr>
              <w:t>8</w:t>
            </w:r>
          </w:p>
        </w:tc>
        <w:tc>
          <w:tcPr>
            <w:tcW w:w="724" w:type="dxa"/>
            <w:tcMar>
              <w:top w:w="15" w:type="dxa"/>
              <w:left w:w="15" w:type="dxa"/>
              <w:right w:w="15" w:type="dxa"/>
            </w:tcMar>
            <w:vAlign w:val="center"/>
          </w:tcPr>
          <w:p w:rsidR="1C3D137E" w:rsidP="1C3D137E" w:rsidRDefault="1C3D137E" w14:paraId="208FBF5C" w14:textId="7BA4F564">
            <w:pPr>
              <w:jc w:val="center"/>
            </w:pPr>
            <w:r w:rsidRPr="0ED4F347" w:rsidR="28B33C6B">
              <w:rPr>
                <w:rFonts w:ascii="Calibri" w:hAnsi="Calibri" w:cs="Calibri"/>
                <w:color w:val="000000" w:themeColor="text1" w:themeTint="FF" w:themeShade="FF"/>
                <w:sz w:val="18"/>
                <w:szCs w:val="18"/>
              </w:rPr>
              <w:t>3</w:t>
            </w:r>
            <w:r w:rsidRPr="0ED4F347" w:rsidR="0F136C9D">
              <w:rPr>
                <w:rFonts w:ascii="Calibri" w:hAnsi="Calibri" w:cs="Calibri"/>
                <w:color w:val="000000" w:themeColor="text1" w:themeTint="FF" w:themeShade="FF"/>
                <w:sz w:val="18"/>
                <w:szCs w:val="18"/>
              </w:rPr>
              <w:t>2</w:t>
            </w:r>
          </w:p>
        </w:tc>
        <w:tc>
          <w:tcPr>
            <w:tcW w:w="1061" w:type="dxa"/>
            <w:tcMar>
              <w:top w:w="15" w:type="dxa"/>
              <w:left w:w="15" w:type="dxa"/>
              <w:right w:w="15" w:type="dxa"/>
            </w:tcMar>
            <w:vAlign w:val="center"/>
          </w:tcPr>
          <w:p w:rsidR="1C3D137E" w:rsidP="1C3D137E" w:rsidRDefault="004042B6" w14:paraId="744963E6" w14:textId="5E497019">
            <w:pPr>
              <w:jc w:val="center"/>
            </w:pPr>
            <w:r>
              <w:rPr>
                <w:rFonts w:ascii="Calibri" w:hAnsi="Calibri" w:cs="Calibri"/>
                <w:color w:val="000000" w:themeColor="text1"/>
                <w:sz w:val="18"/>
                <w:szCs w:val="18"/>
              </w:rPr>
              <w:t>2,3,11</w:t>
            </w:r>
            <w:r w:rsidRPr="1C3D137E" w:rsidR="1C3D137E">
              <w:rPr>
                <w:rFonts w:ascii="Calibri" w:hAnsi="Calibri" w:cs="Calibri"/>
                <w:color w:val="000000" w:themeColor="text1"/>
                <w:sz w:val="18"/>
                <w:szCs w:val="18"/>
              </w:rPr>
              <w:t>,16,17</w:t>
            </w:r>
          </w:p>
        </w:tc>
        <w:tc>
          <w:tcPr>
            <w:tcW w:w="1440" w:type="dxa"/>
            <w:tcMar>
              <w:top w:w="15" w:type="dxa"/>
              <w:left w:w="15" w:type="dxa"/>
              <w:right w:w="15" w:type="dxa"/>
            </w:tcMar>
            <w:vAlign w:val="center"/>
          </w:tcPr>
          <w:p w:rsidR="1C3D137E" w:rsidP="1C3D137E" w:rsidRDefault="1C3D137E" w14:paraId="03EB44F6" w14:textId="4940237F">
            <w:pPr>
              <w:jc w:val="center"/>
            </w:pPr>
            <w:r w:rsidRPr="0ED4F347" w:rsidR="28B33C6B">
              <w:rPr>
                <w:rFonts w:ascii="Calibri" w:hAnsi="Calibri" w:cs="Calibri"/>
                <w:color w:val="000000" w:themeColor="text1" w:themeTint="FF" w:themeShade="FF"/>
                <w:sz w:val="18"/>
                <w:szCs w:val="18"/>
              </w:rPr>
              <w:t>4,5,6,8,</w:t>
            </w:r>
            <w:r w:rsidRPr="0ED4F347" w:rsidR="257B64CC">
              <w:rPr>
                <w:rFonts w:ascii="Calibri" w:hAnsi="Calibri" w:cs="Calibri"/>
                <w:color w:val="000000" w:themeColor="text1" w:themeTint="FF" w:themeShade="FF"/>
                <w:sz w:val="18"/>
                <w:szCs w:val="18"/>
              </w:rPr>
              <w:t>9,</w:t>
            </w:r>
            <w:r w:rsidRPr="0ED4F347" w:rsidR="20937A4D">
              <w:rPr>
                <w:rFonts w:ascii="Calibri" w:hAnsi="Calibri" w:cs="Calibri"/>
                <w:color w:val="000000" w:themeColor="text1" w:themeTint="FF" w:themeShade="FF"/>
                <w:sz w:val="18"/>
                <w:szCs w:val="18"/>
              </w:rPr>
              <w:t>13,</w:t>
            </w:r>
            <w:r w:rsidRPr="0ED4F347" w:rsidR="28B33C6B">
              <w:rPr>
                <w:rFonts w:ascii="Calibri" w:hAnsi="Calibri" w:cs="Calibri"/>
                <w:color w:val="000000" w:themeColor="text1" w:themeTint="FF" w:themeShade="FF"/>
                <w:sz w:val="18"/>
                <w:szCs w:val="18"/>
              </w:rPr>
              <w:t>14,15</w:t>
            </w:r>
          </w:p>
        </w:tc>
        <w:tc>
          <w:tcPr>
            <w:tcW w:w="601" w:type="dxa"/>
            <w:tcMar>
              <w:top w:w="15" w:type="dxa"/>
              <w:left w:w="15" w:type="dxa"/>
              <w:right w:w="15" w:type="dxa"/>
            </w:tcMar>
            <w:vAlign w:val="center"/>
          </w:tcPr>
          <w:p w:rsidR="1C3D137E" w:rsidP="1C3D137E" w:rsidRDefault="1C3D137E" w14:paraId="547E9A2F" w14:textId="5F39DC32">
            <w:pPr>
              <w:jc w:val="center"/>
            </w:pPr>
            <w:r w:rsidRPr="1C3D137E">
              <w:rPr>
                <w:rFonts w:ascii="Calibri" w:hAnsi="Calibri" w:cs="Calibri"/>
                <w:color w:val="000000" w:themeColor="text1"/>
                <w:sz w:val="18"/>
                <w:szCs w:val="18"/>
              </w:rPr>
              <w:t>7,10,12</w:t>
            </w:r>
          </w:p>
        </w:tc>
        <w:tc>
          <w:tcPr>
            <w:tcW w:w="1091" w:type="dxa"/>
            <w:tcMar>
              <w:top w:w="15" w:type="dxa"/>
              <w:left w:w="15" w:type="dxa"/>
              <w:right w:w="15" w:type="dxa"/>
            </w:tcMar>
            <w:vAlign w:val="center"/>
          </w:tcPr>
          <w:p w:rsidR="1C3D137E" w:rsidP="1C3D137E" w:rsidRDefault="006E48B1" w14:paraId="48673620" w14:textId="15EDD5B4">
            <w:pPr>
              <w:jc w:val="center"/>
            </w:pPr>
            <w:r w:rsidRPr="0ED4F347" w:rsidR="76B83869">
              <w:rPr>
                <w:rFonts w:ascii="Calibri" w:hAnsi="Calibri" w:cs="Calibri"/>
                <w:color w:val="000000" w:themeColor="text1" w:themeTint="FF" w:themeShade="FF"/>
                <w:sz w:val="18"/>
                <w:szCs w:val="18"/>
              </w:rPr>
              <w:t>5</w:t>
            </w:r>
            <w:r w:rsidRPr="0ED4F347" w:rsidR="7CF19BB9">
              <w:rPr>
                <w:rFonts w:ascii="Calibri" w:hAnsi="Calibri" w:cs="Calibri"/>
                <w:color w:val="000000" w:themeColor="text1" w:themeTint="FF" w:themeShade="FF"/>
                <w:sz w:val="18"/>
                <w:szCs w:val="18"/>
              </w:rPr>
              <w:t>6</w:t>
            </w:r>
            <w:r w:rsidRPr="0ED4F347" w:rsidR="28B33C6B">
              <w:rPr>
                <w:rFonts w:ascii="Calibri" w:hAnsi="Calibri" w:cs="Calibri"/>
                <w:color w:val="000000" w:themeColor="text1" w:themeTint="FF" w:themeShade="FF"/>
                <w:sz w:val="18"/>
                <w:szCs w:val="18"/>
              </w:rPr>
              <w:t>%</w:t>
            </w:r>
          </w:p>
        </w:tc>
        <w:tc>
          <w:tcPr>
            <w:tcW w:w="1460" w:type="dxa"/>
            <w:tcBorders>
              <w:bottom w:val="single" w:color="000000" w:themeColor="text1" w:sz="8" w:space="0"/>
            </w:tcBorders>
            <w:tcMar>
              <w:top w:w="15" w:type="dxa"/>
              <w:left w:w="15" w:type="dxa"/>
              <w:right w:w="15" w:type="dxa"/>
            </w:tcMar>
            <w:vAlign w:val="center"/>
          </w:tcPr>
          <w:p w:rsidR="1C3D137E" w:rsidP="1C3D137E" w:rsidRDefault="1C3D137E" w14:paraId="03C2ECDE" w14:textId="2FD01FEF">
            <w:r w:rsidRPr="1C3D137E">
              <w:rPr>
                <w:rFonts w:ascii="Calibri" w:hAnsi="Calibri" w:cs="Calibri"/>
                <w:color w:val="000000" w:themeColor="text1"/>
                <w:sz w:val="18"/>
                <w:szCs w:val="18"/>
              </w:rPr>
              <w:t>No Cumple</w:t>
            </w:r>
          </w:p>
        </w:tc>
      </w:tr>
      <w:tr w:rsidR="0ED4F347" w:rsidTr="0ED4F347" w14:paraId="19947145">
        <w:trPr>
          <w:trHeight w:val="315"/>
        </w:trPr>
        <w:tc>
          <w:tcPr>
            <w:tcW w:w="7968" w:type="dxa"/>
            <w:gridSpan w:val="8"/>
            <w:tcBorders>
              <w:bottom w:val="single" w:color="000000" w:themeColor="text1" w:sz="8" w:space="0"/>
            </w:tcBorders>
            <w:tcMar>
              <w:top w:w="15" w:type="dxa"/>
              <w:left w:w="15" w:type="dxa"/>
              <w:right w:w="15" w:type="dxa"/>
            </w:tcMar>
            <w:vAlign w:val="center"/>
          </w:tcPr>
          <w:p w:rsidR="0CD1D617" w:rsidP="0ED4F347" w:rsidRDefault="0CD1D617" w14:paraId="3CA0EBF9" w14:textId="339DDE50">
            <w:pPr>
              <w:pStyle w:val="Normal"/>
              <w:rPr>
                <w:rFonts w:ascii="Calibri" w:hAnsi="Calibri" w:cs="Calibri"/>
                <w:b w:val="1"/>
                <w:bCs w:val="1"/>
                <w:color w:val="000000" w:themeColor="text1" w:themeTint="FF" w:themeShade="FF"/>
                <w:sz w:val="18"/>
                <w:szCs w:val="18"/>
              </w:rPr>
            </w:pPr>
            <w:r w:rsidRPr="0ED4F347" w:rsidR="0CD1D617">
              <w:rPr>
                <w:rFonts w:ascii="Calibri" w:hAnsi="Calibri" w:cs="Calibri"/>
                <w:b w:val="1"/>
                <w:bCs w:val="1"/>
                <w:color w:val="000000" w:themeColor="text1" w:themeTint="FF" w:themeShade="FF"/>
                <w:sz w:val="18"/>
                <w:szCs w:val="18"/>
              </w:rPr>
              <w:t>Cumplimiento promedio de los procedimientos</w:t>
            </w:r>
          </w:p>
        </w:tc>
        <w:tc>
          <w:tcPr>
            <w:tcW w:w="1091" w:type="dxa"/>
            <w:shd w:val="clear" w:color="auto" w:fill="FFFFFF" w:themeFill="background1"/>
            <w:tcMar>
              <w:top w:w="15" w:type="dxa"/>
              <w:left w:w="15" w:type="dxa"/>
              <w:right w:w="15" w:type="dxa"/>
            </w:tcMar>
            <w:vAlign w:val="center"/>
          </w:tcPr>
          <w:p w:rsidR="0CD1D617" w:rsidP="0ED4F347" w:rsidRDefault="0CD1D617" w14:paraId="2ACBA4D1" w14:textId="5486632C">
            <w:pPr>
              <w:pStyle w:val="Normal"/>
              <w:jc w:val="center"/>
              <w:rPr>
                <w:rFonts w:ascii="Calibri" w:hAnsi="Calibri" w:cs="Calibri"/>
                <w:color w:val="000000" w:themeColor="text1" w:themeTint="FF" w:themeShade="FF"/>
                <w:sz w:val="18"/>
                <w:szCs w:val="18"/>
              </w:rPr>
            </w:pPr>
            <w:r w:rsidRPr="0ED4F347" w:rsidR="0CD1D617">
              <w:rPr>
                <w:rFonts w:ascii="Calibri" w:hAnsi="Calibri" w:cs="Calibri"/>
                <w:color w:val="000000" w:themeColor="text1" w:themeTint="FF" w:themeShade="FF"/>
                <w:sz w:val="18"/>
                <w:szCs w:val="18"/>
              </w:rPr>
              <w:t>7</w:t>
            </w:r>
            <w:r w:rsidRPr="0ED4F347" w:rsidR="2D053180">
              <w:rPr>
                <w:rFonts w:ascii="Calibri" w:hAnsi="Calibri" w:cs="Calibri"/>
                <w:color w:val="000000" w:themeColor="text1" w:themeTint="FF" w:themeShade="FF"/>
                <w:sz w:val="18"/>
                <w:szCs w:val="18"/>
              </w:rPr>
              <w:t>4</w:t>
            </w:r>
            <w:r w:rsidRPr="0ED4F347" w:rsidR="0CD1D617">
              <w:rPr>
                <w:rFonts w:ascii="Calibri" w:hAnsi="Calibri" w:cs="Calibri"/>
                <w:color w:val="000000" w:themeColor="text1" w:themeTint="FF" w:themeShade="FF"/>
                <w:sz w:val="18"/>
                <w:szCs w:val="18"/>
              </w:rPr>
              <w:t>%</w:t>
            </w:r>
          </w:p>
        </w:tc>
        <w:tc>
          <w:tcPr>
            <w:tcW w:w="1460" w:type="dxa"/>
            <w:tcBorders>
              <w:bottom w:val="single" w:color="000000" w:themeColor="text1" w:sz="8" w:space="0"/>
            </w:tcBorders>
            <w:shd w:val="clear" w:color="auto" w:fill="FFFFFF" w:themeFill="background1"/>
            <w:tcMar>
              <w:top w:w="15" w:type="dxa"/>
              <w:left w:w="15" w:type="dxa"/>
              <w:right w:w="15" w:type="dxa"/>
            </w:tcMar>
            <w:vAlign w:val="center"/>
          </w:tcPr>
          <w:p w:rsidR="0CD1D617" w:rsidP="0ED4F347" w:rsidRDefault="0CD1D617" w14:paraId="64FA001F" w14:textId="626B62DE">
            <w:pPr>
              <w:pStyle w:val="Normal"/>
              <w:rPr>
                <w:rFonts w:ascii="Calibri" w:hAnsi="Calibri" w:cs="Calibri"/>
                <w:color w:val="000000" w:themeColor="text1" w:themeTint="FF" w:themeShade="FF"/>
                <w:sz w:val="18"/>
                <w:szCs w:val="18"/>
              </w:rPr>
            </w:pPr>
            <w:r w:rsidRPr="0ED4F347" w:rsidR="0CD1D617">
              <w:rPr>
                <w:rFonts w:ascii="Calibri" w:hAnsi="Calibri" w:cs="Calibri"/>
                <w:color w:val="000000" w:themeColor="text1" w:themeTint="FF" w:themeShade="FF"/>
                <w:sz w:val="18"/>
                <w:szCs w:val="18"/>
              </w:rPr>
              <w:t>No Cumple</w:t>
            </w:r>
          </w:p>
        </w:tc>
      </w:tr>
    </w:tbl>
    <w:p w:rsidR="0ED4F347" w:rsidP="0ED4F347" w:rsidRDefault="0ED4F347" w14:paraId="69C505AF" w14:textId="5077B998">
      <w:pPr>
        <w:pStyle w:val="Normal"/>
        <w:ind w:left="0"/>
      </w:pPr>
    </w:p>
    <w:p w:rsidR="62E3CE2F" w:rsidP="0ED4F347" w:rsidRDefault="62E3CE2F" w14:paraId="70FCA771" w14:textId="7DBBE0D4">
      <w:pPr>
        <w:pStyle w:val="Ttulo2"/>
        <w:numPr>
          <w:ilvl w:val="0"/>
          <w:numId w:val="0"/>
        </w:numPr>
        <w:ind w:left="0"/>
        <w:jc w:val="center"/>
        <w:rPr>
          <w:b w:val="0"/>
          <w:bCs w:val="0"/>
          <w:sz w:val="16"/>
          <w:szCs w:val="16"/>
          <w:lang w:val="es-ES"/>
        </w:rPr>
      </w:pPr>
      <w:r w:rsidRPr="0ED4F347" w:rsidR="62E3CE2F">
        <w:rPr>
          <w:b w:val="0"/>
          <w:bCs w:val="0"/>
          <w:sz w:val="16"/>
          <w:szCs w:val="16"/>
          <w:lang w:val="es-ES"/>
        </w:rPr>
        <w:t>Fuente: Elaboración propia</w:t>
      </w:r>
    </w:p>
    <w:p w:rsidR="254EC72E" w:rsidP="0ED4F347" w:rsidRDefault="254EC72E" w14:paraId="7452EF15" w14:textId="4925AF43">
      <w:pPr>
        <w:pStyle w:val="Ttulo2"/>
        <w:numPr>
          <w:ilvl w:val="0"/>
          <w:numId w:val="0"/>
        </w:numPr>
        <w:ind w:left="0"/>
        <w:rPr>
          <w:rFonts w:eastAsia="" w:eastAsiaTheme="minorEastAsia"/>
          <w:b w:val="0"/>
          <w:bCs w:val="0"/>
          <w:color w:val="242424"/>
          <w:sz w:val="24"/>
          <w:szCs w:val="24"/>
        </w:rPr>
      </w:pPr>
      <w:r w:rsidRPr="0ED4F347" w:rsidR="254EC72E">
        <w:rPr>
          <w:sz w:val="24"/>
          <w:szCs w:val="24"/>
          <w:lang w:val="es-ES"/>
        </w:rPr>
        <w:t>4.2.</w:t>
      </w:r>
      <w:r w:rsidRPr="0ED4F347" w:rsidR="66C82503">
        <w:rPr>
          <w:sz w:val="24"/>
          <w:szCs w:val="24"/>
          <w:lang w:val="es-ES"/>
        </w:rPr>
        <w:t xml:space="preserve">1.1. </w:t>
      </w:r>
      <w:r w:rsidRPr="0ED4F347" w:rsidR="2A46BB99">
        <w:rPr>
          <w:sz w:val="24"/>
          <w:szCs w:val="24"/>
        </w:rPr>
        <w:t xml:space="preserve">Resultados: </w:t>
      </w:r>
      <w:r w:rsidRPr="0ED4F347" w:rsidR="2A46BB99">
        <w:rPr>
          <w:b w:val="0"/>
          <w:bCs w:val="0"/>
          <w:sz w:val="24"/>
          <w:szCs w:val="24"/>
        </w:rPr>
        <w:t xml:space="preserve">Procedimiento de Atención de Emergencias </w:t>
      </w:r>
      <w:r w:rsidRPr="0ED4F347" w:rsidR="2A46BB99">
        <w:rPr>
          <w:rFonts w:eastAsia="" w:eastAsiaTheme="minorEastAsia"/>
          <w:b w:val="0"/>
          <w:bCs w:val="0"/>
          <w:sz w:val="24"/>
          <w:szCs w:val="24"/>
        </w:rPr>
        <w:t>(MFTPR008)</w:t>
      </w:r>
    </w:p>
    <w:p w:rsidRPr="00627B4A" w:rsidR="007A4EB4" w:rsidP="007A4EB4" w:rsidRDefault="007A4EB4" w14:paraId="6A711DF3" w14:textId="77777777">
      <w:pPr>
        <w:shd w:val="clear" w:color="auto" w:fill="FFFFFF" w:themeFill="background1"/>
        <w:spacing w:line="240" w:lineRule="auto"/>
        <w:rPr>
          <w:rFonts w:eastAsiaTheme="minorEastAsia"/>
          <w:bCs/>
          <w:color w:val="242424"/>
          <w:sz w:val="24"/>
          <w:szCs w:val="24"/>
        </w:rPr>
      </w:pPr>
    </w:p>
    <w:p w:rsidRPr="003F6C56" w:rsidR="007A4EB4" w:rsidP="0ED4F347" w:rsidRDefault="007A4EB4" w14:paraId="1096E672" w14:textId="2C62535F">
      <w:pPr>
        <w:pStyle w:val="Descripcin"/>
        <w:keepNext w:val="1"/>
        <w:rPr>
          <w:rFonts w:ascii="Arial" w:hAnsi="Arial" w:eastAsia="Arial" w:cs="Arial"/>
          <w:i w:val="0"/>
          <w:iCs w:val="0"/>
          <w:color w:val="auto" w:themeColor="text2"/>
          <w:sz w:val="24"/>
          <w:szCs w:val="24"/>
        </w:rPr>
      </w:pPr>
      <w:r w:rsidRPr="0ED4F347" w:rsidR="6AB5B21B">
        <w:rPr>
          <w:rFonts w:ascii="Arial" w:hAnsi="Arial" w:eastAsia="Arial" w:cs="Arial"/>
          <w:i w:val="0"/>
          <w:iCs w:val="0"/>
          <w:color w:val="auto"/>
          <w:sz w:val="24"/>
          <w:szCs w:val="24"/>
        </w:rPr>
        <w:t xml:space="preserve">Tabla </w:t>
      </w:r>
      <w:r w:rsidRPr="0ED4F347" w:rsidR="42D6A498">
        <w:rPr>
          <w:rFonts w:ascii="Arial" w:hAnsi="Arial" w:eastAsia="Arial" w:cs="Arial"/>
          <w:i w:val="0"/>
          <w:iCs w:val="0"/>
          <w:color w:val="auto"/>
          <w:sz w:val="24"/>
          <w:szCs w:val="24"/>
        </w:rPr>
        <w:t>4</w:t>
      </w:r>
      <w:r w:rsidRPr="0ED4F347" w:rsidR="6AB5B21B">
        <w:rPr>
          <w:rFonts w:ascii="Arial" w:hAnsi="Arial" w:eastAsia="Arial" w:cs="Arial"/>
          <w:i w:val="0"/>
          <w:iCs w:val="0"/>
          <w:color w:val="auto"/>
          <w:sz w:val="24"/>
          <w:szCs w:val="24"/>
        </w:rPr>
        <w:t xml:space="preserve">. Resultados Procedimiento de Atención de Emergencias </w:t>
      </w:r>
      <w:r w:rsidRPr="0ED4F347" w:rsidR="6AB5B21B">
        <w:rPr>
          <w:rFonts w:ascii="Arial" w:hAnsi="Arial" w:eastAsia="Arial" w:cs="Arial"/>
          <w:i w:val="0"/>
          <w:iCs w:val="0"/>
          <w:color w:val="auto"/>
          <w:sz w:val="24"/>
          <w:szCs w:val="24"/>
        </w:rPr>
        <w:t>(M</w:t>
      </w:r>
      <w:r w:rsidRPr="0ED4F347" w:rsidR="6AB5B21B">
        <w:rPr>
          <w:rFonts w:ascii="Cambria Math" w:hAnsi="Cambria Math" w:eastAsia="" w:cs="Cambria Math" w:eastAsiaTheme="minorEastAsia"/>
          <w:i w:val="1"/>
          <w:iCs w:val="1"/>
          <w:color w:val="44546A" w:themeColor="text2" w:themeTint="FF" w:themeShade="FF"/>
          <w:sz w:val="18"/>
          <w:szCs w:val="18"/>
        </w:rPr>
        <w:t>￼</w:t>
      </w:r>
      <w:r w:rsidRPr="0ED4F347" w:rsidR="6AB5B21B">
        <w:rPr>
          <w:rFonts w:ascii="Arial" w:hAnsi="Arial" w:eastAsia="Arial" w:cs="Arial"/>
          <w:i w:val="0"/>
          <w:iCs w:val="0"/>
          <w:color w:val="auto"/>
          <w:sz w:val="24"/>
          <w:szCs w:val="24"/>
        </w:rPr>
        <w:t>FT</w:t>
      </w:r>
      <w:r w:rsidRPr="0ED4F347" w:rsidR="6AB5B21B">
        <w:rPr>
          <w:rFonts w:ascii="Cambria Math" w:hAnsi="Cambria Math" w:eastAsia="" w:cs="Cambria Math" w:eastAsiaTheme="minorEastAsia"/>
          <w:i w:val="1"/>
          <w:iCs w:val="1"/>
          <w:color w:val="44546A" w:themeColor="text2" w:themeTint="FF" w:themeShade="FF"/>
          <w:sz w:val="18"/>
          <w:szCs w:val="18"/>
        </w:rPr>
        <w:t>￼</w:t>
      </w:r>
      <w:r w:rsidRPr="0ED4F347" w:rsidR="6AB5B21B">
        <w:rPr>
          <w:rFonts w:ascii="Arial" w:hAnsi="Arial" w:eastAsia="Arial" w:cs="Arial"/>
          <w:i w:val="0"/>
          <w:iCs w:val="0"/>
          <w:color w:val="auto"/>
          <w:sz w:val="24"/>
          <w:szCs w:val="24"/>
        </w:rPr>
        <w:t>PR</w:t>
      </w:r>
      <w:r w:rsidRPr="0ED4F347" w:rsidR="6AB5B21B">
        <w:rPr>
          <w:rFonts w:ascii="Cambria Math" w:hAnsi="Cambria Math" w:eastAsia="" w:cs="Cambria Math" w:eastAsiaTheme="minorEastAsia"/>
          <w:i w:val="1"/>
          <w:iCs w:val="1"/>
          <w:color w:val="44546A" w:themeColor="text2" w:themeTint="FF" w:themeShade="FF"/>
          <w:sz w:val="18"/>
          <w:szCs w:val="18"/>
        </w:rPr>
        <w:t>￼</w:t>
      </w:r>
      <w:r w:rsidRPr="0ED4F347" w:rsidR="6AB5B21B">
        <w:rPr>
          <w:rFonts w:ascii="Arial" w:hAnsi="Arial" w:eastAsia="Arial" w:cs="Arial"/>
          <w:i w:val="0"/>
          <w:iCs w:val="0"/>
          <w:color w:val="auto"/>
          <w:sz w:val="24"/>
          <w:szCs w:val="24"/>
        </w:rPr>
        <w:t>008)</w:t>
      </w:r>
    </w:p>
    <w:tbl>
      <w:tblPr>
        <w:tblW w:w="10390" w:type="dxa"/>
        <w:tblInd w:w="90" w:type="dxa"/>
        <w:tblLook w:val="04A0" w:firstRow="1" w:lastRow="0" w:firstColumn="1" w:lastColumn="0" w:noHBand="0" w:noVBand="1"/>
      </w:tblPr>
      <w:tblGrid>
        <w:gridCol w:w="1039"/>
        <w:gridCol w:w="6799"/>
        <w:gridCol w:w="993"/>
        <w:gridCol w:w="1559"/>
      </w:tblGrid>
      <w:tr w:rsidRPr="00413D1D" w:rsidR="007A4EB4" w:rsidTr="0ED4F347" w14:paraId="17023828" w14:textId="77777777">
        <w:trPr>
          <w:trHeight w:val="1035"/>
        </w:trPr>
        <w:tc>
          <w:tcPr>
            <w:tcW w:w="1039" w:type="dxa"/>
            <w:tcBorders>
              <w:top w:val="single" w:color="auto" w:sz="8" w:space="0"/>
              <w:left w:val="single" w:color="auto" w:sz="8" w:space="0"/>
              <w:bottom w:val="single" w:color="auto" w:sz="8" w:space="0"/>
              <w:right w:val="single" w:color="auto" w:sz="8" w:space="0"/>
            </w:tcBorders>
            <w:shd w:val="clear" w:color="auto" w:fill="DDEBF7"/>
            <w:tcMar>
              <w:left w:w="70" w:type="dxa"/>
              <w:right w:w="70" w:type="dxa"/>
            </w:tcMar>
            <w:vAlign w:val="center"/>
          </w:tcPr>
          <w:p w:rsidRPr="00413D1D" w:rsidR="007A4EB4" w:rsidP="006E48B1" w:rsidRDefault="007A4EB4" w14:paraId="08135DDD" w14:textId="77777777">
            <w:pPr>
              <w:spacing w:line="240" w:lineRule="auto"/>
              <w:jc w:val="center"/>
            </w:pPr>
            <w:r w:rsidRPr="00413D1D">
              <w:rPr>
                <w:rFonts w:eastAsia="Aptos"/>
                <w:b/>
                <w:bCs/>
                <w:color w:val="000000" w:themeColor="text1"/>
                <w:sz w:val="16"/>
                <w:szCs w:val="16"/>
              </w:rPr>
              <w:t>Actividades flujograma</w:t>
            </w:r>
          </w:p>
        </w:tc>
        <w:tc>
          <w:tcPr>
            <w:tcW w:w="6799" w:type="dxa"/>
            <w:tcBorders>
              <w:top w:val="single" w:color="auto" w:sz="8" w:space="0"/>
              <w:left w:val="single" w:color="auto" w:sz="8" w:space="0"/>
              <w:bottom w:val="single" w:color="auto" w:sz="8" w:space="0"/>
              <w:right w:val="single" w:color="auto" w:sz="8" w:space="0"/>
            </w:tcBorders>
            <w:shd w:val="clear" w:color="auto" w:fill="DDEBF7"/>
            <w:tcMar>
              <w:left w:w="70" w:type="dxa"/>
              <w:right w:w="70" w:type="dxa"/>
            </w:tcMar>
            <w:vAlign w:val="center"/>
          </w:tcPr>
          <w:p w:rsidRPr="00413D1D" w:rsidR="007A4EB4" w:rsidP="006E48B1" w:rsidRDefault="007A4EB4" w14:paraId="6A048E78" w14:textId="77777777">
            <w:pPr>
              <w:spacing w:line="240" w:lineRule="auto"/>
              <w:jc w:val="center"/>
            </w:pPr>
            <w:r w:rsidRPr="00413D1D">
              <w:rPr>
                <w:rFonts w:eastAsia="Aptos"/>
                <w:b/>
                <w:bCs/>
                <w:color w:val="000000" w:themeColor="text1"/>
                <w:sz w:val="16"/>
                <w:szCs w:val="16"/>
              </w:rPr>
              <w:t>Fase del procedimiento</w:t>
            </w:r>
          </w:p>
        </w:tc>
        <w:tc>
          <w:tcPr>
            <w:tcW w:w="993" w:type="dxa"/>
            <w:tcBorders>
              <w:top w:val="single" w:color="auto" w:sz="8" w:space="0"/>
              <w:left w:val="single" w:color="auto" w:sz="8" w:space="0"/>
              <w:bottom w:val="single" w:color="auto" w:sz="8" w:space="0"/>
              <w:right w:val="single" w:color="auto" w:sz="8" w:space="0"/>
            </w:tcBorders>
            <w:shd w:val="clear" w:color="auto" w:fill="DDEBF7"/>
            <w:tcMar>
              <w:left w:w="70" w:type="dxa"/>
              <w:right w:w="70" w:type="dxa"/>
            </w:tcMar>
            <w:vAlign w:val="center"/>
          </w:tcPr>
          <w:p w:rsidRPr="00413D1D" w:rsidR="007A4EB4" w:rsidP="006E48B1" w:rsidRDefault="007A4EB4" w14:paraId="4BDA91B9" w14:textId="77777777">
            <w:pPr>
              <w:spacing w:line="240" w:lineRule="auto"/>
              <w:jc w:val="center"/>
            </w:pPr>
            <w:r w:rsidRPr="00413D1D">
              <w:rPr>
                <w:rFonts w:eastAsia="Aptos"/>
                <w:b/>
                <w:bCs/>
                <w:color w:val="000000" w:themeColor="text1"/>
                <w:sz w:val="16"/>
                <w:szCs w:val="16"/>
              </w:rPr>
              <w:t>Puntaje Obtenido</w:t>
            </w:r>
          </w:p>
        </w:tc>
        <w:tc>
          <w:tcPr>
            <w:tcW w:w="1559" w:type="dxa"/>
            <w:tcBorders>
              <w:top w:val="single" w:color="auto" w:sz="8" w:space="0"/>
              <w:left w:val="single" w:color="auto" w:sz="8" w:space="0"/>
              <w:bottom w:val="single" w:color="auto" w:sz="8" w:space="0"/>
              <w:right w:val="single" w:color="auto" w:sz="8" w:space="0"/>
            </w:tcBorders>
            <w:shd w:val="clear" w:color="auto" w:fill="DDEBF7"/>
            <w:tcMar>
              <w:left w:w="70" w:type="dxa"/>
              <w:right w:w="70" w:type="dxa"/>
            </w:tcMar>
            <w:vAlign w:val="center"/>
          </w:tcPr>
          <w:p w:rsidRPr="00413D1D" w:rsidR="007A4EB4" w:rsidP="006E48B1" w:rsidRDefault="007A4EB4" w14:paraId="1B1530EA" w14:textId="77777777">
            <w:pPr>
              <w:spacing w:line="240" w:lineRule="auto"/>
              <w:jc w:val="center"/>
            </w:pPr>
            <w:r w:rsidRPr="00413D1D">
              <w:rPr>
                <w:rFonts w:eastAsia="Aptos"/>
                <w:b/>
                <w:bCs/>
                <w:color w:val="000000" w:themeColor="text1"/>
                <w:sz w:val="16"/>
                <w:szCs w:val="16"/>
              </w:rPr>
              <w:t>Nivel de Cumplimiento</w:t>
            </w:r>
          </w:p>
        </w:tc>
      </w:tr>
      <w:tr w:rsidRPr="00413D1D" w:rsidR="007A4EB4" w:rsidTr="0ED4F347" w14:paraId="4CCC6A37" w14:textId="77777777">
        <w:trPr>
          <w:trHeight w:val="510"/>
        </w:trPr>
        <w:tc>
          <w:tcPr>
            <w:tcW w:w="103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4B312462" w14:textId="77777777">
            <w:pPr>
              <w:spacing w:line="240" w:lineRule="auto"/>
              <w:jc w:val="center"/>
            </w:pPr>
            <w:r w:rsidRPr="00413D1D">
              <w:rPr>
                <w:rFonts w:eastAsia="Aptos"/>
                <w:color w:val="000000" w:themeColor="text1"/>
                <w:sz w:val="16"/>
                <w:szCs w:val="16"/>
              </w:rPr>
              <w:t>2</w:t>
            </w:r>
          </w:p>
        </w:tc>
        <w:tc>
          <w:tcPr>
            <w:tcW w:w="679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374D92E0" w14:textId="77777777">
            <w:pPr>
              <w:spacing w:line="240" w:lineRule="auto"/>
            </w:pPr>
            <w:r w:rsidRPr="00413D1D">
              <w:rPr>
                <w:rFonts w:eastAsia="Aptos"/>
                <w:color w:val="000000" w:themeColor="text1"/>
                <w:sz w:val="16"/>
                <w:szCs w:val="16"/>
              </w:rPr>
              <w:t>Recibir reporte de emergencia a través de línea 123, registrar en cuadro Excel, consolidar diariamente, cargar en SAGA y transmitir información al Director</w:t>
            </w:r>
          </w:p>
        </w:tc>
        <w:tc>
          <w:tcPr>
            <w:tcW w:w="99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36087BF5" w14:textId="77777777">
            <w:pPr>
              <w:spacing w:line="240" w:lineRule="auto"/>
              <w:jc w:val="center"/>
            </w:pPr>
            <w:r w:rsidRPr="00413D1D">
              <w:rPr>
                <w:rFonts w:eastAsia="Aptos"/>
                <w:color w:val="000000" w:themeColor="text1"/>
                <w:sz w:val="16"/>
                <w:szCs w:val="16"/>
              </w:rPr>
              <w:t>2</w:t>
            </w:r>
          </w:p>
        </w:tc>
        <w:tc>
          <w:tcPr>
            <w:tcW w:w="155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7E884502" w14:textId="77777777">
            <w:pPr>
              <w:spacing w:line="240" w:lineRule="auto"/>
              <w:jc w:val="center"/>
            </w:pPr>
            <w:r w:rsidRPr="00413D1D">
              <w:rPr>
                <w:rFonts w:eastAsia="Aptos"/>
                <w:color w:val="000000" w:themeColor="text1"/>
                <w:sz w:val="16"/>
                <w:szCs w:val="16"/>
              </w:rPr>
              <w:t>Cumple</w:t>
            </w:r>
          </w:p>
        </w:tc>
      </w:tr>
      <w:tr w:rsidRPr="00413D1D" w:rsidR="007A4EB4" w:rsidTr="0ED4F347" w14:paraId="3971665E" w14:textId="77777777">
        <w:trPr>
          <w:trHeight w:val="255"/>
        </w:trPr>
        <w:tc>
          <w:tcPr>
            <w:tcW w:w="103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5913AFFF" w14:textId="77777777">
            <w:pPr>
              <w:spacing w:line="240" w:lineRule="auto"/>
              <w:jc w:val="center"/>
            </w:pPr>
            <w:r w:rsidRPr="00413D1D">
              <w:rPr>
                <w:rFonts w:eastAsia="Aptos"/>
                <w:color w:val="000000" w:themeColor="text1"/>
                <w:sz w:val="16"/>
                <w:szCs w:val="16"/>
              </w:rPr>
              <w:t>3</w:t>
            </w:r>
          </w:p>
        </w:tc>
        <w:tc>
          <w:tcPr>
            <w:tcW w:w="679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6353B8AE" w14:textId="77777777">
            <w:pPr>
              <w:spacing w:line="240" w:lineRule="auto"/>
            </w:pPr>
            <w:r w:rsidRPr="00413D1D">
              <w:rPr>
                <w:rFonts w:eastAsia="Aptos"/>
                <w:color w:val="000000" w:themeColor="text1"/>
                <w:sz w:val="16"/>
                <w:szCs w:val="16"/>
              </w:rPr>
              <w:t>Coordinar acciones con organismos operativos y solicitar Evaluación Inicial de Daños y Análisis de Necesidades (EDAN)</w:t>
            </w:r>
          </w:p>
        </w:tc>
        <w:tc>
          <w:tcPr>
            <w:tcW w:w="99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1DE0CC65" w14:textId="77777777">
            <w:pPr>
              <w:spacing w:line="240" w:lineRule="auto"/>
              <w:jc w:val="center"/>
            </w:pPr>
            <w:r w:rsidRPr="00413D1D">
              <w:rPr>
                <w:rFonts w:eastAsia="Aptos"/>
                <w:color w:val="000000" w:themeColor="text1"/>
                <w:sz w:val="16"/>
                <w:szCs w:val="16"/>
              </w:rPr>
              <w:t>2</w:t>
            </w:r>
          </w:p>
        </w:tc>
        <w:tc>
          <w:tcPr>
            <w:tcW w:w="155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540E08B8" w14:textId="77777777">
            <w:pPr>
              <w:spacing w:line="240" w:lineRule="auto"/>
              <w:jc w:val="center"/>
            </w:pPr>
            <w:r w:rsidRPr="00413D1D">
              <w:rPr>
                <w:rFonts w:eastAsia="Aptos"/>
                <w:color w:val="000000" w:themeColor="text1"/>
                <w:sz w:val="16"/>
                <w:szCs w:val="16"/>
              </w:rPr>
              <w:t>Cumple</w:t>
            </w:r>
          </w:p>
        </w:tc>
      </w:tr>
      <w:tr w:rsidRPr="00413D1D" w:rsidR="007A4EB4" w:rsidTr="0ED4F347" w14:paraId="01AF8CF1" w14:textId="77777777">
        <w:trPr>
          <w:trHeight w:val="255"/>
        </w:trPr>
        <w:tc>
          <w:tcPr>
            <w:tcW w:w="103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4E70F0B9" w14:textId="77777777">
            <w:pPr>
              <w:spacing w:line="240" w:lineRule="auto"/>
              <w:jc w:val="center"/>
            </w:pPr>
            <w:r w:rsidRPr="00413D1D">
              <w:rPr>
                <w:rFonts w:eastAsia="Aptos"/>
                <w:color w:val="000000" w:themeColor="text1"/>
                <w:sz w:val="16"/>
                <w:szCs w:val="16"/>
              </w:rPr>
              <w:t>4</w:t>
            </w:r>
          </w:p>
        </w:tc>
        <w:tc>
          <w:tcPr>
            <w:tcW w:w="679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5DCFDB79" w14:textId="77777777">
            <w:pPr>
              <w:spacing w:line="240" w:lineRule="auto"/>
            </w:pPr>
            <w:r w:rsidRPr="00413D1D">
              <w:rPr>
                <w:rFonts w:eastAsia="Aptos"/>
                <w:color w:val="000000" w:themeColor="text1"/>
                <w:sz w:val="16"/>
                <w:szCs w:val="16"/>
              </w:rPr>
              <w:t>Realizar seguimiento y control a las acciones, solicitar reportes periódicos sobre evolución del evento</w:t>
            </w:r>
          </w:p>
        </w:tc>
        <w:tc>
          <w:tcPr>
            <w:tcW w:w="99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0A238AE0" w14:textId="77777777">
            <w:pPr>
              <w:spacing w:line="240" w:lineRule="auto"/>
              <w:jc w:val="center"/>
            </w:pPr>
            <w:r w:rsidRPr="00413D1D">
              <w:rPr>
                <w:rFonts w:eastAsia="Aptos"/>
                <w:color w:val="000000" w:themeColor="text1"/>
                <w:sz w:val="16"/>
                <w:szCs w:val="16"/>
              </w:rPr>
              <w:t>1</w:t>
            </w:r>
          </w:p>
        </w:tc>
        <w:tc>
          <w:tcPr>
            <w:tcW w:w="155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109365A8" w14:textId="77777777">
            <w:pPr>
              <w:spacing w:line="240" w:lineRule="auto"/>
              <w:jc w:val="center"/>
            </w:pPr>
            <w:r w:rsidRPr="00413D1D">
              <w:rPr>
                <w:rFonts w:eastAsia="Aptos"/>
                <w:color w:val="000000" w:themeColor="text1"/>
                <w:sz w:val="16"/>
                <w:szCs w:val="16"/>
              </w:rPr>
              <w:t>Cumple parcialmente</w:t>
            </w:r>
          </w:p>
        </w:tc>
      </w:tr>
      <w:tr w:rsidRPr="00413D1D" w:rsidR="007A4EB4" w:rsidTr="0ED4F347" w14:paraId="42302D7F" w14:textId="77777777">
        <w:trPr>
          <w:trHeight w:val="255"/>
        </w:trPr>
        <w:tc>
          <w:tcPr>
            <w:tcW w:w="103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46BEA1CA" w14:textId="77777777">
            <w:pPr>
              <w:spacing w:line="240" w:lineRule="auto"/>
              <w:jc w:val="center"/>
            </w:pPr>
            <w:r w:rsidRPr="00413D1D">
              <w:rPr>
                <w:rFonts w:eastAsia="Aptos"/>
                <w:color w:val="000000" w:themeColor="text1"/>
                <w:sz w:val="16"/>
                <w:szCs w:val="16"/>
              </w:rPr>
              <w:t>5</w:t>
            </w:r>
          </w:p>
        </w:tc>
        <w:tc>
          <w:tcPr>
            <w:tcW w:w="679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1A518A9E" w14:textId="77777777">
            <w:pPr>
              <w:spacing w:line="240" w:lineRule="auto"/>
            </w:pPr>
            <w:r w:rsidRPr="00413D1D">
              <w:rPr>
                <w:rFonts w:eastAsia="Aptos"/>
                <w:color w:val="000000" w:themeColor="text1"/>
                <w:sz w:val="16"/>
                <w:szCs w:val="16"/>
              </w:rPr>
              <w:t>Analizar y evaluar situación de emergencia para la respuesta mediante reuniones del Comité Departamental</w:t>
            </w:r>
          </w:p>
        </w:tc>
        <w:tc>
          <w:tcPr>
            <w:tcW w:w="99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453F9DC6" w14:textId="77777777">
            <w:pPr>
              <w:spacing w:line="240" w:lineRule="auto"/>
              <w:jc w:val="center"/>
            </w:pPr>
            <w:r w:rsidRPr="00413D1D">
              <w:rPr>
                <w:rFonts w:eastAsia="Aptos"/>
                <w:color w:val="000000" w:themeColor="text1"/>
                <w:sz w:val="16"/>
                <w:szCs w:val="16"/>
              </w:rPr>
              <w:t>1</w:t>
            </w:r>
          </w:p>
        </w:tc>
        <w:tc>
          <w:tcPr>
            <w:tcW w:w="155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34948E9F" w14:textId="77777777">
            <w:pPr>
              <w:spacing w:line="240" w:lineRule="auto"/>
              <w:jc w:val="center"/>
            </w:pPr>
            <w:r w:rsidRPr="00413D1D">
              <w:rPr>
                <w:rFonts w:eastAsia="Aptos"/>
                <w:color w:val="000000" w:themeColor="text1"/>
                <w:sz w:val="16"/>
                <w:szCs w:val="16"/>
              </w:rPr>
              <w:t>Cumple parcialmente</w:t>
            </w:r>
          </w:p>
        </w:tc>
      </w:tr>
      <w:tr w:rsidRPr="00413D1D" w:rsidR="007A4EB4" w:rsidTr="0ED4F347" w14:paraId="3484892D" w14:textId="77777777">
        <w:trPr>
          <w:trHeight w:val="510"/>
        </w:trPr>
        <w:tc>
          <w:tcPr>
            <w:tcW w:w="103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4D4E42C5" w14:textId="77777777">
            <w:pPr>
              <w:spacing w:line="240" w:lineRule="auto"/>
              <w:jc w:val="center"/>
            </w:pPr>
            <w:r w:rsidRPr="00413D1D">
              <w:rPr>
                <w:rFonts w:eastAsia="Aptos"/>
                <w:color w:val="000000" w:themeColor="text1"/>
                <w:sz w:val="16"/>
                <w:szCs w:val="16"/>
              </w:rPr>
              <w:t>6</w:t>
            </w:r>
          </w:p>
        </w:tc>
        <w:tc>
          <w:tcPr>
            <w:tcW w:w="679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4E644D0B" w14:textId="77777777">
            <w:pPr>
              <w:spacing w:line="240" w:lineRule="auto"/>
            </w:pPr>
            <w:r w:rsidRPr="00413D1D">
              <w:rPr>
                <w:rFonts w:eastAsia="Aptos"/>
                <w:color w:val="000000" w:themeColor="text1"/>
                <w:sz w:val="16"/>
                <w:szCs w:val="16"/>
              </w:rPr>
              <w:t>Consolidar información inicial y preparar informe preliminar del técnico para el Director de UAEGRD</w:t>
            </w:r>
          </w:p>
        </w:tc>
        <w:tc>
          <w:tcPr>
            <w:tcW w:w="99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78EC71CA" w14:textId="77777777">
            <w:pPr>
              <w:spacing w:line="240" w:lineRule="auto"/>
              <w:jc w:val="center"/>
            </w:pPr>
            <w:r w:rsidRPr="00413D1D">
              <w:rPr>
                <w:rFonts w:eastAsia="Aptos"/>
                <w:color w:val="000000" w:themeColor="text1"/>
                <w:sz w:val="16"/>
                <w:szCs w:val="16"/>
              </w:rPr>
              <w:t>1</w:t>
            </w:r>
          </w:p>
        </w:tc>
        <w:tc>
          <w:tcPr>
            <w:tcW w:w="155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21D64793" w14:textId="77777777">
            <w:pPr>
              <w:spacing w:line="240" w:lineRule="auto"/>
              <w:jc w:val="center"/>
            </w:pPr>
            <w:r w:rsidRPr="00413D1D">
              <w:rPr>
                <w:rFonts w:eastAsia="Aptos"/>
                <w:color w:val="000000" w:themeColor="text1"/>
                <w:sz w:val="16"/>
                <w:szCs w:val="16"/>
              </w:rPr>
              <w:t>Cumple parcialmente</w:t>
            </w:r>
          </w:p>
        </w:tc>
      </w:tr>
      <w:tr w:rsidRPr="00413D1D" w:rsidR="007A4EB4" w:rsidTr="0ED4F347" w14:paraId="5FDEA230" w14:textId="77777777">
        <w:trPr>
          <w:trHeight w:val="510"/>
        </w:trPr>
        <w:tc>
          <w:tcPr>
            <w:tcW w:w="103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5B8F54B8" w14:textId="77777777">
            <w:pPr>
              <w:spacing w:line="240" w:lineRule="auto"/>
              <w:jc w:val="center"/>
            </w:pPr>
            <w:r w:rsidRPr="00413D1D">
              <w:rPr>
                <w:rFonts w:eastAsia="Aptos"/>
                <w:color w:val="000000" w:themeColor="text1"/>
                <w:sz w:val="16"/>
                <w:szCs w:val="16"/>
              </w:rPr>
              <w:t>7</w:t>
            </w:r>
          </w:p>
        </w:tc>
        <w:tc>
          <w:tcPr>
            <w:tcW w:w="679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24B1FABA" w14:textId="77777777">
            <w:pPr>
              <w:spacing w:line="240" w:lineRule="auto"/>
            </w:pPr>
            <w:r w:rsidRPr="00413D1D">
              <w:rPr>
                <w:rFonts w:eastAsia="Aptos"/>
                <w:color w:val="000000" w:themeColor="text1"/>
                <w:sz w:val="16"/>
                <w:szCs w:val="16"/>
              </w:rPr>
              <w:t>Revisar, verificar y presentar informe al Director, determinar necesidad de desplazamiento al sitio</w:t>
            </w:r>
          </w:p>
        </w:tc>
        <w:tc>
          <w:tcPr>
            <w:tcW w:w="99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5AEC69EA" w14:textId="77777777">
            <w:pPr>
              <w:spacing w:line="240" w:lineRule="auto"/>
              <w:jc w:val="center"/>
            </w:pPr>
            <w:r w:rsidRPr="00413D1D">
              <w:rPr>
                <w:rFonts w:eastAsia="Aptos"/>
                <w:color w:val="000000" w:themeColor="text1"/>
                <w:sz w:val="16"/>
                <w:szCs w:val="16"/>
              </w:rPr>
              <w:t>0</w:t>
            </w:r>
          </w:p>
        </w:tc>
        <w:tc>
          <w:tcPr>
            <w:tcW w:w="155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3AA826A0" w14:textId="77777777">
            <w:pPr>
              <w:spacing w:line="240" w:lineRule="auto"/>
              <w:jc w:val="center"/>
            </w:pPr>
            <w:r w:rsidRPr="00413D1D">
              <w:rPr>
                <w:rFonts w:eastAsia="Aptos"/>
                <w:color w:val="000000" w:themeColor="text1"/>
                <w:sz w:val="16"/>
                <w:szCs w:val="16"/>
              </w:rPr>
              <w:t>No cumple</w:t>
            </w:r>
          </w:p>
        </w:tc>
      </w:tr>
      <w:tr w:rsidRPr="00413D1D" w:rsidR="007A4EB4" w:rsidTr="0ED4F347" w14:paraId="4380F343" w14:textId="77777777">
        <w:trPr>
          <w:trHeight w:val="255"/>
        </w:trPr>
        <w:tc>
          <w:tcPr>
            <w:tcW w:w="103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7B00F203" w14:textId="77777777">
            <w:pPr>
              <w:spacing w:line="240" w:lineRule="auto"/>
              <w:jc w:val="center"/>
            </w:pPr>
            <w:r w:rsidRPr="00413D1D">
              <w:rPr>
                <w:rFonts w:eastAsia="Aptos"/>
                <w:color w:val="000000" w:themeColor="text1"/>
                <w:sz w:val="16"/>
                <w:szCs w:val="16"/>
              </w:rPr>
              <w:t>8 y 9</w:t>
            </w:r>
          </w:p>
        </w:tc>
        <w:tc>
          <w:tcPr>
            <w:tcW w:w="679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6E51507A" w14:textId="77777777">
            <w:pPr>
              <w:spacing w:line="240" w:lineRule="auto"/>
            </w:pPr>
            <w:r w:rsidRPr="00413D1D">
              <w:rPr>
                <w:rFonts w:eastAsia="Aptos"/>
                <w:color w:val="000000" w:themeColor="text1"/>
                <w:sz w:val="16"/>
                <w:szCs w:val="16"/>
              </w:rPr>
              <w:t>Solicitar comisión de servicio (si aplica desplazamiento)</w:t>
            </w:r>
          </w:p>
        </w:tc>
        <w:tc>
          <w:tcPr>
            <w:tcW w:w="99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40894E08" w14:textId="77777777">
            <w:pPr>
              <w:spacing w:line="240" w:lineRule="auto"/>
              <w:jc w:val="center"/>
            </w:pPr>
            <w:r w:rsidRPr="00413D1D">
              <w:rPr>
                <w:rFonts w:eastAsia="Aptos"/>
                <w:color w:val="000000" w:themeColor="text1"/>
                <w:sz w:val="16"/>
                <w:szCs w:val="16"/>
              </w:rPr>
              <w:t>2</w:t>
            </w:r>
          </w:p>
        </w:tc>
        <w:tc>
          <w:tcPr>
            <w:tcW w:w="155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6E837088" w14:textId="77777777">
            <w:pPr>
              <w:spacing w:line="240" w:lineRule="auto"/>
              <w:jc w:val="center"/>
            </w:pPr>
            <w:r w:rsidRPr="00413D1D">
              <w:rPr>
                <w:rFonts w:eastAsia="Aptos"/>
                <w:color w:val="000000" w:themeColor="text1"/>
                <w:sz w:val="16"/>
                <w:szCs w:val="16"/>
              </w:rPr>
              <w:t>Cumple parcialmente</w:t>
            </w:r>
          </w:p>
        </w:tc>
      </w:tr>
      <w:tr w:rsidRPr="00413D1D" w:rsidR="007A4EB4" w:rsidTr="0ED4F347" w14:paraId="3C49A80E" w14:textId="77777777">
        <w:trPr>
          <w:trHeight w:val="255"/>
        </w:trPr>
        <w:tc>
          <w:tcPr>
            <w:tcW w:w="103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450133DF" w14:textId="77777777">
            <w:pPr>
              <w:spacing w:line="240" w:lineRule="auto"/>
              <w:jc w:val="center"/>
            </w:pPr>
            <w:r w:rsidRPr="00413D1D">
              <w:rPr>
                <w:rFonts w:eastAsia="Aptos"/>
                <w:color w:val="000000" w:themeColor="text1"/>
                <w:sz w:val="16"/>
                <w:szCs w:val="16"/>
              </w:rPr>
              <w:t>10</w:t>
            </w:r>
          </w:p>
        </w:tc>
        <w:tc>
          <w:tcPr>
            <w:tcW w:w="679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5A2FC661" w14:textId="77777777">
            <w:pPr>
              <w:spacing w:line="240" w:lineRule="auto"/>
            </w:pPr>
            <w:r w:rsidRPr="00413D1D">
              <w:rPr>
                <w:rFonts w:eastAsia="Aptos"/>
                <w:color w:val="000000" w:themeColor="text1"/>
                <w:sz w:val="16"/>
                <w:szCs w:val="16"/>
              </w:rPr>
              <w:t>Realiza el monitoreo y seguimiento al evento</w:t>
            </w:r>
          </w:p>
        </w:tc>
        <w:tc>
          <w:tcPr>
            <w:tcW w:w="99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75DA654E" w14:textId="77777777">
            <w:pPr>
              <w:spacing w:line="240" w:lineRule="auto"/>
              <w:jc w:val="center"/>
            </w:pPr>
            <w:r w:rsidRPr="00413D1D">
              <w:rPr>
                <w:rFonts w:eastAsia="Aptos"/>
                <w:color w:val="000000" w:themeColor="text1"/>
                <w:sz w:val="16"/>
                <w:szCs w:val="16"/>
              </w:rPr>
              <w:t>0</w:t>
            </w:r>
          </w:p>
        </w:tc>
        <w:tc>
          <w:tcPr>
            <w:tcW w:w="155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566D5B05" w14:textId="77777777">
            <w:pPr>
              <w:spacing w:line="240" w:lineRule="auto"/>
              <w:jc w:val="center"/>
            </w:pPr>
            <w:r w:rsidRPr="00413D1D">
              <w:rPr>
                <w:rFonts w:eastAsia="Aptos"/>
                <w:color w:val="000000" w:themeColor="text1"/>
                <w:sz w:val="16"/>
                <w:szCs w:val="16"/>
              </w:rPr>
              <w:t>No cumple</w:t>
            </w:r>
          </w:p>
        </w:tc>
      </w:tr>
      <w:tr w:rsidRPr="00413D1D" w:rsidR="007A4EB4" w:rsidTr="0ED4F347" w14:paraId="3AACCB2D" w14:textId="77777777">
        <w:trPr>
          <w:trHeight w:val="255"/>
        </w:trPr>
        <w:tc>
          <w:tcPr>
            <w:tcW w:w="103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70C107BC" w14:textId="77777777">
            <w:pPr>
              <w:spacing w:line="240" w:lineRule="auto"/>
              <w:jc w:val="center"/>
            </w:pPr>
            <w:r w:rsidRPr="00413D1D">
              <w:rPr>
                <w:rFonts w:eastAsia="Aptos"/>
                <w:color w:val="000000" w:themeColor="text1"/>
                <w:sz w:val="16"/>
                <w:szCs w:val="16"/>
              </w:rPr>
              <w:t>11</w:t>
            </w:r>
          </w:p>
        </w:tc>
        <w:tc>
          <w:tcPr>
            <w:tcW w:w="679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3852B1A8" w14:textId="77777777">
            <w:pPr>
              <w:spacing w:line="240" w:lineRule="auto"/>
            </w:pPr>
            <w:r w:rsidRPr="00413D1D">
              <w:rPr>
                <w:rFonts w:eastAsia="Aptos"/>
                <w:color w:val="000000" w:themeColor="text1"/>
                <w:sz w:val="16"/>
                <w:szCs w:val="16"/>
              </w:rPr>
              <w:t>Preparar informe final</w:t>
            </w:r>
          </w:p>
        </w:tc>
        <w:tc>
          <w:tcPr>
            <w:tcW w:w="99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57764555" w14:textId="77777777">
            <w:pPr>
              <w:spacing w:line="240" w:lineRule="auto"/>
              <w:jc w:val="center"/>
            </w:pPr>
            <w:r w:rsidRPr="00413D1D">
              <w:rPr>
                <w:rFonts w:eastAsia="Aptos"/>
                <w:color w:val="000000" w:themeColor="text1"/>
                <w:sz w:val="16"/>
                <w:szCs w:val="16"/>
              </w:rPr>
              <w:t>2</w:t>
            </w:r>
          </w:p>
        </w:tc>
        <w:tc>
          <w:tcPr>
            <w:tcW w:w="155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6F4EBCC5" w14:textId="77777777">
            <w:pPr>
              <w:spacing w:line="240" w:lineRule="auto"/>
              <w:jc w:val="center"/>
            </w:pPr>
            <w:r w:rsidRPr="00413D1D">
              <w:rPr>
                <w:rFonts w:eastAsia="Aptos"/>
                <w:color w:val="000000" w:themeColor="text1"/>
                <w:sz w:val="16"/>
                <w:szCs w:val="16"/>
              </w:rPr>
              <w:t>Cumple</w:t>
            </w:r>
          </w:p>
        </w:tc>
      </w:tr>
      <w:tr w:rsidRPr="00413D1D" w:rsidR="007A4EB4" w:rsidTr="0ED4F347" w14:paraId="55C98BEE" w14:textId="77777777">
        <w:trPr>
          <w:trHeight w:val="255"/>
        </w:trPr>
        <w:tc>
          <w:tcPr>
            <w:tcW w:w="103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11FB4FB2" w14:textId="77777777">
            <w:pPr>
              <w:spacing w:line="240" w:lineRule="auto"/>
              <w:jc w:val="center"/>
            </w:pPr>
            <w:r w:rsidRPr="00413D1D">
              <w:rPr>
                <w:rFonts w:eastAsia="Aptos"/>
                <w:color w:val="000000" w:themeColor="text1"/>
                <w:sz w:val="16"/>
                <w:szCs w:val="16"/>
              </w:rPr>
              <w:t>12</w:t>
            </w:r>
          </w:p>
        </w:tc>
        <w:tc>
          <w:tcPr>
            <w:tcW w:w="679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712D2B0A" w14:textId="77777777">
            <w:pPr>
              <w:spacing w:line="240" w:lineRule="auto"/>
            </w:pPr>
            <w:r w:rsidRPr="00413D1D">
              <w:rPr>
                <w:rFonts w:eastAsia="Aptos"/>
                <w:color w:val="000000" w:themeColor="text1"/>
                <w:sz w:val="16"/>
                <w:szCs w:val="16"/>
              </w:rPr>
              <w:t>Registrar información en base de datos</w:t>
            </w:r>
          </w:p>
        </w:tc>
        <w:tc>
          <w:tcPr>
            <w:tcW w:w="99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6CD9147E" w14:textId="77777777">
            <w:pPr>
              <w:spacing w:line="240" w:lineRule="auto"/>
              <w:jc w:val="center"/>
            </w:pPr>
            <w:r w:rsidRPr="00413D1D">
              <w:rPr>
                <w:rFonts w:eastAsia="Aptos"/>
                <w:color w:val="000000" w:themeColor="text1"/>
                <w:sz w:val="16"/>
                <w:szCs w:val="16"/>
              </w:rPr>
              <w:t>0</w:t>
            </w:r>
          </w:p>
        </w:tc>
        <w:tc>
          <w:tcPr>
            <w:tcW w:w="155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5EF41B56" w14:textId="77777777">
            <w:pPr>
              <w:spacing w:line="240" w:lineRule="auto"/>
              <w:jc w:val="center"/>
            </w:pPr>
            <w:r w:rsidRPr="00413D1D">
              <w:rPr>
                <w:rFonts w:eastAsia="Aptos"/>
                <w:color w:val="000000" w:themeColor="text1"/>
                <w:sz w:val="16"/>
                <w:szCs w:val="16"/>
              </w:rPr>
              <w:t>No cumple</w:t>
            </w:r>
          </w:p>
        </w:tc>
      </w:tr>
      <w:tr w:rsidRPr="00413D1D" w:rsidR="007A4EB4" w:rsidTr="0ED4F347" w14:paraId="464B8AA2" w14:textId="77777777">
        <w:trPr>
          <w:trHeight w:val="255"/>
        </w:trPr>
        <w:tc>
          <w:tcPr>
            <w:tcW w:w="103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300A1390" w14:textId="77777777">
            <w:pPr>
              <w:spacing w:line="240" w:lineRule="auto"/>
              <w:jc w:val="center"/>
            </w:pPr>
            <w:r w:rsidRPr="00413D1D">
              <w:rPr>
                <w:rFonts w:eastAsia="Aptos"/>
                <w:color w:val="000000" w:themeColor="text1"/>
                <w:sz w:val="16"/>
                <w:szCs w:val="16"/>
              </w:rPr>
              <w:t>13</w:t>
            </w:r>
          </w:p>
        </w:tc>
        <w:tc>
          <w:tcPr>
            <w:tcW w:w="679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0D9D3696" w14:textId="77777777">
            <w:pPr>
              <w:spacing w:line="240" w:lineRule="auto"/>
            </w:pPr>
            <w:r w:rsidRPr="00413D1D">
              <w:rPr>
                <w:rFonts w:eastAsia="Aptos"/>
                <w:color w:val="000000" w:themeColor="text1"/>
                <w:sz w:val="16"/>
                <w:szCs w:val="16"/>
              </w:rPr>
              <w:t>Solicitar censo de damnificados y verificarlo</w:t>
            </w:r>
          </w:p>
        </w:tc>
        <w:tc>
          <w:tcPr>
            <w:tcW w:w="99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1C3D137E" w:rsidRDefault="006E48B1" w14:paraId="6343BF9A" w14:textId="644DBB6D">
            <w:pPr>
              <w:spacing w:line="240" w:lineRule="auto"/>
              <w:jc w:val="center"/>
              <w:rPr>
                <w:rFonts w:eastAsia="Aptos"/>
                <w:color w:val="000000" w:themeColor="text1"/>
                <w:sz w:val="16"/>
                <w:szCs w:val="16"/>
              </w:rPr>
            </w:pPr>
            <w:r>
              <w:rPr>
                <w:rFonts w:eastAsia="Aptos"/>
                <w:color w:val="000000" w:themeColor="text1"/>
                <w:sz w:val="16"/>
                <w:szCs w:val="16"/>
              </w:rPr>
              <w:t>1</w:t>
            </w:r>
          </w:p>
        </w:tc>
        <w:tc>
          <w:tcPr>
            <w:tcW w:w="155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6E48B1" w14:paraId="391A701B" w14:textId="5E877385">
            <w:pPr>
              <w:spacing w:line="240" w:lineRule="auto"/>
              <w:jc w:val="center"/>
            </w:pPr>
            <w:r w:rsidRPr="00413D1D">
              <w:rPr>
                <w:rFonts w:eastAsia="Aptos"/>
                <w:color w:val="000000" w:themeColor="text1"/>
                <w:sz w:val="16"/>
                <w:szCs w:val="16"/>
              </w:rPr>
              <w:t>Cumple parcialmente</w:t>
            </w:r>
          </w:p>
        </w:tc>
      </w:tr>
      <w:tr w:rsidRPr="00413D1D" w:rsidR="007A4EB4" w:rsidTr="0ED4F347" w14:paraId="3D56FC70" w14:textId="77777777">
        <w:trPr>
          <w:trHeight w:val="255"/>
        </w:trPr>
        <w:tc>
          <w:tcPr>
            <w:tcW w:w="103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5B1245FC" w14:textId="77777777">
            <w:pPr>
              <w:spacing w:line="240" w:lineRule="auto"/>
              <w:jc w:val="center"/>
            </w:pPr>
            <w:r w:rsidRPr="00413D1D">
              <w:rPr>
                <w:rFonts w:eastAsia="Aptos"/>
                <w:color w:val="000000" w:themeColor="text1"/>
                <w:sz w:val="16"/>
                <w:szCs w:val="16"/>
              </w:rPr>
              <w:t>14</w:t>
            </w:r>
          </w:p>
        </w:tc>
        <w:tc>
          <w:tcPr>
            <w:tcW w:w="679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6713CC48" w14:textId="77777777">
            <w:pPr>
              <w:spacing w:line="240" w:lineRule="auto"/>
            </w:pPr>
            <w:r w:rsidRPr="00413D1D">
              <w:rPr>
                <w:rFonts w:eastAsia="Aptos"/>
                <w:color w:val="333333"/>
                <w:sz w:val="16"/>
                <w:szCs w:val="16"/>
              </w:rPr>
              <w:t>Elaborar acta de entrega ayudas y coordina la entrega</w:t>
            </w:r>
          </w:p>
        </w:tc>
        <w:tc>
          <w:tcPr>
            <w:tcW w:w="99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7D90CA08" w14:textId="77777777">
            <w:pPr>
              <w:spacing w:line="240" w:lineRule="auto"/>
              <w:jc w:val="center"/>
            </w:pPr>
            <w:r w:rsidRPr="00413D1D">
              <w:rPr>
                <w:rFonts w:eastAsia="Aptos"/>
                <w:color w:val="000000" w:themeColor="text1"/>
                <w:sz w:val="16"/>
                <w:szCs w:val="16"/>
              </w:rPr>
              <w:t>1</w:t>
            </w:r>
          </w:p>
        </w:tc>
        <w:tc>
          <w:tcPr>
            <w:tcW w:w="155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36A399FB" w14:textId="77777777">
            <w:pPr>
              <w:spacing w:line="240" w:lineRule="auto"/>
              <w:jc w:val="center"/>
            </w:pPr>
            <w:r w:rsidRPr="00413D1D">
              <w:rPr>
                <w:rFonts w:eastAsia="Aptos"/>
                <w:color w:val="000000" w:themeColor="text1"/>
                <w:sz w:val="16"/>
                <w:szCs w:val="16"/>
              </w:rPr>
              <w:t>Cumple parcialmente</w:t>
            </w:r>
          </w:p>
        </w:tc>
      </w:tr>
      <w:tr w:rsidRPr="00413D1D" w:rsidR="007A4EB4" w:rsidTr="0ED4F347" w14:paraId="72C42204" w14:textId="77777777">
        <w:trPr>
          <w:trHeight w:val="255"/>
        </w:trPr>
        <w:tc>
          <w:tcPr>
            <w:tcW w:w="103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4D1F2EC0" w14:textId="77777777">
            <w:pPr>
              <w:spacing w:line="240" w:lineRule="auto"/>
              <w:jc w:val="center"/>
            </w:pPr>
            <w:r w:rsidRPr="00413D1D">
              <w:rPr>
                <w:rFonts w:eastAsia="Aptos"/>
                <w:color w:val="000000" w:themeColor="text1"/>
                <w:sz w:val="16"/>
                <w:szCs w:val="16"/>
              </w:rPr>
              <w:t>15</w:t>
            </w:r>
          </w:p>
        </w:tc>
        <w:tc>
          <w:tcPr>
            <w:tcW w:w="679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40516254" w14:textId="77777777">
            <w:pPr>
              <w:spacing w:line="240" w:lineRule="auto"/>
            </w:pPr>
            <w:r w:rsidRPr="00413D1D">
              <w:rPr>
                <w:rFonts w:eastAsia="Aptos"/>
                <w:color w:val="333333"/>
                <w:sz w:val="16"/>
                <w:szCs w:val="16"/>
              </w:rPr>
              <w:t>Entregar ayudas y legalizar la entrega</w:t>
            </w:r>
          </w:p>
        </w:tc>
        <w:tc>
          <w:tcPr>
            <w:tcW w:w="99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0D35FD8C" w14:textId="77777777">
            <w:pPr>
              <w:spacing w:line="240" w:lineRule="auto"/>
              <w:jc w:val="center"/>
            </w:pPr>
            <w:r w:rsidRPr="00413D1D">
              <w:rPr>
                <w:rFonts w:eastAsia="Aptos"/>
                <w:color w:val="000000" w:themeColor="text1"/>
                <w:sz w:val="16"/>
                <w:szCs w:val="16"/>
              </w:rPr>
              <w:t>1</w:t>
            </w:r>
          </w:p>
        </w:tc>
        <w:tc>
          <w:tcPr>
            <w:tcW w:w="155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6B4C8CD8" w14:textId="77777777">
            <w:pPr>
              <w:spacing w:line="240" w:lineRule="auto"/>
              <w:jc w:val="center"/>
            </w:pPr>
            <w:r w:rsidRPr="00413D1D">
              <w:rPr>
                <w:rFonts w:eastAsia="Aptos"/>
                <w:color w:val="000000" w:themeColor="text1"/>
                <w:sz w:val="16"/>
                <w:szCs w:val="16"/>
              </w:rPr>
              <w:t>Cumple parcialmente</w:t>
            </w:r>
          </w:p>
        </w:tc>
      </w:tr>
      <w:tr w:rsidRPr="00413D1D" w:rsidR="007A4EB4" w:rsidTr="0ED4F347" w14:paraId="4A269909" w14:textId="77777777">
        <w:trPr>
          <w:trHeight w:val="255"/>
        </w:trPr>
        <w:tc>
          <w:tcPr>
            <w:tcW w:w="103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6959F4DA" w14:textId="77777777">
            <w:pPr>
              <w:spacing w:line="240" w:lineRule="auto"/>
              <w:jc w:val="center"/>
            </w:pPr>
            <w:r w:rsidRPr="00413D1D">
              <w:rPr>
                <w:rFonts w:eastAsia="Aptos"/>
                <w:color w:val="000000" w:themeColor="text1"/>
                <w:sz w:val="16"/>
                <w:szCs w:val="16"/>
              </w:rPr>
              <w:t>16</w:t>
            </w:r>
          </w:p>
        </w:tc>
        <w:tc>
          <w:tcPr>
            <w:tcW w:w="679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3B1343B6" w14:textId="77777777">
            <w:pPr>
              <w:spacing w:line="240" w:lineRule="auto"/>
            </w:pPr>
            <w:r w:rsidRPr="00413D1D">
              <w:rPr>
                <w:rFonts w:eastAsia="Aptos"/>
                <w:color w:val="333333"/>
                <w:sz w:val="16"/>
                <w:szCs w:val="16"/>
              </w:rPr>
              <w:t>Realizar y evaluar encuesta de percepción de la comunidad</w:t>
            </w:r>
          </w:p>
        </w:tc>
        <w:tc>
          <w:tcPr>
            <w:tcW w:w="99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6D1961E6" w14:textId="77777777">
            <w:pPr>
              <w:spacing w:line="240" w:lineRule="auto"/>
              <w:jc w:val="center"/>
            </w:pPr>
            <w:r w:rsidRPr="00413D1D">
              <w:rPr>
                <w:rFonts w:eastAsia="Aptos"/>
                <w:color w:val="000000" w:themeColor="text1"/>
                <w:sz w:val="16"/>
                <w:szCs w:val="16"/>
              </w:rPr>
              <w:t>2</w:t>
            </w:r>
          </w:p>
        </w:tc>
        <w:tc>
          <w:tcPr>
            <w:tcW w:w="155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01CDAB05" w14:textId="77777777">
            <w:pPr>
              <w:spacing w:line="240" w:lineRule="auto"/>
              <w:jc w:val="center"/>
            </w:pPr>
            <w:r w:rsidRPr="00413D1D">
              <w:rPr>
                <w:rFonts w:eastAsia="Aptos"/>
                <w:color w:val="000000" w:themeColor="text1"/>
                <w:sz w:val="16"/>
                <w:szCs w:val="16"/>
              </w:rPr>
              <w:t>Cumple</w:t>
            </w:r>
          </w:p>
        </w:tc>
      </w:tr>
      <w:tr w:rsidRPr="00413D1D" w:rsidR="007A4EB4" w:rsidTr="0ED4F347" w14:paraId="38F22C45" w14:textId="77777777">
        <w:trPr>
          <w:trHeight w:val="255"/>
        </w:trPr>
        <w:tc>
          <w:tcPr>
            <w:tcW w:w="103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45C9CD48" w14:textId="77777777">
            <w:pPr>
              <w:spacing w:line="240" w:lineRule="auto"/>
              <w:jc w:val="center"/>
            </w:pPr>
            <w:r w:rsidRPr="00413D1D">
              <w:rPr>
                <w:rFonts w:eastAsia="Aptos"/>
                <w:color w:val="000000" w:themeColor="text1"/>
                <w:sz w:val="16"/>
                <w:szCs w:val="16"/>
              </w:rPr>
              <w:t>17</w:t>
            </w:r>
          </w:p>
        </w:tc>
        <w:tc>
          <w:tcPr>
            <w:tcW w:w="679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69D519EC" w14:textId="77777777">
            <w:pPr>
              <w:spacing w:line="240" w:lineRule="auto"/>
            </w:pPr>
            <w:r w:rsidRPr="00413D1D">
              <w:rPr>
                <w:rFonts w:eastAsia="Aptos"/>
                <w:color w:val="333333"/>
                <w:sz w:val="16"/>
                <w:szCs w:val="16"/>
              </w:rPr>
              <w:t>Entregar informes o rendición de cuentas.</w:t>
            </w:r>
          </w:p>
        </w:tc>
        <w:tc>
          <w:tcPr>
            <w:tcW w:w="99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2F50599D" w14:textId="77777777">
            <w:pPr>
              <w:spacing w:line="240" w:lineRule="auto"/>
              <w:jc w:val="center"/>
            </w:pPr>
            <w:r w:rsidRPr="00413D1D">
              <w:rPr>
                <w:rFonts w:eastAsia="Aptos"/>
                <w:color w:val="000000" w:themeColor="text1"/>
                <w:sz w:val="16"/>
                <w:szCs w:val="16"/>
              </w:rPr>
              <w:t>2</w:t>
            </w:r>
          </w:p>
        </w:tc>
        <w:tc>
          <w:tcPr>
            <w:tcW w:w="155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388A9E92" w14:textId="77777777">
            <w:pPr>
              <w:spacing w:line="240" w:lineRule="auto"/>
              <w:jc w:val="center"/>
            </w:pPr>
            <w:r w:rsidRPr="00413D1D">
              <w:rPr>
                <w:rFonts w:eastAsia="Aptos"/>
                <w:color w:val="000000" w:themeColor="text1"/>
                <w:sz w:val="16"/>
                <w:szCs w:val="16"/>
              </w:rPr>
              <w:t>Cumple</w:t>
            </w:r>
          </w:p>
        </w:tc>
      </w:tr>
      <w:tr w:rsidRPr="00413D1D" w:rsidR="007A4EB4" w:rsidTr="0ED4F347" w14:paraId="5C4F5B15" w14:textId="77777777">
        <w:trPr>
          <w:trHeight w:val="255"/>
        </w:trPr>
        <w:tc>
          <w:tcPr>
            <w:tcW w:w="1039" w:type="dxa"/>
            <w:tcMar>
              <w:left w:w="70" w:type="dxa"/>
              <w:right w:w="70" w:type="dxa"/>
            </w:tcMar>
            <w:vAlign w:val="center"/>
          </w:tcPr>
          <w:p w:rsidRPr="00413D1D" w:rsidR="007A4EB4" w:rsidP="006E48B1" w:rsidRDefault="007A4EB4" w14:paraId="3D9915C1" w14:textId="77777777">
            <w:pPr>
              <w:spacing w:line="240" w:lineRule="auto"/>
            </w:pPr>
          </w:p>
        </w:tc>
        <w:tc>
          <w:tcPr>
            <w:tcW w:w="679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34E459EA" w14:textId="77777777">
            <w:pPr>
              <w:spacing w:line="240" w:lineRule="auto"/>
              <w:jc w:val="center"/>
            </w:pPr>
            <w:r w:rsidRPr="00413D1D">
              <w:rPr>
                <w:rFonts w:eastAsia="Aptos"/>
                <w:b/>
                <w:bCs/>
                <w:color w:val="000000" w:themeColor="text1"/>
                <w:sz w:val="16"/>
                <w:szCs w:val="16"/>
              </w:rPr>
              <w:t xml:space="preserve">TOTAL </w:t>
            </w:r>
          </w:p>
        </w:tc>
        <w:tc>
          <w:tcPr>
            <w:tcW w:w="993"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Pr="00413D1D" w:rsidR="007A4EB4" w:rsidP="006E48B1" w:rsidRDefault="007A4EB4" w14:paraId="375A46D1" w14:textId="54A4FA1F">
            <w:pPr>
              <w:spacing w:line="240" w:lineRule="auto"/>
              <w:jc w:val="center"/>
            </w:pPr>
            <w:r w:rsidRPr="1C3D137E">
              <w:rPr>
                <w:rFonts w:eastAsia="Aptos"/>
                <w:b/>
                <w:bCs/>
                <w:color w:val="000000" w:themeColor="text1"/>
                <w:sz w:val="16"/>
                <w:szCs w:val="16"/>
              </w:rPr>
              <w:t>1</w:t>
            </w:r>
            <w:r w:rsidR="004E13C4">
              <w:rPr>
                <w:rFonts w:eastAsia="Aptos"/>
                <w:b/>
                <w:bCs/>
                <w:color w:val="000000" w:themeColor="text1"/>
                <w:sz w:val="16"/>
                <w:szCs w:val="16"/>
              </w:rPr>
              <w:t>8</w:t>
            </w:r>
          </w:p>
        </w:tc>
        <w:tc>
          <w:tcPr>
            <w:tcW w:w="1559"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Pr="00413D1D" w:rsidR="007A4EB4" w:rsidP="006E48B1" w:rsidRDefault="007A4EB4" w14:paraId="1D5B8D7B" w14:textId="643041A5">
            <w:pPr>
              <w:spacing w:line="240" w:lineRule="auto"/>
              <w:jc w:val="center"/>
            </w:pPr>
            <w:r w:rsidRPr="1C3D137E">
              <w:rPr>
                <w:rFonts w:eastAsia="Aptos"/>
                <w:b/>
                <w:bCs/>
                <w:color w:val="000000" w:themeColor="text1"/>
                <w:sz w:val="16"/>
                <w:szCs w:val="16"/>
              </w:rPr>
              <w:t>5</w:t>
            </w:r>
            <w:r w:rsidR="004E13C4">
              <w:rPr>
                <w:rFonts w:eastAsia="Aptos"/>
                <w:b/>
                <w:bCs/>
                <w:color w:val="000000" w:themeColor="text1"/>
                <w:sz w:val="16"/>
                <w:szCs w:val="16"/>
              </w:rPr>
              <w:t>3</w:t>
            </w:r>
            <w:r w:rsidRPr="1C3D137E">
              <w:rPr>
                <w:rFonts w:eastAsia="Aptos"/>
                <w:b/>
                <w:bCs/>
                <w:color w:val="000000" w:themeColor="text1"/>
                <w:sz w:val="16"/>
                <w:szCs w:val="16"/>
              </w:rPr>
              <w:t>%</w:t>
            </w:r>
          </w:p>
        </w:tc>
      </w:tr>
    </w:tbl>
    <w:p w:rsidRPr="00413D1D" w:rsidR="007A4EB4" w:rsidP="0ED4F347" w:rsidRDefault="007A4EB4" w14:paraId="079DA7A6" w14:textId="1C04B077">
      <w:pPr>
        <w:pStyle w:val="Ttulo2"/>
        <w:numPr>
          <w:ilvl w:val="0"/>
          <w:numId w:val="0"/>
        </w:numPr>
        <w:spacing w:line="240" w:lineRule="auto"/>
        <w:ind w:left="0"/>
        <w:jc w:val="center"/>
        <w:rPr>
          <w:b w:val="0"/>
          <w:bCs w:val="0"/>
          <w:sz w:val="16"/>
          <w:szCs w:val="16"/>
          <w:lang w:val="es-ES"/>
        </w:rPr>
      </w:pPr>
      <w:r w:rsidRPr="0ED4F347" w:rsidR="30667F53">
        <w:rPr>
          <w:b w:val="0"/>
          <w:bCs w:val="0"/>
          <w:sz w:val="16"/>
          <w:szCs w:val="16"/>
          <w:lang w:val="es-ES"/>
        </w:rPr>
        <w:t>Fuente: Elaboración propia</w:t>
      </w:r>
    </w:p>
    <w:p w:rsidRPr="00413D1D" w:rsidR="007A4EB4" w:rsidP="0ED4F347" w:rsidRDefault="007A4EB4" w14:paraId="6B6625B2" w14:textId="27FE227D">
      <w:pPr>
        <w:shd w:val="clear" w:color="auto" w:fill="FFFFFF" w:themeFill="background1"/>
        <w:spacing w:line="240" w:lineRule="auto"/>
        <w:rPr>
          <w:rFonts w:eastAsia="" w:eastAsiaTheme="minorEastAsia"/>
          <w:color w:val="242424"/>
        </w:rPr>
      </w:pPr>
    </w:p>
    <w:p w:rsidRPr="00212457" w:rsidR="007A4EB4" w:rsidP="007A4EB4" w:rsidRDefault="007A4EB4" w14:paraId="48C0FB2D" w14:textId="77777777">
      <w:pPr>
        <w:spacing w:line="240" w:lineRule="auto"/>
        <w:rPr>
          <w:rFonts w:eastAsia="Aptos"/>
          <w:sz w:val="24"/>
          <w:szCs w:val="24"/>
        </w:rPr>
      </w:pPr>
      <w:r w:rsidRPr="00212457">
        <w:rPr>
          <w:rFonts w:eastAsia="Aptos"/>
          <w:sz w:val="24"/>
          <w:szCs w:val="24"/>
        </w:rPr>
        <w:t xml:space="preserve">El análisis del procedimiento de atención de emergencias formato M-FT-PR-008 muestra que, frente al sismo del 8 de junio de 2025 en los municipios de Medina y </w:t>
      </w:r>
      <w:proofErr w:type="spellStart"/>
      <w:r w:rsidRPr="00212457">
        <w:rPr>
          <w:rFonts w:eastAsia="Aptos"/>
          <w:sz w:val="24"/>
          <w:szCs w:val="24"/>
        </w:rPr>
        <w:t>Paratebueno</w:t>
      </w:r>
      <w:proofErr w:type="spellEnd"/>
      <w:r w:rsidRPr="00212457">
        <w:rPr>
          <w:rFonts w:eastAsia="Aptos"/>
          <w:sz w:val="24"/>
          <w:szCs w:val="24"/>
        </w:rPr>
        <w:t xml:space="preserve">, la UAEGRD cuenta con un esquema de actuación establecido, pero su aplicación en la práctica fue solo parcialmente efectiva. </w:t>
      </w:r>
    </w:p>
    <w:p w:rsidRPr="00212457" w:rsidR="005F73DD" w:rsidP="007A4EB4" w:rsidRDefault="005F73DD" w14:paraId="0C08F22D" w14:textId="77777777">
      <w:pPr>
        <w:spacing w:line="240" w:lineRule="auto"/>
        <w:rPr>
          <w:rFonts w:eastAsia="Aptos"/>
          <w:sz w:val="24"/>
          <w:szCs w:val="24"/>
        </w:rPr>
      </w:pPr>
    </w:p>
    <w:p w:rsidRPr="00212457" w:rsidR="007A4EB4" w:rsidP="007A4EB4" w:rsidRDefault="007A4EB4" w14:paraId="2E70BB33" w14:textId="355816E0">
      <w:pPr>
        <w:spacing w:line="240" w:lineRule="auto"/>
        <w:rPr>
          <w:rFonts w:eastAsia="Aptos"/>
          <w:sz w:val="24"/>
          <w:szCs w:val="24"/>
        </w:rPr>
      </w:pPr>
      <w:r w:rsidRPr="1C3D137E">
        <w:rPr>
          <w:rFonts w:eastAsia="Aptos"/>
          <w:sz w:val="24"/>
          <w:szCs w:val="24"/>
        </w:rPr>
        <w:t xml:space="preserve">En las etapas iniciales se evidencian resultados favorables: la emergencia fue reportada y registrada de manera oportuna, la información se consolidó en plantillas de Excel y posteriormente se cargó en el Sistema de Alertas y Gestión de Atención (SAGA), además de comunicarse formalmente a la Dirección de la UAEGRD. También se realizaron evaluaciones de daños y necesidades (EDAN) y se concretó la entrega de ayudas humanitarias a cientos de familias afectadas, así como la aplicación de encuestas de percepción a la comunidad para conocer su nivel de satisfacción con la atención recibida. </w:t>
      </w:r>
    </w:p>
    <w:p w:rsidRPr="00212457" w:rsidR="0053019C" w:rsidP="007A4EB4" w:rsidRDefault="0053019C" w14:paraId="537928CE" w14:textId="77777777">
      <w:pPr>
        <w:spacing w:line="240" w:lineRule="auto"/>
        <w:rPr>
          <w:rFonts w:eastAsia="Aptos"/>
          <w:sz w:val="24"/>
          <w:szCs w:val="24"/>
        </w:rPr>
      </w:pPr>
    </w:p>
    <w:p w:rsidRPr="004042B6" w:rsidR="007A4EB4" w:rsidP="1C3D137E" w:rsidRDefault="007A4EB4" w14:paraId="35CA62CD" w14:textId="66C29FCB">
      <w:pPr>
        <w:spacing w:line="240" w:lineRule="auto"/>
        <w:rPr>
          <w:rFonts w:eastAsia="Aptos"/>
          <w:sz w:val="24"/>
          <w:szCs w:val="24"/>
        </w:rPr>
      </w:pPr>
      <w:r w:rsidRPr="004042B6">
        <w:rPr>
          <w:rFonts w:eastAsia="Aptos"/>
          <w:sz w:val="24"/>
          <w:szCs w:val="24"/>
        </w:rPr>
        <w:t xml:space="preserve">Sin embargo, al revisar en conjunto todas las actividades definidas en el procedimiento, se identifican debilidades relevantes: no existen registros continuos de seguimiento (como cuadros de control actualizados), faltan informes técnicos dirigidos al Director que consoliden las asistencias y decisiones tomadas, no hay evidencia clara y diferenciada de la actuación del Comité Departamental de Manejo, el monitoreo escrito de la evolución del evento es limitado y se detectan inconsistencias entre los censos de damnificados y las planillas de entrega de ayudas. En varios casos predominan los soportes administrativos (comisiones, certificados de permanencia) sobre los productos técnicos que el procedimiento establece como resultado esperado. </w:t>
      </w:r>
    </w:p>
    <w:p w:rsidRPr="00212457" w:rsidR="0053019C" w:rsidP="007A4EB4" w:rsidRDefault="0053019C" w14:paraId="4D1AB1D8" w14:textId="77777777">
      <w:pPr>
        <w:spacing w:line="240" w:lineRule="auto"/>
        <w:rPr>
          <w:rFonts w:eastAsia="Aptos"/>
          <w:sz w:val="24"/>
          <w:szCs w:val="24"/>
        </w:rPr>
      </w:pPr>
    </w:p>
    <w:p w:rsidRPr="00212457" w:rsidR="007A4EB4" w:rsidP="007A4EB4" w:rsidRDefault="007A4EB4" w14:paraId="303D330E" w14:textId="2548F107">
      <w:pPr>
        <w:spacing w:line="240" w:lineRule="auto"/>
        <w:rPr>
          <w:rFonts w:eastAsia="Aptos"/>
          <w:sz w:val="24"/>
          <w:szCs w:val="24"/>
        </w:rPr>
      </w:pPr>
      <w:r w:rsidRPr="1C3D137E">
        <w:rPr>
          <w:rFonts w:eastAsia="Aptos"/>
          <w:sz w:val="24"/>
          <w:szCs w:val="24"/>
        </w:rPr>
        <w:t>En términos de resultados por actividad, se observa que las actividades 4, 5, 6, 8, 9,</w:t>
      </w:r>
      <w:r w:rsidR="0073485D">
        <w:rPr>
          <w:rFonts w:eastAsia="Aptos"/>
          <w:sz w:val="24"/>
          <w:szCs w:val="24"/>
        </w:rPr>
        <w:t>13,</w:t>
      </w:r>
      <w:r w:rsidRPr="1C3D137E">
        <w:rPr>
          <w:rFonts w:eastAsia="Aptos"/>
          <w:sz w:val="24"/>
          <w:szCs w:val="24"/>
        </w:rPr>
        <w:t xml:space="preserve"> 14 y 15 presentan un cumplimiento parcial, mientras que las actividades 7, 10 y 12 no cumplen con lo previsto en el procedimiento. </w:t>
      </w:r>
    </w:p>
    <w:p w:rsidRPr="00212457" w:rsidR="0053019C" w:rsidP="007A4EB4" w:rsidRDefault="0053019C" w14:paraId="011E5ADB" w14:textId="77777777">
      <w:pPr>
        <w:spacing w:line="240" w:lineRule="auto"/>
        <w:rPr>
          <w:rFonts w:eastAsia="Aptos"/>
          <w:sz w:val="24"/>
          <w:szCs w:val="24"/>
        </w:rPr>
      </w:pPr>
    </w:p>
    <w:p w:rsidR="1C3D137E" w:rsidP="1C3D137E" w:rsidRDefault="1C3D137E" w14:paraId="096E2090" w14:textId="2F6647CE">
      <w:pPr>
        <w:spacing w:after="160"/>
        <w:rPr>
          <w:rFonts w:eastAsia="Arial"/>
          <w:sz w:val="24"/>
          <w:szCs w:val="24"/>
          <w:lang w:val="es"/>
        </w:rPr>
      </w:pPr>
      <w:r w:rsidRPr="0ED4F347" w:rsidR="552E9C39">
        <w:rPr>
          <w:rFonts w:eastAsia="Arial"/>
          <w:sz w:val="24"/>
          <w:szCs w:val="24"/>
          <w:lang w:val="es"/>
        </w:rPr>
        <w:t xml:space="preserve">De acuerdo con el criterio definido para valorar el cumplimiento del procedimiento, el resultado </w:t>
      </w:r>
      <w:r w:rsidRPr="0ED4F347" w:rsidR="11C624BA">
        <w:rPr>
          <w:rFonts w:eastAsia="Arial"/>
          <w:sz w:val="24"/>
          <w:szCs w:val="24"/>
          <w:lang w:val="es"/>
        </w:rPr>
        <w:t>global obtenido</w:t>
      </w:r>
      <w:r w:rsidRPr="0ED4F347" w:rsidR="24D0CC29">
        <w:rPr>
          <w:rFonts w:eastAsia="Arial"/>
          <w:sz w:val="24"/>
          <w:szCs w:val="24"/>
          <w:lang w:val="es"/>
        </w:rPr>
        <w:t xml:space="preserve"> </w:t>
      </w:r>
      <w:r w:rsidRPr="0ED4F347" w:rsidR="11C624BA">
        <w:rPr>
          <w:rFonts w:eastAsia="Arial"/>
          <w:sz w:val="24"/>
          <w:szCs w:val="24"/>
          <w:lang w:val="es"/>
        </w:rPr>
        <w:t xml:space="preserve">es </w:t>
      </w:r>
      <w:r w:rsidRPr="0ED4F347" w:rsidR="37F118A0">
        <w:rPr>
          <w:rFonts w:eastAsia="Arial"/>
          <w:sz w:val="24"/>
          <w:szCs w:val="24"/>
          <w:lang w:val="es"/>
        </w:rPr>
        <w:t>del 5</w:t>
      </w:r>
      <w:r w:rsidRPr="0ED4F347" w:rsidR="7F6EF087">
        <w:rPr>
          <w:rFonts w:eastAsia="Arial"/>
          <w:sz w:val="24"/>
          <w:szCs w:val="24"/>
          <w:lang w:val="es"/>
        </w:rPr>
        <w:t>6</w:t>
      </w:r>
      <w:r w:rsidRPr="0ED4F347" w:rsidR="552E9C39">
        <w:rPr>
          <w:rFonts w:eastAsia="Arial"/>
          <w:sz w:val="24"/>
          <w:szCs w:val="24"/>
          <w:lang w:val="es"/>
        </w:rPr>
        <w:t>%, porcentaje que, conforme a la escala de calificación aplicada, ubica la ejecución del procedimiento de atención de emergencias en la categoría "No cumple".</w:t>
      </w:r>
    </w:p>
    <w:p w:rsidR="00212457" w:rsidP="0ED4F347" w:rsidRDefault="007A4EB4" w14:paraId="612D1505" w14:textId="5DF2D5DC">
      <w:pPr>
        <w:pStyle w:val="Ttulo2"/>
        <w:numPr>
          <w:ilvl w:val="0"/>
          <w:numId w:val="0"/>
        </w:numPr>
        <w:spacing w:after="160" w:line="240" w:lineRule="auto"/>
        <w:ind w:left="0"/>
        <w:rPr>
          <w:rFonts w:eastAsia="Aptos"/>
          <w:b w:val="0"/>
          <w:bCs w:val="0"/>
          <w:sz w:val="24"/>
          <w:szCs w:val="24"/>
          <w:lang w:val="es-ES"/>
        </w:rPr>
      </w:pPr>
      <w:r w:rsidRPr="0ED4F347" w:rsidR="7F17F6CC">
        <w:rPr>
          <w:sz w:val="24"/>
          <w:szCs w:val="24"/>
          <w:lang w:val="es-ES"/>
        </w:rPr>
        <w:t>4.2</w:t>
      </w:r>
      <w:r w:rsidRPr="0ED4F347" w:rsidR="7289503E">
        <w:rPr>
          <w:sz w:val="24"/>
          <w:szCs w:val="24"/>
          <w:lang w:val="es-ES"/>
        </w:rPr>
        <w:t xml:space="preserve">.1.2. </w:t>
      </w:r>
      <w:r w:rsidRPr="0ED4F347" w:rsidR="7F17F6CC">
        <w:rPr>
          <w:sz w:val="24"/>
          <w:szCs w:val="24"/>
          <w:lang w:val="es-ES"/>
        </w:rPr>
        <w:t xml:space="preserve">Resultados: </w:t>
      </w:r>
      <w:bookmarkStart w:name="_Toc227164180" w:id="58"/>
      <w:r w:rsidRPr="0ED4F347" w:rsidR="6AB5B21B">
        <w:rPr>
          <w:rFonts w:eastAsia="Aptos"/>
          <w:b w:val="0"/>
          <w:bCs w:val="0"/>
          <w:sz w:val="24"/>
          <w:szCs w:val="24"/>
          <w:lang w:val="es-ES"/>
        </w:rPr>
        <w:t>Procedimiento Plan de Acción Específico – PAE (M</w:t>
      </w:r>
      <w:r w:rsidRPr="0ED4F347" w:rsidR="6AB5B21B">
        <w:rPr>
          <w:rFonts w:ascii="Cambria Math" w:hAnsi="Cambria Math" w:eastAsia="Aptos" w:cs="Cambria Math"/>
          <w:b w:val="0"/>
          <w:bCs w:val="0"/>
          <w:sz w:val="24"/>
          <w:szCs w:val="24"/>
        </w:rPr>
        <w:t>￼</w:t>
      </w:r>
      <w:r w:rsidRPr="0ED4F347" w:rsidR="6AB5B21B">
        <w:rPr>
          <w:rFonts w:eastAsia="Aptos"/>
          <w:b w:val="0"/>
          <w:bCs w:val="0"/>
          <w:sz w:val="24"/>
          <w:szCs w:val="24"/>
          <w:lang w:val="es-ES"/>
        </w:rPr>
        <w:t>FT</w:t>
      </w:r>
      <w:r w:rsidRPr="0ED4F347" w:rsidR="6AB5B21B">
        <w:rPr>
          <w:rFonts w:ascii="Cambria Math" w:hAnsi="Cambria Math" w:eastAsia="Aptos" w:cs="Cambria Math"/>
          <w:b w:val="0"/>
          <w:bCs w:val="0"/>
          <w:sz w:val="24"/>
          <w:szCs w:val="24"/>
        </w:rPr>
        <w:t>￼</w:t>
      </w:r>
      <w:r w:rsidRPr="0ED4F347" w:rsidR="6AB5B21B">
        <w:rPr>
          <w:rFonts w:eastAsia="Aptos"/>
          <w:b w:val="0"/>
          <w:bCs w:val="0"/>
          <w:sz w:val="24"/>
          <w:szCs w:val="24"/>
          <w:lang w:val="es-ES"/>
        </w:rPr>
        <w:t>PR</w:t>
      </w:r>
      <w:r w:rsidRPr="0ED4F347" w:rsidR="6AB5B21B">
        <w:rPr>
          <w:rFonts w:ascii="Cambria Math" w:hAnsi="Cambria Math" w:eastAsia="Aptos" w:cs="Cambria Math"/>
          <w:b w:val="0"/>
          <w:bCs w:val="0"/>
          <w:sz w:val="24"/>
          <w:szCs w:val="24"/>
        </w:rPr>
        <w:t>￼</w:t>
      </w:r>
      <w:r w:rsidRPr="0ED4F347" w:rsidR="6AB5B21B">
        <w:rPr>
          <w:rFonts w:eastAsia="Aptos"/>
          <w:b w:val="0"/>
          <w:bCs w:val="0"/>
          <w:sz w:val="24"/>
          <w:szCs w:val="24"/>
          <w:lang w:val="es-ES"/>
        </w:rPr>
        <w:t>018)</w:t>
      </w:r>
      <w:bookmarkEnd w:id="58"/>
    </w:p>
    <w:p w:rsidRPr="00B941E4" w:rsidR="00B941E4" w:rsidP="00B941E4" w:rsidRDefault="00B941E4" w14:paraId="30AB8521" w14:textId="77777777">
      <w:pPr>
        <w:rPr>
          <w:lang w:val="es-ES_tradnl"/>
        </w:rPr>
      </w:pPr>
    </w:p>
    <w:p w:rsidRPr="00413D1D" w:rsidR="007A4EB4" w:rsidP="0ED4F347" w:rsidRDefault="007A4EB4" w14:paraId="00C1CB6A" w14:textId="188994AF">
      <w:pPr>
        <w:spacing w:line="240" w:lineRule="auto"/>
        <w:rPr>
          <w:rFonts w:ascii="Arial" w:hAnsi="Arial" w:eastAsia="Arial" w:cs="Arial"/>
          <w:i w:val="0"/>
          <w:iCs w:val="0"/>
          <w:color w:val="auto" w:themeColor="text2"/>
          <w:sz w:val="24"/>
          <w:szCs w:val="24"/>
        </w:rPr>
      </w:pPr>
      <w:r w:rsidRPr="0ED4F347" w:rsidR="6AB5B21B">
        <w:rPr>
          <w:rFonts w:ascii="Arial" w:hAnsi="Arial" w:eastAsia="Arial" w:cs="Arial"/>
          <w:i w:val="0"/>
          <w:iCs w:val="0"/>
          <w:color w:val="auto"/>
          <w:sz w:val="24"/>
          <w:szCs w:val="24"/>
        </w:rPr>
        <w:t xml:space="preserve">Tabla </w:t>
      </w:r>
      <w:r w:rsidRPr="0ED4F347" w:rsidR="7B3A4CE0">
        <w:rPr>
          <w:rFonts w:ascii="Arial" w:hAnsi="Arial" w:eastAsia="Arial" w:cs="Arial"/>
          <w:i w:val="0"/>
          <w:iCs w:val="0"/>
          <w:color w:val="auto"/>
          <w:sz w:val="24"/>
          <w:szCs w:val="24"/>
        </w:rPr>
        <w:t>5</w:t>
      </w:r>
      <w:r w:rsidRPr="0ED4F347" w:rsidR="6AB5B21B">
        <w:rPr>
          <w:rFonts w:ascii="Arial" w:hAnsi="Arial" w:eastAsia="Arial" w:cs="Arial"/>
          <w:i w:val="0"/>
          <w:iCs w:val="0"/>
          <w:color w:val="auto"/>
          <w:sz w:val="24"/>
          <w:szCs w:val="24"/>
        </w:rPr>
        <w:t xml:space="preserve">. </w:t>
      </w:r>
      <w:r w:rsidRPr="0ED4F347" w:rsidR="6AB5B21B">
        <w:rPr>
          <w:rFonts w:ascii="Arial" w:hAnsi="Arial" w:eastAsia="Arial" w:cs="Arial"/>
          <w:i w:val="0"/>
          <w:iCs w:val="0"/>
          <w:color w:val="auto"/>
          <w:sz w:val="24"/>
          <w:szCs w:val="24"/>
        </w:rPr>
        <w:t>Resultados: Procedimiento Plan de Acción Específico – PAE (M</w:t>
      </w:r>
      <w:r w:rsidRPr="0ED4F347" w:rsidR="6AB5B21B">
        <w:rPr>
          <w:rFonts w:ascii="Cambria Math" w:hAnsi="Cambria Math" w:eastAsia="" w:cs="Cambria Math" w:eastAsiaTheme="minorEastAsia"/>
          <w:i w:val="1"/>
          <w:iCs w:val="1"/>
          <w:color w:val="44546A" w:themeColor="text2" w:themeTint="FF" w:themeShade="FF"/>
          <w:sz w:val="18"/>
          <w:szCs w:val="18"/>
        </w:rPr>
        <w:t>￼</w:t>
      </w:r>
      <w:r w:rsidRPr="0ED4F347" w:rsidR="6AB5B21B">
        <w:rPr>
          <w:rFonts w:ascii="Arial" w:hAnsi="Arial" w:eastAsia="Arial" w:cs="Arial"/>
          <w:i w:val="0"/>
          <w:iCs w:val="0"/>
          <w:color w:val="auto"/>
          <w:sz w:val="24"/>
          <w:szCs w:val="24"/>
        </w:rPr>
        <w:t>FT</w:t>
      </w:r>
      <w:r w:rsidRPr="0ED4F347" w:rsidR="6AB5B21B">
        <w:rPr>
          <w:rFonts w:ascii="Cambria Math" w:hAnsi="Cambria Math" w:eastAsia="" w:cs="Cambria Math" w:eastAsiaTheme="minorEastAsia"/>
          <w:i w:val="1"/>
          <w:iCs w:val="1"/>
          <w:color w:val="44546A" w:themeColor="text2" w:themeTint="FF" w:themeShade="FF"/>
          <w:sz w:val="18"/>
          <w:szCs w:val="18"/>
        </w:rPr>
        <w:t>￼</w:t>
      </w:r>
      <w:r w:rsidRPr="0ED4F347" w:rsidR="6AB5B21B">
        <w:rPr>
          <w:rFonts w:ascii="Arial" w:hAnsi="Arial" w:eastAsia="Arial" w:cs="Arial"/>
          <w:i w:val="0"/>
          <w:iCs w:val="0"/>
          <w:color w:val="auto"/>
          <w:sz w:val="24"/>
          <w:szCs w:val="24"/>
        </w:rPr>
        <w:t>PR</w:t>
      </w:r>
      <w:r w:rsidRPr="0ED4F347" w:rsidR="6AB5B21B">
        <w:rPr>
          <w:rFonts w:ascii="Cambria Math" w:hAnsi="Cambria Math" w:eastAsia="" w:cs="Cambria Math" w:eastAsiaTheme="minorEastAsia"/>
          <w:i w:val="1"/>
          <w:iCs w:val="1"/>
          <w:color w:val="44546A" w:themeColor="text2" w:themeTint="FF" w:themeShade="FF"/>
          <w:sz w:val="18"/>
          <w:szCs w:val="18"/>
        </w:rPr>
        <w:t>￼</w:t>
      </w:r>
      <w:r w:rsidRPr="0ED4F347" w:rsidR="6AB5B21B">
        <w:rPr>
          <w:rFonts w:ascii="Arial" w:hAnsi="Arial" w:eastAsia="Arial" w:cs="Arial"/>
          <w:i w:val="0"/>
          <w:iCs w:val="0"/>
          <w:color w:val="auto"/>
          <w:sz w:val="24"/>
          <w:szCs w:val="24"/>
        </w:rPr>
        <w:t>018)</w:t>
      </w:r>
    </w:p>
    <w:tbl>
      <w:tblPr>
        <w:tblW w:w="0" w:type="auto"/>
        <w:tblInd w:w="90" w:type="dxa"/>
        <w:tblLook w:val="04A0" w:firstRow="1" w:lastRow="0" w:firstColumn="1" w:lastColumn="0" w:noHBand="0" w:noVBand="1"/>
      </w:tblPr>
      <w:tblGrid>
        <w:gridCol w:w="1155"/>
        <w:gridCol w:w="6825"/>
        <w:gridCol w:w="851"/>
        <w:gridCol w:w="1559"/>
      </w:tblGrid>
      <w:tr w:rsidRPr="00413D1D" w:rsidR="007A4EB4" w:rsidTr="0ED4F347" w14:paraId="2999DAB2" w14:textId="77777777">
        <w:trPr>
          <w:trHeight w:val="765"/>
        </w:trPr>
        <w:tc>
          <w:tcPr>
            <w:tcW w:w="1155" w:type="dxa"/>
            <w:tcBorders>
              <w:top w:val="single" w:color="auto" w:sz="8" w:space="0"/>
              <w:left w:val="single" w:color="auto" w:sz="8" w:space="0"/>
              <w:bottom w:val="single" w:color="auto" w:sz="8" w:space="0"/>
              <w:right w:val="single" w:color="auto" w:sz="8" w:space="0"/>
            </w:tcBorders>
            <w:shd w:val="clear" w:color="auto" w:fill="DDEBF7"/>
            <w:tcMar>
              <w:left w:w="70" w:type="dxa"/>
              <w:right w:w="70" w:type="dxa"/>
            </w:tcMar>
            <w:vAlign w:val="center"/>
          </w:tcPr>
          <w:p w:rsidRPr="00413D1D" w:rsidR="007A4EB4" w:rsidP="006E48B1" w:rsidRDefault="007A4EB4" w14:paraId="25A56339" w14:textId="77777777">
            <w:pPr>
              <w:spacing w:line="240" w:lineRule="auto"/>
              <w:jc w:val="center"/>
            </w:pPr>
            <w:r w:rsidRPr="00413D1D">
              <w:rPr>
                <w:rFonts w:eastAsia="Aptos"/>
                <w:b/>
                <w:bCs/>
                <w:color w:val="000000" w:themeColor="text1"/>
                <w:sz w:val="16"/>
                <w:szCs w:val="16"/>
              </w:rPr>
              <w:t>Actividades flujograma</w:t>
            </w:r>
          </w:p>
        </w:tc>
        <w:tc>
          <w:tcPr>
            <w:tcW w:w="6825" w:type="dxa"/>
            <w:tcBorders>
              <w:top w:val="single" w:color="auto" w:sz="8" w:space="0"/>
              <w:left w:val="single" w:color="auto" w:sz="8" w:space="0"/>
              <w:bottom w:val="single" w:color="auto" w:sz="8" w:space="0"/>
              <w:right w:val="single" w:color="auto" w:sz="8" w:space="0"/>
            </w:tcBorders>
            <w:shd w:val="clear" w:color="auto" w:fill="DDEBF7"/>
            <w:tcMar>
              <w:left w:w="70" w:type="dxa"/>
              <w:right w:w="70" w:type="dxa"/>
            </w:tcMar>
            <w:vAlign w:val="center"/>
          </w:tcPr>
          <w:p w:rsidRPr="00413D1D" w:rsidR="007A4EB4" w:rsidP="006E48B1" w:rsidRDefault="007A4EB4" w14:paraId="54DC40A6" w14:textId="77777777">
            <w:pPr>
              <w:spacing w:line="240" w:lineRule="auto"/>
              <w:jc w:val="center"/>
            </w:pPr>
            <w:r w:rsidRPr="00413D1D">
              <w:rPr>
                <w:rFonts w:eastAsia="Aptos"/>
                <w:b/>
                <w:bCs/>
                <w:color w:val="000000" w:themeColor="text1"/>
                <w:sz w:val="16"/>
                <w:szCs w:val="16"/>
              </w:rPr>
              <w:t>Fase del procedimiento</w:t>
            </w:r>
          </w:p>
        </w:tc>
        <w:tc>
          <w:tcPr>
            <w:tcW w:w="851" w:type="dxa"/>
            <w:tcBorders>
              <w:top w:val="single" w:color="auto" w:sz="8" w:space="0"/>
              <w:left w:val="single" w:color="auto" w:sz="8" w:space="0"/>
              <w:bottom w:val="single" w:color="auto" w:sz="8" w:space="0"/>
              <w:right w:val="single" w:color="auto" w:sz="8" w:space="0"/>
            </w:tcBorders>
            <w:shd w:val="clear" w:color="auto" w:fill="DDEBF7"/>
            <w:tcMar>
              <w:left w:w="70" w:type="dxa"/>
              <w:right w:w="70" w:type="dxa"/>
            </w:tcMar>
            <w:vAlign w:val="center"/>
          </w:tcPr>
          <w:p w:rsidRPr="00413D1D" w:rsidR="007A4EB4" w:rsidP="006E48B1" w:rsidRDefault="007A4EB4" w14:paraId="20A8F577" w14:textId="77777777">
            <w:pPr>
              <w:spacing w:line="240" w:lineRule="auto"/>
              <w:jc w:val="center"/>
            </w:pPr>
            <w:r w:rsidRPr="00413D1D">
              <w:rPr>
                <w:rFonts w:eastAsia="Aptos"/>
                <w:b/>
                <w:bCs/>
                <w:color w:val="000000" w:themeColor="text1"/>
                <w:sz w:val="16"/>
                <w:szCs w:val="16"/>
              </w:rPr>
              <w:t>Puntaje Obtenido</w:t>
            </w:r>
          </w:p>
        </w:tc>
        <w:tc>
          <w:tcPr>
            <w:tcW w:w="1559" w:type="dxa"/>
            <w:tcBorders>
              <w:top w:val="single" w:color="auto" w:sz="8" w:space="0"/>
              <w:left w:val="single" w:color="auto" w:sz="8" w:space="0"/>
              <w:bottom w:val="single" w:color="auto" w:sz="8" w:space="0"/>
              <w:right w:val="single" w:color="auto" w:sz="8" w:space="0"/>
            </w:tcBorders>
            <w:shd w:val="clear" w:color="auto" w:fill="DDEBF7"/>
            <w:tcMar>
              <w:left w:w="70" w:type="dxa"/>
              <w:right w:w="70" w:type="dxa"/>
            </w:tcMar>
            <w:vAlign w:val="center"/>
          </w:tcPr>
          <w:p w:rsidRPr="00413D1D" w:rsidR="007A4EB4" w:rsidP="006E48B1" w:rsidRDefault="007A4EB4" w14:paraId="0CDD873D" w14:textId="77777777">
            <w:pPr>
              <w:spacing w:line="240" w:lineRule="auto"/>
              <w:jc w:val="center"/>
            </w:pPr>
            <w:r w:rsidRPr="00413D1D">
              <w:rPr>
                <w:rFonts w:eastAsia="Aptos"/>
                <w:b/>
                <w:bCs/>
                <w:color w:val="000000" w:themeColor="text1"/>
                <w:sz w:val="16"/>
                <w:szCs w:val="16"/>
              </w:rPr>
              <w:t>Nivel de Cumplimiento</w:t>
            </w:r>
          </w:p>
        </w:tc>
      </w:tr>
      <w:tr w:rsidRPr="00413D1D" w:rsidR="007A4EB4" w:rsidTr="0ED4F347" w14:paraId="56B4C5E6" w14:textId="77777777">
        <w:trPr>
          <w:trHeight w:val="255"/>
        </w:trPr>
        <w:tc>
          <w:tcPr>
            <w:tcW w:w="115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0E67A699" w14:textId="77777777">
            <w:pPr>
              <w:spacing w:line="240" w:lineRule="auto"/>
              <w:jc w:val="center"/>
            </w:pPr>
            <w:r w:rsidRPr="00413D1D">
              <w:rPr>
                <w:rFonts w:eastAsia="Aptos"/>
                <w:color w:val="000000" w:themeColor="text1"/>
                <w:sz w:val="16"/>
                <w:szCs w:val="16"/>
              </w:rPr>
              <w:t>2</w:t>
            </w:r>
          </w:p>
        </w:tc>
        <w:tc>
          <w:tcPr>
            <w:tcW w:w="682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396EFD72" w14:textId="77777777">
            <w:pPr>
              <w:spacing w:line="240" w:lineRule="auto"/>
            </w:pPr>
            <w:r w:rsidRPr="00413D1D">
              <w:rPr>
                <w:rFonts w:eastAsia="Aptos"/>
                <w:color w:val="000000" w:themeColor="text1"/>
                <w:sz w:val="16"/>
                <w:szCs w:val="16"/>
              </w:rPr>
              <w:t>Activar la estrategia para la respuesta a la emergencia por parte del Consejo Municipal de Gestión del Riesgo</w:t>
            </w:r>
          </w:p>
        </w:tc>
        <w:tc>
          <w:tcPr>
            <w:tcW w:w="85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71FDCB4A" w14:textId="77777777">
            <w:pPr>
              <w:spacing w:line="240" w:lineRule="auto"/>
              <w:jc w:val="center"/>
            </w:pPr>
            <w:r w:rsidRPr="00413D1D">
              <w:rPr>
                <w:rFonts w:eastAsia="Aptos"/>
                <w:color w:val="000000" w:themeColor="text1"/>
                <w:sz w:val="16"/>
                <w:szCs w:val="16"/>
              </w:rPr>
              <w:t>2</w:t>
            </w:r>
          </w:p>
        </w:tc>
        <w:tc>
          <w:tcPr>
            <w:tcW w:w="1559"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Pr="00413D1D" w:rsidR="007A4EB4" w:rsidP="006E48B1" w:rsidRDefault="007A4EB4" w14:paraId="306CBDA9" w14:textId="77777777">
            <w:pPr>
              <w:spacing w:line="240" w:lineRule="auto"/>
              <w:jc w:val="center"/>
            </w:pPr>
            <w:r w:rsidRPr="00413D1D">
              <w:rPr>
                <w:rFonts w:eastAsia="Aptos"/>
                <w:color w:val="000000" w:themeColor="text1"/>
                <w:sz w:val="16"/>
                <w:szCs w:val="16"/>
              </w:rPr>
              <w:t>Cumple</w:t>
            </w:r>
          </w:p>
        </w:tc>
      </w:tr>
      <w:tr w:rsidRPr="00413D1D" w:rsidR="007A4EB4" w:rsidTr="0ED4F347" w14:paraId="1013CAD7" w14:textId="77777777">
        <w:trPr>
          <w:trHeight w:val="510"/>
        </w:trPr>
        <w:tc>
          <w:tcPr>
            <w:tcW w:w="115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7018E9A9" w14:textId="77777777">
            <w:pPr>
              <w:spacing w:line="240" w:lineRule="auto"/>
              <w:jc w:val="center"/>
            </w:pPr>
            <w:r w:rsidRPr="00413D1D">
              <w:rPr>
                <w:rFonts w:eastAsia="Aptos"/>
                <w:color w:val="000000" w:themeColor="text1"/>
                <w:sz w:val="16"/>
                <w:szCs w:val="16"/>
              </w:rPr>
              <w:lastRenderedPageBreak/>
              <w:t>3</w:t>
            </w:r>
          </w:p>
        </w:tc>
        <w:tc>
          <w:tcPr>
            <w:tcW w:w="6825" w:type="dxa"/>
            <w:tcBorders>
              <w:top w:val="single" w:color="auto" w:sz="8" w:space="0"/>
              <w:left w:val="single" w:color="auto" w:sz="8" w:space="0"/>
              <w:bottom w:val="single" w:color="auto" w:sz="8" w:space="0"/>
              <w:right w:val="single" w:color="auto" w:sz="8" w:space="0"/>
            </w:tcBorders>
            <w:tcMar>
              <w:left w:w="70" w:type="dxa"/>
              <w:right w:w="70" w:type="dxa"/>
            </w:tcMar>
            <w:vAlign w:val="bottom"/>
          </w:tcPr>
          <w:p w:rsidRPr="00413D1D" w:rsidR="007A4EB4" w:rsidP="006E48B1" w:rsidRDefault="007A4EB4" w14:paraId="06C8E1D3" w14:textId="77777777">
            <w:pPr>
              <w:spacing w:line="240" w:lineRule="auto"/>
            </w:pPr>
            <w:r w:rsidRPr="00413D1D">
              <w:rPr>
                <w:rFonts w:eastAsia="Aptos"/>
                <w:color w:val="000000" w:themeColor="text1"/>
                <w:sz w:val="16"/>
                <w:szCs w:val="16"/>
              </w:rPr>
              <w:t>Evaluar los Daños y Analizar las Necesidades (EDAN) para conocer los sectores afectados y dimensión de la emergencia</w:t>
            </w:r>
          </w:p>
        </w:tc>
        <w:tc>
          <w:tcPr>
            <w:tcW w:w="85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638BFEA4" w14:textId="77777777">
            <w:pPr>
              <w:spacing w:line="240" w:lineRule="auto"/>
              <w:jc w:val="center"/>
            </w:pPr>
            <w:r w:rsidRPr="00413D1D">
              <w:rPr>
                <w:rFonts w:eastAsia="Aptos"/>
                <w:color w:val="000000" w:themeColor="text1"/>
                <w:sz w:val="16"/>
                <w:szCs w:val="16"/>
              </w:rPr>
              <w:t>1</w:t>
            </w:r>
          </w:p>
        </w:tc>
        <w:tc>
          <w:tcPr>
            <w:tcW w:w="1559"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Pr="00413D1D" w:rsidR="007A4EB4" w:rsidP="006E48B1" w:rsidRDefault="007A4EB4" w14:paraId="0CB4D31E" w14:textId="77777777">
            <w:pPr>
              <w:spacing w:line="240" w:lineRule="auto"/>
              <w:jc w:val="center"/>
            </w:pPr>
            <w:r w:rsidRPr="00413D1D">
              <w:rPr>
                <w:rFonts w:eastAsia="Aptos"/>
                <w:color w:val="000000" w:themeColor="text1"/>
                <w:sz w:val="16"/>
                <w:szCs w:val="16"/>
              </w:rPr>
              <w:t>Cumple Parcialmente</w:t>
            </w:r>
          </w:p>
        </w:tc>
      </w:tr>
      <w:tr w:rsidRPr="00413D1D" w:rsidR="007A4EB4" w:rsidTr="0ED4F347" w14:paraId="151FFF08" w14:textId="77777777">
        <w:trPr>
          <w:trHeight w:val="255"/>
        </w:trPr>
        <w:tc>
          <w:tcPr>
            <w:tcW w:w="115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625962A2" w14:textId="77777777">
            <w:pPr>
              <w:spacing w:line="240" w:lineRule="auto"/>
              <w:jc w:val="center"/>
            </w:pPr>
            <w:r w:rsidRPr="00413D1D">
              <w:rPr>
                <w:rFonts w:eastAsia="Aptos"/>
                <w:color w:val="000000" w:themeColor="text1"/>
                <w:sz w:val="16"/>
                <w:szCs w:val="16"/>
              </w:rPr>
              <w:t>4</w:t>
            </w:r>
          </w:p>
        </w:tc>
        <w:tc>
          <w:tcPr>
            <w:tcW w:w="682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1A29DA76" w14:textId="77777777">
            <w:pPr>
              <w:spacing w:line="240" w:lineRule="auto"/>
            </w:pPr>
            <w:r w:rsidRPr="00413D1D">
              <w:rPr>
                <w:rFonts w:eastAsia="Aptos"/>
                <w:color w:val="000000" w:themeColor="text1"/>
                <w:sz w:val="16"/>
                <w:szCs w:val="16"/>
              </w:rPr>
              <w:t>Reunión del Consejo Municipal o Departamental de Gestión del Riesgo para revisar dimensiones de daños y capacidad del territorio</w:t>
            </w:r>
          </w:p>
        </w:tc>
        <w:tc>
          <w:tcPr>
            <w:tcW w:w="85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52AEB323" w14:textId="77777777">
            <w:pPr>
              <w:spacing w:line="240" w:lineRule="auto"/>
              <w:jc w:val="center"/>
            </w:pPr>
            <w:r w:rsidRPr="00413D1D">
              <w:rPr>
                <w:rFonts w:eastAsia="Aptos"/>
                <w:color w:val="000000" w:themeColor="text1"/>
                <w:sz w:val="16"/>
                <w:szCs w:val="16"/>
              </w:rPr>
              <w:t>2</w:t>
            </w:r>
          </w:p>
        </w:tc>
        <w:tc>
          <w:tcPr>
            <w:tcW w:w="1559"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Pr="00413D1D" w:rsidR="007A4EB4" w:rsidP="006E48B1" w:rsidRDefault="007A4EB4" w14:paraId="131B307E" w14:textId="77777777">
            <w:pPr>
              <w:spacing w:line="240" w:lineRule="auto"/>
              <w:jc w:val="center"/>
            </w:pPr>
            <w:r w:rsidRPr="00413D1D">
              <w:rPr>
                <w:rFonts w:eastAsia="Aptos"/>
                <w:color w:val="000000" w:themeColor="text1"/>
                <w:sz w:val="16"/>
                <w:szCs w:val="16"/>
              </w:rPr>
              <w:t>Cumple</w:t>
            </w:r>
          </w:p>
        </w:tc>
      </w:tr>
      <w:tr w:rsidRPr="00413D1D" w:rsidR="007A4EB4" w:rsidTr="0ED4F347" w14:paraId="4836FFE4" w14:textId="77777777">
        <w:trPr>
          <w:trHeight w:val="255"/>
        </w:trPr>
        <w:tc>
          <w:tcPr>
            <w:tcW w:w="115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0787A4A9" w14:textId="77777777">
            <w:pPr>
              <w:spacing w:line="240" w:lineRule="auto"/>
              <w:jc w:val="center"/>
            </w:pPr>
            <w:r w:rsidRPr="00413D1D">
              <w:rPr>
                <w:rFonts w:eastAsia="Aptos"/>
                <w:color w:val="000000" w:themeColor="text1"/>
                <w:sz w:val="16"/>
                <w:szCs w:val="16"/>
              </w:rPr>
              <w:t>5</w:t>
            </w:r>
          </w:p>
        </w:tc>
        <w:tc>
          <w:tcPr>
            <w:tcW w:w="682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79C49732" w14:textId="77777777">
            <w:pPr>
              <w:spacing w:line="240" w:lineRule="auto"/>
            </w:pPr>
            <w:r w:rsidRPr="00413D1D">
              <w:rPr>
                <w:rFonts w:eastAsia="Aptos"/>
                <w:color w:val="000000" w:themeColor="text1"/>
                <w:sz w:val="16"/>
                <w:szCs w:val="16"/>
              </w:rPr>
              <w:t>Declarar la situación de desastre o calamidad pública cuando la emergencia es nivel 3 o superior según EDAN</w:t>
            </w:r>
          </w:p>
        </w:tc>
        <w:tc>
          <w:tcPr>
            <w:tcW w:w="85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05E95506" w14:textId="77777777">
            <w:pPr>
              <w:spacing w:line="240" w:lineRule="auto"/>
              <w:jc w:val="center"/>
            </w:pPr>
            <w:r w:rsidRPr="00413D1D">
              <w:rPr>
                <w:rFonts w:eastAsia="Aptos"/>
                <w:color w:val="000000" w:themeColor="text1"/>
                <w:sz w:val="16"/>
                <w:szCs w:val="16"/>
              </w:rPr>
              <w:t>2</w:t>
            </w:r>
          </w:p>
        </w:tc>
        <w:tc>
          <w:tcPr>
            <w:tcW w:w="1559"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Pr="00413D1D" w:rsidR="007A4EB4" w:rsidP="006E48B1" w:rsidRDefault="007A4EB4" w14:paraId="636F8465" w14:textId="77777777">
            <w:pPr>
              <w:spacing w:line="240" w:lineRule="auto"/>
              <w:jc w:val="center"/>
            </w:pPr>
            <w:r w:rsidRPr="00413D1D">
              <w:rPr>
                <w:rFonts w:eastAsia="Aptos"/>
                <w:color w:val="000000" w:themeColor="text1"/>
                <w:sz w:val="16"/>
                <w:szCs w:val="16"/>
              </w:rPr>
              <w:t>Cumple</w:t>
            </w:r>
          </w:p>
        </w:tc>
      </w:tr>
      <w:tr w:rsidRPr="00413D1D" w:rsidR="007A4EB4" w:rsidTr="0ED4F347" w14:paraId="10E924EA" w14:textId="77777777">
        <w:trPr>
          <w:trHeight w:val="510"/>
        </w:trPr>
        <w:tc>
          <w:tcPr>
            <w:tcW w:w="115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0103A892" w14:textId="77777777">
            <w:pPr>
              <w:spacing w:line="240" w:lineRule="auto"/>
              <w:jc w:val="center"/>
            </w:pPr>
            <w:r w:rsidRPr="00413D1D">
              <w:rPr>
                <w:rFonts w:eastAsia="Aptos"/>
                <w:color w:val="000000" w:themeColor="text1"/>
                <w:sz w:val="16"/>
                <w:szCs w:val="16"/>
              </w:rPr>
              <w:t>6</w:t>
            </w:r>
          </w:p>
        </w:tc>
        <w:tc>
          <w:tcPr>
            <w:tcW w:w="682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04669B3F" w14:textId="77777777">
            <w:pPr>
              <w:spacing w:line="240" w:lineRule="auto"/>
            </w:pPr>
            <w:r w:rsidRPr="00413D1D">
              <w:rPr>
                <w:rFonts w:eastAsia="Aptos"/>
                <w:color w:val="000000" w:themeColor="text1"/>
                <w:sz w:val="16"/>
                <w:szCs w:val="16"/>
              </w:rPr>
              <w:t>Asignar recursos para la atención de la emergencia por parte del Gobernador, con aprobación en Asamblea Departamental</w:t>
            </w:r>
          </w:p>
        </w:tc>
        <w:tc>
          <w:tcPr>
            <w:tcW w:w="85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6F5E67D2" w14:textId="77777777">
            <w:pPr>
              <w:spacing w:line="240" w:lineRule="auto"/>
              <w:jc w:val="center"/>
            </w:pPr>
            <w:r w:rsidRPr="00413D1D">
              <w:rPr>
                <w:rFonts w:eastAsia="Aptos"/>
                <w:color w:val="000000" w:themeColor="text1"/>
                <w:sz w:val="16"/>
                <w:szCs w:val="16"/>
              </w:rPr>
              <w:t>2</w:t>
            </w:r>
          </w:p>
        </w:tc>
        <w:tc>
          <w:tcPr>
            <w:tcW w:w="1559"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Pr="00413D1D" w:rsidR="007A4EB4" w:rsidP="006E48B1" w:rsidRDefault="007A4EB4" w14:paraId="13C1E7DF" w14:textId="77777777">
            <w:pPr>
              <w:spacing w:line="240" w:lineRule="auto"/>
              <w:jc w:val="center"/>
            </w:pPr>
            <w:r w:rsidRPr="00413D1D">
              <w:rPr>
                <w:rFonts w:eastAsia="Aptos"/>
                <w:color w:val="000000" w:themeColor="text1"/>
                <w:sz w:val="16"/>
                <w:szCs w:val="16"/>
              </w:rPr>
              <w:t>Cumple</w:t>
            </w:r>
          </w:p>
        </w:tc>
      </w:tr>
      <w:tr w:rsidRPr="00413D1D" w:rsidR="007A4EB4" w:rsidTr="0ED4F347" w14:paraId="5A3B317C" w14:textId="77777777">
        <w:trPr>
          <w:trHeight w:val="255"/>
        </w:trPr>
        <w:tc>
          <w:tcPr>
            <w:tcW w:w="115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5B39E2BF" w14:textId="77777777">
            <w:pPr>
              <w:spacing w:line="240" w:lineRule="auto"/>
              <w:jc w:val="center"/>
            </w:pPr>
            <w:r w:rsidRPr="00413D1D">
              <w:rPr>
                <w:rFonts w:eastAsia="Aptos"/>
                <w:color w:val="000000" w:themeColor="text1"/>
                <w:sz w:val="16"/>
                <w:szCs w:val="16"/>
              </w:rPr>
              <w:t>7</w:t>
            </w:r>
          </w:p>
        </w:tc>
        <w:tc>
          <w:tcPr>
            <w:tcW w:w="682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56BCAD00" w14:textId="77777777">
            <w:pPr>
              <w:spacing w:line="240" w:lineRule="auto"/>
            </w:pPr>
            <w:r w:rsidRPr="00413D1D">
              <w:rPr>
                <w:rFonts w:eastAsia="Aptos"/>
                <w:color w:val="000000" w:themeColor="text1"/>
                <w:sz w:val="16"/>
                <w:szCs w:val="16"/>
              </w:rPr>
              <w:t>Elaborar el Plan de Acción Específico (PAE) para rehabilitación y reconstrucción, integrando fases de respuesta, estabilización, recuperación temprana y desarrollo</w:t>
            </w:r>
          </w:p>
        </w:tc>
        <w:tc>
          <w:tcPr>
            <w:tcW w:w="85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1F45BD42" w14:textId="77777777">
            <w:pPr>
              <w:spacing w:line="240" w:lineRule="auto"/>
              <w:jc w:val="center"/>
            </w:pPr>
            <w:r w:rsidRPr="00413D1D">
              <w:rPr>
                <w:rFonts w:eastAsia="Aptos"/>
                <w:color w:val="000000" w:themeColor="text1"/>
                <w:sz w:val="16"/>
                <w:szCs w:val="16"/>
              </w:rPr>
              <w:t>2</w:t>
            </w:r>
          </w:p>
        </w:tc>
        <w:tc>
          <w:tcPr>
            <w:tcW w:w="1559"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Pr="00413D1D" w:rsidR="007A4EB4" w:rsidP="006E48B1" w:rsidRDefault="007A4EB4" w14:paraId="517A41CD" w14:textId="77777777">
            <w:pPr>
              <w:spacing w:line="240" w:lineRule="auto"/>
              <w:jc w:val="center"/>
            </w:pPr>
            <w:r w:rsidRPr="00413D1D">
              <w:rPr>
                <w:rFonts w:eastAsia="Aptos"/>
                <w:color w:val="000000" w:themeColor="text1"/>
                <w:sz w:val="16"/>
                <w:szCs w:val="16"/>
              </w:rPr>
              <w:t>Cumple</w:t>
            </w:r>
          </w:p>
        </w:tc>
      </w:tr>
      <w:tr w:rsidRPr="00413D1D" w:rsidR="007A4EB4" w:rsidTr="0ED4F347" w14:paraId="08DB165C" w14:textId="77777777">
        <w:trPr>
          <w:trHeight w:val="255"/>
        </w:trPr>
        <w:tc>
          <w:tcPr>
            <w:tcW w:w="115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2BE63DFC" w14:textId="77777777">
            <w:pPr>
              <w:spacing w:line="240" w:lineRule="auto"/>
              <w:jc w:val="center"/>
            </w:pPr>
            <w:r w:rsidRPr="00413D1D">
              <w:rPr>
                <w:rFonts w:eastAsia="Aptos"/>
                <w:color w:val="000000" w:themeColor="text1"/>
                <w:sz w:val="16"/>
                <w:szCs w:val="16"/>
              </w:rPr>
              <w:t>8</w:t>
            </w:r>
          </w:p>
        </w:tc>
        <w:tc>
          <w:tcPr>
            <w:tcW w:w="682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3AE4C184" w14:textId="77777777">
            <w:pPr>
              <w:spacing w:line="240" w:lineRule="auto"/>
            </w:pPr>
            <w:r w:rsidRPr="00413D1D">
              <w:rPr>
                <w:rFonts w:eastAsia="Aptos"/>
                <w:color w:val="000000" w:themeColor="text1"/>
                <w:sz w:val="16"/>
                <w:szCs w:val="16"/>
              </w:rPr>
              <w:t>Reunión del Consejo Departamental o Municipal para concertación y aprobación del PAE</w:t>
            </w:r>
          </w:p>
        </w:tc>
        <w:tc>
          <w:tcPr>
            <w:tcW w:w="85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74E0BE0A" w14:textId="77777777">
            <w:pPr>
              <w:spacing w:line="240" w:lineRule="auto"/>
              <w:jc w:val="center"/>
            </w:pPr>
            <w:r w:rsidRPr="00413D1D">
              <w:rPr>
                <w:rFonts w:eastAsia="Aptos"/>
                <w:color w:val="000000" w:themeColor="text1"/>
                <w:sz w:val="16"/>
                <w:szCs w:val="16"/>
              </w:rPr>
              <w:t>2</w:t>
            </w:r>
          </w:p>
        </w:tc>
        <w:tc>
          <w:tcPr>
            <w:tcW w:w="1559"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Pr="00413D1D" w:rsidR="007A4EB4" w:rsidP="006E48B1" w:rsidRDefault="007A4EB4" w14:paraId="6CE784B5" w14:textId="77777777">
            <w:pPr>
              <w:spacing w:line="240" w:lineRule="auto"/>
              <w:jc w:val="center"/>
            </w:pPr>
            <w:r w:rsidRPr="00413D1D">
              <w:rPr>
                <w:rFonts w:eastAsia="Aptos"/>
                <w:color w:val="000000" w:themeColor="text1"/>
                <w:sz w:val="16"/>
                <w:szCs w:val="16"/>
              </w:rPr>
              <w:t>Cumple</w:t>
            </w:r>
          </w:p>
        </w:tc>
      </w:tr>
      <w:tr w:rsidRPr="00413D1D" w:rsidR="007A4EB4" w:rsidTr="0ED4F347" w14:paraId="4BC76F24" w14:textId="77777777">
        <w:trPr>
          <w:trHeight w:val="510"/>
        </w:trPr>
        <w:tc>
          <w:tcPr>
            <w:tcW w:w="115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57F56B9C" w14:textId="77777777">
            <w:pPr>
              <w:spacing w:line="240" w:lineRule="auto"/>
              <w:jc w:val="center"/>
            </w:pPr>
            <w:r w:rsidRPr="00413D1D">
              <w:rPr>
                <w:rFonts w:eastAsia="Aptos"/>
                <w:color w:val="000000" w:themeColor="text1"/>
                <w:sz w:val="16"/>
                <w:szCs w:val="16"/>
              </w:rPr>
              <w:t>9</w:t>
            </w:r>
          </w:p>
        </w:tc>
        <w:tc>
          <w:tcPr>
            <w:tcW w:w="682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7D2E359B" w14:textId="77777777">
            <w:pPr>
              <w:spacing w:line="240" w:lineRule="auto"/>
            </w:pPr>
            <w:r w:rsidRPr="00413D1D">
              <w:rPr>
                <w:rFonts w:eastAsia="Aptos"/>
                <w:color w:val="000000" w:themeColor="text1"/>
                <w:sz w:val="16"/>
                <w:szCs w:val="16"/>
              </w:rPr>
              <w:t>Realizar seguimiento y evaluación del PAE por parte de la oficina de planeación, remitiendo resultados a la UNGRD</w:t>
            </w:r>
          </w:p>
        </w:tc>
        <w:tc>
          <w:tcPr>
            <w:tcW w:w="85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70CB77C3" w14:textId="77777777">
            <w:pPr>
              <w:spacing w:line="240" w:lineRule="auto"/>
              <w:jc w:val="center"/>
            </w:pPr>
            <w:r w:rsidRPr="00413D1D">
              <w:rPr>
                <w:rFonts w:eastAsia="Aptos"/>
                <w:color w:val="000000" w:themeColor="text1"/>
                <w:sz w:val="16"/>
                <w:szCs w:val="16"/>
              </w:rPr>
              <w:t>2</w:t>
            </w:r>
          </w:p>
        </w:tc>
        <w:tc>
          <w:tcPr>
            <w:tcW w:w="1559"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Pr="00413D1D" w:rsidR="007A4EB4" w:rsidP="006E48B1" w:rsidRDefault="007A4EB4" w14:paraId="48BE68CD" w14:textId="77777777">
            <w:pPr>
              <w:spacing w:line="240" w:lineRule="auto"/>
              <w:jc w:val="center"/>
            </w:pPr>
            <w:r w:rsidRPr="00413D1D">
              <w:rPr>
                <w:rFonts w:eastAsia="Aptos"/>
                <w:color w:val="000000" w:themeColor="text1"/>
                <w:sz w:val="16"/>
                <w:szCs w:val="16"/>
              </w:rPr>
              <w:t>Cumple</w:t>
            </w:r>
          </w:p>
        </w:tc>
      </w:tr>
      <w:tr w:rsidRPr="00413D1D" w:rsidR="007A4EB4" w:rsidTr="0ED4F347" w14:paraId="3CA9F90F" w14:textId="77777777">
        <w:trPr>
          <w:trHeight w:val="510"/>
        </w:trPr>
        <w:tc>
          <w:tcPr>
            <w:tcW w:w="115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3CFF9CC8" w14:textId="77777777">
            <w:pPr>
              <w:spacing w:line="240" w:lineRule="auto"/>
              <w:jc w:val="center"/>
            </w:pPr>
            <w:r w:rsidRPr="00413D1D">
              <w:rPr>
                <w:rFonts w:eastAsia="Aptos"/>
                <w:color w:val="000000" w:themeColor="text1"/>
                <w:sz w:val="16"/>
                <w:szCs w:val="16"/>
              </w:rPr>
              <w:t>10</w:t>
            </w:r>
          </w:p>
        </w:tc>
        <w:tc>
          <w:tcPr>
            <w:tcW w:w="682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352E834B" w14:textId="77777777">
            <w:pPr>
              <w:spacing w:line="240" w:lineRule="auto"/>
            </w:pPr>
            <w:r w:rsidRPr="00413D1D">
              <w:rPr>
                <w:rFonts w:eastAsia="Aptos"/>
                <w:color w:val="000000" w:themeColor="text1"/>
                <w:sz w:val="16"/>
                <w:szCs w:val="16"/>
              </w:rPr>
              <w:t>Declarar el retorno a la normalidad mediante decreto del Gobernador, previa recomendación del Consejo Departamental</w:t>
            </w:r>
          </w:p>
        </w:tc>
        <w:tc>
          <w:tcPr>
            <w:tcW w:w="85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546F9788" w14:textId="77777777">
            <w:pPr>
              <w:spacing w:line="240" w:lineRule="auto"/>
              <w:jc w:val="center"/>
            </w:pPr>
            <w:r w:rsidRPr="00413D1D">
              <w:rPr>
                <w:rFonts w:eastAsia="Aptos"/>
                <w:color w:val="000000" w:themeColor="text1"/>
                <w:sz w:val="16"/>
                <w:szCs w:val="16"/>
              </w:rPr>
              <w:t>2</w:t>
            </w:r>
          </w:p>
        </w:tc>
        <w:tc>
          <w:tcPr>
            <w:tcW w:w="1559"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Pr="00413D1D" w:rsidR="007A4EB4" w:rsidP="006E48B1" w:rsidRDefault="007A4EB4" w14:paraId="58151A97" w14:textId="77777777">
            <w:pPr>
              <w:spacing w:line="240" w:lineRule="auto"/>
              <w:jc w:val="center"/>
            </w:pPr>
            <w:r w:rsidRPr="00413D1D">
              <w:rPr>
                <w:rFonts w:eastAsia="Aptos"/>
                <w:color w:val="000000" w:themeColor="text1"/>
                <w:sz w:val="16"/>
                <w:szCs w:val="16"/>
              </w:rPr>
              <w:t>Cumple</w:t>
            </w:r>
          </w:p>
        </w:tc>
      </w:tr>
      <w:tr w:rsidRPr="00413D1D" w:rsidR="007A4EB4" w:rsidTr="0ED4F347" w14:paraId="0D63ED5C" w14:textId="77777777">
        <w:trPr>
          <w:trHeight w:val="255"/>
        </w:trPr>
        <w:tc>
          <w:tcPr>
            <w:tcW w:w="1155" w:type="dxa"/>
            <w:tcMar>
              <w:left w:w="70" w:type="dxa"/>
              <w:right w:w="70" w:type="dxa"/>
            </w:tcMar>
            <w:vAlign w:val="center"/>
          </w:tcPr>
          <w:p w:rsidRPr="00413D1D" w:rsidR="007A4EB4" w:rsidP="006E48B1" w:rsidRDefault="007A4EB4" w14:paraId="5FC484FF" w14:textId="77777777">
            <w:pPr>
              <w:spacing w:line="240" w:lineRule="auto"/>
            </w:pPr>
          </w:p>
        </w:tc>
        <w:tc>
          <w:tcPr>
            <w:tcW w:w="682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112F0E98" w14:textId="77777777">
            <w:pPr>
              <w:spacing w:line="240" w:lineRule="auto"/>
              <w:jc w:val="center"/>
            </w:pPr>
            <w:r w:rsidRPr="00413D1D">
              <w:rPr>
                <w:rFonts w:eastAsia="Aptos"/>
                <w:b/>
                <w:bCs/>
                <w:color w:val="000000" w:themeColor="text1"/>
                <w:sz w:val="16"/>
                <w:szCs w:val="16"/>
              </w:rPr>
              <w:t xml:space="preserve">TOTAL </w:t>
            </w:r>
          </w:p>
        </w:tc>
        <w:tc>
          <w:tcPr>
            <w:tcW w:w="85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554F9C88" w14:textId="77777777">
            <w:pPr>
              <w:spacing w:line="240" w:lineRule="auto"/>
              <w:jc w:val="center"/>
            </w:pPr>
            <w:r w:rsidRPr="00413D1D">
              <w:rPr>
                <w:rFonts w:eastAsia="Aptos"/>
                <w:b/>
                <w:bCs/>
                <w:color w:val="000000" w:themeColor="text1"/>
                <w:sz w:val="16"/>
                <w:szCs w:val="16"/>
              </w:rPr>
              <w:t>17</w:t>
            </w:r>
          </w:p>
        </w:tc>
        <w:tc>
          <w:tcPr>
            <w:tcW w:w="1559"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Pr="00413D1D" w:rsidR="007A4EB4" w:rsidP="006E48B1" w:rsidRDefault="007A4EB4" w14:paraId="6A34F9E6" w14:textId="77777777">
            <w:pPr>
              <w:spacing w:line="240" w:lineRule="auto"/>
              <w:jc w:val="center"/>
            </w:pPr>
            <w:r w:rsidRPr="00413D1D">
              <w:rPr>
                <w:rFonts w:eastAsia="Aptos"/>
                <w:b/>
                <w:bCs/>
                <w:color w:val="000000" w:themeColor="text1"/>
                <w:sz w:val="16"/>
                <w:szCs w:val="16"/>
              </w:rPr>
              <w:t>94%</w:t>
            </w:r>
          </w:p>
        </w:tc>
      </w:tr>
    </w:tbl>
    <w:p w:rsidRPr="00413D1D" w:rsidR="007A4EB4" w:rsidP="007A4EB4" w:rsidRDefault="007A4EB4" w14:paraId="4D959F1D" w14:textId="77777777">
      <w:pPr>
        <w:spacing w:line="240" w:lineRule="auto"/>
        <w:rPr>
          <w:rFonts w:eastAsiaTheme="minorEastAsia"/>
          <w:b/>
          <w:bCs/>
        </w:rPr>
      </w:pPr>
    </w:p>
    <w:p w:rsidRPr="00212457" w:rsidR="007A4EB4" w:rsidP="007A4EB4" w:rsidRDefault="007A4EB4" w14:paraId="0005FA53" w14:textId="77777777">
      <w:pPr>
        <w:spacing w:line="240" w:lineRule="auto"/>
        <w:rPr>
          <w:rFonts w:eastAsiaTheme="minorEastAsia"/>
          <w:sz w:val="24"/>
          <w:szCs w:val="24"/>
        </w:rPr>
      </w:pPr>
      <w:r w:rsidRPr="00212457">
        <w:rPr>
          <w:rFonts w:eastAsiaTheme="minorEastAsia"/>
          <w:sz w:val="24"/>
          <w:szCs w:val="24"/>
        </w:rPr>
        <w:t xml:space="preserve">La auditoría interna verificó que el procedimiento aplicado para la activación y desarrollo del Plan de Acción Específico (PAE), con ocasión del sismo del 8 de junio de 2025 en los municipios de </w:t>
      </w:r>
      <w:proofErr w:type="spellStart"/>
      <w:r w:rsidRPr="00212457">
        <w:rPr>
          <w:rFonts w:eastAsiaTheme="minorEastAsia"/>
          <w:sz w:val="24"/>
          <w:szCs w:val="24"/>
        </w:rPr>
        <w:t>Paratebueno</w:t>
      </w:r>
      <w:proofErr w:type="spellEnd"/>
      <w:r w:rsidRPr="00212457">
        <w:rPr>
          <w:rFonts w:eastAsiaTheme="minorEastAsia"/>
          <w:sz w:val="24"/>
          <w:szCs w:val="24"/>
        </w:rPr>
        <w:t xml:space="preserve"> y Medina, se ejecutó de manera ordenada y alineada con lo dispuesto en la Ley 1523 de 2012. Se constató que, aunque el sismo fue un evento natural súbito e impredecible, los Consejos Municipales de Gestión del Riesgo de Desastres reaccionaron el mismo día, analizaron los daños, reconocieron la insuficiencia de la capacidad local y respaldaron las declaratorias consignadas en el Decreto 131 de 2025, mediante el cual se declaró la calamidad pública en el departamento y se ordenó la elaboración del PAE, la definición de responsabilidades, la activación de herramientas especiales de contratación y la organización del registro de damnificados.</w:t>
      </w:r>
    </w:p>
    <w:p w:rsidRPr="00212457" w:rsidR="00C90292" w:rsidP="007A4EB4" w:rsidRDefault="00C90292" w14:paraId="65C21C44" w14:textId="77777777">
      <w:pPr>
        <w:spacing w:line="240" w:lineRule="auto"/>
        <w:rPr>
          <w:rFonts w:eastAsiaTheme="minorEastAsia"/>
          <w:sz w:val="24"/>
          <w:szCs w:val="24"/>
        </w:rPr>
      </w:pPr>
    </w:p>
    <w:p w:rsidRPr="00212457" w:rsidR="007A4EB4" w:rsidP="007A4EB4" w:rsidRDefault="007A4EB4" w14:paraId="0060ED04" w14:textId="4FFE319C">
      <w:pPr>
        <w:spacing w:line="240" w:lineRule="auto"/>
        <w:rPr>
          <w:rFonts w:eastAsiaTheme="minorEastAsia"/>
          <w:sz w:val="24"/>
          <w:szCs w:val="24"/>
        </w:rPr>
      </w:pPr>
      <w:r w:rsidRPr="00212457">
        <w:rPr>
          <w:rFonts w:eastAsiaTheme="minorEastAsia"/>
          <w:sz w:val="24"/>
          <w:szCs w:val="24"/>
        </w:rPr>
        <w:t xml:space="preserve">En </w:t>
      </w:r>
      <w:proofErr w:type="spellStart"/>
      <w:r w:rsidRPr="00212457">
        <w:rPr>
          <w:rFonts w:eastAsiaTheme="minorEastAsia"/>
          <w:sz w:val="24"/>
          <w:szCs w:val="24"/>
        </w:rPr>
        <w:t>Paratebueno</w:t>
      </w:r>
      <w:proofErr w:type="spellEnd"/>
      <w:r w:rsidRPr="00212457">
        <w:rPr>
          <w:rFonts w:eastAsiaTheme="minorEastAsia"/>
          <w:sz w:val="24"/>
          <w:szCs w:val="24"/>
        </w:rPr>
        <w:t xml:space="preserve"> se evidenció una Evaluación de Daños y Análisis de Necesidades (EDAN) formal, diligenciada en el formato nacional FR 1703 SMD 09, mientras que en Medina se identificaron actas y reportes del Consejo Municipal de Gestión del Riesgo y del Puesto de Mando Unificado con una descripción detallada de daños y medidas iniciales. Esto permite concluir que el EDAN se realizó en ambos municipios, con un mayor nivel de formalización y estructura en </w:t>
      </w:r>
      <w:proofErr w:type="spellStart"/>
      <w:r w:rsidRPr="00212457">
        <w:rPr>
          <w:rFonts w:eastAsiaTheme="minorEastAsia"/>
          <w:sz w:val="24"/>
          <w:szCs w:val="24"/>
        </w:rPr>
        <w:t>Paratebueno</w:t>
      </w:r>
      <w:proofErr w:type="spellEnd"/>
      <w:r w:rsidRPr="00212457">
        <w:rPr>
          <w:rFonts w:eastAsiaTheme="minorEastAsia"/>
          <w:sz w:val="24"/>
          <w:szCs w:val="24"/>
        </w:rPr>
        <w:t xml:space="preserve"> y un enfoque más descriptivo en Medina. A nivel departamental, el Consejo Departamental de Gestión del Riesgo documentó, mediante las actas 078 del 8 de junio de 2025 y 080 de los días 29 y 31 de julio de 2025, una primera sesión extraordinaria para revisar la magnitud del daño y la capacidad de respuesta del territorio, y una sesión posterior en la que se presenta, discute y aprueba el PAE departamental para </w:t>
      </w:r>
      <w:proofErr w:type="spellStart"/>
      <w:r w:rsidRPr="00212457">
        <w:rPr>
          <w:rFonts w:eastAsiaTheme="minorEastAsia"/>
          <w:sz w:val="24"/>
          <w:szCs w:val="24"/>
        </w:rPr>
        <w:t>Paratebueno</w:t>
      </w:r>
      <w:proofErr w:type="spellEnd"/>
      <w:r w:rsidRPr="00212457">
        <w:rPr>
          <w:rFonts w:eastAsiaTheme="minorEastAsia"/>
          <w:sz w:val="24"/>
          <w:szCs w:val="24"/>
        </w:rPr>
        <w:t xml:space="preserve"> y Medina, con amplia participación interinstitucional y discusión de sus componentes principales.</w:t>
      </w:r>
    </w:p>
    <w:p w:rsidRPr="00212457" w:rsidR="00B22C90" w:rsidP="007A4EB4" w:rsidRDefault="00B22C90" w14:paraId="674EC5AC" w14:textId="77777777">
      <w:pPr>
        <w:spacing w:line="240" w:lineRule="auto"/>
        <w:rPr>
          <w:rFonts w:eastAsiaTheme="minorEastAsia"/>
          <w:sz w:val="24"/>
          <w:szCs w:val="24"/>
        </w:rPr>
      </w:pPr>
    </w:p>
    <w:p w:rsidRPr="00212457" w:rsidR="007A4EB4" w:rsidP="0ED4F347" w:rsidRDefault="007A4EB4" w14:paraId="1828C774" w14:textId="09CC54B5">
      <w:pPr>
        <w:spacing w:line="240" w:lineRule="auto"/>
        <w:rPr>
          <w:rFonts w:eastAsia="" w:eastAsiaTheme="minorEastAsia"/>
          <w:sz w:val="24"/>
          <w:szCs w:val="24"/>
        </w:rPr>
      </w:pPr>
      <w:r w:rsidRPr="0ED4F347" w:rsidR="6AB5B21B">
        <w:rPr>
          <w:rFonts w:eastAsia="" w:eastAsiaTheme="minorEastAsia"/>
          <w:sz w:val="24"/>
          <w:szCs w:val="24"/>
        </w:rPr>
        <w:t xml:space="preserve">El PAE, elaborado en el formato FR 1703 SMD 11, se encontró estructurado en fases de recuperación temprana y reconstrucción, organizado por sectores, con responsables institucionales definidos, cronograma hasta 2027 y un presupuesto total cercano a $194.128 millones, financiado con recursos municipales, departamentales, nacionales y privados, cumpliendo su función como </w:t>
      </w:r>
      <w:r w:rsidRPr="0ED4F347" w:rsidR="6AB5B21B">
        <w:rPr>
          <w:rFonts w:eastAsia="" w:eastAsiaTheme="minorEastAsia"/>
          <w:sz w:val="24"/>
          <w:szCs w:val="24"/>
        </w:rPr>
        <w:t xml:space="preserve">instrumento de planificación de la rehabilitación y la reconstrucción. </w:t>
      </w:r>
    </w:p>
    <w:p w:rsidRPr="00212457" w:rsidR="007A4EB4" w:rsidP="0ED4F347" w:rsidRDefault="007A4EB4" w14:paraId="2C56BC3A" w14:textId="6A6379C9">
      <w:pPr>
        <w:spacing w:line="240" w:lineRule="auto"/>
        <w:rPr>
          <w:rFonts w:eastAsia="" w:eastAsiaTheme="minorEastAsia"/>
          <w:sz w:val="24"/>
          <w:szCs w:val="24"/>
        </w:rPr>
      </w:pPr>
    </w:p>
    <w:p w:rsidRPr="00212457" w:rsidR="007A4EB4" w:rsidP="0ED4F347" w:rsidRDefault="007A4EB4" w14:paraId="21716209" w14:textId="64AB34B5">
      <w:pPr>
        <w:spacing w:line="240" w:lineRule="auto"/>
        <w:rPr>
          <w:rFonts w:eastAsia="" w:eastAsiaTheme="minorEastAsia"/>
          <w:sz w:val="24"/>
          <w:szCs w:val="24"/>
        </w:rPr>
      </w:pPr>
      <w:r w:rsidRPr="0ED4F347" w:rsidR="6AB5B21B">
        <w:rPr>
          <w:rFonts w:eastAsia="" w:eastAsiaTheme="minorEastAsia"/>
          <w:sz w:val="24"/>
          <w:szCs w:val="24"/>
        </w:rPr>
        <w:t>Asimismo, se evidenció que la Secretaría de Prospectiva e Integración Territorial realiza seguimiento al PAE mediante informes de avance físico y financiero, y que el Decreto 388 de 2025 prorrogó la calamidad pública declarada en el Decreto 131 de 2025, con base en concepto del Consejo Departamental de Gestión del Riesgo, manteniendo la vigencia del régimen especial y del PAE mientras no se restablezcan las condiciones de normalidad.</w:t>
      </w:r>
    </w:p>
    <w:p w:rsidRPr="00212457" w:rsidR="00B22C90" w:rsidP="007A4EB4" w:rsidRDefault="00B22C90" w14:paraId="75F3EEC0" w14:textId="77777777">
      <w:pPr>
        <w:spacing w:line="240" w:lineRule="auto"/>
        <w:rPr>
          <w:rFonts w:eastAsiaTheme="minorEastAsia"/>
          <w:sz w:val="24"/>
          <w:szCs w:val="24"/>
        </w:rPr>
      </w:pPr>
    </w:p>
    <w:p w:rsidRPr="00212457" w:rsidR="007A4EB4" w:rsidP="007A4EB4" w:rsidRDefault="007A4EB4" w14:paraId="15CAC184" w14:textId="540243E8">
      <w:pPr>
        <w:spacing w:line="240" w:lineRule="auto"/>
        <w:rPr>
          <w:rFonts w:eastAsiaTheme="minorEastAsia"/>
          <w:sz w:val="24"/>
          <w:szCs w:val="24"/>
        </w:rPr>
      </w:pPr>
      <w:r w:rsidRPr="00212457">
        <w:rPr>
          <w:rFonts w:eastAsiaTheme="minorEastAsia"/>
          <w:sz w:val="24"/>
          <w:szCs w:val="24"/>
        </w:rPr>
        <w:t>En síntesis, el procedimiento aplicado alrededor del PAE muestra una cadena completa que inicia con la activación oportuna de la estrategia de respuesta y las declaratorias de calamidad, continúa con la evaluación de daños y la formulación y aprobación del plan, y se proyecta hacia su implementación y seguimiento. Ello evidencia un esfuerzo significativo de coordinación institucional y de uso de los instrumentos previstos en la normativa vigente, tales como las declaratorias de calamidad pública, la elaboración y aprobación del Plan de Acción Específico (PAE), la aplicación de los formatos nacionales EDAN (FR 1703 SMD 09 y FR 1703 SMD 11), y los mecanismos especiales de contratación y de registro de damnificados contemplados en la Ley 1523 de 2012, así como controles eficaces, entre ellos la adecuada segregación de responsabilidades: el Comité/Consejo Departamental de Gestión del Riesgo aprueba y orienta el PAE, mientras que la Secretaría de Prospectiva e Integración Territorial realiza su seguimiento.</w:t>
      </w:r>
    </w:p>
    <w:p w:rsidRPr="00212457" w:rsidR="00471BDE" w:rsidP="007A4EB4" w:rsidRDefault="00471BDE" w14:paraId="0FD96369" w14:textId="77777777">
      <w:pPr>
        <w:spacing w:line="240" w:lineRule="auto"/>
        <w:rPr>
          <w:rFonts w:eastAsiaTheme="minorEastAsia"/>
          <w:sz w:val="24"/>
          <w:szCs w:val="24"/>
        </w:rPr>
      </w:pPr>
    </w:p>
    <w:p w:rsidRPr="00212457" w:rsidR="007A4EB4" w:rsidP="007A4EB4" w:rsidRDefault="007A4EB4" w14:paraId="1E6EA5FE" w14:textId="3C011041">
      <w:pPr>
        <w:spacing w:line="240" w:lineRule="auto"/>
        <w:rPr>
          <w:rFonts w:eastAsiaTheme="minorEastAsia"/>
          <w:sz w:val="24"/>
          <w:szCs w:val="24"/>
        </w:rPr>
      </w:pPr>
      <w:r w:rsidRPr="1C3D137E">
        <w:rPr>
          <w:rFonts w:eastAsiaTheme="minorEastAsia"/>
          <w:sz w:val="24"/>
          <w:szCs w:val="24"/>
        </w:rPr>
        <w:t>En términos de resultados por actividad, se observa que la actividad 3 presenta un cumplimiento parcial.</w:t>
      </w:r>
    </w:p>
    <w:p w:rsidR="1C3D137E" w:rsidP="1C3D137E" w:rsidRDefault="1C3D137E" w14:paraId="13F66E64" w14:textId="261058ED">
      <w:pPr>
        <w:spacing w:line="240" w:lineRule="auto"/>
        <w:rPr>
          <w:rFonts w:eastAsiaTheme="minorEastAsia"/>
          <w:sz w:val="24"/>
          <w:szCs w:val="24"/>
        </w:rPr>
      </w:pPr>
    </w:p>
    <w:p w:rsidRPr="00212457" w:rsidR="007A4EB4" w:rsidP="007A4EB4" w:rsidRDefault="007A4EB4" w14:paraId="15E2CE3A" w14:textId="77777777">
      <w:pPr>
        <w:spacing w:line="240" w:lineRule="auto"/>
        <w:rPr>
          <w:rFonts w:eastAsiaTheme="minorEastAsia"/>
          <w:sz w:val="24"/>
          <w:szCs w:val="24"/>
        </w:rPr>
      </w:pPr>
      <w:r w:rsidRPr="0ED4F347" w:rsidR="6AB5B21B">
        <w:rPr>
          <w:rFonts w:eastAsia="" w:eastAsiaTheme="minorEastAsia"/>
          <w:sz w:val="24"/>
          <w:szCs w:val="24"/>
        </w:rPr>
        <w:t>De acuerdo con el criterio definido para valorar el cumplimiento del procedimiento, el resultado global obtenido es del 94%, lo que lleva a calificar la aplicación del procedimiento de atención de emergencias como cumple.</w:t>
      </w:r>
    </w:p>
    <w:p w:rsidR="0ED4F347" w:rsidP="0ED4F347" w:rsidRDefault="0ED4F347" w14:paraId="2B3FB078" w14:textId="1BAE1FD3">
      <w:pPr>
        <w:pStyle w:val="Normal"/>
        <w:spacing w:line="240" w:lineRule="auto"/>
        <w:rPr>
          <w:rFonts w:eastAsia="" w:eastAsiaTheme="minorEastAsia"/>
          <w:sz w:val="24"/>
          <w:szCs w:val="24"/>
        </w:rPr>
      </w:pPr>
    </w:p>
    <w:p w:rsidR="6AB5B21B" w:rsidP="0ED4F347" w:rsidRDefault="6AB5B21B" w14:paraId="1C0230A5" w14:textId="34A6CF54">
      <w:pPr>
        <w:pStyle w:val="Ttulo30"/>
        <w:rPr>
          <w:rFonts w:eastAsia="" w:eastAsiaTheme="minorEastAsia"/>
          <w:b w:val="0"/>
          <w:bCs w:val="0"/>
          <w:sz w:val="24"/>
          <w:szCs w:val="24"/>
        </w:rPr>
      </w:pPr>
      <w:bookmarkStart w:name="_Toc227164181" w:id="59"/>
      <w:r w:rsidRPr="0ED4F347" w:rsidR="6AB5B21B">
        <w:rPr>
          <w:rFonts w:eastAsia="" w:eastAsiaTheme="minorEastAsia"/>
          <w:sz w:val="24"/>
          <w:szCs w:val="24"/>
        </w:rPr>
        <w:t xml:space="preserve">Resultados: </w:t>
      </w:r>
      <w:r w:rsidRPr="0ED4F347" w:rsidR="6AB5B21B">
        <w:rPr>
          <w:rFonts w:eastAsia="" w:eastAsiaTheme="minorEastAsia"/>
          <w:b w:val="0"/>
          <w:bCs w:val="0"/>
          <w:sz w:val="24"/>
          <w:szCs w:val="24"/>
        </w:rPr>
        <w:t>Procedimiento de Coordinación Interinstitucional (M</w:t>
      </w:r>
      <w:r w:rsidRPr="0ED4F347" w:rsidR="6AB5B21B">
        <w:rPr>
          <w:rFonts w:eastAsia="" w:eastAsiaTheme="minorEastAsia"/>
          <w:b w:val="0"/>
          <w:bCs w:val="0"/>
          <w:sz w:val="24"/>
          <w:szCs w:val="24"/>
        </w:rPr>
        <w:t>FT</w:t>
      </w:r>
      <w:r w:rsidRPr="0ED4F347" w:rsidR="6AB5B21B">
        <w:rPr>
          <w:rFonts w:eastAsia="" w:eastAsiaTheme="minorEastAsia"/>
          <w:b w:val="0"/>
          <w:bCs w:val="0"/>
          <w:sz w:val="24"/>
          <w:szCs w:val="24"/>
        </w:rPr>
        <w:t>PR</w:t>
      </w:r>
      <w:r w:rsidRPr="0ED4F347" w:rsidR="6AB5B21B">
        <w:rPr>
          <w:rFonts w:eastAsia="" w:eastAsiaTheme="minorEastAsia"/>
          <w:b w:val="0"/>
          <w:bCs w:val="0"/>
          <w:sz w:val="24"/>
          <w:szCs w:val="24"/>
        </w:rPr>
        <w:t>006)</w:t>
      </w:r>
      <w:bookmarkEnd w:id="59"/>
    </w:p>
    <w:p w:rsidR="0ED4F347" w:rsidP="0ED4F347" w:rsidRDefault="0ED4F347" w14:paraId="5755D6C9" w14:textId="349E9900">
      <w:pPr>
        <w:pStyle w:val="Normal"/>
      </w:pPr>
    </w:p>
    <w:p w:rsidRPr="00413D1D" w:rsidR="007A4EB4" w:rsidP="0ED4F347" w:rsidRDefault="007A4EB4" w14:paraId="750ADA72" w14:textId="734844B9">
      <w:pPr>
        <w:spacing w:line="240" w:lineRule="auto"/>
        <w:rPr>
          <w:rFonts w:ascii="Arial" w:hAnsi="Arial" w:eastAsia="Arial" w:cs="Arial"/>
          <w:b w:val="0"/>
          <w:bCs w:val="0"/>
          <w:i w:val="0"/>
          <w:iCs w:val="0"/>
          <w:color w:val="auto" w:themeColor="text2"/>
          <w:sz w:val="24"/>
          <w:szCs w:val="24"/>
        </w:rPr>
      </w:pPr>
      <w:r w:rsidRPr="0ED4F347" w:rsidR="6AB5B21B">
        <w:rPr>
          <w:rFonts w:ascii="Arial" w:hAnsi="Arial" w:eastAsia="Arial" w:cs="Arial"/>
          <w:b w:val="0"/>
          <w:bCs w:val="0"/>
          <w:i w:val="0"/>
          <w:iCs w:val="0"/>
          <w:color w:val="auto"/>
          <w:sz w:val="24"/>
          <w:szCs w:val="24"/>
        </w:rPr>
        <w:t xml:space="preserve">Tabla </w:t>
      </w:r>
      <w:r w:rsidRPr="0ED4F347" w:rsidR="764430EF">
        <w:rPr>
          <w:rFonts w:ascii="Arial" w:hAnsi="Arial" w:eastAsia="Arial" w:cs="Arial"/>
          <w:b w:val="0"/>
          <w:bCs w:val="0"/>
          <w:i w:val="0"/>
          <w:iCs w:val="0"/>
          <w:color w:val="auto"/>
          <w:sz w:val="24"/>
          <w:szCs w:val="24"/>
        </w:rPr>
        <w:t>6</w:t>
      </w:r>
      <w:r w:rsidRPr="0ED4F347" w:rsidR="6AB5B21B">
        <w:rPr>
          <w:rFonts w:ascii="Arial" w:hAnsi="Arial" w:eastAsia="Arial" w:cs="Arial"/>
          <w:b w:val="0"/>
          <w:bCs w:val="0"/>
          <w:i w:val="0"/>
          <w:iCs w:val="0"/>
          <w:color w:val="auto"/>
          <w:sz w:val="24"/>
          <w:szCs w:val="24"/>
        </w:rPr>
        <w:t xml:space="preserve">. Resultados: Procedimiento </w:t>
      </w:r>
      <w:r w:rsidRPr="0ED4F347" w:rsidR="6AB5B21B">
        <w:rPr>
          <w:rFonts w:ascii="Arial" w:hAnsi="Arial" w:eastAsia="Arial" w:cs="Arial"/>
          <w:b w:val="0"/>
          <w:bCs w:val="0"/>
          <w:i w:val="0"/>
          <w:iCs w:val="0"/>
          <w:color w:val="auto"/>
          <w:sz w:val="24"/>
          <w:szCs w:val="24"/>
        </w:rPr>
        <w:t>de Coordinación Interinstitucional (M</w:t>
      </w:r>
      <w:r w:rsidRPr="0ED4F347" w:rsidR="6AB5B21B">
        <w:rPr>
          <w:rFonts w:ascii="Cambria Math" w:hAnsi="Cambria Math" w:eastAsia="Aptos" w:cs="Cambria Math"/>
          <w:i w:val="1"/>
          <w:iCs w:val="1"/>
          <w:color w:val="44546A" w:themeColor="text2" w:themeTint="FF" w:themeShade="FF"/>
          <w:sz w:val="18"/>
          <w:szCs w:val="18"/>
        </w:rPr>
        <w:t>￼</w:t>
      </w:r>
      <w:r w:rsidRPr="0ED4F347" w:rsidR="6AB5B21B">
        <w:rPr>
          <w:rFonts w:ascii="Arial" w:hAnsi="Arial" w:eastAsia="Arial" w:cs="Arial"/>
          <w:b w:val="0"/>
          <w:bCs w:val="0"/>
          <w:i w:val="0"/>
          <w:iCs w:val="0"/>
          <w:color w:val="auto"/>
          <w:sz w:val="24"/>
          <w:szCs w:val="24"/>
        </w:rPr>
        <w:t>FT</w:t>
      </w:r>
      <w:r w:rsidRPr="0ED4F347" w:rsidR="6AB5B21B">
        <w:rPr>
          <w:rFonts w:ascii="Cambria Math" w:hAnsi="Cambria Math" w:eastAsia="Aptos" w:cs="Cambria Math"/>
          <w:i w:val="1"/>
          <w:iCs w:val="1"/>
          <w:color w:val="44546A" w:themeColor="text2" w:themeTint="FF" w:themeShade="FF"/>
          <w:sz w:val="18"/>
          <w:szCs w:val="18"/>
        </w:rPr>
        <w:t>￼</w:t>
      </w:r>
      <w:r w:rsidRPr="0ED4F347" w:rsidR="6AB5B21B">
        <w:rPr>
          <w:rFonts w:ascii="Arial" w:hAnsi="Arial" w:eastAsia="Arial" w:cs="Arial"/>
          <w:b w:val="0"/>
          <w:bCs w:val="0"/>
          <w:i w:val="0"/>
          <w:iCs w:val="0"/>
          <w:color w:val="auto"/>
          <w:sz w:val="24"/>
          <w:szCs w:val="24"/>
        </w:rPr>
        <w:t>PR</w:t>
      </w:r>
      <w:r w:rsidRPr="0ED4F347" w:rsidR="6AB5B21B">
        <w:rPr>
          <w:rFonts w:ascii="Cambria Math" w:hAnsi="Cambria Math" w:eastAsia="Aptos" w:cs="Cambria Math"/>
          <w:i w:val="1"/>
          <w:iCs w:val="1"/>
          <w:color w:val="44546A" w:themeColor="text2" w:themeTint="FF" w:themeShade="FF"/>
          <w:sz w:val="18"/>
          <w:szCs w:val="18"/>
        </w:rPr>
        <w:t>￼</w:t>
      </w:r>
      <w:r w:rsidRPr="0ED4F347" w:rsidR="6AB5B21B">
        <w:rPr>
          <w:rFonts w:ascii="Arial" w:hAnsi="Arial" w:eastAsia="Arial" w:cs="Arial"/>
          <w:b w:val="0"/>
          <w:bCs w:val="0"/>
          <w:i w:val="0"/>
          <w:iCs w:val="0"/>
          <w:color w:val="auto"/>
          <w:sz w:val="24"/>
          <w:szCs w:val="24"/>
        </w:rPr>
        <w:t>006)</w:t>
      </w:r>
    </w:p>
    <w:tbl>
      <w:tblPr>
        <w:tblW w:w="0" w:type="auto"/>
        <w:tblInd w:w="90" w:type="dxa"/>
        <w:tblLook w:val="04A0" w:firstRow="1" w:lastRow="0" w:firstColumn="1" w:lastColumn="0" w:noHBand="0" w:noVBand="1"/>
      </w:tblPr>
      <w:tblGrid>
        <w:gridCol w:w="1039"/>
        <w:gridCol w:w="7225"/>
        <w:gridCol w:w="958"/>
        <w:gridCol w:w="1207"/>
      </w:tblGrid>
      <w:tr w:rsidRPr="00413D1D" w:rsidR="007A4EB4" w:rsidTr="0ED4F347" w14:paraId="6C27AAC0" w14:textId="77777777">
        <w:trPr>
          <w:trHeight w:val="705"/>
        </w:trPr>
        <w:tc>
          <w:tcPr>
            <w:tcW w:w="1039" w:type="dxa"/>
            <w:tcBorders>
              <w:top w:val="single" w:color="auto" w:sz="8" w:space="0"/>
              <w:left w:val="single" w:color="auto" w:sz="8" w:space="0"/>
              <w:bottom w:val="single" w:color="auto" w:sz="8" w:space="0"/>
              <w:right w:val="single" w:color="auto" w:sz="8" w:space="0"/>
            </w:tcBorders>
            <w:shd w:val="clear" w:color="auto" w:fill="DDEBF7"/>
            <w:tcMar>
              <w:left w:w="70" w:type="dxa"/>
              <w:right w:w="70" w:type="dxa"/>
            </w:tcMar>
            <w:vAlign w:val="center"/>
          </w:tcPr>
          <w:p w:rsidRPr="00413D1D" w:rsidR="007A4EB4" w:rsidP="006E48B1" w:rsidRDefault="007A4EB4" w14:paraId="3C6B484B" w14:textId="77777777">
            <w:pPr>
              <w:spacing w:line="240" w:lineRule="auto"/>
              <w:jc w:val="center"/>
            </w:pPr>
            <w:r w:rsidRPr="00413D1D">
              <w:rPr>
                <w:rFonts w:eastAsia="Aptos"/>
                <w:b/>
                <w:bCs/>
                <w:color w:val="000000" w:themeColor="text1"/>
                <w:sz w:val="16"/>
                <w:szCs w:val="16"/>
              </w:rPr>
              <w:t>Actividades flujograma</w:t>
            </w:r>
          </w:p>
        </w:tc>
        <w:tc>
          <w:tcPr>
            <w:tcW w:w="7225" w:type="dxa"/>
            <w:tcBorders>
              <w:top w:val="single" w:color="auto" w:sz="8" w:space="0"/>
              <w:left w:val="single" w:color="auto" w:sz="8" w:space="0"/>
              <w:bottom w:val="single" w:color="auto" w:sz="8" w:space="0"/>
              <w:right w:val="single" w:color="auto" w:sz="8" w:space="0"/>
            </w:tcBorders>
            <w:shd w:val="clear" w:color="auto" w:fill="DDEBF7"/>
            <w:tcMar>
              <w:left w:w="70" w:type="dxa"/>
              <w:right w:w="70" w:type="dxa"/>
            </w:tcMar>
            <w:vAlign w:val="center"/>
          </w:tcPr>
          <w:p w:rsidRPr="00413D1D" w:rsidR="007A4EB4" w:rsidP="006E48B1" w:rsidRDefault="007A4EB4" w14:paraId="7AC128E7" w14:textId="77777777">
            <w:pPr>
              <w:spacing w:line="240" w:lineRule="auto"/>
              <w:jc w:val="center"/>
            </w:pPr>
            <w:r w:rsidRPr="00413D1D">
              <w:rPr>
                <w:rFonts w:eastAsia="Aptos"/>
                <w:b/>
                <w:bCs/>
                <w:color w:val="000000" w:themeColor="text1"/>
                <w:sz w:val="16"/>
                <w:szCs w:val="16"/>
              </w:rPr>
              <w:t>Fase del procedimiento</w:t>
            </w:r>
          </w:p>
        </w:tc>
        <w:tc>
          <w:tcPr>
            <w:tcW w:w="958" w:type="dxa"/>
            <w:tcBorders>
              <w:top w:val="single" w:color="auto" w:sz="8" w:space="0"/>
              <w:left w:val="single" w:color="auto" w:sz="8" w:space="0"/>
              <w:bottom w:val="single" w:color="auto" w:sz="8" w:space="0"/>
              <w:right w:val="single" w:color="auto" w:sz="8" w:space="0"/>
            </w:tcBorders>
            <w:shd w:val="clear" w:color="auto" w:fill="DDEBF7"/>
            <w:tcMar>
              <w:left w:w="70" w:type="dxa"/>
              <w:right w:w="70" w:type="dxa"/>
            </w:tcMar>
            <w:vAlign w:val="center"/>
          </w:tcPr>
          <w:p w:rsidRPr="00413D1D" w:rsidR="007A4EB4" w:rsidP="006E48B1" w:rsidRDefault="007A4EB4" w14:paraId="5F4B26F1" w14:textId="77777777">
            <w:pPr>
              <w:spacing w:line="240" w:lineRule="auto"/>
              <w:jc w:val="center"/>
            </w:pPr>
            <w:r w:rsidRPr="00413D1D">
              <w:rPr>
                <w:rFonts w:eastAsia="Aptos"/>
                <w:b/>
                <w:bCs/>
                <w:color w:val="000000" w:themeColor="text1"/>
                <w:sz w:val="16"/>
                <w:szCs w:val="16"/>
              </w:rPr>
              <w:t>Puntaje Obtenido</w:t>
            </w:r>
          </w:p>
        </w:tc>
        <w:tc>
          <w:tcPr>
            <w:tcW w:w="1207" w:type="dxa"/>
            <w:tcBorders>
              <w:top w:val="single" w:color="auto" w:sz="8" w:space="0"/>
              <w:left w:val="single" w:color="auto" w:sz="8" w:space="0"/>
              <w:bottom w:val="single" w:color="auto" w:sz="8" w:space="0"/>
              <w:right w:val="single" w:color="auto" w:sz="8" w:space="0"/>
            </w:tcBorders>
            <w:shd w:val="clear" w:color="auto" w:fill="DDEBF7"/>
            <w:tcMar>
              <w:left w:w="70" w:type="dxa"/>
              <w:right w:w="70" w:type="dxa"/>
            </w:tcMar>
            <w:vAlign w:val="center"/>
          </w:tcPr>
          <w:p w:rsidRPr="00413D1D" w:rsidR="007A4EB4" w:rsidP="006E48B1" w:rsidRDefault="007A4EB4" w14:paraId="6121E3A9" w14:textId="77777777">
            <w:pPr>
              <w:spacing w:line="240" w:lineRule="auto"/>
              <w:jc w:val="center"/>
            </w:pPr>
            <w:r w:rsidRPr="00413D1D">
              <w:rPr>
                <w:rFonts w:eastAsia="Aptos"/>
                <w:b/>
                <w:bCs/>
                <w:color w:val="000000" w:themeColor="text1"/>
                <w:sz w:val="16"/>
                <w:szCs w:val="16"/>
              </w:rPr>
              <w:t>Nivel de Cumplimiento</w:t>
            </w:r>
          </w:p>
        </w:tc>
      </w:tr>
      <w:tr w:rsidRPr="00413D1D" w:rsidR="007A4EB4" w:rsidTr="0ED4F347" w14:paraId="15801D9E" w14:textId="77777777">
        <w:trPr>
          <w:trHeight w:val="240"/>
        </w:trPr>
        <w:tc>
          <w:tcPr>
            <w:tcW w:w="103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48CE7838" w14:textId="77777777">
            <w:pPr>
              <w:spacing w:line="240" w:lineRule="auto"/>
              <w:jc w:val="center"/>
            </w:pPr>
            <w:r w:rsidRPr="00413D1D">
              <w:rPr>
                <w:rFonts w:eastAsia="Aptos"/>
                <w:color w:val="000000" w:themeColor="text1"/>
                <w:sz w:val="16"/>
                <w:szCs w:val="16"/>
              </w:rPr>
              <w:t>1</w:t>
            </w:r>
          </w:p>
        </w:tc>
        <w:tc>
          <w:tcPr>
            <w:tcW w:w="722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33E6C88C" w14:textId="77777777">
            <w:pPr>
              <w:spacing w:line="240" w:lineRule="auto"/>
            </w:pPr>
            <w:r w:rsidRPr="00413D1D">
              <w:rPr>
                <w:rFonts w:eastAsia="Aptos"/>
                <w:color w:val="000000" w:themeColor="text1"/>
                <w:sz w:val="16"/>
                <w:szCs w:val="16"/>
              </w:rPr>
              <w:t>Inicio</w:t>
            </w:r>
          </w:p>
        </w:tc>
        <w:tc>
          <w:tcPr>
            <w:tcW w:w="95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37A87249" w14:textId="77777777">
            <w:pPr>
              <w:spacing w:line="240" w:lineRule="auto"/>
            </w:pPr>
            <w:r w:rsidRPr="00413D1D">
              <w:rPr>
                <w:rFonts w:eastAsia="Aptos"/>
                <w:color w:val="000000" w:themeColor="text1"/>
                <w:sz w:val="16"/>
                <w:szCs w:val="16"/>
              </w:rPr>
              <w:t xml:space="preserve"> </w:t>
            </w:r>
          </w:p>
        </w:tc>
        <w:tc>
          <w:tcPr>
            <w:tcW w:w="120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543522AD" w14:textId="77777777">
            <w:pPr>
              <w:spacing w:line="240" w:lineRule="auto"/>
            </w:pPr>
            <w:r w:rsidRPr="00413D1D">
              <w:rPr>
                <w:rFonts w:eastAsia="Aptos"/>
                <w:color w:val="000000" w:themeColor="text1"/>
                <w:sz w:val="16"/>
                <w:szCs w:val="16"/>
              </w:rPr>
              <w:t xml:space="preserve"> </w:t>
            </w:r>
          </w:p>
        </w:tc>
      </w:tr>
      <w:tr w:rsidRPr="00413D1D" w:rsidR="007A4EB4" w:rsidTr="0ED4F347" w14:paraId="2C3DA0A6" w14:textId="77777777">
        <w:trPr>
          <w:trHeight w:val="465"/>
        </w:trPr>
        <w:tc>
          <w:tcPr>
            <w:tcW w:w="103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6EFCF6E9" w14:textId="77777777">
            <w:pPr>
              <w:spacing w:line="240" w:lineRule="auto"/>
              <w:jc w:val="center"/>
            </w:pPr>
            <w:r w:rsidRPr="00413D1D">
              <w:rPr>
                <w:rFonts w:eastAsia="Aptos"/>
                <w:color w:val="000000" w:themeColor="text1"/>
                <w:sz w:val="16"/>
                <w:szCs w:val="16"/>
              </w:rPr>
              <w:t>2</w:t>
            </w:r>
          </w:p>
        </w:tc>
        <w:tc>
          <w:tcPr>
            <w:tcW w:w="722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7999318A" w14:textId="77777777">
            <w:pPr>
              <w:spacing w:line="240" w:lineRule="auto"/>
            </w:pPr>
            <w:r w:rsidRPr="00413D1D">
              <w:rPr>
                <w:rFonts w:eastAsia="Aptos"/>
                <w:color w:val="000000" w:themeColor="text1"/>
                <w:sz w:val="16"/>
                <w:szCs w:val="16"/>
              </w:rPr>
              <w:t>Convocar Comité temático teniendo en cuenta los lineamientos generales para el funcionamiento de los comités</w:t>
            </w:r>
          </w:p>
        </w:tc>
        <w:tc>
          <w:tcPr>
            <w:tcW w:w="95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050E86BA" w14:textId="77777777">
            <w:pPr>
              <w:spacing w:line="240" w:lineRule="auto"/>
              <w:jc w:val="center"/>
            </w:pPr>
            <w:r w:rsidRPr="00413D1D">
              <w:rPr>
                <w:rFonts w:eastAsia="Aptos"/>
                <w:color w:val="000000" w:themeColor="text1"/>
                <w:sz w:val="16"/>
                <w:szCs w:val="16"/>
              </w:rPr>
              <w:t>2</w:t>
            </w:r>
          </w:p>
        </w:tc>
        <w:tc>
          <w:tcPr>
            <w:tcW w:w="120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19535056" w14:textId="77777777">
            <w:pPr>
              <w:spacing w:line="240" w:lineRule="auto"/>
            </w:pPr>
            <w:r w:rsidRPr="00413D1D">
              <w:rPr>
                <w:rFonts w:eastAsia="Aptos"/>
                <w:color w:val="000000" w:themeColor="text1"/>
                <w:sz w:val="16"/>
                <w:szCs w:val="16"/>
              </w:rPr>
              <w:t xml:space="preserve">Cumple  </w:t>
            </w:r>
          </w:p>
        </w:tc>
      </w:tr>
      <w:tr w:rsidRPr="00413D1D" w:rsidR="007A4EB4" w:rsidTr="0ED4F347" w14:paraId="399341ED" w14:textId="77777777">
        <w:trPr>
          <w:trHeight w:val="705"/>
        </w:trPr>
        <w:tc>
          <w:tcPr>
            <w:tcW w:w="103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5348DCFD" w14:textId="77777777">
            <w:pPr>
              <w:spacing w:line="240" w:lineRule="auto"/>
              <w:jc w:val="center"/>
            </w:pPr>
            <w:r w:rsidRPr="00413D1D">
              <w:rPr>
                <w:rFonts w:eastAsia="Aptos"/>
                <w:color w:val="000000" w:themeColor="text1"/>
                <w:sz w:val="16"/>
                <w:szCs w:val="16"/>
              </w:rPr>
              <w:t>3</w:t>
            </w:r>
          </w:p>
        </w:tc>
        <w:tc>
          <w:tcPr>
            <w:tcW w:w="722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2D52CA33" w14:textId="77777777">
            <w:pPr>
              <w:spacing w:line="240" w:lineRule="auto"/>
            </w:pPr>
            <w:r w:rsidRPr="00413D1D">
              <w:rPr>
                <w:rFonts w:eastAsia="Aptos"/>
                <w:color w:val="000000" w:themeColor="text1"/>
                <w:sz w:val="16"/>
                <w:szCs w:val="16"/>
              </w:rPr>
              <w:t>Desarrollar el orden del día incluyendo identificación de necesidades temáticas mediante diagnósticos, líneas de base, información estadística o por ocurrencia de eventos</w:t>
            </w:r>
          </w:p>
        </w:tc>
        <w:tc>
          <w:tcPr>
            <w:tcW w:w="95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5C23DCC5" w14:textId="77777777">
            <w:pPr>
              <w:spacing w:line="240" w:lineRule="auto"/>
              <w:jc w:val="center"/>
            </w:pPr>
            <w:r w:rsidRPr="00413D1D">
              <w:rPr>
                <w:rFonts w:eastAsia="Aptos"/>
                <w:color w:val="000000" w:themeColor="text1"/>
                <w:sz w:val="16"/>
                <w:szCs w:val="16"/>
              </w:rPr>
              <w:t>2</w:t>
            </w:r>
          </w:p>
        </w:tc>
        <w:tc>
          <w:tcPr>
            <w:tcW w:w="120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66D94E07" w14:textId="77777777">
            <w:pPr>
              <w:spacing w:line="240" w:lineRule="auto"/>
            </w:pPr>
            <w:r w:rsidRPr="00413D1D">
              <w:rPr>
                <w:rFonts w:eastAsia="Aptos"/>
                <w:color w:val="000000" w:themeColor="text1"/>
                <w:sz w:val="16"/>
                <w:szCs w:val="16"/>
              </w:rPr>
              <w:t>Cumple</w:t>
            </w:r>
          </w:p>
        </w:tc>
      </w:tr>
      <w:tr w:rsidRPr="00413D1D" w:rsidR="007A4EB4" w:rsidTr="0ED4F347" w14:paraId="252E2ACF" w14:textId="77777777">
        <w:trPr>
          <w:trHeight w:val="465"/>
        </w:trPr>
        <w:tc>
          <w:tcPr>
            <w:tcW w:w="103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615503B4" w14:textId="77777777">
            <w:pPr>
              <w:spacing w:line="240" w:lineRule="auto"/>
              <w:jc w:val="center"/>
            </w:pPr>
            <w:r w:rsidRPr="00413D1D">
              <w:rPr>
                <w:rFonts w:eastAsia="Aptos"/>
                <w:color w:val="000000" w:themeColor="text1"/>
                <w:sz w:val="16"/>
                <w:szCs w:val="16"/>
              </w:rPr>
              <w:t>4</w:t>
            </w:r>
          </w:p>
        </w:tc>
        <w:tc>
          <w:tcPr>
            <w:tcW w:w="722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157BEBBB" w14:textId="77777777">
            <w:pPr>
              <w:spacing w:line="240" w:lineRule="auto"/>
            </w:pPr>
            <w:r w:rsidRPr="00413D1D">
              <w:rPr>
                <w:rFonts w:eastAsia="Aptos"/>
                <w:color w:val="000000" w:themeColor="text1"/>
                <w:sz w:val="16"/>
                <w:szCs w:val="16"/>
              </w:rPr>
              <w:t>Generar conclusiones y definir compromisos de acuerdo con el resultado de la actividad anterior para la temática respectiva</w:t>
            </w:r>
          </w:p>
        </w:tc>
        <w:tc>
          <w:tcPr>
            <w:tcW w:w="95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4E0F2885" w14:textId="77777777">
            <w:pPr>
              <w:spacing w:line="240" w:lineRule="auto"/>
              <w:jc w:val="center"/>
            </w:pPr>
            <w:r w:rsidRPr="00413D1D">
              <w:rPr>
                <w:rFonts w:eastAsia="Aptos"/>
                <w:color w:val="000000" w:themeColor="text1"/>
                <w:sz w:val="16"/>
                <w:szCs w:val="16"/>
              </w:rPr>
              <w:t>2</w:t>
            </w:r>
          </w:p>
        </w:tc>
        <w:tc>
          <w:tcPr>
            <w:tcW w:w="120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36924A03" w14:textId="77777777">
            <w:pPr>
              <w:spacing w:line="240" w:lineRule="auto"/>
            </w:pPr>
            <w:r w:rsidRPr="00413D1D">
              <w:rPr>
                <w:rFonts w:eastAsia="Aptos"/>
                <w:color w:val="000000" w:themeColor="text1"/>
                <w:sz w:val="16"/>
                <w:szCs w:val="16"/>
              </w:rPr>
              <w:t>Cumple</w:t>
            </w:r>
          </w:p>
        </w:tc>
      </w:tr>
      <w:tr w:rsidRPr="00413D1D" w:rsidR="007A4EB4" w:rsidTr="0ED4F347" w14:paraId="55ECA344" w14:textId="77777777">
        <w:trPr>
          <w:trHeight w:val="240"/>
        </w:trPr>
        <w:tc>
          <w:tcPr>
            <w:tcW w:w="103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772D193E" w14:textId="77777777">
            <w:pPr>
              <w:spacing w:line="240" w:lineRule="auto"/>
              <w:jc w:val="center"/>
            </w:pPr>
            <w:r w:rsidRPr="00413D1D">
              <w:rPr>
                <w:rFonts w:eastAsia="Aptos"/>
                <w:color w:val="000000" w:themeColor="text1"/>
                <w:sz w:val="16"/>
                <w:szCs w:val="16"/>
              </w:rPr>
              <w:t>5</w:t>
            </w:r>
          </w:p>
        </w:tc>
        <w:tc>
          <w:tcPr>
            <w:tcW w:w="722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182E5BC2" w14:textId="77777777">
            <w:pPr>
              <w:spacing w:line="240" w:lineRule="auto"/>
            </w:pPr>
            <w:r w:rsidRPr="00413D1D">
              <w:rPr>
                <w:rFonts w:eastAsia="Aptos"/>
                <w:color w:val="000000" w:themeColor="text1"/>
                <w:sz w:val="16"/>
                <w:szCs w:val="16"/>
              </w:rPr>
              <w:t>Remitir correspondencia por competencia a las diferentes entidades</w:t>
            </w:r>
          </w:p>
        </w:tc>
        <w:tc>
          <w:tcPr>
            <w:tcW w:w="95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4582DB3F" w14:textId="77777777">
            <w:pPr>
              <w:spacing w:line="240" w:lineRule="auto"/>
              <w:jc w:val="center"/>
            </w:pPr>
            <w:r w:rsidRPr="00413D1D">
              <w:rPr>
                <w:rFonts w:eastAsia="Aptos"/>
                <w:color w:val="000000" w:themeColor="text1"/>
                <w:sz w:val="16"/>
                <w:szCs w:val="16"/>
              </w:rPr>
              <w:t>0</w:t>
            </w:r>
          </w:p>
        </w:tc>
        <w:tc>
          <w:tcPr>
            <w:tcW w:w="120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4821DB73" w14:textId="77777777">
            <w:pPr>
              <w:spacing w:line="240" w:lineRule="auto"/>
            </w:pPr>
            <w:r w:rsidRPr="00413D1D">
              <w:rPr>
                <w:rFonts w:eastAsia="Aptos"/>
                <w:color w:val="000000" w:themeColor="text1"/>
                <w:sz w:val="16"/>
                <w:szCs w:val="16"/>
              </w:rPr>
              <w:t>No Cumple</w:t>
            </w:r>
          </w:p>
        </w:tc>
      </w:tr>
      <w:tr w:rsidRPr="00413D1D" w:rsidR="007A4EB4" w:rsidTr="0ED4F347" w14:paraId="0ACE18DB" w14:textId="77777777">
        <w:trPr>
          <w:trHeight w:val="465"/>
        </w:trPr>
        <w:tc>
          <w:tcPr>
            <w:tcW w:w="103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72405565" w14:textId="77777777">
            <w:pPr>
              <w:spacing w:line="240" w:lineRule="auto"/>
              <w:jc w:val="center"/>
            </w:pPr>
            <w:r w:rsidRPr="00413D1D">
              <w:rPr>
                <w:rFonts w:eastAsia="Aptos"/>
                <w:color w:val="000000" w:themeColor="text1"/>
                <w:sz w:val="16"/>
                <w:szCs w:val="16"/>
              </w:rPr>
              <w:t>6</w:t>
            </w:r>
          </w:p>
        </w:tc>
        <w:tc>
          <w:tcPr>
            <w:tcW w:w="722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291900E6" w14:textId="77777777">
            <w:pPr>
              <w:spacing w:line="240" w:lineRule="auto"/>
            </w:pPr>
            <w:r w:rsidRPr="00413D1D">
              <w:rPr>
                <w:rFonts w:eastAsia="Aptos"/>
                <w:color w:val="000000" w:themeColor="text1"/>
                <w:sz w:val="16"/>
                <w:szCs w:val="16"/>
              </w:rPr>
              <w:t>Coordinar la ejecución de los compromisos planteados en el acta de reunión y ejecutar las actividades propias asumidas</w:t>
            </w:r>
          </w:p>
        </w:tc>
        <w:tc>
          <w:tcPr>
            <w:tcW w:w="95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3F443F1D" w14:textId="77777777">
            <w:pPr>
              <w:spacing w:line="240" w:lineRule="auto"/>
              <w:jc w:val="center"/>
            </w:pPr>
            <w:r w:rsidRPr="00413D1D">
              <w:rPr>
                <w:rFonts w:eastAsia="Aptos"/>
                <w:color w:val="000000" w:themeColor="text1"/>
                <w:sz w:val="16"/>
                <w:szCs w:val="16"/>
              </w:rPr>
              <w:t>2</w:t>
            </w:r>
          </w:p>
        </w:tc>
        <w:tc>
          <w:tcPr>
            <w:tcW w:w="120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383600EB" w14:textId="77777777">
            <w:pPr>
              <w:spacing w:line="240" w:lineRule="auto"/>
            </w:pPr>
            <w:r w:rsidRPr="00413D1D">
              <w:rPr>
                <w:rFonts w:eastAsia="Aptos"/>
                <w:color w:val="000000" w:themeColor="text1"/>
                <w:sz w:val="16"/>
                <w:szCs w:val="16"/>
              </w:rPr>
              <w:t>Cumple</w:t>
            </w:r>
          </w:p>
        </w:tc>
      </w:tr>
      <w:tr w:rsidRPr="00413D1D" w:rsidR="007A4EB4" w:rsidTr="0ED4F347" w14:paraId="74383473" w14:textId="77777777">
        <w:trPr>
          <w:trHeight w:val="705"/>
        </w:trPr>
        <w:tc>
          <w:tcPr>
            <w:tcW w:w="103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1F9C491A" w14:textId="77777777">
            <w:pPr>
              <w:spacing w:line="240" w:lineRule="auto"/>
              <w:jc w:val="center"/>
            </w:pPr>
            <w:r w:rsidRPr="00413D1D">
              <w:rPr>
                <w:rFonts w:eastAsia="Aptos"/>
                <w:color w:val="000000" w:themeColor="text1"/>
                <w:sz w:val="16"/>
                <w:szCs w:val="16"/>
              </w:rPr>
              <w:lastRenderedPageBreak/>
              <w:t>7</w:t>
            </w:r>
          </w:p>
        </w:tc>
        <w:tc>
          <w:tcPr>
            <w:tcW w:w="722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49AD1F1F" w14:textId="77777777">
            <w:pPr>
              <w:spacing w:line="240" w:lineRule="auto"/>
            </w:pPr>
            <w:r w:rsidRPr="00413D1D">
              <w:rPr>
                <w:rFonts w:eastAsia="Aptos"/>
                <w:color w:val="000000" w:themeColor="text1"/>
                <w:sz w:val="16"/>
                <w:szCs w:val="16"/>
              </w:rPr>
              <w:t>Realizar seguimiento a las actividades propias y de los responsables según los compromisos adquiridos en el comité y tomar las acciones necesarias (PUNTO DE CONTROL)</w:t>
            </w:r>
          </w:p>
        </w:tc>
        <w:tc>
          <w:tcPr>
            <w:tcW w:w="95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118FB657" w14:textId="77777777">
            <w:pPr>
              <w:spacing w:line="240" w:lineRule="auto"/>
              <w:jc w:val="center"/>
            </w:pPr>
            <w:r w:rsidRPr="00413D1D">
              <w:rPr>
                <w:rFonts w:eastAsia="Aptos"/>
                <w:color w:val="000000" w:themeColor="text1"/>
                <w:sz w:val="16"/>
                <w:szCs w:val="16"/>
              </w:rPr>
              <w:t>2</w:t>
            </w:r>
          </w:p>
        </w:tc>
        <w:tc>
          <w:tcPr>
            <w:tcW w:w="120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5152E56C" w14:textId="77777777">
            <w:pPr>
              <w:spacing w:line="240" w:lineRule="auto"/>
            </w:pPr>
            <w:r w:rsidRPr="00413D1D">
              <w:rPr>
                <w:rFonts w:eastAsia="Aptos"/>
                <w:color w:val="000000" w:themeColor="text1"/>
                <w:sz w:val="16"/>
                <w:szCs w:val="16"/>
              </w:rPr>
              <w:t>Cumple</w:t>
            </w:r>
          </w:p>
        </w:tc>
      </w:tr>
      <w:tr w:rsidRPr="00413D1D" w:rsidR="007A4EB4" w:rsidTr="0ED4F347" w14:paraId="5956228E" w14:textId="77777777">
        <w:trPr>
          <w:trHeight w:val="240"/>
        </w:trPr>
        <w:tc>
          <w:tcPr>
            <w:tcW w:w="103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2B412646" w14:textId="77777777">
            <w:pPr>
              <w:spacing w:line="240" w:lineRule="auto"/>
              <w:jc w:val="center"/>
            </w:pPr>
            <w:r w:rsidRPr="00413D1D">
              <w:rPr>
                <w:rFonts w:eastAsia="Aptos"/>
                <w:color w:val="000000" w:themeColor="text1"/>
                <w:sz w:val="16"/>
                <w:szCs w:val="16"/>
              </w:rPr>
              <w:t xml:space="preserve"> </w:t>
            </w:r>
          </w:p>
        </w:tc>
        <w:tc>
          <w:tcPr>
            <w:tcW w:w="722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7D662710" w14:textId="77777777">
            <w:pPr>
              <w:spacing w:line="240" w:lineRule="auto"/>
              <w:jc w:val="center"/>
            </w:pPr>
            <w:r w:rsidRPr="00413D1D">
              <w:rPr>
                <w:rFonts w:eastAsia="Aptos"/>
                <w:b/>
                <w:bCs/>
                <w:color w:val="000000" w:themeColor="text1"/>
                <w:sz w:val="16"/>
                <w:szCs w:val="16"/>
              </w:rPr>
              <w:t xml:space="preserve">TOTAL </w:t>
            </w:r>
          </w:p>
        </w:tc>
        <w:tc>
          <w:tcPr>
            <w:tcW w:w="95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52F596A2" w14:textId="77777777">
            <w:pPr>
              <w:spacing w:line="240" w:lineRule="auto"/>
              <w:jc w:val="center"/>
            </w:pPr>
            <w:r w:rsidRPr="00413D1D">
              <w:rPr>
                <w:rFonts w:eastAsia="Aptos"/>
                <w:b/>
                <w:bCs/>
                <w:color w:val="000000" w:themeColor="text1"/>
                <w:sz w:val="16"/>
                <w:szCs w:val="16"/>
              </w:rPr>
              <w:t>10</w:t>
            </w:r>
          </w:p>
        </w:tc>
        <w:tc>
          <w:tcPr>
            <w:tcW w:w="120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32A0AE94" w14:textId="77777777">
            <w:pPr>
              <w:spacing w:line="240" w:lineRule="auto"/>
              <w:jc w:val="center"/>
            </w:pPr>
            <w:r w:rsidRPr="00413D1D">
              <w:rPr>
                <w:rFonts w:eastAsia="Aptos"/>
                <w:b/>
                <w:bCs/>
                <w:color w:val="000000" w:themeColor="text1"/>
                <w:sz w:val="16"/>
                <w:szCs w:val="16"/>
              </w:rPr>
              <w:t>83%</w:t>
            </w:r>
          </w:p>
        </w:tc>
      </w:tr>
    </w:tbl>
    <w:p w:rsidRPr="00413D1D" w:rsidR="007A4EB4" w:rsidP="0ED4F347" w:rsidRDefault="007A4EB4" w14:paraId="18541258" w14:textId="1C04B077">
      <w:pPr>
        <w:pStyle w:val="Ttulo2"/>
        <w:numPr>
          <w:ilvl w:val="0"/>
          <w:numId w:val="0"/>
        </w:numPr>
        <w:spacing w:line="240" w:lineRule="auto"/>
        <w:ind w:left="0"/>
        <w:jc w:val="center"/>
        <w:rPr>
          <w:b w:val="0"/>
          <w:bCs w:val="0"/>
          <w:sz w:val="16"/>
          <w:szCs w:val="16"/>
          <w:lang w:val="es-ES"/>
        </w:rPr>
      </w:pPr>
      <w:r w:rsidRPr="0ED4F347" w:rsidR="55A59A34">
        <w:rPr>
          <w:b w:val="0"/>
          <w:bCs w:val="0"/>
          <w:sz w:val="16"/>
          <w:szCs w:val="16"/>
          <w:lang w:val="es-ES"/>
        </w:rPr>
        <w:t>Fuente: Elaboración propia</w:t>
      </w:r>
    </w:p>
    <w:p w:rsidRPr="00413D1D" w:rsidR="007A4EB4" w:rsidP="0ED4F347" w:rsidRDefault="007A4EB4" w14:paraId="587883AA" w14:textId="34A4355B">
      <w:pPr>
        <w:spacing w:line="240" w:lineRule="auto"/>
        <w:rPr>
          <w:rFonts w:eastAsia="" w:eastAsiaTheme="minorEastAsia"/>
          <w:b w:val="1"/>
          <w:bCs w:val="1"/>
        </w:rPr>
      </w:pPr>
    </w:p>
    <w:p w:rsidRPr="00980CDE" w:rsidR="007A4EB4" w:rsidP="007A4EB4" w:rsidRDefault="007A4EB4" w14:paraId="2260080C" w14:textId="77777777">
      <w:pPr>
        <w:spacing w:line="240" w:lineRule="auto"/>
        <w:rPr>
          <w:rFonts w:eastAsiaTheme="minorEastAsia"/>
          <w:sz w:val="24"/>
          <w:szCs w:val="24"/>
        </w:rPr>
      </w:pPr>
      <w:r w:rsidRPr="00980CDE">
        <w:rPr>
          <w:rFonts w:eastAsiaTheme="minorEastAsia"/>
          <w:sz w:val="24"/>
          <w:szCs w:val="24"/>
        </w:rPr>
        <w:t xml:space="preserve">La evidencia permitió verificar que el procedimiento de Coordinación Interinstitucional M-FT-PR-006 permite concluir que el proceso de funcionamiento del Consejo Departamental de Gestión del Riesgo de Desastres se desarrolló de manera coherente con su objetivo y alcance durante las reuniones extraordinarias realizadas en junio, julio y diciembre de 2025. </w:t>
      </w:r>
    </w:p>
    <w:p w:rsidRPr="00980CDE" w:rsidR="006D1BD1" w:rsidP="007A4EB4" w:rsidRDefault="006D1BD1" w14:paraId="0C7CE39F" w14:textId="77777777">
      <w:pPr>
        <w:spacing w:line="240" w:lineRule="auto"/>
        <w:rPr>
          <w:rFonts w:eastAsiaTheme="minorEastAsia"/>
          <w:sz w:val="24"/>
          <w:szCs w:val="24"/>
        </w:rPr>
      </w:pPr>
    </w:p>
    <w:p w:rsidRPr="00980CDE" w:rsidR="007A4EB4" w:rsidP="007A4EB4" w:rsidRDefault="007A4EB4" w14:paraId="59216E6D" w14:textId="24D7F91F">
      <w:pPr>
        <w:spacing w:line="240" w:lineRule="auto"/>
        <w:rPr>
          <w:rFonts w:eastAsiaTheme="minorEastAsia"/>
          <w:sz w:val="24"/>
          <w:szCs w:val="24"/>
        </w:rPr>
      </w:pPr>
      <w:r w:rsidRPr="00980CDE">
        <w:rPr>
          <w:rFonts w:eastAsiaTheme="minorEastAsia"/>
          <w:sz w:val="24"/>
          <w:szCs w:val="24"/>
        </w:rPr>
        <w:t>Se constató que el Consejo fue convocado oportunamente con ocasión del sismo ocurrido el 8 de junio, inicialmente mediante un llamado inmediato por mensajería instantánea que, si bien no corresponde a un medio formal, permitió la realización efectiva de la sesión; y, posteriormente, a través de invitaciones formales remitidas por correo electrónico, en las que se precisaron fecha, hora, enlace de conexión y orden del día, en concordancia con los lineamientos de funcionamiento de los comités.</w:t>
      </w:r>
    </w:p>
    <w:p w:rsidRPr="00980CDE" w:rsidR="00C53042" w:rsidP="007A4EB4" w:rsidRDefault="00C53042" w14:paraId="3311A82C" w14:textId="77777777">
      <w:pPr>
        <w:spacing w:line="240" w:lineRule="auto"/>
        <w:rPr>
          <w:rFonts w:eastAsiaTheme="minorEastAsia"/>
          <w:sz w:val="24"/>
          <w:szCs w:val="24"/>
        </w:rPr>
      </w:pPr>
    </w:p>
    <w:p w:rsidRPr="00980CDE" w:rsidR="007A4EB4" w:rsidP="007A4EB4" w:rsidRDefault="007A4EB4" w14:paraId="72964308" w14:textId="20C14F73">
      <w:pPr>
        <w:spacing w:line="240" w:lineRule="auto"/>
        <w:rPr>
          <w:sz w:val="24"/>
          <w:szCs w:val="24"/>
        </w:rPr>
      </w:pPr>
      <w:r w:rsidRPr="1C3D137E">
        <w:rPr>
          <w:rFonts w:eastAsiaTheme="minorEastAsia"/>
          <w:sz w:val="24"/>
          <w:szCs w:val="24"/>
        </w:rPr>
        <w:t>De igual forma, las Actas No. 078 del 8 de junio de 2025, 080 del 29 y 31 de julio de 2025 y 082 del 3 de diciembre de 2025 evidencian que las sesiones contaron con el quórum requerido, siguieron un orden del día estructurado (instalación, verificación de quórum, aprobación del orden del día y desarrollo de los temas centrales) y se soportaron en diagnósticos e información estadística relevante, tales como afectaciones sectoriales, número de viviendas evaluadas, familias registradas en el RUD, actividades ejecutadas en el marco del PAE y su respectivo avance. Esto demuestra el cumplimiento de los puntos de control relacionados con la coordinación interinstitucional, el uso de instrumentos técnicos y la adopción de decisiones debidamente fundamentadas.</w:t>
      </w:r>
    </w:p>
    <w:p w:rsidR="1C3D137E" w:rsidP="1C3D137E" w:rsidRDefault="1C3D137E" w14:paraId="28E288CA" w14:textId="1B68E0B7">
      <w:pPr>
        <w:spacing w:line="240" w:lineRule="auto"/>
        <w:rPr>
          <w:rFonts w:eastAsiaTheme="minorEastAsia"/>
          <w:sz w:val="24"/>
          <w:szCs w:val="24"/>
        </w:rPr>
      </w:pPr>
    </w:p>
    <w:p w:rsidRPr="00980CDE" w:rsidR="007A4EB4" w:rsidP="007A4EB4" w:rsidRDefault="007A4EB4" w14:paraId="09967847" w14:textId="77777777">
      <w:pPr>
        <w:spacing w:line="240" w:lineRule="auto"/>
        <w:rPr>
          <w:sz w:val="24"/>
          <w:szCs w:val="24"/>
        </w:rPr>
      </w:pPr>
      <w:r w:rsidRPr="00980CDE">
        <w:rPr>
          <w:rFonts w:eastAsiaTheme="minorEastAsia"/>
          <w:sz w:val="24"/>
          <w:szCs w:val="24"/>
        </w:rPr>
        <w:t>Asimismo, se verificó que el Consejo formula conclusiones, define compromisos orientados a la respuesta inmediata y al ciclo completo del PAE (formulación, aprobación, ajuste y seguimiento) y asigna responsabilidades específicas a las dependencias competentes. En particular, la Secretaría de Prospectiva e Integración Territorial asume el seguimiento de los avances físicos y financieros y la propuesta de ajustes, lo que se evidencia en los cortes de avance presentados y discutidos en la sesión de diciembre. En este sentido, se concluye que el Consejo mantiene una dinámica funcional y alineada con su propósito institucional, permitiendo la articulación intersectorial para la toma de decisiones oportunas frente a la emergencia y su fase de seguimiento.</w:t>
      </w:r>
    </w:p>
    <w:p w:rsidRPr="00980CDE" w:rsidR="006D1889" w:rsidP="007A4EB4" w:rsidRDefault="006D1889" w14:paraId="2BE65D12" w14:textId="77777777">
      <w:pPr>
        <w:spacing w:line="240" w:lineRule="auto"/>
        <w:rPr>
          <w:rFonts w:eastAsiaTheme="minorEastAsia"/>
          <w:sz w:val="24"/>
          <w:szCs w:val="24"/>
        </w:rPr>
      </w:pPr>
    </w:p>
    <w:p w:rsidRPr="00980CDE" w:rsidR="004C7274" w:rsidP="0ED4F347" w:rsidRDefault="007A4EB4" w14:paraId="396D2F9E" w14:textId="1BFA447B">
      <w:pPr>
        <w:spacing w:line="240" w:lineRule="auto"/>
        <w:rPr>
          <w:rFonts w:eastAsia="" w:eastAsiaTheme="minorEastAsia"/>
          <w:sz w:val="24"/>
          <w:szCs w:val="24"/>
        </w:rPr>
      </w:pPr>
      <w:r w:rsidRPr="0ED4F347" w:rsidR="6AB5B21B">
        <w:rPr>
          <w:rFonts w:eastAsia="" w:eastAsiaTheme="minorEastAsia"/>
          <w:sz w:val="24"/>
          <w:szCs w:val="24"/>
        </w:rPr>
        <w:t>En términos de resultados por actividad, se observa que la actividad 5 presenta un resultado de no cumple. De acuerdo con el criterio definido para valorar el cumplimiento del procedimiento, el resultado global obtenido es del 83%, lo que lleva a calificar la aplicación del procedimiento de atención de emergencias como Oportunidad de Mejora.</w:t>
      </w:r>
    </w:p>
    <w:p w:rsidR="0ED4F347" w:rsidP="0ED4F347" w:rsidRDefault="0ED4F347" w14:paraId="11A2AD6E" w14:textId="686EAA49">
      <w:pPr>
        <w:spacing w:line="240" w:lineRule="auto"/>
        <w:rPr>
          <w:rFonts w:eastAsia="" w:eastAsiaTheme="minorEastAsia"/>
          <w:sz w:val="24"/>
          <w:szCs w:val="24"/>
        </w:rPr>
      </w:pPr>
      <w:bookmarkStart w:name="_Toc227164182" w:id="60"/>
    </w:p>
    <w:p w:rsidRPr="00980CDE" w:rsidR="007A4EB4" w:rsidP="0ED4F347" w:rsidRDefault="007A4EB4" w14:paraId="126E16C1" w14:textId="48475CE4">
      <w:pPr>
        <w:pStyle w:val="Ttulo30"/>
        <w:spacing w:line="240" w:lineRule="auto"/>
        <w:rPr>
          <w:rFonts w:eastAsia="" w:eastAsiaTheme="minorEastAsia"/>
          <w:sz w:val="24"/>
          <w:szCs w:val="24"/>
        </w:rPr>
      </w:pPr>
      <w:r w:rsidRPr="0ED4F347" w:rsidR="6AB5B21B">
        <w:rPr>
          <w:rFonts w:eastAsia="" w:eastAsiaTheme="minorEastAsia"/>
          <w:sz w:val="24"/>
          <w:szCs w:val="24"/>
        </w:rPr>
        <w:t xml:space="preserve">Resultados: </w:t>
      </w:r>
      <w:r w:rsidRPr="0ED4F347" w:rsidR="6AB5B21B">
        <w:rPr>
          <w:rFonts w:eastAsia="" w:eastAsiaTheme="minorEastAsia"/>
          <w:b w:val="0"/>
          <w:bCs w:val="0"/>
          <w:sz w:val="24"/>
          <w:szCs w:val="24"/>
        </w:rPr>
        <w:t>Procedimiento Entrega de Ayudas Humanitarias (M</w:t>
      </w:r>
      <w:r w:rsidRPr="0ED4F347" w:rsidR="6AB5B21B">
        <w:rPr>
          <w:rFonts w:ascii="Cambria Math" w:hAnsi="Cambria Math" w:eastAsia="" w:cs="Cambria Math" w:eastAsiaTheme="minorEastAsia"/>
          <w:b w:val="0"/>
          <w:bCs w:val="0"/>
          <w:sz w:val="24"/>
          <w:szCs w:val="24"/>
        </w:rPr>
        <w:t>￼</w:t>
      </w:r>
      <w:r w:rsidRPr="0ED4F347" w:rsidR="6AB5B21B">
        <w:rPr>
          <w:rFonts w:eastAsia="" w:eastAsiaTheme="minorEastAsia"/>
          <w:b w:val="0"/>
          <w:bCs w:val="0"/>
          <w:sz w:val="24"/>
          <w:szCs w:val="24"/>
        </w:rPr>
        <w:t>FT</w:t>
      </w:r>
      <w:r w:rsidRPr="0ED4F347" w:rsidR="6AB5B21B">
        <w:rPr>
          <w:rFonts w:ascii="Cambria Math" w:hAnsi="Cambria Math" w:eastAsia="" w:cs="Cambria Math" w:eastAsiaTheme="minorEastAsia"/>
          <w:b w:val="0"/>
          <w:bCs w:val="0"/>
          <w:sz w:val="24"/>
          <w:szCs w:val="24"/>
        </w:rPr>
        <w:t>￼</w:t>
      </w:r>
      <w:r w:rsidRPr="0ED4F347" w:rsidR="6AB5B21B">
        <w:rPr>
          <w:rFonts w:eastAsia="" w:eastAsiaTheme="minorEastAsia"/>
          <w:b w:val="0"/>
          <w:bCs w:val="0"/>
          <w:sz w:val="24"/>
          <w:szCs w:val="24"/>
        </w:rPr>
        <w:t>PR</w:t>
      </w:r>
      <w:r w:rsidRPr="0ED4F347" w:rsidR="6AB5B21B">
        <w:rPr>
          <w:rFonts w:ascii="Cambria Math" w:hAnsi="Cambria Math" w:eastAsia="" w:cs="Cambria Math" w:eastAsiaTheme="minorEastAsia"/>
          <w:b w:val="0"/>
          <w:bCs w:val="0"/>
          <w:sz w:val="24"/>
          <w:szCs w:val="24"/>
        </w:rPr>
        <w:t>￼</w:t>
      </w:r>
      <w:r w:rsidRPr="0ED4F347" w:rsidR="6AB5B21B">
        <w:rPr>
          <w:rFonts w:eastAsia="" w:eastAsiaTheme="minorEastAsia"/>
          <w:b w:val="0"/>
          <w:bCs w:val="0"/>
          <w:sz w:val="24"/>
          <w:szCs w:val="24"/>
        </w:rPr>
        <w:t>010)</w:t>
      </w:r>
      <w:bookmarkEnd w:id="60"/>
    </w:p>
    <w:p w:rsidR="0ED4F347" w:rsidP="0ED4F347" w:rsidRDefault="0ED4F347" w14:paraId="622EB2C6" w14:textId="01FB06A6">
      <w:pPr>
        <w:pStyle w:val="Normal"/>
      </w:pPr>
    </w:p>
    <w:p w:rsidRPr="00413D1D" w:rsidR="007A4EB4" w:rsidP="0ED4F347" w:rsidRDefault="007A4EB4" w14:paraId="246BA7C8" w14:textId="0A4CCB22">
      <w:pPr>
        <w:spacing w:line="240" w:lineRule="auto"/>
        <w:rPr>
          <w:rFonts w:ascii="Arial" w:hAnsi="Arial" w:eastAsia="Arial" w:cs="Arial"/>
          <w:i w:val="0"/>
          <w:iCs w:val="0"/>
          <w:color w:val="auto" w:themeColor="text2"/>
          <w:sz w:val="24"/>
          <w:szCs w:val="24"/>
        </w:rPr>
      </w:pPr>
      <w:r w:rsidRPr="0ED4F347" w:rsidR="6AB5B21B">
        <w:rPr>
          <w:rFonts w:ascii="Arial" w:hAnsi="Arial" w:eastAsia="Arial" w:cs="Arial"/>
          <w:i w:val="0"/>
          <w:iCs w:val="0"/>
          <w:color w:val="auto"/>
          <w:sz w:val="24"/>
          <w:szCs w:val="24"/>
        </w:rPr>
        <w:t xml:space="preserve">Tabla </w:t>
      </w:r>
      <w:r w:rsidRPr="0ED4F347" w:rsidR="70404D55">
        <w:rPr>
          <w:rFonts w:ascii="Arial" w:hAnsi="Arial" w:eastAsia="Arial" w:cs="Arial"/>
          <w:i w:val="0"/>
          <w:iCs w:val="0"/>
          <w:color w:val="auto"/>
          <w:sz w:val="24"/>
          <w:szCs w:val="24"/>
        </w:rPr>
        <w:t>7</w:t>
      </w:r>
      <w:r w:rsidRPr="0ED4F347" w:rsidR="6AB5B21B">
        <w:rPr>
          <w:rFonts w:ascii="Arial" w:hAnsi="Arial" w:eastAsia="Arial" w:cs="Arial"/>
          <w:i w:val="0"/>
          <w:iCs w:val="0"/>
          <w:color w:val="auto"/>
          <w:sz w:val="24"/>
          <w:szCs w:val="24"/>
        </w:rPr>
        <w:t xml:space="preserve">. Resultados: Procedimiento </w:t>
      </w:r>
      <w:r w:rsidRPr="0ED4F347" w:rsidR="6AB5B21B">
        <w:rPr>
          <w:rFonts w:ascii="Arial" w:hAnsi="Arial" w:eastAsia="Arial" w:cs="Arial"/>
          <w:i w:val="0"/>
          <w:iCs w:val="0"/>
          <w:color w:val="auto"/>
          <w:sz w:val="24"/>
          <w:szCs w:val="24"/>
        </w:rPr>
        <w:t>Entrega de Ayudas Humanitarias (M</w:t>
      </w:r>
      <w:r w:rsidRPr="0ED4F347" w:rsidR="6AB5B21B">
        <w:rPr>
          <w:rFonts w:ascii="Cambria Math" w:hAnsi="Cambria Math" w:eastAsia="Aptos" w:cs="Cambria Math"/>
          <w:i w:val="1"/>
          <w:iCs w:val="1"/>
          <w:color w:val="44546A" w:themeColor="text2" w:themeTint="FF" w:themeShade="FF"/>
          <w:sz w:val="18"/>
          <w:szCs w:val="18"/>
        </w:rPr>
        <w:t>￼</w:t>
      </w:r>
      <w:r w:rsidRPr="0ED4F347" w:rsidR="6AB5B21B">
        <w:rPr>
          <w:rFonts w:ascii="Arial" w:hAnsi="Arial" w:eastAsia="Arial" w:cs="Arial"/>
          <w:i w:val="0"/>
          <w:iCs w:val="0"/>
          <w:color w:val="auto"/>
          <w:sz w:val="24"/>
          <w:szCs w:val="24"/>
        </w:rPr>
        <w:t>FT</w:t>
      </w:r>
      <w:r w:rsidRPr="0ED4F347" w:rsidR="6AB5B21B">
        <w:rPr>
          <w:rFonts w:ascii="Cambria Math" w:hAnsi="Cambria Math" w:eastAsia="Aptos" w:cs="Cambria Math"/>
          <w:i w:val="1"/>
          <w:iCs w:val="1"/>
          <w:color w:val="44546A" w:themeColor="text2" w:themeTint="FF" w:themeShade="FF"/>
          <w:sz w:val="18"/>
          <w:szCs w:val="18"/>
        </w:rPr>
        <w:t>￼</w:t>
      </w:r>
      <w:r w:rsidRPr="0ED4F347" w:rsidR="6AB5B21B">
        <w:rPr>
          <w:rFonts w:ascii="Arial" w:hAnsi="Arial" w:eastAsia="Arial" w:cs="Arial"/>
          <w:i w:val="0"/>
          <w:iCs w:val="0"/>
          <w:color w:val="auto"/>
          <w:sz w:val="24"/>
          <w:szCs w:val="24"/>
        </w:rPr>
        <w:t>PR</w:t>
      </w:r>
      <w:r w:rsidRPr="0ED4F347" w:rsidR="6AB5B21B">
        <w:rPr>
          <w:rFonts w:ascii="Cambria Math" w:hAnsi="Cambria Math" w:eastAsia="Aptos" w:cs="Cambria Math"/>
          <w:i w:val="1"/>
          <w:iCs w:val="1"/>
          <w:color w:val="44546A" w:themeColor="text2" w:themeTint="FF" w:themeShade="FF"/>
          <w:sz w:val="18"/>
          <w:szCs w:val="18"/>
        </w:rPr>
        <w:t>￼</w:t>
      </w:r>
      <w:r w:rsidRPr="0ED4F347" w:rsidR="6AB5B21B">
        <w:rPr>
          <w:rFonts w:ascii="Arial" w:hAnsi="Arial" w:eastAsia="Arial" w:cs="Arial"/>
          <w:i w:val="0"/>
          <w:iCs w:val="0"/>
          <w:color w:val="auto"/>
          <w:sz w:val="24"/>
          <w:szCs w:val="24"/>
        </w:rPr>
        <w:t>010).</w:t>
      </w:r>
    </w:p>
    <w:tbl>
      <w:tblPr>
        <w:tblW w:w="0" w:type="auto"/>
        <w:tblInd w:w="90" w:type="dxa"/>
        <w:tblLook w:val="04A0" w:firstRow="1" w:lastRow="0" w:firstColumn="1" w:lastColumn="0" w:noHBand="0" w:noVBand="1"/>
      </w:tblPr>
      <w:tblGrid>
        <w:gridCol w:w="1039"/>
        <w:gridCol w:w="7225"/>
        <w:gridCol w:w="850"/>
        <w:gridCol w:w="1276"/>
      </w:tblGrid>
      <w:tr w:rsidRPr="00413D1D" w:rsidR="007A4EB4" w:rsidTr="0ED4F347" w14:paraId="06AD4914" w14:textId="77777777">
        <w:trPr>
          <w:trHeight w:val="495"/>
        </w:trPr>
        <w:tc>
          <w:tcPr>
            <w:tcW w:w="1039" w:type="dxa"/>
            <w:tcBorders>
              <w:top w:val="single" w:color="auto" w:sz="8" w:space="0"/>
              <w:left w:val="single" w:color="auto" w:sz="8" w:space="0"/>
              <w:bottom w:val="single" w:color="auto" w:sz="8" w:space="0"/>
              <w:right w:val="single" w:color="auto" w:sz="8" w:space="0"/>
            </w:tcBorders>
            <w:shd w:val="clear" w:color="auto" w:fill="DDEBF7"/>
            <w:tcMar>
              <w:left w:w="70" w:type="dxa"/>
              <w:right w:w="70" w:type="dxa"/>
            </w:tcMar>
            <w:vAlign w:val="center"/>
          </w:tcPr>
          <w:p w:rsidRPr="00413D1D" w:rsidR="007A4EB4" w:rsidP="006E48B1" w:rsidRDefault="007A4EB4" w14:paraId="511069F0" w14:textId="77777777">
            <w:pPr>
              <w:spacing w:line="240" w:lineRule="auto"/>
              <w:jc w:val="center"/>
            </w:pPr>
            <w:r w:rsidRPr="00413D1D">
              <w:rPr>
                <w:rFonts w:eastAsia="Aptos"/>
                <w:b/>
                <w:bCs/>
                <w:color w:val="000000" w:themeColor="text1"/>
                <w:sz w:val="16"/>
                <w:szCs w:val="16"/>
              </w:rPr>
              <w:t>Actividades flujograma</w:t>
            </w:r>
          </w:p>
        </w:tc>
        <w:tc>
          <w:tcPr>
            <w:tcW w:w="7225" w:type="dxa"/>
            <w:tcBorders>
              <w:top w:val="single" w:color="auto" w:sz="8" w:space="0"/>
              <w:left w:val="single" w:color="auto" w:sz="8" w:space="0"/>
              <w:bottom w:val="single" w:color="auto" w:sz="8" w:space="0"/>
              <w:right w:val="single" w:color="auto" w:sz="8" w:space="0"/>
            </w:tcBorders>
            <w:shd w:val="clear" w:color="auto" w:fill="DDEBF7"/>
            <w:tcMar>
              <w:left w:w="70" w:type="dxa"/>
              <w:right w:w="70" w:type="dxa"/>
            </w:tcMar>
            <w:vAlign w:val="center"/>
          </w:tcPr>
          <w:p w:rsidRPr="00413D1D" w:rsidR="007A4EB4" w:rsidP="006E48B1" w:rsidRDefault="007A4EB4" w14:paraId="7DBD048F" w14:textId="77777777">
            <w:pPr>
              <w:spacing w:line="240" w:lineRule="auto"/>
              <w:jc w:val="center"/>
            </w:pPr>
            <w:r w:rsidRPr="00413D1D">
              <w:rPr>
                <w:rFonts w:eastAsia="Aptos"/>
                <w:b/>
                <w:bCs/>
                <w:color w:val="000000" w:themeColor="text1"/>
                <w:sz w:val="16"/>
                <w:szCs w:val="16"/>
              </w:rPr>
              <w:t>Fase del procedimiento</w:t>
            </w:r>
          </w:p>
        </w:tc>
        <w:tc>
          <w:tcPr>
            <w:tcW w:w="850" w:type="dxa"/>
            <w:tcBorders>
              <w:top w:val="single" w:color="auto" w:sz="8" w:space="0"/>
              <w:left w:val="single" w:color="auto" w:sz="8" w:space="0"/>
              <w:bottom w:val="single" w:color="auto" w:sz="8" w:space="0"/>
              <w:right w:val="single" w:color="auto" w:sz="8" w:space="0"/>
            </w:tcBorders>
            <w:shd w:val="clear" w:color="auto" w:fill="DDEBF7"/>
            <w:tcMar>
              <w:left w:w="70" w:type="dxa"/>
              <w:right w:w="70" w:type="dxa"/>
            </w:tcMar>
            <w:vAlign w:val="center"/>
          </w:tcPr>
          <w:p w:rsidRPr="00413D1D" w:rsidR="007A4EB4" w:rsidP="006E48B1" w:rsidRDefault="007A4EB4" w14:paraId="5764E320" w14:textId="77777777">
            <w:pPr>
              <w:spacing w:line="240" w:lineRule="auto"/>
              <w:jc w:val="center"/>
            </w:pPr>
            <w:r w:rsidRPr="00413D1D">
              <w:rPr>
                <w:rFonts w:eastAsia="Aptos"/>
                <w:b/>
                <w:bCs/>
                <w:color w:val="000000" w:themeColor="text1"/>
                <w:sz w:val="16"/>
                <w:szCs w:val="16"/>
              </w:rPr>
              <w:t>Puntaje Obtenido</w:t>
            </w:r>
          </w:p>
        </w:tc>
        <w:tc>
          <w:tcPr>
            <w:tcW w:w="1276" w:type="dxa"/>
            <w:tcBorders>
              <w:top w:val="single" w:color="auto" w:sz="8" w:space="0"/>
              <w:left w:val="single" w:color="auto" w:sz="8" w:space="0"/>
              <w:bottom w:val="single" w:color="auto" w:sz="8" w:space="0"/>
              <w:right w:val="single" w:color="auto" w:sz="8" w:space="0"/>
            </w:tcBorders>
            <w:shd w:val="clear" w:color="auto" w:fill="DDEBF7"/>
            <w:tcMar>
              <w:left w:w="70" w:type="dxa"/>
              <w:right w:w="70" w:type="dxa"/>
            </w:tcMar>
            <w:vAlign w:val="center"/>
          </w:tcPr>
          <w:p w:rsidRPr="00413D1D" w:rsidR="007A4EB4" w:rsidP="006E48B1" w:rsidRDefault="007A4EB4" w14:paraId="546A2228" w14:textId="77777777">
            <w:pPr>
              <w:spacing w:line="240" w:lineRule="auto"/>
              <w:jc w:val="center"/>
            </w:pPr>
            <w:r w:rsidRPr="00413D1D">
              <w:rPr>
                <w:rFonts w:eastAsia="Aptos"/>
                <w:b/>
                <w:bCs/>
                <w:color w:val="000000" w:themeColor="text1"/>
                <w:sz w:val="16"/>
                <w:szCs w:val="16"/>
              </w:rPr>
              <w:t>Nivel de Cumplimiento</w:t>
            </w:r>
          </w:p>
        </w:tc>
      </w:tr>
      <w:tr w:rsidRPr="00413D1D" w:rsidR="007A4EB4" w:rsidTr="0ED4F347" w14:paraId="494C8B9B" w14:textId="77777777">
        <w:trPr>
          <w:trHeight w:val="523"/>
        </w:trPr>
        <w:tc>
          <w:tcPr>
            <w:tcW w:w="103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40D93100" w14:textId="77777777">
            <w:pPr>
              <w:spacing w:line="240" w:lineRule="auto"/>
              <w:jc w:val="center"/>
            </w:pPr>
            <w:r w:rsidRPr="00413D1D">
              <w:rPr>
                <w:rFonts w:eastAsia="Aptos"/>
                <w:color w:val="000000" w:themeColor="text1"/>
                <w:sz w:val="16"/>
                <w:szCs w:val="16"/>
              </w:rPr>
              <w:t>2</w:t>
            </w:r>
          </w:p>
        </w:tc>
        <w:tc>
          <w:tcPr>
            <w:tcW w:w="722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67399155" w14:textId="6E2592D3">
            <w:pPr>
              <w:spacing w:line="240" w:lineRule="auto"/>
            </w:pPr>
            <w:r w:rsidRPr="00413D1D">
              <w:rPr>
                <w:rFonts w:eastAsia="Aptos"/>
                <w:color w:val="000000" w:themeColor="text1"/>
                <w:sz w:val="16"/>
                <w:szCs w:val="16"/>
              </w:rPr>
              <w:t>Recibir reporte de emergencia a través de línea 123, registrar información en cuadro Excel, consolidar diariamente, cargar en SAGA y transmitir al Director</w:t>
            </w:r>
            <w:r w:rsidR="00826504">
              <w:rPr>
                <w:rFonts w:eastAsia="Aptos"/>
                <w:color w:val="000000" w:themeColor="text1"/>
                <w:sz w:val="16"/>
                <w:szCs w:val="16"/>
              </w:rPr>
              <w:t>.</w:t>
            </w:r>
          </w:p>
        </w:tc>
        <w:tc>
          <w:tcPr>
            <w:tcW w:w="850"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Pr="00413D1D" w:rsidR="007A4EB4" w:rsidP="006E48B1" w:rsidRDefault="007A4EB4" w14:paraId="26895CE5" w14:textId="77777777">
            <w:pPr>
              <w:spacing w:line="240" w:lineRule="auto"/>
              <w:jc w:val="center"/>
            </w:pPr>
            <w:r w:rsidRPr="00413D1D">
              <w:rPr>
                <w:rFonts w:eastAsia="Aptos"/>
                <w:color w:val="000000" w:themeColor="text1"/>
                <w:sz w:val="16"/>
                <w:szCs w:val="16"/>
              </w:rPr>
              <w:t>2</w:t>
            </w:r>
          </w:p>
        </w:tc>
        <w:tc>
          <w:tcPr>
            <w:tcW w:w="1276"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Pr="00413D1D" w:rsidR="007A4EB4" w:rsidP="006E48B1" w:rsidRDefault="007A4EB4" w14:paraId="7EBD900F" w14:textId="77777777">
            <w:pPr>
              <w:spacing w:line="240" w:lineRule="auto"/>
              <w:jc w:val="center"/>
            </w:pPr>
            <w:r w:rsidRPr="00413D1D">
              <w:rPr>
                <w:rFonts w:eastAsia="Aptos"/>
                <w:color w:val="000000" w:themeColor="text1"/>
                <w:sz w:val="16"/>
                <w:szCs w:val="16"/>
              </w:rPr>
              <w:t>Cumple</w:t>
            </w:r>
          </w:p>
        </w:tc>
      </w:tr>
      <w:tr w:rsidRPr="00413D1D" w:rsidR="007A4EB4" w:rsidTr="0ED4F347" w14:paraId="3E4C5108" w14:textId="77777777">
        <w:trPr>
          <w:trHeight w:val="495"/>
        </w:trPr>
        <w:tc>
          <w:tcPr>
            <w:tcW w:w="103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18949267" w14:textId="77777777">
            <w:pPr>
              <w:spacing w:line="240" w:lineRule="auto"/>
              <w:jc w:val="center"/>
            </w:pPr>
            <w:r w:rsidRPr="00413D1D">
              <w:rPr>
                <w:rFonts w:eastAsia="Aptos"/>
                <w:color w:val="000000" w:themeColor="text1"/>
                <w:sz w:val="16"/>
                <w:szCs w:val="16"/>
              </w:rPr>
              <w:t>3</w:t>
            </w:r>
          </w:p>
        </w:tc>
        <w:tc>
          <w:tcPr>
            <w:tcW w:w="722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16C12BC6" w14:textId="344FA2CE">
            <w:pPr>
              <w:spacing w:line="240" w:lineRule="auto"/>
            </w:pPr>
            <w:r w:rsidRPr="00413D1D">
              <w:rPr>
                <w:rFonts w:eastAsia="Aptos"/>
                <w:color w:val="000000" w:themeColor="text1"/>
                <w:sz w:val="16"/>
                <w:szCs w:val="16"/>
              </w:rPr>
              <w:t>Verificar situación, activar CMGRD, establecer nivel de alerta y solicitar Acta, EDAN y requerimientos urgentes</w:t>
            </w:r>
            <w:r w:rsidR="00826504">
              <w:rPr>
                <w:rFonts w:eastAsia="Aptos"/>
                <w:color w:val="000000" w:themeColor="text1"/>
                <w:sz w:val="16"/>
                <w:szCs w:val="16"/>
              </w:rPr>
              <w:t>.</w:t>
            </w:r>
          </w:p>
        </w:tc>
        <w:tc>
          <w:tcPr>
            <w:tcW w:w="850"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Pr="00413D1D" w:rsidR="007A4EB4" w:rsidP="006E48B1" w:rsidRDefault="007A4EB4" w14:paraId="0BB900CF" w14:textId="77777777">
            <w:pPr>
              <w:spacing w:line="240" w:lineRule="auto"/>
              <w:jc w:val="center"/>
            </w:pPr>
            <w:r w:rsidRPr="00413D1D">
              <w:rPr>
                <w:rFonts w:eastAsia="Aptos"/>
                <w:color w:val="000000" w:themeColor="text1"/>
                <w:sz w:val="16"/>
                <w:szCs w:val="16"/>
              </w:rPr>
              <w:t>2</w:t>
            </w:r>
          </w:p>
        </w:tc>
        <w:tc>
          <w:tcPr>
            <w:tcW w:w="1276"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Pr="00413D1D" w:rsidR="007A4EB4" w:rsidP="006E48B1" w:rsidRDefault="007A4EB4" w14:paraId="5360A950" w14:textId="77777777">
            <w:pPr>
              <w:spacing w:line="240" w:lineRule="auto"/>
              <w:jc w:val="center"/>
            </w:pPr>
            <w:r w:rsidRPr="00413D1D">
              <w:rPr>
                <w:rFonts w:eastAsia="Aptos"/>
                <w:color w:val="000000" w:themeColor="text1"/>
                <w:sz w:val="16"/>
                <w:szCs w:val="16"/>
              </w:rPr>
              <w:t>Cumple</w:t>
            </w:r>
          </w:p>
        </w:tc>
      </w:tr>
      <w:tr w:rsidRPr="00413D1D" w:rsidR="007A4EB4" w:rsidTr="0ED4F347" w14:paraId="2494C18E" w14:textId="77777777">
        <w:trPr>
          <w:trHeight w:val="514"/>
        </w:trPr>
        <w:tc>
          <w:tcPr>
            <w:tcW w:w="103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10CD7A20" w14:textId="77777777">
            <w:pPr>
              <w:spacing w:line="240" w:lineRule="auto"/>
              <w:jc w:val="center"/>
            </w:pPr>
            <w:r w:rsidRPr="00413D1D">
              <w:rPr>
                <w:rFonts w:eastAsia="Aptos"/>
                <w:color w:val="000000" w:themeColor="text1"/>
                <w:sz w:val="16"/>
                <w:szCs w:val="16"/>
              </w:rPr>
              <w:t>4</w:t>
            </w:r>
          </w:p>
        </w:tc>
        <w:tc>
          <w:tcPr>
            <w:tcW w:w="722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35D2C56A" w14:textId="49AE0702">
            <w:pPr>
              <w:spacing w:line="240" w:lineRule="auto"/>
            </w:pPr>
            <w:r w:rsidRPr="00413D1D">
              <w:rPr>
                <w:rFonts w:eastAsia="Aptos"/>
                <w:color w:val="000000" w:themeColor="text1"/>
                <w:sz w:val="16"/>
                <w:szCs w:val="16"/>
              </w:rPr>
              <w:t>Establecer nivel de alerta y coordinar acciones con organismos operativos, solicitar reportes periódicos sobre evolución del evento</w:t>
            </w:r>
            <w:r w:rsidR="00826504">
              <w:rPr>
                <w:rFonts w:eastAsia="Aptos"/>
                <w:color w:val="000000" w:themeColor="text1"/>
                <w:sz w:val="16"/>
                <w:szCs w:val="16"/>
              </w:rPr>
              <w:t>.</w:t>
            </w:r>
          </w:p>
        </w:tc>
        <w:tc>
          <w:tcPr>
            <w:tcW w:w="850"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Pr="00413D1D" w:rsidR="007A4EB4" w:rsidP="006E48B1" w:rsidRDefault="007A4EB4" w14:paraId="71EC384A" w14:textId="77777777">
            <w:pPr>
              <w:spacing w:line="240" w:lineRule="auto"/>
              <w:jc w:val="center"/>
            </w:pPr>
            <w:r w:rsidRPr="00413D1D">
              <w:rPr>
                <w:rFonts w:eastAsia="Aptos"/>
                <w:color w:val="000000" w:themeColor="text1"/>
                <w:sz w:val="16"/>
                <w:szCs w:val="16"/>
              </w:rPr>
              <w:t>0</w:t>
            </w:r>
          </w:p>
        </w:tc>
        <w:tc>
          <w:tcPr>
            <w:tcW w:w="1276"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Pr="00413D1D" w:rsidR="007A4EB4" w:rsidP="006E48B1" w:rsidRDefault="007A4EB4" w14:paraId="0E386559" w14:textId="77777777">
            <w:pPr>
              <w:spacing w:line="240" w:lineRule="auto"/>
              <w:jc w:val="center"/>
            </w:pPr>
            <w:r w:rsidRPr="00413D1D">
              <w:rPr>
                <w:rFonts w:eastAsia="Aptos"/>
                <w:color w:val="000000" w:themeColor="text1"/>
                <w:sz w:val="16"/>
                <w:szCs w:val="16"/>
              </w:rPr>
              <w:t>No cumple</w:t>
            </w:r>
          </w:p>
        </w:tc>
      </w:tr>
      <w:tr w:rsidRPr="00413D1D" w:rsidR="007A4EB4" w:rsidTr="0ED4F347" w14:paraId="5E28DA1C" w14:textId="77777777">
        <w:trPr>
          <w:trHeight w:val="348"/>
        </w:trPr>
        <w:tc>
          <w:tcPr>
            <w:tcW w:w="103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79D21D3B" w14:textId="77777777">
            <w:pPr>
              <w:spacing w:line="240" w:lineRule="auto"/>
              <w:jc w:val="center"/>
            </w:pPr>
            <w:r w:rsidRPr="00413D1D">
              <w:rPr>
                <w:rFonts w:eastAsia="Aptos"/>
                <w:color w:val="000000" w:themeColor="text1"/>
                <w:sz w:val="16"/>
                <w:szCs w:val="16"/>
              </w:rPr>
              <w:t>5</w:t>
            </w:r>
          </w:p>
        </w:tc>
        <w:tc>
          <w:tcPr>
            <w:tcW w:w="722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0CB84690" w14:textId="77777777">
            <w:pPr>
              <w:spacing w:line="240" w:lineRule="auto"/>
            </w:pPr>
            <w:r w:rsidRPr="00413D1D">
              <w:rPr>
                <w:rFonts w:eastAsia="Aptos"/>
                <w:color w:val="000000" w:themeColor="text1"/>
                <w:sz w:val="16"/>
                <w:szCs w:val="16"/>
              </w:rPr>
              <w:t>Consolidar información inicial y preparar primer reporte para Director de UAEGRD</w:t>
            </w:r>
          </w:p>
        </w:tc>
        <w:tc>
          <w:tcPr>
            <w:tcW w:w="850"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Pr="00413D1D" w:rsidR="007A4EB4" w:rsidP="006E48B1" w:rsidRDefault="007A4EB4" w14:paraId="1477CBF8" w14:textId="77777777">
            <w:pPr>
              <w:spacing w:line="240" w:lineRule="auto"/>
              <w:jc w:val="center"/>
            </w:pPr>
            <w:r w:rsidRPr="00413D1D">
              <w:rPr>
                <w:rFonts w:eastAsia="Aptos"/>
                <w:color w:val="000000" w:themeColor="text1"/>
                <w:sz w:val="16"/>
                <w:szCs w:val="16"/>
              </w:rPr>
              <w:t>1</w:t>
            </w:r>
          </w:p>
        </w:tc>
        <w:tc>
          <w:tcPr>
            <w:tcW w:w="1276"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Pr="00413D1D" w:rsidR="007A4EB4" w:rsidP="006E48B1" w:rsidRDefault="007A4EB4" w14:paraId="52D8B1C6" w14:textId="77777777">
            <w:pPr>
              <w:spacing w:line="240" w:lineRule="auto"/>
              <w:jc w:val="center"/>
            </w:pPr>
            <w:r w:rsidRPr="00413D1D">
              <w:rPr>
                <w:rFonts w:eastAsia="Aptos"/>
                <w:color w:val="000000" w:themeColor="text1"/>
                <w:sz w:val="16"/>
                <w:szCs w:val="16"/>
              </w:rPr>
              <w:t>Cumple Parcial</w:t>
            </w:r>
          </w:p>
        </w:tc>
      </w:tr>
      <w:tr w:rsidRPr="00413D1D" w:rsidR="007A4EB4" w:rsidTr="0ED4F347" w14:paraId="01FB5E38" w14:textId="77777777">
        <w:trPr>
          <w:trHeight w:val="495"/>
        </w:trPr>
        <w:tc>
          <w:tcPr>
            <w:tcW w:w="103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60445490" w14:textId="77777777">
            <w:pPr>
              <w:spacing w:line="240" w:lineRule="auto"/>
              <w:jc w:val="center"/>
            </w:pPr>
            <w:r w:rsidRPr="00413D1D">
              <w:rPr>
                <w:rFonts w:eastAsia="Aptos"/>
                <w:color w:val="000000" w:themeColor="text1"/>
                <w:sz w:val="16"/>
                <w:szCs w:val="16"/>
              </w:rPr>
              <w:t>6</w:t>
            </w:r>
          </w:p>
        </w:tc>
        <w:tc>
          <w:tcPr>
            <w:tcW w:w="722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386D03D6" w14:textId="519E8701">
            <w:pPr>
              <w:spacing w:line="240" w:lineRule="auto"/>
            </w:pPr>
            <w:r w:rsidRPr="00413D1D">
              <w:rPr>
                <w:rFonts w:eastAsia="Aptos"/>
                <w:color w:val="000000" w:themeColor="text1"/>
                <w:sz w:val="16"/>
                <w:szCs w:val="16"/>
              </w:rPr>
              <w:t>Verificar documentación según Lista de Chequeo y determinar si es evento de orden municipal o departamental</w:t>
            </w:r>
            <w:r w:rsidR="00826504">
              <w:rPr>
                <w:rFonts w:eastAsia="Aptos"/>
                <w:color w:val="000000" w:themeColor="text1"/>
                <w:sz w:val="16"/>
                <w:szCs w:val="16"/>
              </w:rPr>
              <w:t>.</w:t>
            </w:r>
          </w:p>
        </w:tc>
        <w:tc>
          <w:tcPr>
            <w:tcW w:w="850"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Pr="00413D1D" w:rsidR="007A4EB4" w:rsidP="006E48B1" w:rsidRDefault="007A4EB4" w14:paraId="4938F552" w14:textId="77777777">
            <w:pPr>
              <w:spacing w:line="240" w:lineRule="auto"/>
              <w:jc w:val="center"/>
            </w:pPr>
            <w:r w:rsidRPr="00413D1D">
              <w:rPr>
                <w:rFonts w:eastAsia="Aptos"/>
                <w:color w:val="000000" w:themeColor="text1"/>
                <w:sz w:val="16"/>
                <w:szCs w:val="16"/>
              </w:rPr>
              <w:t>1</w:t>
            </w:r>
          </w:p>
        </w:tc>
        <w:tc>
          <w:tcPr>
            <w:tcW w:w="1276"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Pr="00413D1D" w:rsidR="007A4EB4" w:rsidP="006E48B1" w:rsidRDefault="007A4EB4" w14:paraId="292816B1" w14:textId="77777777">
            <w:pPr>
              <w:spacing w:line="240" w:lineRule="auto"/>
              <w:jc w:val="center"/>
            </w:pPr>
            <w:r w:rsidRPr="00413D1D">
              <w:rPr>
                <w:rFonts w:eastAsia="Aptos"/>
                <w:color w:val="000000" w:themeColor="text1"/>
                <w:sz w:val="16"/>
                <w:szCs w:val="16"/>
              </w:rPr>
              <w:t>Cumple Parcial</w:t>
            </w:r>
          </w:p>
        </w:tc>
      </w:tr>
      <w:tr w:rsidRPr="00413D1D" w:rsidR="007A4EB4" w:rsidTr="0ED4F347" w14:paraId="7383CBAC" w14:textId="77777777">
        <w:trPr>
          <w:trHeight w:val="495"/>
        </w:trPr>
        <w:tc>
          <w:tcPr>
            <w:tcW w:w="103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235A3C9F" w14:textId="77777777">
            <w:pPr>
              <w:spacing w:line="240" w:lineRule="auto"/>
              <w:jc w:val="center"/>
            </w:pPr>
            <w:r w:rsidRPr="00413D1D">
              <w:rPr>
                <w:rFonts w:eastAsia="Aptos"/>
                <w:color w:val="000000" w:themeColor="text1"/>
                <w:sz w:val="16"/>
                <w:szCs w:val="16"/>
              </w:rPr>
              <w:t>7</w:t>
            </w:r>
          </w:p>
        </w:tc>
        <w:tc>
          <w:tcPr>
            <w:tcW w:w="722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57D47508" w14:textId="31E75A52">
            <w:pPr>
              <w:spacing w:line="240" w:lineRule="auto"/>
            </w:pPr>
            <w:r w:rsidRPr="00413D1D">
              <w:rPr>
                <w:rFonts w:eastAsia="Aptos"/>
                <w:color w:val="000000" w:themeColor="text1"/>
                <w:sz w:val="16"/>
                <w:szCs w:val="16"/>
              </w:rPr>
              <w:t>Coordinar a través de UAEGRD y establecer flujograma de respuesta, determinar necesidad de desplazamiento al sitio</w:t>
            </w:r>
            <w:r w:rsidR="00826504">
              <w:rPr>
                <w:rFonts w:eastAsia="Aptos"/>
                <w:color w:val="000000" w:themeColor="text1"/>
                <w:sz w:val="16"/>
                <w:szCs w:val="16"/>
              </w:rPr>
              <w:t>.</w:t>
            </w:r>
          </w:p>
        </w:tc>
        <w:tc>
          <w:tcPr>
            <w:tcW w:w="850"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Pr="00413D1D" w:rsidR="007A4EB4" w:rsidP="006E48B1" w:rsidRDefault="007A4EB4" w14:paraId="0C9A9983" w14:textId="77777777">
            <w:pPr>
              <w:spacing w:line="240" w:lineRule="auto"/>
              <w:jc w:val="center"/>
            </w:pPr>
            <w:r w:rsidRPr="00413D1D">
              <w:rPr>
                <w:rFonts w:eastAsia="Aptos"/>
                <w:color w:val="000000" w:themeColor="text1"/>
                <w:sz w:val="16"/>
                <w:szCs w:val="16"/>
              </w:rPr>
              <w:t>0</w:t>
            </w:r>
          </w:p>
        </w:tc>
        <w:tc>
          <w:tcPr>
            <w:tcW w:w="1276"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Pr="00413D1D" w:rsidR="007A4EB4" w:rsidP="006E48B1" w:rsidRDefault="007A4EB4" w14:paraId="21FFF5C2" w14:textId="77777777">
            <w:pPr>
              <w:spacing w:line="240" w:lineRule="auto"/>
              <w:jc w:val="center"/>
            </w:pPr>
            <w:r w:rsidRPr="00413D1D">
              <w:rPr>
                <w:rFonts w:eastAsia="Aptos"/>
                <w:color w:val="000000" w:themeColor="text1"/>
                <w:sz w:val="16"/>
                <w:szCs w:val="16"/>
              </w:rPr>
              <w:t>No cumple</w:t>
            </w:r>
          </w:p>
        </w:tc>
      </w:tr>
      <w:tr w:rsidRPr="00413D1D" w:rsidR="007A4EB4" w:rsidTr="0ED4F347" w14:paraId="16C51C35" w14:textId="77777777">
        <w:trPr>
          <w:trHeight w:val="495"/>
        </w:trPr>
        <w:tc>
          <w:tcPr>
            <w:tcW w:w="103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2229682B" w14:textId="77777777">
            <w:pPr>
              <w:spacing w:line="240" w:lineRule="auto"/>
              <w:jc w:val="center"/>
            </w:pPr>
            <w:r w:rsidRPr="00413D1D">
              <w:rPr>
                <w:rFonts w:eastAsia="Aptos"/>
                <w:color w:val="000000" w:themeColor="text1"/>
                <w:sz w:val="16"/>
                <w:szCs w:val="16"/>
              </w:rPr>
              <w:t>8</w:t>
            </w:r>
          </w:p>
        </w:tc>
        <w:tc>
          <w:tcPr>
            <w:tcW w:w="722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298DF5A4" w14:textId="1380DCAD">
            <w:pPr>
              <w:spacing w:line="240" w:lineRule="auto"/>
            </w:pPr>
            <w:r w:rsidRPr="00413D1D">
              <w:rPr>
                <w:rFonts w:eastAsia="Aptos"/>
                <w:color w:val="000000" w:themeColor="text1"/>
                <w:sz w:val="16"/>
                <w:szCs w:val="16"/>
              </w:rPr>
              <w:t>Solicitar acta del CMGRD con censo aprobado, verificar existencia de ayudas y clasificar entregas según necesidades</w:t>
            </w:r>
            <w:r w:rsidR="00826504">
              <w:rPr>
                <w:rFonts w:eastAsia="Aptos"/>
                <w:color w:val="000000" w:themeColor="text1"/>
                <w:sz w:val="16"/>
                <w:szCs w:val="16"/>
              </w:rPr>
              <w:t>.</w:t>
            </w:r>
          </w:p>
        </w:tc>
        <w:tc>
          <w:tcPr>
            <w:tcW w:w="850"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Pr="00413D1D" w:rsidR="007A4EB4" w:rsidP="006E48B1" w:rsidRDefault="007A4EB4" w14:paraId="46155B03" w14:textId="77777777">
            <w:pPr>
              <w:spacing w:line="240" w:lineRule="auto"/>
              <w:jc w:val="center"/>
            </w:pPr>
            <w:r w:rsidRPr="00413D1D">
              <w:rPr>
                <w:rFonts w:eastAsia="Aptos"/>
                <w:color w:val="000000" w:themeColor="text1"/>
                <w:sz w:val="16"/>
                <w:szCs w:val="16"/>
              </w:rPr>
              <w:t>2</w:t>
            </w:r>
          </w:p>
        </w:tc>
        <w:tc>
          <w:tcPr>
            <w:tcW w:w="1276"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Pr="00413D1D" w:rsidR="007A4EB4" w:rsidP="006E48B1" w:rsidRDefault="007A4EB4" w14:paraId="3C51520A" w14:textId="77777777">
            <w:pPr>
              <w:spacing w:line="240" w:lineRule="auto"/>
              <w:jc w:val="center"/>
            </w:pPr>
            <w:r w:rsidRPr="00413D1D">
              <w:rPr>
                <w:rFonts w:eastAsia="Aptos"/>
                <w:color w:val="000000" w:themeColor="text1"/>
                <w:sz w:val="16"/>
                <w:szCs w:val="16"/>
              </w:rPr>
              <w:t>Cumple</w:t>
            </w:r>
          </w:p>
        </w:tc>
      </w:tr>
      <w:tr w:rsidRPr="00413D1D" w:rsidR="007A4EB4" w:rsidTr="0ED4F347" w14:paraId="1E694E40" w14:textId="77777777">
        <w:trPr>
          <w:trHeight w:val="324"/>
        </w:trPr>
        <w:tc>
          <w:tcPr>
            <w:tcW w:w="103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22D7D72D" w14:textId="77777777">
            <w:pPr>
              <w:spacing w:line="240" w:lineRule="auto"/>
              <w:jc w:val="center"/>
            </w:pPr>
            <w:r w:rsidRPr="00413D1D">
              <w:rPr>
                <w:rFonts w:eastAsia="Aptos"/>
                <w:color w:val="000000" w:themeColor="text1"/>
                <w:sz w:val="16"/>
                <w:szCs w:val="16"/>
              </w:rPr>
              <w:t>9</w:t>
            </w:r>
          </w:p>
        </w:tc>
        <w:tc>
          <w:tcPr>
            <w:tcW w:w="722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A4EB4" w:rsidP="006E48B1" w:rsidRDefault="007A4EB4" w14:paraId="4D669C7C" w14:textId="77777777">
            <w:pPr>
              <w:spacing w:line="240" w:lineRule="auto"/>
            </w:pPr>
            <w:r w:rsidRPr="00413D1D">
              <w:rPr>
                <w:rFonts w:eastAsia="Aptos"/>
                <w:color w:val="000000" w:themeColor="text1"/>
                <w:sz w:val="16"/>
                <w:szCs w:val="16"/>
              </w:rPr>
              <w:t>Coordinar entrega de ayudas según cronograma establecido con el CMGRD</w:t>
            </w:r>
          </w:p>
        </w:tc>
        <w:tc>
          <w:tcPr>
            <w:tcW w:w="850"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Pr="00413D1D" w:rsidR="007A4EB4" w:rsidP="006E48B1" w:rsidRDefault="007A4EB4" w14:paraId="748E114B" w14:textId="77777777">
            <w:pPr>
              <w:spacing w:line="240" w:lineRule="auto"/>
              <w:jc w:val="center"/>
            </w:pPr>
            <w:r w:rsidRPr="00413D1D">
              <w:rPr>
                <w:rFonts w:eastAsia="Aptos"/>
                <w:color w:val="000000" w:themeColor="text1"/>
                <w:sz w:val="16"/>
                <w:szCs w:val="16"/>
              </w:rPr>
              <w:t>1</w:t>
            </w:r>
          </w:p>
        </w:tc>
        <w:tc>
          <w:tcPr>
            <w:tcW w:w="1276"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Pr="00413D1D" w:rsidR="007A4EB4" w:rsidP="006E48B1" w:rsidRDefault="007A4EB4" w14:paraId="093A58B2" w14:textId="77777777">
            <w:pPr>
              <w:spacing w:line="240" w:lineRule="auto"/>
              <w:jc w:val="center"/>
            </w:pPr>
            <w:r w:rsidRPr="00413D1D">
              <w:rPr>
                <w:rFonts w:eastAsia="Aptos"/>
                <w:color w:val="000000" w:themeColor="text1"/>
                <w:sz w:val="16"/>
                <w:szCs w:val="16"/>
              </w:rPr>
              <w:t>Cumple Parcial</w:t>
            </w:r>
          </w:p>
        </w:tc>
      </w:tr>
      <w:tr w:rsidRPr="00413D1D" w:rsidR="0073485D" w:rsidTr="0ED4F347" w14:paraId="195A7EAF" w14:textId="77777777">
        <w:trPr>
          <w:trHeight w:val="400"/>
        </w:trPr>
        <w:tc>
          <w:tcPr>
            <w:tcW w:w="103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3485D" w:rsidP="0073485D" w:rsidRDefault="0073485D" w14:paraId="48EBBFD2" w14:textId="77777777">
            <w:pPr>
              <w:spacing w:line="240" w:lineRule="auto"/>
              <w:jc w:val="center"/>
            </w:pPr>
            <w:r w:rsidRPr="00413D1D">
              <w:rPr>
                <w:rFonts w:eastAsia="Aptos"/>
                <w:color w:val="000000" w:themeColor="text1"/>
                <w:sz w:val="16"/>
                <w:szCs w:val="16"/>
              </w:rPr>
              <w:t>10</w:t>
            </w:r>
          </w:p>
        </w:tc>
        <w:tc>
          <w:tcPr>
            <w:tcW w:w="722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3485D" w:rsidP="0073485D" w:rsidRDefault="0073485D" w14:paraId="172ABB93" w14:textId="66BBDA43">
            <w:pPr>
              <w:spacing w:line="240" w:lineRule="auto"/>
            </w:pPr>
            <w:r w:rsidRPr="00413D1D">
              <w:rPr>
                <w:rFonts w:eastAsia="Aptos"/>
                <w:color w:val="000000" w:themeColor="text1"/>
                <w:sz w:val="16"/>
                <w:szCs w:val="16"/>
              </w:rPr>
              <w:t>Ejecutar flujograma de respuesta, realizar EDAN y solicitar censo de damnificados</w:t>
            </w:r>
            <w:r>
              <w:rPr>
                <w:rFonts w:eastAsia="Aptos"/>
                <w:color w:val="000000" w:themeColor="text1"/>
                <w:sz w:val="16"/>
                <w:szCs w:val="16"/>
              </w:rPr>
              <w:t>.</w:t>
            </w:r>
          </w:p>
        </w:tc>
        <w:tc>
          <w:tcPr>
            <w:tcW w:w="850"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Pr="00413D1D" w:rsidR="0073485D" w:rsidP="0073485D" w:rsidRDefault="0073485D" w14:paraId="5D6AB989" w14:textId="1572AF63">
            <w:pPr>
              <w:spacing w:line="240" w:lineRule="auto"/>
              <w:jc w:val="center"/>
              <w:rPr>
                <w:rFonts w:eastAsia="Aptos"/>
                <w:color w:val="000000" w:themeColor="text1"/>
                <w:sz w:val="16"/>
                <w:szCs w:val="16"/>
              </w:rPr>
            </w:pPr>
            <w:r>
              <w:rPr>
                <w:rFonts w:eastAsia="Aptos"/>
                <w:color w:val="000000" w:themeColor="text1"/>
                <w:sz w:val="16"/>
                <w:szCs w:val="16"/>
              </w:rPr>
              <w:t>1</w:t>
            </w:r>
          </w:p>
        </w:tc>
        <w:tc>
          <w:tcPr>
            <w:tcW w:w="1276"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Pr="00413D1D" w:rsidR="0073485D" w:rsidP="0073485D" w:rsidRDefault="0073485D" w14:paraId="625CB361" w14:textId="4EA0F5C1">
            <w:pPr>
              <w:spacing w:line="240" w:lineRule="auto"/>
              <w:jc w:val="center"/>
            </w:pPr>
            <w:r w:rsidRPr="00413D1D">
              <w:rPr>
                <w:rFonts w:eastAsia="Aptos"/>
                <w:color w:val="000000" w:themeColor="text1"/>
                <w:sz w:val="16"/>
                <w:szCs w:val="16"/>
              </w:rPr>
              <w:t>Cumple Parcial</w:t>
            </w:r>
          </w:p>
        </w:tc>
      </w:tr>
      <w:tr w:rsidRPr="00413D1D" w:rsidR="0073485D" w:rsidTr="0ED4F347" w14:paraId="2F6B98AA" w14:textId="77777777">
        <w:trPr>
          <w:trHeight w:val="255"/>
        </w:trPr>
        <w:tc>
          <w:tcPr>
            <w:tcW w:w="103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3485D" w:rsidP="0073485D" w:rsidRDefault="0073485D" w14:paraId="3FBACF60" w14:textId="77777777">
            <w:pPr>
              <w:spacing w:line="240" w:lineRule="auto"/>
              <w:jc w:val="center"/>
            </w:pPr>
            <w:r w:rsidRPr="00413D1D">
              <w:rPr>
                <w:rFonts w:eastAsia="Aptos"/>
                <w:color w:val="000000" w:themeColor="text1"/>
                <w:sz w:val="16"/>
                <w:szCs w:val="16"/>
              </w:rPr>
              <w:t>11</w:t>
            </w:r>
          </w:p>
        </w:tc>
        <w:tc>
          <w:tcPr>
            <w:tcW w:w="722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3485D" w:rsidP="0073485D" w:rsidRDefault="0073485D" w14:paraId="7CB25A82" w14:textId="4FB12FA7">
            <w:pPr>
              <w:spacing w:line="240" w:lineRule="auto"/>
            </w:pPr>
            <w:r w:rsidRPr="00413D1D">
              <w:rPr>
                <w:rFonts w:eastAsia="Aptos"/>
                <w:color w:val="000000" w:themeColor="text1"/>
                <w:sz w:val="16"/>
                <w:szCs w:val="16"/>
              </w:rPr>
              <w:t>Entregar ayudas humanitarias y realizar legalización</w:t>
            </w:r>
            <w:r>
              <w:rPr>
                <w:rFonts w:eastAsia="Aptos"/>
                <w:color w:val="000000" w:themeColor="text1"/>
                <w:sz w:val="16"/>
                <w:szCs w:val="16"/>
              </w:rPr>
              <w:t>.</w:t>
            </w:r>
          </w:p>
        </w:tc>
        <w:tc>
          <w:tcPr>
            <w:tcW w:w="850"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Pr="00413D1D" w:rsidR="0073485D" w:rsidP="0073485D" w:rsidRDefault="0073485D" w14:paraId="614715C0" w14:textId="570426D4">
            <w:pPr>
              <w:spacing w:line="240" w:lineRule="auto"/>
              <w:jc w:val="center"/>
              <w:rPr>
                <w:rFonts w:eastAsia="Aptos"/>
                <w:color w:val="000000" w:themeColor="text1"/>
                <w:sz w:val="16"/>
                <w:szCs w:val="16"/>
              </w:rPr>
            </w:pPr>
            <w:r>
              <w:rPr>
                <w:rFonts w:eastAsia="Aptos"/>
                <w:color w:val="000000" w:themeColor="text1"/>
                <w:sz w:val="16"/>
                <w:szCs w:val="16"/>
              </w:rPr>
              <w:t>1</w:t>
            </w:r>
          </w:p>
        </w:tc>
        <w:tc>
          <w:tcPr>
            <w:tcW w:w="1276"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Pr="00413D1D" w:rsidR="0073485D" w:rsidP="0073485D" w:rsidRDefault="0073485D" w14:paraId="7F1A4F92" w14:textId="034D50F0">
            <w:pPr>
              <w:spacing w:line="240" w:lineRule="auto"/>
              <w:jc w:val="center"/>
            </w:pPr>
            <w:r w:rsidRPr="00413D1D">
              <w:rPr>
                <w:rFonts w:eastAsia="Aptos"/>
                <w:color w:val="000000" w:themeColor="text1"/>
                <w:sz w:val="16"/>
                <w:szCs w:val="16"/>
              </w:rPr>
              <w:t>Cumple Parcial</w:t>
            </w:r>
          </w:p>
        </w:tc>
      </w:tr>
      <w:tr w:rsidRPr="00413D1D" w:rsidR="0073485D" w:rsidTr="0ED4F347" w14:paraId="01C8D4A0" w14:textId="77777777">
        <w:trPr>
          <w:trHeight w:val="255"/>
        </w:trPr>
        <w:tc>
          <w:tcPr>
            <w:tcW w:w="103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3485D" w:rsidP="0073485D" w:rsidRDefault="0073485D" w14:paraId="4DCC78B7" w14:textId="77777777">
            <w:pPr>
              <w:spacing w:line="240" w:lineRule="auto"/>
              <w:jc w:val="center"/>
            </w:pPr>
            <w:r w:rsidRPr="00413D1D">
              <w:rPr>
                <w:rFonts w:eastAsia="Aptos"/>
                <w:color w:val="000000" w:themeColor="text1"/>
                <w:sz w:val="16"/>
                <w:szCs w:val="16"/>
              </w:rPr>
              <w:t>12</w:t>
            </w:r>
          </w:p>
        </w:tc>
        <w:tc>
          <w:tcPr>
            <w:tcW w:w="722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3485D" w:rsidP="0073485D" w:rsidRDefault="0073485D" w14:paraId="383FDED8" w14:textId="5B7E0869">
            <w:pPr>
              <w:spacing w:line="240" w:lineRule="auto"/>
            </w:pPr>
            <w:r w:rsidRPr="00413D1D">
              <w:rPr>
                <w:rFonts w:eastAsia="Aptos"/>
                <w:color w:val="000000" w:themeColor="text1"/>
                <w:sz w:val="16"/>
                <w:szCs w:val="16"/>
              </w:rPr>
              <w:t>Gestionar carpeta de ayudas humanitarias</w:t>
            </w:r>
            <w:r>
              <w:rPr>
                <w:rFonts w:eastAsia="Aptos"/>
                <w:color w:val="000000" w:themeColor="text1"/>
                <w:sz w:val="16"/>
                <w:szCs w:val="16"/>
              </w:rPr>
              <w:t>.</w:t>
            </w:r>
          </w:p>
        </w:tc>
        <w:tc>
          <w:tcPr>
            <w:tcW w:w="850"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Pr="00413D1D" w:rsidR="0073485D" w:rsidP="0073485D" w:rsidRDefault="0073485D" w14:paraId="0554E08F" w14:textId="77777777">
            <w:pPr>
              <w:spacing w:line="240" w:lineRule="auto"/>
              <w:jc w:val="center"/>
            </w:pPr>
            <w:r w:rsidRPr="00413D1D">
              <w:rPr>
                <w:rFonts w:eastAsia="Aptos"/>
                <w:color w:val="000000" w:themeColor="text1"/>
                <w:sz w:val="16"/>
                <w:szCs w:val="16"/>
              </w:rPr>
              <w:t>2</w:t>
            </w:r>
          </w:p>
        </w:tc>
        <w:tc>
          <w:tcPr>
            <w:tcW w:w="1276"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Pr="00413D1D" w:rsidR="0073485D" w:rsidP="0073485D" w:rsidRDefault="0073485D" w14:paraId="24378A7E" w14:textId="77777777">
            <w:pPr>
              <w:spacing w:line="240" w:lineRule="auto"/>
              <w:jc w:val="center"/>
            </w:pPr>
            <w:r w:rsidRPr="00413D1D">
              <w:rPr>
                <w:rFonts w:eastAsia="Aptos"/>
                <w:color w:val="000000" w:themeColor="text1"/>
                <w:sz w:val="16"/>
                <w:szCs w:val="16"/>
              </w:rPr>
              <w:t>Cumple</w:t>
            </w:r>
          </w:p>
        </w:tc>
      </w:tr>
      <w:tr w:rsidRPr="00413D1D" w:rsidR="0073485D" w:rsidTr="0ED4F347" w14:paraId="53480B03" w14:textId="77777777">
        <w:trPr>
          <w:trHeight w:val="224"/>
        </w:trPr>
        <w:tc>
          <w:tcPr>
            <w:tcW w:w="103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3485D" w:rsidP="0073485D" w:rsidRDefault="0073485D" w14:paraId="1091B13B" w14:textId="77777777">
            <w:pPr>
              <w:spacing w:line="240" w:lineRule="auto"/>
              <w:jc w:val="center"/>
            </w:pPr>
            <w:r w:rsidRPr="00413D1D">
              <w:rPr>
                <w:rFonts w:eastAsia="Aptos"/>
                <w:color w:val="000000" w:themeColor="text1"/>
                <w:sz w:val="16"/>
                <w:szCs w:val="16"/>
              </w:rPr>
              <w:t>13</w:t>
            </w:r>
          </w:p>
        </w:tc>
        <w:tc>
          <w:tcPr>
            <w:tcW w:w="722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3485D" w:rsidP="0073485D" w:rsidRDefault="0073485D" w14:paraId="4048D344" w14:textId="0D158FD2">
            <w:pPr>
              <w:spacing w:line="240" w:lineRule="auto"/>
            </w:pPr>
            <w:r w:rsidRPr="00413D1D">
              <w:rPr>
                <w:rFonts w:eastAsia="Aptos"/>
                <w:color w:val="000000" w:themeColor="text1"/>
                <w:sz w:val="16"/>
                <w:szCs w:val="16"/>
              </w:rPr>
              <w:t>Realizar y evaluar Encuesta de Percepción de la Comunidad ante la Entrega de Ayuda Humanitaria</w:t>
            </w:r>
            <w:r>
              <w:rPr>
                <w:rFonts w:eastAsia="Aptos"/>
                <w:color w:val="000000" w:themeColor="text1"/>
                <w:sz w:val="16"/>
                <w:szCs w:val="16"/>
              </w:rPr>
              <w:t>.</w:t>
            </w:r>
          </w:p>
        </w:tc>
        <w:tc>
          <w:tcPr>
            <w:tcW w:w="850"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Pr="00413D1D" w:rsidR="0073485D" w:rsidP="0073485D" w:rsidRDefault="0073485D" w14:paraId="44DDB656" w14:textId="77777777">
            <w:pPr>
              <w:spacing w:line="240" w:lineRule="auto"/>
              <w:jc w:val="center"/>
            </w:pPr>
            <w:r w:rsidRPr="00413D1D">
              <w:rPr>
                <w:rFonts w:eastAsia="Aptos"/>
                <w:color w:val="000000" w:themeColor="text1"/>
                <w:sz w:val="16"/>
                <w:szCs w:val="16"/>
              </w:rPr>
              <w:t>2</w:t>
            </w:r>
          </w:p>
        </w:tc>
        <w:tc>
          <w:tcPr>
            <w:tcW w:w="1276"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Pr="00413D1D" w:rsidR="0073485D" w:rsidP="0073485D" w:rsidRDefault="0073485D" w14:paraId="08A8EAE5" w14:textId="77777777">
            <w:pPr>
              <w:spacing w:line="240" w:lineRule="auto"/>
              <w:jc w:val="center"/>
            </w:pPr>
            <w:r w:rsidRPr="00413D1D">
              <w:rPr>
                <w:rFonts w:eastAsia="Aptos"/>
                <w:color w:val="000000" w:themeColor="text1"/>
                <w:sz w:val="16"/>
                <w:szCs w:val="16"/>
              </w:rPr>
              <w:t>Cumple</w:t>
            </w:r>
          </w:p>
        </w:tc>
      </w:tr>
      <w:tr w:rsidRPr="00413D1D" w:rsidR="0073485D" w:rsidTr="0ED4F347" w14:paraId="3654DDF6" w14:textId="77777777">
        <w:trPr>
          <w:trHeight w:val="255"/>
        </w:trPr>
        <w:tc>
          <w:tcPr>
            <w:tcW w:w="1039"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3485D" w:rsidP="0073485D" w:rsidRDefault="0073485D" w14:paraId="0DDB584C" w14:textId="77777777">
            <w:pPr>
              <w:spacing w:line="240" w:lineRule="auto"/>
              <w:jc w:val="center"/>
            </w:pPr>
            <w:r w:rsidRPr="00413D1D">
              <w:rPr>
                <w:rFonts w:eastAsia="Aptos"/>
                <w:b/>
                <w:bCs/>
                <w:color w:val="000000" w:themeColor="text1"/>
                <w:sz w:val="16"/>
                <w:szCs w:val="16"/>
              </w:rPr>
              <w:t xml:space="preserve"> </w:t>
            </w:r>
          </w:p>
        </w:tc>
        <w:tc>
          <w:tcPr>
            <w:tcW w:w="722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13D1D" w:rsidR="0073485D" w:rsidP="0073485D" w:rsidRDefault="0073485D" w14:paraId="32D705CC" w14:textId="77777777">
            <w:pPr>
              <w:spacing w:line="240" w:lineRule="auto"/>
              <w:jc w:val="center"/>
            </w:pPr>
            <w:r w:rsidRPr="00413D1D">
              <w:rPr>
                <w:rFonts w:eastAsia="Aptos"/>
                <w:b/>
                <w:bCs/>
                <w:color w:val="000000" w:themeColor="text1"/>
                <w:sz w:val="16"/>
                <w:szCs w:val="16"/>
              </w:rPr>
              <w:t xml:space="preserve">TOTAL </w:t>
            </w:r>
          </w:p>
        </w:tc>
        <w:tc>
          <w:tcPr>
            <w:tcW w:w="850"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Pr="00413D1D" w:rsidR="0073485D" w:rsidP="0073485D" w:rsidRDefault="0073485D" w14:paraId="7E0620B2" w14:textId="1F229536">
            <w:pPr>
              <w:spacing w:line="240" w:lineRule="auto"/>
              <w:jc w:val="center"/>
            </w:pPr>
            <w:r w:rsidRPr="1C3D137E">
              <w:rPr>
                <w:rFonts w:eastAsia="Aptos"/>
                <w:b/>
                <w:bCs/>
                <w:color w:val="000000" w:themeColor="text1"/>
                <w:sz w:val="16"/>
                <w:szCs w:val="16"/>
              </w:rPr>
              <w:t>1</w:t>
            </w:r>
            <w:r>
              <w:rPr>
                <w:rFonts w:eastAsia="Aptos"/>
                <w:b/>
                <w:bCs/>
                <w:color w:val="000000" w:themeColor="text1"/>
                <w:sz w:val="16"/>
                <w:szCs w:val="16"/>
              </w:rPr>
              <w:t>5</w:t>
            </w:r>
          </w:p>
        </w:tc>
        <w:tc>
          <w:tcPr>
            <w:tcW w:w="1276"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Pr="00413D1D" w:rsidR="0073485D" w:rsidP="0073485D" w:rsidRDefault="004042B6" w14:paraId="4C2158B4" w14:textId="566AB121">
            <w:pPr>
              <w:spacing w:line="240" w:lineRule="auto"/>
              <w:jc w:val="center"/>
            </w:pPr>
            <w:r>
              <w:rPr>
                <w:rFonts w:eastAsia="Aptos"/>
                <w:b/>
                <w:bCs/>
                <w:color w:val="000000" w:themeColor="text1"/>
                <w:sz w:val="16"/>
                <w:szCs w:val="16"/>
              </w:rPr>
              <w:t>63</w:t>
            </w:r>
            <w:r w:rsidRPr="1C3D137E" w:rsidR="0073485D">
              <w:rPr>
                <w:rFonts w:eastAsia="Aptos"/>
                <w:b/>
                <w:bCs/>
                <w:color w:val="000000" w:themeColor="text1"/>
                <w:sz w:val="16"/>
                <w:szCs w:val="16"/>
              </w:rPr>
              <w:t>%</w:t>
            </w:r>
          </w:p>
        </w:tc>
      </w:tr>
    </w:tbl>
    <w:p w:rsidRPr="00413D1D" w:rsidR="007A4EB4" w:rsidP="0ED4F347" w:rsidRDefault="007A4EB4" w14:paraId="40208DFA" w14:textId="1C04B077">
      <w:pPr>
        <w:pStyle w:val="Ttulo2"/>
        <w:numPr>
          <w:ilvl w:val="0"/>
          <w:numId w:val="0"/>
        </w:numPr>
        <w:spacing w:line="240" w:lineRule="auto"/>
        <w:ind w:left="0"/>
        <w:jc w:val="center"/>
        <w:rPr>
          <w:b w:val="0"/>
          <w:bCs w:val="0"/>
          <w:sz w:val="16"/>
          <w:szCs w:val="16"/>
          <w:lang w:val="es-ES"/>
        </w:rPr>
      </w:pPr>
      <w:r w:rsidRPr="0ED4F347" w:rsidR="071CBC41">
        <w:rPr>
          <w:b w:val="0"/>
          <w:bCs w:val="0"/>
          <w:sz w:val="16"/>
          <w:szCs w:val="16"/>
          <w:lang w:val="es-ES"/>
        </w:rPr>
        <w:t>Fuente: Elaboración propia</w:t>
      </w:r>
    </w:p>
    <w:p w:rsidRPr="00413D1D" w:rsidR="007A4EB4" w:rsidP="007A4EB4" w:rsidRDefault="007A4EB4" w14:paraId="70D407C5" w14:textId="7F71981A">
      <w:pPr>
        <w:spacing w:line="240" w:lineRule="auto"/>
        <w:rPr>
          <w:rFonts w:eastAsia="Aptos"/>
          <w:b w:val="1"/>
          <w:bCs w:val="1"/>
        </w:rPr>
      </w:pPr>
    </w:p>
    <w:p w:rsidR="1626FD65" w:rsidP="1C3D137E" w:rsidRDefault="1626FD65" w14:paraId="051E4060" w14:textId="68B6CA69">
      <w:pPr>
        <w:spacing w:after="160"/>
      </w:pPr>
      <w:r w:rsidRPr="1C3D137E">
        <w:rPr>
          <w:rFonts w:eastAsia="Arial"/>
          <w:sz w:val="24"/>
          <w:szCs w:val="24"/>
        </w:rPr>
        <w:t xml:space="preserve">Una vez evaluado el procedimiento "Entrega de Ayudas Humanitarias", código M-FT-PR-010, aprobado el 27 de mayo de 2019, </w:t>
      </w:r>
      <w:r w:rsidR="004042B6">
        <w:rPr>
          <w:rFonts w:eastAsia="Arial"/>
          <w:sz w:val="24"/>
          <w:szCs w:val="24"/>
        </w:rPr>
        <w:t>se concluye que la Unidad Administrativa Especial para la Gestión del Riesgo de Desastres (UAEGRD) no cumple con lo establecido en dicho procedimiento</w:t>
      </w:r>
      <w:r w:rsidR="00A820AC">
        <w:rPr>
          <w:rFonts w:eastAsia="Arial"/>
          <w:sz w:val="24"/>
          <w:szCs w:val="24"/>
        </w:rPr>
        <w:t xml:space="preserve"> al haber obtenido una calificación global del</w:t>
      </w:r>
      <w:r w:rsidR="004042B6">
        <w:rPr>
          <w:rFonts w:eastAsia="Arial"/>
          <w:sz w:val="24"/>
          <w:szCs w:val="24"/>
        </w:rPr>
        <w:t xml:space="preserve"> 63</w:t>
      </w:r>
      <w:r w:rsidR="00A820AC">
        <w:rPr>
          <w:rFonts w:eastAsia="Arial"/>
          <w:sz w:val="24"/>
          <w:szCs w:val="24"/>
        </w:rPr>
        <w:t>% en su</w:t>
      </w:r>
      <w:r w:rsidRPr="1C3D137E">
        <w:rPr>
          <w:rFonts w:eastAsia="Arial"/>
          <w:sz w:val="24"/>
          <w:szCs w:val="24"/>
        </w:rPr>
        <w:t xml:space="preserve"> implementación</w:t>
      </w:r>
      <w:r w:rsidR="00A820AC">
        <w:rPr>
          <w:rFonts w:eastAsia="Arial"/>
          <w:sz w:val="24"/>
          <w:szCs w:val="24"/>
        </w:rPr>
        <w:t>.</w:t>
      </w:r>
      <w:r w:rsidRPr="1C3D137E">
        <w:rPr>
          <w:rFonts w:eastAsia="Arial"/>
          <w:sz w:val="24"/>
          <w:szCs w:val="24"/>
        </w:rPr>
        <w:t xml:space="preserve"> </w:t>
      </w:r>
      <w:r w:rsidR="00A820AC">
        <w:rPr>
          <w:rFonts w:eastAsia="Arial"/>
          <w:sz w:val="24"/>
          <w:szCs w:val="24"/>
        </w:rPr>
        <w:t xml:space="preserve">Este resultado muestra que, aunque la entidad realizó acciones concretas de atención y entregó ayudas a la población afectada, no se respetaron de manera suficiente los registros y formatos definidos, lo que afecta la trazabilidad y la confiabilidad del proceso </w:t>
      </w:r>
    </w:p>
    <w:p w:rsidRPr="00046DBA" w:rsidR="007A4EB4" w:rsidP="007A4EB4" w:rsidRDefault="007A4EB4" w14:paraId="22C29E85" w14:textId="7DEA0702">
      <w:pPr>
        <w:spacing w:line="240" w:lineRule="auto"/>
        <w:rPr>
          <w:sz w:val="24"/>
          <w:szCs w:val="24"/>
        </w:rPr>
      </w:pPr>
      <w:r w:rsidRPr="1C3D137E">
        <w:rPr>
          <w:rFonts w:eastAsia="Aptos"/>
          <w:sz w:val="24"/>
          <w:szCs w:val="24"/>
        </w:rPr>
        <w:t xml:space="preserve">Durante la auditoría se revisaron las evidencias y soportes entregados en la mesa de trabajo del 13 de marzo de 2026 y la documentación adicional enviada el 16 de marzo de 2026. Entre estos documentos se encuentra el registro en Excel de las llamadas recibidas por la UAEGRD, en el que se evidenció la atención de tres (3) reportes: dos (2) procedentes del municipio de Medina, con 150 familias y 602 personas afectadas, y uno (1) del municipio de </w:t>
      </w:r>
      <w:proofErr w:type="spellStart"/>
      <w:r w:rsidRPr="1C3D137E">
        <w:rPr>
          <w:rFonts w:eastAsia="Aptos"/>
          <w:sz w:val="24"/>
          <w:szCs w:val="24"/>
        </w:rPr>
        <w:t>Paratebueno</w:t>
      </w:r>
      <w:proofErr w:type="spellEnd"/>
      <w:r w:rsidRPr="1C3D137E">
        <w:rPr>
          <w:rFonts w:eastAsia="Aptos"/>
          <w:sz w:val="24"/>
          <w:szCs w:val="24"/>
        </w:rPr>
        <w:t xml:space="preserve">, con 137 familias y 362 personas afectadas. También se aportaron 23 actas de los Puestos de Mando Unificado (PMU) realizadas entre el 11 y el 24 de junio de 2025, en las que se observó la participación del </w:t>
      </w:r>
      <w:r w:rsidRPr="1C3D137E" w:rsidR="00671FF0">
        <w:rPr>
          <w:rFonts w:eastAsia="Aptos"/>
          <w:sz w:val="24"/>
          <w:szCs w:val="24"/>
        </w:rPr>
        <w:t>director</w:t>
      </w:r>
      <w:r w:rsidRPr="1C3D137E">
        <w:rPr>
          <w:rFonts w:eastAsia="Aptos"/>
          <w:sz w:val="24"/>
          <w:szCs w:val="24"/>
        </w:rPr>
        <w:t xml:space="preserve">(a) de la UAEGRD y del </w:t>
      </w:r>
      <w:r w:rsidRPr="1C3D137E" w:rsidR="00671FF0">
        <w:rPr>
          <w:rFonts w:eastAsia="Aptos"/>
          <w:sz w:val="24"/>
          <w:szCs w:val="24"/>
        </w:rPr>
        <w:t>subdirector(a)</w:t>
      </w:r>
      <w:r w:rsidRPr="1C3D137E">
        <w:rPr>
          <w:rFonts w:eastAsia="Aptos"/>
          <w:sz w:val="24"/>
          <w:szCs w:val="24"/>
        </w:rPr>
        <w:t xml:space="preserve"> de Manejo, lo que demuestra una intervención activa en la </w:t>
      </w:r>
      <w:r w:rsidRPr="1C3D137E">
        <w:rPr>
          <w:rFonts w:eastAsia="Aptos"/>
          <w:sz w:val="24"/>
          <w:szCs w:val="24"/>
        </w:rPr>
        <w:lastRenderedPageBreak/>
        <w:t>coordinación de la emergencia. Estas evidencias fueron utilizadas para evaluar, entre otras, las actividades 4, 5, 6, 7 y 9, aunque no corresponden exactamente a los registros específicos que el procedimiento exige como “Informe de situación del departamento / Acta de reunión”.</w:t>
      </w:r>
      <w:r w:rsidRPr="1C3D137E">
        <w:rPr>
          <w:rFonts w:eastAsia="Aptos"/>
          <w:sz w:val="24"/>
          <w:szCs w:val="24"/>
          <w:lang w:val="es"/>
        </w:rPr>
        <w:t xml:space="preserve"> </w:t>
      </w:r>
    </w:p>
    <w:p w:rsidR="1C3D137E" w:rsidP="1C3D137E" w:rsidRDefault="1C3D137E" w14:paraId="17CB0F9B" w14:textId="3BB36434">
      <w:pPr>
        <w:spacing w:line="240" w:lineRule="auto"/>
        <w:rPr>
          <w:rFonts w:eastAsia="Aptos"/>
          <w:sz w:val="24"/>
          <w:szCs w:val="24"/>
        </w:rPr>
      </w:pPr>
    </w:p>
    <w:p w:rsidRPr="00046DBA" w:rsidR="007A4EB4" w:rsidP="007A4EB4" w:rsidRDefault="007A4EB4" w14:paraId="1F4828FD" w14:textId="77777777">
      <w:pPr>
        <w:spacing w:line="240" w:lineRule="auto"/>
        <w:rPr>
          <w:rFonts w:eastAsia="Aptos"/>
          <w:sz w:val="24"/>
          <w:szCs w:val="24"/>
        </w:rPr>
      </w:pPr>
      <w:r w:rsidRPr="1C3D137E">
        <w:rPr>
          <w:rFonts w:eastAsia="Aptos"/>
          <w:sz w:val="24"/>
          <w:szCs w:val="24"/>
        </w:rPr>
        <w:t xml:space="preserve">A partir de las actas de PMU y otros soportes se verificó que la UAEGRD tomó decisiones relevantes para la entrega de ayudas humanitarias: se aprobaron subsidios de arriendo por tres (3) meses, posteriormente ampliados a seis (6) meses; se distribuyeron 286 kits de aseo y 536 kits de mercado solicitados por los alcaldes de Medina y </w:t>
      </w:r>
      <w:proofErr w:type="spellStart"/>
      <w:r w:rsidRPr="1C3D137E">
        <w:rPr>
          <w:rFonts w:eastAsia="Aptos"/>
          <w:sz w:val="24"/>
          <w:szCs w:val="24"/>
        </w:rPr>
        <w:t>Paratebueno</w:t>
      </w:r>
      <w:proofErr w:type="spellEnd"/>
      <w:r w:rsidRPr="1C3D137E">
        <w:rPr>
          <w:rFonts w:eastAsia="Aptos"/>
          <w:sz w:val="24"/>
          <w:szCs w:val="24"/>
        </w:rPr>
        <w:t xml:space="preserve">; y se entregaron materiales para la adecuación de albergues. Para analizar la consistencia de esta entrega, se aplicó un muestreo sobre los 536 kits de mercado, seleccionando el municipio de Medina (300 kits) y una muestra de 23 kits. </w:t>
      </w:r>
    </w:p>
    <w:p w:rsidR="1C3D137E" w:rsidP="1C3D137E" w:rsidRDefault="1C3D137E" w14:paraId="5B9F43A0" w14:textId="12C1648B">
      <w:pPr>
        <w:spacing w:line="240" w:lineRule="auto"/>
        <w:rPr>
          <w:rFonts w:eastAsia="Aptos"/>
          <w:color w:val="000000" w:themeColor="text1"/>
          <w:sz w:val="24"/>
          <w:szCs w:val="24"/>
        </w:rPr>
      </w:pPr>
    </w:p>
    <w:p w:rsidRPr="00046DBA" w:rsidR="008D46D3" w:rsidP="008D46D3" w:rsidRDefault="007A4EB4" w14:paraId="7A6593C6" w14:textId="4B7136A1">
      <w:pPr>
        <w:spacing w:line="240" w:lineRule="auto"/>
        <w:rPr>
          <w:rFonts w:eastAsia="Aptos"/>
          <w:color w:val="000000" w:themeColor="text1"/>
          <w:sz w:val="24"/>
          <w:szCs w:val="24"/>
        </w:rPr>
      </w:pPr>
      <w:r w:rsidRPr="1C3D137E">
        <w:rPr>
          <w:rFonts w:eastAsia="Aptos"/>
          <w:color w:val="000000" w:themeColor="text1"/>
          <w:sz w:val="24"/>
          <w:szCs w:val="24"/>
        </w:rPr>
        <w:t>En síntesis, la UAEGRD no aplica de manera integral el procedimiento “Ayudas Humanitarias” M</w:t>
      </w:r>
      <w:r w:rsidRPr="1C3D137E" w:rsidR="782EBCA5">
        <w:rPr>
          <w:rFonts w:eastAsia="Aptos"/>
          <w:color w:val="000000" w:themeColor="text1"/>
          <w:sz w:val="24"/>
          <w:szCs w:val="24"/>
        </w:rPr>
        <w:t>-</w:t>
      </w:r>
      <w:r w:rsidRPr="1C3D137E">
        <w:rPr>
          <w:rFonts w:eastAsia="Aptos"/>
          <w:color w:val="000000" w:themeColor="text1"/>
          <w:sz w:val="24"/>
          <w:szCs w:val="24"/>
        </w:rPr>
        <w:t>FT</w:t>
      </w:r>
      <w:r w:rsidRPr="1C3D137E" w:rsidR="3E0443C0">
        <w:rPr>
          <w:rFonts w:eastAsia="Aptos"/>
          <w:color w:val="000000" w:themeColor="text1"/>
          <w:sz w:val="24"/>
          <w:szCs w:val="24"/>
        </w:rPr>
        <w:t>-</w:t>
      </w:r>
      <w:r w:rsidRPr="1C3D137E">
        <w:rPr>
          <w:rFonts w:eastAsia="Aptos"/>
          <w:color w:val="000000" w:themeColor="text1"/>
          <w:sz w:val="24"/>
          <w:szCs w:val="24"/>
        </w:rPr>
        <w:t>PR</w:t>
      </w:r>
      <w:r w:rsidRPr="1C3D137E" w:rsidR="10F905E4">
        <w:rPr>
          <w:rFonts w:eastAsia="Aptos"/>
          <w:color w:val="000000" w:themeColor="text1"/>
          <w:sz w:val="24"/>
          <w:szCs w:val="24"/>
        </w:rPr>
        <w:t>-</w:t>
      </w:r>
      <w:r w:rsidRPr="1C3D137E">
        <w:rPr>
          <w:rFonts w:eastAsia="Aptos"/>
          <w:color w:val="000000" w:themeColor="text1"/>
          <w:sz w:val="24"/>
          <w:szCs w:val="24"/>
        </w:rPr>
        <w:t>010, debido a que en varias actividades no se aportó la evidencia requerida o esta no corresponde al tipo de registro definido en el documento. En consecuencia, se evidencia un cumplimiento parcial en las actividades 5, 6</w:t>
      </w:r>
      <w:r w:rsidRPr="1C3D137E" w:rsidR="3C872831">
        <w:rPr>
          <w:rFonts w:eastAsia="Aptos"/>
          <w:color w:val="000000" w:themeColor="text1"/>
          <w:sz w:val="24"/>
          <w:szCs w:val="24"/>
        </w:rPr>
        <w:t xml:space="preserve"> y </w:t>
      </w:r>
      <w:r w:rsidRPr="1C3D137E">
        <w:rPr>
          <w:rFonts w:eastAsia="Aptos"/>
          <w:color w:val="000000" w:themeColor="text1"/>
          <w:sz w:val="24"/>
          <w:szCs w:val="24"/>
        </w:rPr>
        <w:t>9,</w:t>
      </w:r>
      <w:r w:rsidR="000535A9">
        <w:rPr>
          <w:rFonts w:eastAsia="Aptos"/>
          <w:color w:val="000000" w:themeColor="text1"/>
          <w:sz w:val="24"/>
          <w:szCs w:val="24"/>
        </w:rPr>
        <w:t>10 y 11</w:t>
      </w:r>
      <w:r w:rsidRPr="1C3D137E">
        <w:rPr>
          <w:rFonts w:eastAsia="Aptos"/>
          <w:color w:val="000000" w:themeColor="text1"/>
          <w:sz w:val="24"/>
          <w:szCs w:val="24"/>
        </w:rPr>
        <w:t xml:space="preserve"> y un incumplimiento en las actividades 4 y 7.</w:t>
      </w:r>
      <w:bookmarkStart w:name="_Toc227164183" w:id="61"/>
      <w:bookmarkEnd w:id="61"/>
    </w:p>
    <w:p w:rsidR="1C3D137E" w:rsidP="1C3D137E" w:rsidRDefault="1C3D137E" w14:paraId="0974F66A" w14:textId="6CB6D931">
      <w:pPr>
        <w:spacing w:line="240" w:lineRule="auto"/>
        <w:rPr>
          <w:rFonts w:eastAsia="Aptos"/>
          <w:sz w:val="24"/>
          <w:szCs w:val="24"/>
        </w:rPr>
      </w:pPr>
    </w:p>
    <w:p w:rsidRPr="00046DBA" w:rsidR="00234F25" w:rsidP="007A4EB4" w:rsidRDefault="007A4EB4" w14:paraId="259C20BB" w14:textId="2BDFA548">
      <w:pPr>
        <w:spacing w:line="240" w:lineRule="auto"/>
        <w:rPr>
          <w:rFonts w:eastAsia="Aptos"/>
          <w:sz w:val="24"/>
          <w:szCs w:val="24"/>
        </w:rPr>
      </w:pPr>
      <w:r w:rsidRPr="0ED4F347" w:rsidR="6AB5B21B">
        <w:rPr>
          <w:rFonts w:eastAsia="Aptos"/>
          <w:sz w:val="24"/>
          <w:szCs w:val="24"/>
        </w:rPr>
        <w:t>En Conclusión, los criterios definidos y los resultados obtenidos en las tablas evidencian una base sólida de información, al combinar la revisión detallada de los documentos con una valoración numérica del cumplimiento de cada procedimiento. Así, la información se sustenta en evidencias verificables y en puntajes que muestran con claridad qué tan adecuadamente se aplicó cada procedimiento en la atención del sismo evaluado</w:t>
      </w:r>
      <w:r w:rsidRPr="0ED4F347" w:rsidR="3F9D55AE">
        <w:rPr>
          <w:rFonts w:eastAsia="Aptos"/>
          <w:sz w:val="24"/>
          <w:szCs w:val="24"/>
        </w:rPr>
        <w:t>.</w:t>
      </w:r>
    </w:p>
    <w:p w:rsidR="1C3D137E" w:rsidP="0ED4F347" w:rsidRDefault="1C3D137E" w14:paraId="12C5BB07" w14:textId="74CD7157">
      <w:pPr>
        <w:pStyle w:val="Normal"/>
        <w:spacing w:line="240" w:lineRule="auto"/>
        <w:rPr>
          <w:rFonts w:eastAsia="Aptos"/>
          <w:sz w:val="24"/>
          <w:szCs w:val="24"/>
        </w:rPr>
      </w:pPr>
    </w:p>
    <w:p w:rsidR="249AEA84" w:rsidP="0ED4F347" w:rsidRDefault="249AEA84" w14:paraId="0014D422" w14:textId="5CD76870">
      <w:pPr>
        <w:spacing w:line="240" w:lineRule="auto"/>
        <w:rPr>
          <w:rFonts w:ascii="Arial" w:hAnsi="Arial" w:eastAsia="Arial" w:cs="Arial"/>
          <w:b w:val="1"/>
          <w:bCs w:val="1"/>
          <w:sz w:val="24"/>
          <w:szCs w:val="24"/>
          <w:lang w:val="es-CO"/>
        </w:rPr>
      </w:pPr>
      <w:r w:rsidRPr="0ED4F347" w:rsidR="5D8B97AA">
        <w:rPr>
          <w:rFonts w:ascii="Arial" w:hAnsi="Arial" w:eastAsia="Arial" w:cs="Arial"/>
          <w:b w:val="1"/>
          <w:bCs w:val="1"/>
          <w:sz w:val="24"/>
          <w:szCs w:val="24"/>
        </w:rPr>
        <w:t xml:space="preserve">4.2.1.5. </w:t>
      </w:r>
      <w:r w:rsidRPr="0ED4F347" w:rsidR="48EC7363">
        <w:rPr>
          <w:rFonts w:ascii="Arial" w:hAnsi="Arial" w:eastAsia="Arial" w:cs="Arial"/>
          <w:b w:val="1"/>
          <w:bCs w:val="1"/>
          <w:sz w:val="24"/>
          <w:szCs w:val="24"/>
        </w:rPr>
        <w:t>C</w:t>
      </w:r>
      <w:r w:rsidRPr="0ED4F347" w:rsidR="7DA48AFE">
        <w:rPr>
          <w:rFonts w:ascii="Arial" w:hAnsi="Arial" w:eastAsia="Arial" w:cs="Arial"/>
          <w:b w:val="1"/>
          <w:bCs w:val="1"/>
          <w:sz w:val="24"/>
          <w:szCs w:val="24"/>
        </w:rPr>
        <w:t>o</w:t>
      </w:r>
      <w:r w:rsidRPr="0ED4F347" w:rsidR="59B78645">
        <w:rPr>
          <w:rFonts w:ascii="Arial" w:hAnsi="Arial" w:eastAsia="Arial" w:cs="Arial"/>
          <w:b w:val="1"/>
          <w:bCs w:val="1"/>
          <w:sz w:val="24"/>
          <w:szCs w:val="24"/>
        </w:rPr>
        <w:t>rrespondencia</w:t>
      </w:r>
      <w:r w:rsidRPr="0ED4F347" w:rsidR="7DA48AFE">
        <w:rPr>
          <w:rFonts w:ascii="Arial" w:hAnsi="Arial" w:eastAsia="Arial" w:cs="Arial"/>
          <w:b w:val="1"/>
          <w:bCs w:val="1"/>
          <w:sz w:val="24"/>
          <w:szCs w:val="24"/>
        </w:rPr>
        <w:t xml:space="preserve"> entre </w:t>
      </w:r>
      <w:r w:rsidRPr="0ED4F347" w:rsidR="48EC7363">
        <w:rPr>
          <w:rFonts w:ascii="Arial" w:hAnsi="Arial" w:eastAsia="Arial" w:cs="Arial"/>
          <w:b w:val="1"/>
          <w:bCs w:val="1"/>
          <w:sz w:val="24"/>
          <w:szCs w:val="24"/>
          <w:lang w:val="es-CO"/>
        </w:rPr>
        <w:t xml:space="preserve">la población beneficiaria de ayudas humanitarias y la información registrada en el Censo de </w:t>
      </w:r>
      <w:r w:rsidRPr="0ED4F347" w:rsidR="15ACF852">
        <w:rPr>
          <w:rFonts w:ascii="Arial" w:hAnsi="Arial" w:eastAsia="Arial" w:cs="Arial"/>
          <w:b w:val="1"/>
          <w:bCs w:val="1"/>
          <w:sz w:val="24"/>
          <w:szCs w:val="24"/>
          <w:lang w:val="es-CO"/>
        </w:rPr>
        <w:t>A</w:t>
      </w:r>
      <w:r w:rsidRPr="0ED4F347" w:rsidR="48EC7363">
        <w:rPr>
          <w:rFonts w:ascii="Arial" w:hAnsi="Arial" w:eastAsia="Arial" w:cs="Arial"/>
          <w:b w:val="1"/>
          <w:bCs w:val="1"/>
          <w:sz w:val="24"/>
          <w:szCs w:val="24"/>
          <w:lang w:val="es-CO"/>
        </w:rPr>
        <w:t xml:space="preserve">fectación </w:t>
      </w:r>
      <w:r w:rsidRPr="0ED4F347" w:rsidR="64A63710">
        <w:rPr>
          <w:rFonts w:ascii="Arial" w:hAnsi="Arial" w:eastAsia="Arial" w:cs="Arial"/>
          <w:b w:val="1"/>
          <w:bCs w:val="1"/>
          <w:sz w:val="24"/>
          <w:szCs w:val="24"/>
          <w:lang w:val="es-CO"/>
        </w:rPr>
        <w:t>M</w:t>
      </w:r>
      <w:r w:rsidRPr="0ED4F347" w:rsidR="48EC7363">
        <w:rPr>
          <w:rFonts w:ascii="Arial" w:hAnsi="Arial" w:eastAsia="Arial" w:cs="Arial"/>
          <w:b w:val="1"/>
          <w:bCs w:val="1"/>
          <w:sz w:val="24"/>
          <w:szCs w:val="24"/>
          <w:lang w:val="es-CO"/>
        </w:rPr>
        <w:t xml:space="preserve">unicipal por </w:t>
      </w:r>
      <w:r w:rsidRPr="0ED4F347" w:rsidR="75DDA7B3">
        <w:rPr>
          <w:rFonts w:ascii="Arial" w:hAnsi="Arial" w:eastAsia="Arial" w:cs="Arial"/>
          <w:b w:val="1"/>
          <w:bCs w:val="1"/>
          <w:sz w:val="24"/>
          <w:szCs w:val="24"/>
          <w:lang w:val="es-CO"/>
        </w:rPr>
        <w:t>E</w:t>
      </w:r>
      <w:r w:rsidRPr="0ED4F347" w:rsidR="48EC7363">
        <w:rPr>
          <w:rFonts w:ascii="Arial" w:hAnsi="Arial" w:eastAsia="Arial" w:cs="Arial"/>
          <w:b w:val="1"/>
          <w:bCs w:val="1"/>
          <w:sz w:val="24"/>
          <w:szCs w:val="24"/>
          <w:lang w:val="es-CO"/>
        </w:rPr>
        <w:t>mergencia – Evaluación de Daños y Análisis de Necesidades (EDAN)</w:t>
      </w:r>
    </w:p>
    <w:p w:rsidR="2AD61B4E" w:rsidP="0ED4F347" w:rsidRDefault="2AD61B4E" w14:paraId="4722D426" w14:textId="23A7ACF5">
      <w:pPr>
        <w:spacing w:before="240" w:beforeAutospacing="off" w:after="240" w:afterAutospacing="off"/>
        <w:jc w:val="both"/>
        <w:rPr>
          <w:rFonts w:ascii="Arial" w:hAnsi="Arial" w:eastAsia="Arial" w:cs="Arial"/>
          <w:b w:val="0"/>
          <w:bCs w:val="0"/>
          <w:i w:val="0"/>
          <w:iCs w:val="0"/>
          <w:caps w:val="0"/>
          <w:smallCaps w:val="0"/>
          <w:noProof w:val="0"/>
          <w:color w:val="000000" w:themeColor="text1" w:themeTint="FF" w:themeShade="FF"/>
          <w:sz w:val="24"/>
          <w:szCs w:val="24"/>
          <w:lang w:val="es-CO"/>
        </w:rPr>
      </w:pPr>
      <w:r w:rsidRPr="0ED4F347" w:rsidR="2AD61B4E">
        <w:rPr>
          <w:rFonts w:ascii="Arial" w:hAnsi="Arial" w:eastAsia="Arial" w:cs="Arial"/>
          <w:b w:val="0"/>
          <w:bCs w:val="0"/>
          <w:i w:val="0"/>
          <w:iCs w:val="0"/>
          <w:caps w:val="0"/>
          <w:smallCaps w:val="0"/>
          <w:noProof w:val="0"/>
          <w:color w:val="000000" w:themeColor="text1" w:themeTint="FF" w:themeShade="FF"/>
          <w:sz w:val="24"/>
          <w:szCs w:val="24"/>
          <w:lang w:val="es-CO"/>
        </w:rPr>
        <w:t>En la evaluación de los procedimientos “Procedimiento de entrega de ayudas humanitarias” (código M-FT-FR-010, actividad 10 y 12) y “Procedimiento de Atención de Emergencias” (código M-FT-PR-008, actividad 13), se tomó como muestra la ayuda humanitaria “Solicitud de kits de aseo y mercado” entregada por la UAEGRD en el municipio de Medina. Para ello, se realizó el cruce de información entre el formato “Censo de afectación municipal por emergencia – Evaluación de Daños y Análisis de Necesidades EDAN (Código M-FT-FR-017) con fecha de diligenciamiento del 08 de junio del 2025 y el formato (M-FT-FR-003) Acta de entrega de ayudas (30 planillas) con fecha de entrega entre el 22 de junio y el 25 de julio del 2025.</w:t>
      </w:r>
    </w:p>
    <w:p w:rsidR="2AD61B4E" w:rsidP="0ED4F347" w:rsidRDefault="2AD61B4E" w14:paraId="785C8E20" w14:textId="761B03A4">
      <w:pPr>
        <w:spacing w:after="0" w:line="40" w:lineRule="atLeast"/>
        <w:jc w:val="both"/>
        <w:rPr>
          <w:rFonts w:ascii="Arial" w:hAnsi="Arial" w:eastAsia="Arial" w:cs="Arial"/>
          <w:b w:val="0"/>
          <w:bCs w:val="0"/>
          <w:i w:val="0"/>
          <w:iCs w:val="0"/>
          <w:caps w:val="0"/>
          <w:smallCaps w:val="0"/>
          <w:noProof w:val="0"/>
          <w:color w:val="000000" w:themeColor="text1" w:themeTint="FF" w:themeShade="FF"/>
          <w:sz w:val="24"/>
          <w:szCs w:val="24"/>
          <w:lang w:val="es-ES"/>
        </w:rPr>
      </w:pPr>
      <w:r w:rsidRPr="0ED4F347" w:rsidR="2AD61B4E">
        <w:rPr>
          <w:rFonts w:ascii="Arial" w:hAnsi="Arial" w:eastAsia="Arial" w:cs="Arial"/>
          <w:b w:val="0"/>
          <w:bCs w:val="0"/>
          <w:i w:val="0"/>
          <w:iCs w:val="0"/>
          <w:caps w:val="0"/>
          <w:smallCaps w:val="0"/>
          <w:noProof w:val="0"/>
          <w:color w:val="000000" w:themeColor="text1" w:themeTint="FF" w:themeShade="FF"/>
          <w:sz w:val="24"/>
          <w:szCs w:val="24"/>
          <w:lang w:val="es-CO"/>
        </w:rPr>
        <w:t>Al contrastar la información del EDAN con las planillas de entrega de ayudas humanitarias, se evidenció que, de las 30 planillas revisadas, se registran 283 beneficiarios, de los cuales únicamente 15 coinciden con los nombres reportados en el EDAN. Esta situación genera incertidumbre respecto a la coherencia entre la población focalizada con necesidades y la población efectivamente atendida, lo que evidencia debilidades en la planeación por parte de la unidad, afectando la adecuada gestión del riesgo de desastres.</w:t>
      </w:r>
    </w:p>
    <w:p w:rsidR="0ED4F347" w:rsidP="0ED4F347" w:rsidRDefault="0ED4F347" w14:paraId="1B89A86B" w14:textId="77F35FC8">
      <w:pPr>
        <w:spacing w:after="0"/>
        <w:jc w:val="both"/>
        <w:rPr>
          <w:rFonts w:ascii="Arial" w:hAnsi="Arial" w:eastAsia="Arial" w:cs="Arial"/>
          <w:b w:val="0"/>
          <w:bCs w:val="0"/>
          <w:i w:val="0"/>
          <w:iCs w:val="0"/>
          <w:caps w:val="0"/>
          <w:smallCaps w:val="0"/>
          <w:noProof w:val="0"/>
          <w:color w:val="000000" w:themeColor="text1" w:themeTint="FF" w:themeShade="FF"/>
          <w:sz w:val="24"/>
          <w:szCs w:val="24"/>
          <w:lang w:val="es-ES"/>
        </w:rPr>
      </w:pPr>
    </w:p>
    <w:p w:rsidR="2AD61B4E" w:rsidP="0ED4F347" w:rsidRDefault="2AD61B4E" w14:paraId="09FB8F14" w14:textId="659A52A1">
      <w:pPr>
        <w:spacing w:after="0" w:line="40" w:lineRule="atLeast"/>
        <w:jc w:val="both"/>
        <w:rPr>
          <w:rFonts w:ascii="Arial" w:hAnsi="Arial" w:eastAsia="Arial" w:cs="Arial"/>
          <w:b w:val="0"/>
          <w:bCs w:val="0"/>
          <w:i w:val="0"/>
          <w:iCs w:val="0"/>
          <w:caps w:val="0"/>
          <w:smallCaps w:val="0"/>
          <w:noProof w:val="0"/>
          <w:color w:val="000000" w:themeColor="text1" w:themeTint="FF" w:themeShade="FF"/>
          <w:sz w:val="24"/>
          <w:szCs w:val="24"/>
          <w:lang w:val="es-ES"/>
        </w:rPr>
      </w:pPr>
      <w:r w:rsidRPr="0ED4F347" w:rsidR="2AD61B4E">
        <w:rPr>
          <w:rFonts w:ascii="Arial" w:hAnsi="Arial" w:eastAsia="Arial" w:cs="Arial"/>
          <w:b w:val="0"/>
          <w:bCs w:val="0"/>
          <w:i w:val="0"/>
          <w:iCs w:val="0"/>
          <w:caps w:val="0"/>
          <w:smallCaps w:val="0"/>
          <w:noProof w:val="0"/>
          <w:color w:val="000000" w:themeColor="text1" w:themeTint="FF" w:themeShade="FF"/>
          <w:sz w:val="24"/>
          <w:szCs w:val="24"/>
          <w:lang w:val="es-CO"/>
        </w:rPr>
        <w:t xml:space="preserve">Lo anterior, configura el </w:t>
      </w:r>
      <w:r w:rsidRPr="0ED4F347" w:rsidR="2AD61B4E">
        <w:rPr>
          <w:rFonts w:ascii="Arial" w:hAnsi="Arial" w:eastAsia="Arial" w:cs="Arial"/>
          <w:b w:val="1"/>
          <w:bCs w:val="1"/>
          <w:i w:val="0"/>
          <w:iCs w:val="0"/>
          <w:caps w:val="0"/>
          <w:smallCaps w:val="0"/>
          <w:noProof w:val="0"/>
          <w:color w:val="000000" w:themeColor="text1" w:themeTint="FF" w:themeShade="FF"/>
          <w:sz w:val="24"/>
          <w:szCs w:val="24"/>
          <w:lang w:val="es-CO"/>
        </w:rPr>
        <w:t>incumplimiento N°</w:t>
      </w:r>
      <w:r w:rsidRPr="0ED4F347" w:rsidR="429CE8FC">
        <w:rPr>
          <w:rFonts w:ascii="Arial" w:hAnsi="Arial" w:eastAsia="Arial" w:cs="Arial"/>
          <w:b w:val="1"/>
          <w:bCs w:val="1"/>
          <w:i w:val="0"/>
          <w:iCs w:val="0"/>
          <w:caps w:val="0"/>
          <w:smallCaps w:val="0"/>
          <w:noProof w:val="0"/>
          <w:color w:val="000000" w:themeColor="text1" w:themeTint="FF" w:themeShade="FF"/>
          <w:sz w:val="24"/>
          <w:szCs w:val="24"/>
          <w:lang w:val="es-CO"/>
        </w:rPr>
        <w:t>8.3.3</w:t>
      </w:r>
      <w:r w:rsidRPr="0ED4F347">
        <w:rPr>
          <w:rStyle w:val="Refdenotaalpie"/>
          <w:rFonts w:ascii="Arial" w:hAnsi="Arial" w:eastAsia="Arial" w:cs="Arial"/>
          <w:b w:val="0"/>
          <w:bCs w:val="0"/>
          <w:i w:val="0"/>
          <w:iCs w:val="0"/>
          <w:caps w:val="0"/>
          <w:smallCaps w:val="0"/>
          <w:noProof w:val="0"/>
          <w:color w:val="000000" w:themeColor="text1" w:themeTint="FF" w:themeShade="FF"/>
          <w:sz w:val="24"/>
          <w:szCs w:val="24"/>
          <w:lang w:val="es-CO"/>
        </w:rPr>
        <w:footnoteReference w:id="7867"/>
      </w:r>
      <w:r w:rsidRPr="0ED4F347" w:rsidR="2AD61B4E">
        <w:rPr>
          <w:rFonts w:ascii="Arial" w:hAnsi="Arial" w:eastAsia="Arial" w:cs="Arial"/>
          <w:b w:val="0"/>
          <w:bCs w:val="0"/>
          <w:i w:val="0"/>
          <w:iCs w:val="0"/>
          <w:caps w:val="0"/>
          <w:smallCaps w:val="0"/>
          <w:noProof w:val="0"/>
          <w:color w:val="000000" w:themeColor="text1" w:themeTint="FF" w:themeShade="FF"/>
          <w:sz w:val="24"/>
          <w:szCs w:val="24"/>
          <w:lang w:val="es-CO"/>
        </w:rPr>
        <w:t xml:space="preserve"> derivado de la presunta falta de la coordinación de entregas a la población afectada, en virtud del objetivo del procedimiento “Ayudas Humanitarias” con ocasión del evento sísmico ocurrido en el Municipio de Medina.</w:t>
      </w:r>
    </w:p>
    <w:p w:rsidRPr="00046DBA" w:rsidR="008721E8" w:rsidP="0ED4F347" w:rsidRDefault="008721E8" w14:paraId="6DEAB0A6" w14:textId="61ECD532">
      <w:pPr>
        <w:pStyle w:val="Ttulo3"/>
        <w:spacing w:line="240" w:lineRule="auto"/>
        <w:outlineLvl w:val="0"/>
        <w:rPr>
          <w:rFonts w:eastAsia="" w:eastAsiaTheme="minorEastAsia"/>
          <w:sz w:val="24"/>
          <w:szCs w:val="24"/>
        </w:rPr>
      </w:pPr>
      <w:bookmarkStart w:name="_Toc227164171" w:id="63"/>
      <w:r w:rsidRPr="0ED4F347" w:rsidR="6994FB4E">
        <w:rPr>
          <w:rFonts w:eastAsia="" w:eastAsiaTheme="minorEastAsia"/>
          <w:sz w:val="24"/>
          <w:szCs w:val="24"/>
        </w:rPr>
        <w:t>Componente de Gestión Contractual y Normativa</w:t>
      </w:r>
      <w:bookmarkEnd w:id="63"/>
      <w:proofErr w:type="spellStart"/>
      <w:proofErr w:type="spellEnd"/>
    </w:p>
    <w:p w:rsidRPr="00046DBA" w:rsidR="008721E8" w:rsidP="0ED4F347" w:rsidRDefault="008721E8" w14:paraId="7B65DCEE" w14:textId="0F7870A0">
      <w:pPr>
        <w:pStyle w:val="Normal"/>
        <w:spacing w:line="240" w:lineRule="auto"/>
        <w:rPr>
          <w:rFonts w:eastAsia="" w:eastAsiaTheme="minorEastAsia"/>
          <w:sz w:val="24"/>
          <w:szCs w:val="24"/>
        </w:rPr>
      </w:pPr>
      <w:r w:rsidRPr="0ED4F347" w:rsidR="6994FB4E">
        <w:rPr>
          <w:rFonts w:eastAsia="" w:eastAsiaTheme="minorEastAsia"/>
          <w:sz w:val="24"/>
          <w:szCs w:val="24"/>
        </w:rPr>
        <w:t>En cumplimiento del alcance definido para la auditoría interna de gestión a la</w:t>
      </w:r>
      <w:r w:rsidRPr="0ED4F347" w:rsidR="7874A650">
        <w:rPr>
          <w:rFonts w:eastAsia="" w:eastAsiaTheme="minorEastAsia"/>
          <w:sz w:val="24"/>
          <w:szCs w:val="24"/>
        </w:rPr>
        <w:t xml:space="preserve"> </w:t>
      </w:r>
      <w:r w:rsidRPr="0ED4F347" w:rsidR="6994FB4E">
        <w:rPr>
          <w:rFonts w:eastAsia="" w:eastAsiaTheme="minorEastAsia"/>
          <w:sz w:val="24"/>
          <w:szCs w:val="24"/>
        </w:rPr>
        <w:t>UAEGRD de la Gobernación de Cundinamarca, se presenta</w:t>
      </w:r>
      <w:r w:rsidRPr="0ED4F347" w:rsidR="340FF619">
        <w:rPr>
          <w:rFonts w:eastAsia="" w:eastAsiaTheme="minorEastAsia"/>
          <w:sz w:val="24"/>
          <w:szCs w:val="24"/>
        </w:rPr>
        <w:t>n los resultados</w:t>
      </w:r>
      <w:r w:rsidRPr="0ED4F347" w:rsidR="6994FB4E">
        <w:rPr>
          <w:rFonts w:eastAsia="" w:eastAsiaTheme="minorEastAsia"/>
          <w:sz w:val="24"/>
          <w:szCs w:val="24"/>
        </w:rPr>
        <w:t xml:space="preserve"> </w:t>
      </w:r>
      <w:r w:rsidRPr="0ED4F347" w:rsidR="6994FB4E">
        <w:rPr>
          <w:rFonts w:eastAsia="" w:eastAsiaTheme="minorEastAsia"/>
          <w:sz w:val="24"/>
          <w:szCs w:val="24"/>
        </w:rPr>
        <w:t xml:space="preserve">de Gestión Contractual de la vigencia 2025, enfocado exclusivamente en la contratación realizada en el marco de la emergencia declarada mediante el Decreto 131 del 9 de junio de 2025, con ocasión del sismo del 8 de junio de 2025 en los municipios de Medina y </w:t>
      </w:r>
      <w:r w:rsidRPr="0ED4F347" w:rsidR="6994FB4E">
        <w:rPr>
          <w:rFonts w:eastAsia="" w:eastAsiaTheme="minorEastAsia"/>
          <w:sz w:val="24"/>
          <w:szCs w:val="24"/>
        </w:rPr>
        <w:t>Paratebueno</w:t>
      </w:r>
      <w:r w:rsidRPr="0ED4F347" w:rsidR="6994FB4E">
        <w:rPr>
          <w:rFonts w:eastAsia="" w:eastAsiaTheme="minorEastAsia"/>
          <w:sz w:val="24"/>
          <w:szCs w:val="24"/>
        </w:rPr>
        <w:t>.</w:t>
      </w:r>
    </w:p>
    <w:p w:rsidRPr="00046DBA" w:rsidR="008721E8" w:rsidP="008721E8" w:rsidRDefault="008721E8" w14:paraId="0DD99EFC" w14:textId="77777777">
      <w:pPr>
        <w:spacing w:line="240" w:lineRule="auto"/>
        <w:rPr>
          <w:rFonts w:eastAsiaTheme="minorEastAsia"/>
          <w:sz w:val="24"/>
          <w:szCs w:val="24"/>
        </w:rPr>
      </w:pPr>
    </w:p>
    <w:p w:rsidRPr="00046DBA" w:rsidR="008721E8" w:rsidP="008721E8" w:rsidRDefault="008721E8" w14:paraId="70B4DB39" w14:textId="119016CB">
      <w:pPr>
        <w:spacing w:line="240" w:lineRule="auto"/>
        <w:rPr>
          <w:rFonts w:eastAsiaTheme="minorEastAsia"/>
          <w:sz w:val="24"/>
          <w:szCs w:val="24"/>
        </w:rPr>
      </w:pPr>
      <w:r w:rsidRPr="00046DBA">
        <w:rPr>
          <w:rFonts w:eastAsiaTheme="minorEastAsia"/>
          <w:sz w:val="24"/>
          <w:szCs w:val="24"/>
        </w:rPr>
        <w:t xml:space="preserve">El trabajo de campo se basó en la revisión de expedientes físicos y digitales (SECOP II y TVEC), la verificación de los Certificados de Disponibilidad Presupuestal y de los rubros presupuestales de cada proceso, así como en el análisis del ciclo contractual completo </w:t>
      </w:r>
      <w:r w:rsidRPr="00046DBA" w:rsidR="004B1723">
        <w:rPr>
          <w:rFonts w:eastAsiaTheme="minorEastAsia"/>
          <w:sz w:val="24"/>
          <w:szCs w:val="24"/>
        </w:rPr>
        <w:t>(</w:t>
      </w:r>
      <w:r w:rsidRPr="00046DBA">
        <w:rPr>
          <w:rFonts w:eastAsiaTheme="minorEastAsia"/>
          <w:sz w:val="24"/>
          <w:szCs w:val="24"/>
        </w:rPr>
        <w:t xml:space="preserve">etapas precontractuales, contractual y </w:t>
      </w:r>
      <w:proofErr w:type="spellStart"/>
      <w:r w:rsidRPr="00046DBA">
        <w:rPr>
          <w:rFonts w:eastAsiaTheme="minorEastAsia"/>
          <w:sz w:val="24"/>
          <w:szCs w:val="24"/>
        </w:rPr>
        <w:t>poscontractual</w:t>
      </w:r>
      <w:proofErr w:type="spellEnd"/>
      <w:r w:rsidRPr="00046DBA" w:rsidR="004B1723">
        <w:rPr>
          <w:rFonts w:eastAsiaTheme="minorEastAsia"/>
          <w:sz w:val="24"/>
          <w:szCs w:val="24"/>
        </w:rPr>
        <w:t>)</w:t>
      </w:r>
      <w:r w:rsidRPr="00046DBA">
        <w:rPr>
          <w:rFonts w:eastAsiaTheme="minorEastAsia"/>
          <w:sz w:val="24"/>
          <w:szCs w:val="24"/>
        </w:rPr>
        <w:t xml:space="preserve"> de los tres instrumentos incluidos en la muestra.</w:t>
      </w:r>
    </w:p>
    <w:p w:rsidRPr="00046DBA" w:rsidR="008721E8" w:rsidP="008721E8" w:rsidRDefault="008721E8" w14:paraId="654B03F4" w14:textId="77777777">
      <w:pPr>
        <w:spacing w:line="240" w:lineRule="auto"/>
        <w:rPr>
          <w:rFonts w:eastAsiaTheme="minorEastAsia"/>
          <w:sz w:val="24"/>
          <w:szCs w:val="24"/>
        </w:rPr>
      </w:pPr>
    </w:p>
    <w:p w:rsidRPr="00046DBA" w:rsidR="008721E8" w:rsidP="0ED4F347" w:rsidRDefault="008721E8" w14:paraId="7B327797" w14:textId="1B542C98">
      <w:pPr>
        <w:spacing w:line="240" w:lineRule="auto"/>
        <w:rPr>
          <w:rFonts w:eastAsia="" w:eastAsiaTheme="minorEastAsia"/>
          <w:sz w:val="24"/>
          <w:szCs w:val="24"/>
        </w:rPr>
      </w:pPr>
      <w:r w:rsidRPr="0ED4F347" w:rsidR="6994FB4E">
        <w:rPr>
          <w:rFonts w:eastAsia="" w:eastAsiaTheme="minorEastAsia"/>
          <w:sz w:val="24"/>
          <w:szCs w:val="24"/>
        </w:rPr>
        <w:t xml:space="preserve">A partir de esta revisión, </w:t>
      </w:r>
      <w:r w:rsidRPr="0ED4F347" w:rsidR="6994FB4E">
        <w:rPr>
          <w:rFonts w:eastAsia="" w:eastAsiaTheme="minorEastAsia"/>
          <w:color w:val="000000" w:themeColor="text1" w:themeTint="FF" w:themeShade="FF"/>
          <w:sz w:val="24"/>
          <w:szCs w:val="24"/>
        </w:rPr>
        <w:t xml:space="preserve">se </w:t>
      </w:r>
      <w:r w:rsidRPr="0ED4F347" w:rsidR="54F4BF6E">
        <w:rPr>
          <w:rFonts w:eastAsia="" w:eastAsiaTheme="minorEastAsia"/>
          <w:color w:val="000000" w:themeColor="text1" w:themeTint="FF" w:themeShade="FF"/>
          <w:sz w:val="24"/>
          <w:szCs w:val="24"/>
        </w:rPr>
        <w:t xml:space="preserve">determinó </w:t>
      </w:r>
      <w:r w:rsidRPr="0ED4F347" w:rsidR="6994FB4E">
        <w:rPr>
          <w:rFonts w:eastAsia="" w:eastAsiaTheme="minorEastAsia"/>
          <w:sz w:val="24"/>
          <w:szCs w:val="24"/>
        </w:rPr>
        <w:t xml:space="preserve">sobre la gestión contractual de la UAEGRD en 2025, en el que se reconocen fortalezas en la etapa precontractual, especialmente en la preparación de estudios previos, actos de justificación, CDP y análisis de sector; al mismo tiempo, se identifican debilidades reiteradas en la administración del expediente electrónico, la publicación oportuna y completa de la documentación en </w:t>
      </w:r>
      <w:r w:rsidRPr="0ED4F347" w:rsidR="3E874C34">
        <w:rPr>
          <w:rFonts w:eastAsia="" w:eastAsiaTheme="minorEastAsia"/>
          <w:sz w:val="24"/>
          <w:szCs w:val="24"/>
        </w:rPr>
        <w:t>Tienda Virtual del Estado Colombiano (</w:t>
      </w:r>
      <w:r w:rsidRPr="0ED4F347" w:rsidR="6994FB4E">
        <w:rPr>
          <w:rFonts w:eastAsia="" w:eastAsiaTheme="minorEastAsia"/>
          <w:sz w:val="24"/>
          <w:szCs w:val="24"/>
        </w:rPr>
        <w:t>TVEC</w:t>
      </w:r>
      <w:r w:rsidRPr="0ED4F347" w:rsidR="59914891">
        <w:rPr>
          <w:rFonts w:eastAsia="" w:eastAsiaTheme="minorEastAsia"/>
          <w:sz w:val="24"/>
          <w:szCs w:val="24"/>
        </w:rPr>
        <w:t>)</w:t>
      </w:r>
      <w:r w:rsidRPr="0ED4F347" w:rsidR="6994FB4E">
        <w:rPr>
          <w:rFonts w:eastAsia="" w:eastAsiaTheme="minorEastAsia"/>
          <w:sz w:val="24"/>
          <w:szCs w:val="24"/>
        </w:rPr>
        <w:t xml:space="preserve"> y SECOP II, el seguimiento y la supervisión de la ejecución, y el cierre documental de los contratos.</w:t>
      </w:r>
    </w:p>
    <w:p w:rsidR="0ED4F347" w:rsidP="0ED4F347" w:rsidRDefault="0ED4F347" w14:paraId="3B55909B" w14:textId="3E42AB0F">
      <w:pPr>
        <w:pStyle w:val="Normal"/>
        <w:spacing w:line="240" w:lineRule="auto"/>
        <w:rPr>
          <w:rFonts w:eastAsia="" w:eastAsiaTheme="minorEastAsia"/>
          <w:sz w:val="24"/>
          <w:szCs w:val="24"/>
        </w:rPr>
      </w:pPr>
    </w:p>
    <w:p w:rsidRPr="00BD2399" w:rsidR="008721E8" w:rsidP="0ED4F347" w:rsidRDefault="004C6B30" w14:paraId="5A22CD85" w14:textId="409197F9">
      <w:pPr>
        <w:pStyle w:val="Ttulo30"/>
        <w:numPr>
          <w:ilvl w:val="0"/>
          <w:numId w:val="0"/>
        </w:numPr>
        <w:spacing w:line="240" w:lineRule="auto"/>
        <w:ind w:left="0"/>
        <w:rPr>
          <w:rFonts w:eastAsia="" w:eastAsiaTheme="minorEastAsia"/>
          <w:b w:val="0"/>
          <w:bCs w:val="0"/>
          <w:sz w:val="24"/>
          <w:szCs w:val="24"/>
        </w:rPr>
      </w:pPr>
      <w:bookmarkStart w:name="_Toc227164172" w:id="64"/>
      <w:r w:rsidRPr="0ED4F347" w:rsidR="2F9201C0">
        <w:rPr>
          <w:rFonts w:eastAsia="" w:eastAsiaTheme="minorEastAsia"/>
          <w:sz w:val="24"/>
          <w:szCs w:val="24"/>
        </w:rPr>
        <w:t xml:space="preserve">4.2.2.1. </w:t>
      </w:r>
      <w:r w:rsidRPr="0ED4F347" w:rsidR="5B561A7C">
        <w:rPr>
          <w:rFonts w:eastAsia="" w:eastAsiaTheme="minorEastAsia"/>
          <w:sz w:val="24"/>
          <w:szCs w:val="24"/>
        </w:rPr>
        <w:t>Resultados</w:t>
      </w:r>
      <w:r w:rsidRPr="0ED4F347" w:rsidR="6994FB4E">
        <w:rPr>
          <w:rFonts w:eastAsia="" w:eastAsiaTheme="minorEastAsia"/>
          <w:sz w:val="24"/>
          <w:szCs w:val="24"/>
        </w:rPr>
        <w:t>:</w:t>
      </w:r>
      <w:r w:rsidRPr="0ED4F347" w:rsidR="6994FB4E">
        <w:rPr>
          <w:rFonts w:eastAsia="" w:eastAsiaTheme="minorEastAsia"/>
          <w:sz w:val="24"/>
          <w:szCs w:val="24"/>
        </w:rPr>
        <w:t xml:space="preserve"> </w:t>
      </w:r>
      <w:r w:rsidRPr="0ED4F347" w:rsidR="6994FB4E">
        <w:rPr>
          <w:rFonts w:eastAsia="" w:eastAsiaTheme="minorEastAsia"/>
          <w:b w:val="0"/>
          <w:bCs w:val="0"/>
          <w:sz w:val="24"/>
          <w:szCs w:val="24"/>
        </w:rPr>
        <w:t>Contrato UAEGRD-AD-PS-132-2025 / O.C. TVEC 149084 – Banco Agrario de Colombia</w:t>
      </w:r>
      <w:bookmarkEnd w:id="64"/>
    </w:p>
    <w:p w:rsidRPr="00413D1D" w:rsidR="008721E8" w:rsidP="008721E8" w:rsidRDefault="008721E8" w14:paraId="0433564A" w14:textId="77777777">
      <w:pPr>
        <w:pStyle w:val="Prrafodelista"/>
        <w:spacing w:line="240" w:lineRule="auto"/>
        <w:rPr>
          <w:rFonts w:eastAsiaTheme="minorEastAsia"/>
          <w:b/>
          <w:bCs/>
        </w:rPr>
      </w:pPr>
    </w:p>
    <w:p w:rsidRPr="003A69A1" w:rsidR="008721E8" w:rsidP="0ED4F347" w:rsidRDefault="008721E8" w14:paraId="408208BC" w14:textId="37600F4F">
      <w:pPr>
        <w:pStyle w:val="Descripcin"/>
        <w:keepNext w:val="1"/>
        <w:rPr>
          <w:rFonts w:ascii="Arial" w:hAnsi="Arial" w:eastAsia="Arial" w:cs="Arial"/>
          <w:i w:val="0"/>
          <w:iCs w:val="0"/>
          <w:color w:val="auto" w:themeColor="text2"/>
          <w:sz w:val="24"/>
          <w:szCs w:val="24"/>
        </w:rPr>
      </w:pPr>
      <w:bookmarkStart w:name="_Toc227164194" w:id="65"/>
      <w:r w:rsidRPr="0ED4F347" w:rsidR="6994FB4E">
        <w:rPr>
          <w:rFonts w:ascii="Arial" w:hAnsi="Arial" w:eastAsia="Arial" w:cs="Arial"/>
          <w:i w:val="0"/>
          <w:iCs w:val="0"/>
          <w:color w:val="auto"/>
          <w:sz w:val="24"/>
          <w:szCs w:val="24"/>
        </w:rPr>
        <w:t xml:space="preserve">Tabla </w:t>
      </w:r>
      <w:r w:rsidRPr="0ED4F347" w:rsidR="01B24960">
        <w:rPr>
          <w:rFonts w:ascii="Arial" w:hAnsi="Arial" w:eastAsia="Arial" w:cs="Arial"/>
          <w:i w:val="0"/>
          <w:iCs w:val="0"/>
          <w:color w:val="auto"/>
          <w:sz w:val="24"/>
          <w:szCs w:val="24"/>
        </w:rPr>
        <w:t>8</w:t>
      </w:r>
      <w:r w:rsidRPr="0ED4F347" w:rsidR="6994FB4E">
        <w:rPr>
          <w:rFonts w:ascii="Arial" w:hAnsi="Arial" w:eastAsia="Arial" w:cs="Arial"/>
          <w:i w:val="0"/>
          <w:iCs w:val="0"/>
          <w:color w:val="auto"/>
          <w:sz w:val="24"/>
          <w:szCs w:val="24"/>
        </w:rPr>
        <w:t>.</w:t>
      </w:r>
      <w:r w:rsidRPr="0ED4F347" w:rsidR="6994FB4E">
        <w:rPr>
          <w:rFonts w:ascii="Arial" w:hAnsi="Arial" w:eastAsia="Arial" w:cs="Arial"/>
          <w:i w:val="0"/>
          <w:iCs w:val="0"/>
          <w:color w:val="auto"/>
          <w:sz w:val="24"/>
          <w:szCs w:val="24"/>
        </w:rPr>
        <w:t xml:space="preserve"> Contrato UAEGRD-AD-PS-132-2025 / O.C. TVEC 149084 – Banco Agrario de Colombia - Observación 1</w:t>
      </w:r>
      <w:bookmarkEnd w:id="65"/>
    </w:p>
    <w:tbl>
      <w:tblPr>
        <w:tblStyle w:val="Tablanormal1"/>
        <w:tblW w:w="10335" w:type="dxa"/>
        <w:tblLook w:val="0400" w:firstRow="0" w:lastRow="0" w:firstColumn="0" w:lastColumn="0" w:noHBand="0" w:noVBand="1"/>
      </w:tblPr>
      <w:tblGrid>
        <w:gridCol w:w="2280"/>
        <w:gridCol w:w="8055"/>
      </w:tblGrid>
      <w:tr w:rsidRPr="00413D1D" w:rsidR="008721E8" w:rsidTr="0ED4F347" w14:paraId="7390D668"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0000000000" w:firstRow="0" w:lastRow="0" w:firstColumn="0" w:lastColumn="0" w:oddVBand="0" w:evenVBand="0" w:oddHBand="0" w:evenHBand="0" w:firstRowFirstColumn="0" w:firstRowLastColumn="0" w:lastRowFirstColumn="0" w:lastRowLastColumn="0"/>
            <w:tcW w:w="2280" w:type="dxa"/>
            <w:tcMar/>
          </w:tcPr>
          <w:p w:rsidRPr="00413D1D" w:rsidR="008721E8" w:rsidP="006E48B1" w:rsidRDefault="008721E8" w14:paraId="5795E272" w14:textId="77777777">
            <w:pPr>
              <w:jc w:val="center"/>
              <w:rPr>
                <w:b/>
              </w:rPr>
            </w:pPr>
            <w:r w:rsidRPr="00413D1D">
              <w:rPr>
                <w:rFonts w:eastAsia="Arial"/>
                <w:b/>
                <w:color w:val="000000" w:themeColor="text1"/>
                <w:sz w:val="17"/>
                <w:szCs w:val="17"/>
              </w:rPr>
              <w:t>Ítem</w:t>
            </w:r>
          </w:p>
        </w:tc>
        <w:tc>
          <w:tcPr>
            <w:cnfStyle w:val="000000000000" w:firstRow="0" w:lastRow="0" w:firstColumn="0" w:lastColumn="0" w:oddVBand="0" w:evenVBand="0" w:oddHBand="0" w:evenHBand="0" w:firstRowFirstColumn="0" w:firstRowLastColumn="0" w:lastRowFirstColumn="0" w:lastRowLastColumn="0"/>
            <w:tcW w:w="8055" w:type="dxa"/>
            <w:tcMar/>
          </w:tcPr>
          <w:p w:rsidRPr="00413D1D" w:rsidR="008721E8" w:rsidP="006E48B1" w:rsidRDefault="008721E8" w14:paraId="2C1D1A90" w14:textId="77777777">
            <w:pPr>
              <w:jc w:val="center"/>
              <w:rPr>
                <w:b/>
              </w:rPr>
            </w:pPr>
            <w:r w:rsidRPr="00413D1D">
              <w:rPr>
                <w:rFonts w:eastAsia="Arial"/>
                <w:b/>
                <w:color w:val="000000" w:themeColor="text1"/>
                <w:sz w:val="17"/>
                <w:szCs w:val="17"/>
              </w:rPr>
              <w:t>Análisis</w:t>
            </w:r>
          </w:p>
        </w:tc>
      </w:tr>
      <w:tr w:rsidRPr="00413D1D" w:rsidR="008721E8" w:rsidTr="0ED4F347" w14:paraId="3E88C99A" w14:textId="77777777">
        <w:trPr>
          <w:trHeight w:val="285"/>
        </w:trPr>
        <w:tc>
          <w:tcPr>
            <w:cnfStyle w:val="000000000000" w:firstRow="0" w:lastRow="0" w:firstColumn="0" w:lastColumn="0" w:oddVBand="0" w:evenVBand="0" w:oddHBand="0" w:evenHBand="0" w:firstRowFirstColumn="0" w:firstRowLastColumn="0" w:lastRowFirstColumn="0" w:lastRowLastColumn="0"/>
            <w:tcW w:w="2280" w:type="dxa"/>
            <w:vMerge w:val="restart"/>
            <w:tcMar/>
          </w:tcPr>
          <w:p w:rsidRPr="00413D1D" w:rsidR="008721E8" w:rsidP="006E48B1" w:rsidRDefault="008721E8" w14:paraId="167E5AA8" w14:textId="77777777">
            <w:r w:rsidRPr="00413D1D">
              <w:rPr>
                <w:rFonts w:eastAsia="Arial"/>
                <w:color w:val="000000" w:themeColor="text1"/>
                <w:sz w:val="17"/>
                <w:szCs w:val="17"/>
              </w:rPr>
              <w:t>Condición:</w:t>
            </w:r>
          </w:p>
        </w:tc>
        <w:tc>
          <w:tcPr>
            <w:cnfStyle w:val="000000000000" w:firstRow="0" w:lastRow="0" w:firstColumn="0" w:lastColumn="0" w:oddVBand="0" w:evenVBand="0" w:oddHBand="0" w:evenHBand="0" w:firstRowFirstColumn="0" w:firstRowLastColumn="0" w:lastRowFirstColumn="0" w:lastRowLastColumn="0"/>
            <w:tcW w:w="8055" w:type="dxa"/>
            <w:vMerge w:val="restart"/>
            <w:tcMar/>
          </w:tcPr>
          <w:p w:rsidRPr="00413D1D" w:rsidR="008721E8" w:rsidP="006E48B1" w:rsidRDefault="008721E8" w14:paraId="086890B6" w14:textId="77777777">
            <w:r w:rsidRPr="00413D1D">
              <w:rPr>
                <w:rFonts w:eastAsia="Arial"/>
                <w:color w:val="000000" w:themeColor="text1"/>
                <w:sz w:val="17"/>
                <w:szCs w:val="17"/>
              </w:rPr>
              <w:t xml:space="preserve">Principio de Publicidad – Ley 1712/2014. Manual GC </w:t>
            </w:r>
            <w:proofErr w:type="spellStart"/>
            <w:r w:rsidRPr="00413D1D">
              <w:rPr>
                <w:rFonts w:eastAsia="Arial"/>
                <w:color w:val="000000" w:themeColor="text1"/>
                <w:sz w:val="17"/>
                <w:szCs w:val="17"/>
              </w:rPr>
              <w:t>Dcto</w:t>
            </w:r>
            <w:proofErr w:type="spellEnd"/>
            <w:r w:rsidRPr="00413D1D">
              <w:rPr>
                <w:rFonts w:eastAsia="Arial"/>
                <w:color w:val="000000" w:themeColor="text1"/>
                <w:sz w:val="17"/>
                <w:szCs w:val="17"/>
              </w:rPr>
              <w:t>. 161/2024. Decreto 1082/2015.</w:t>
            </w:r>
          </w:p>
          <w:p w:rsidRPr="00413D1D" w:rsidR="008721E8" w:rsidP="006E48B1" w:rsidRDefault="008721E8" w14:paraId="2E845A01" w14:textId="77777777">
            <w:r w:rsidRPr="00413D1D">
              <w:rPr>
                <w:rFonts w:eastAsia="Arial"/>
                <w:sz w:val="17"/>
                <w:szCs w:val="17"/>
              </w:rPr>
              <w:t xml:space="preserve"> </w:t>
            </w:r>
          </w:p>
          <w:p w:rsidRPr="00413D1D" w:rsidR="008721E8" w:rsidP="006E48B1" w:rsidRDefault="008721E8" w14:paraId="267DA192" w14:textId="77777777">
            <w:r w:rsidRPr="00413D1D">
              <w:rPr>
                <w:rFonts w:eastAsia="Arial"/>
                <w:color w:val="000000" w:themeColor="text1"/>
                <w:sz w:val="17"/>
                <w:szCs w:val="17"/>
              </w:rPr>
              <w:t>La Entidad no publicó en la plataforma TVEC ningún documento de soporte del proceso: Estudios Previos, CDP, RPC, garantías, acta de inicio, designación de supervisión, informes de supervisión, documentos de pago, ni planillas de beneficiarios. El expediente electrónico se encuentra vacío, con solo la información general generada automáticamente por la plataforma.</w:t>
            </w:r>
          </w:p>
          <w:p w:rsidRPr="00413D1D" w:rsidR="008721E8" w:rsidP="006E48B1" w:rsidRDefault="008721E8" w14:paraId="3CAC2346" w14:textId="77777777">
            <w:r w:rsidRPr="00413D1D">
              <w:rPr>
                <w:rFonts w:eastAsia="Arial"/>
                <w:sz w:val="17"/>
                <w:szCs w:val="17"/>
              </w:rPr>
              <w:t xml:space="preserve"> </w:t>
            </w:r>
          </w:p>
          <w:p w:rsidRPr="00413D1D" w:rsidR="008721E8" w:rsidP="006E48B1" w:rsidRDefault="008721E8" w14:paraId="32D207FA" w14:textId="77777777">
            <w:r w:rsidRPr="00413D1D">
              <w:rPr>
                <w:rFonts w:eastAsia="Arial"/>
                <w:color w:val="000000" w:themeColor="text1"/>
                <w:sz w:val="17"/>
                <w:szCs w:val="17"/>
              </w:rPr>
              <w:t>Deficiencia en la gestión del expediente electrónico e incumplimiento del deber de publicidad activa sobre los procesos contractuales.</w:t>
            </w:r>
          </w:p>
        </w:tc>
      </w:tr>
      <w:tr w:rsidRPr="00413D1D" w:rsidR="008721E8" w:rsidTr="0ED4F347" w14:paraId="57E90D08" w14:textId="77777777">
        <w:trPr>
          <w:cnfStyle w:val="000000100000" w:firstRow="0" w:lastRow="0" w:firstColumn="0" w:lastColumn="0" w:oddVBand="0" w:evenVBand="0" w:oddHBand="1" w:evenHBand="0" w:firstRowFirstColumn="0" w:firstRowLastColumn="0" w:lastRowFirstColumn="0" w:lastRowLastColumn="0"/>
          <w:trHeight w:val="285"/>
        </w:trPr>
        <w:tc>
          <w:tcPr>
            <w:cnfStyle w:val="000000000000" w:firstRow="0" w:lastRow="0" w:firstColumn="0" w:lastColumn="0" w:oddVBand="0" w:evenVBand="0" w:oddHBand="0" w:evenHBand="0" w:firstRowFirstColumn="0" w:firstRowLastColumn="0" w:lastRowFirstColumn="0" w:lastRowLastColumn="0"/>
            <w:tcW w:w="2280" w:type="dxa"/>
            <w:vMerge/>
            <w:tcMar/>
          </w:tcPr>
          <w:p w:rsidRPr="00413D1D" w:rsidR="008721E8" w:rsidP="006E48B1" w:rsidRDefault="008721E8" w14:paraId="20AAF33C" w14:textId="77777777"/>
        </w:tc>
        <w:tc>
          <w:tcPr>
            <w:cnfStyle w:val="000000000000" w:firstRow="0" w:lastRow="0" w:firstColumn="0" w:lastColumn="0" w:oddVBand="0" w:evenVBand="0" w:oddHBand="0" w:evenHBand="0" w:firstRowFirstColumn="0" w:firstRowLastColumn="0" w:lastRowFirstColumn="0" w:lastRowLastColumn="0"/>
            <w:tcW w:w="8055" w:type="dxa"/>
            <w:vMerge/>
            <w:tcMar/>
          </w:tcPr>
          <w:p w:rsidRPr="00413D1D" w:rsidR="008721E8" w:rsidP="006E48B1" w:rsidRDefault="008721E8" w14:paraId="594219EA" w14:textId="77777777"/>
        </w:tc>
      </w:tr>
      <w:tr w:rsidRPr="00413D1D" w:rsidR="008721E8" w:rsidTr="0ED4F347" w14:paraId="65EDE686" w14:textId="77777777">
        <w:trPr>
          <w:trHeight w:val="315"/>
        </w:trPr>
        <w:tc>
          <w:tcPr>
            <w:cnfStyle w:val="000000000000" w:firstRow="0" w:lastRow="0" w:firstColumn="0" w:lastColumn="0" w:oddVBand="0" w:evenVBand="0" w:oddHBand="0" w:evenHBand="0" w:firstRowFirstColumn="0" w:firstRowLastColumn="0" w:lastRowFirstColumn="0" w:lastRowLastColumn="0"/>
            <w:tcW w:w="2280" w:type="dxa"/>
            <w:vMerge/>
            <w:tcMar/>
          </w:tcPr>
          <w:p w:rsidRPr="00413D1D" w:rsidR="008721E8" w:rsidP="006E48B1" w:rsidRDefault="008721E8" w14:paraId="22A5E2BF" w14:textId="77777777"/>
        </w:tc>
        <w:tc>
          <w:tcPr>
            <w:cnfStyle w:val="000000000000" w:firstRow="0" w:lastRow="0" w:firstColumn="0" w:lastColumn="0" w:oddVBand="0" w:evenVBand="0" w:oddHBand="0" w:evenHBand="0" w:firstRowFirstColumn="0" w:firstRowLastColumn="0" w:lastRowFirstColumn="0" w:lastRowLastColumn="0"/>
            <w:tcW w:w="8055" w:type="dxa"/>
            <w:vMerge/>
            <w:tcMar/>
          </w:tcPr>
          <w:p w:rsidRPr="00413D1D" w:rsidR="008721E8" w:rsidP="006E48B1" w:rsidRDefault="008721E8" w14:paraId="50F87002" w14:textId="77777777"/>
        </w:tc>
      </w:tr>
      <w:tr w:rsidRPr="00413D1D" w:rsidR="008721E8" w:rsidTr="0ED4F347" w14:paraId="07756FC6"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0000000000" w:firstRow="0" w:lastRow="0" w:firstColumn="0" w:lastColumn="0" w:oddVBand="0" w:evenVBand="0" w:oddHBand="0" w:evenHBand="0" w:firstRowFirstColumn="0" w:firstRowLastColumn="0" w:lastRowFirstColumn="0" w:lastRowLastColumn="0"/>
            <w:tcW w:w="2280" w:type="dxa"/>
            <w:tcMar/>
          </w:tcPr>
          <w:p w:rsidRPr="00413D1D" w:rsidR="008721E8" w:rsidP="006E48B1" w:rsidRDefault="008721E8" w14:paraId="72B18ECC" w14:textId="77777777">
            <w:r w:rsidRPr="00413D1D">
              <w:rPr>
                <w:rFonts w:eastAsia="Arial"/>
                <w:color w:val="000000" w:themeColor="text1"/>
                <w:sz w:val="17"/>
                <w:szCs w:val="17"/>
              </w:rPr>
              <w:t>Efecto:</w:t>
            </w:r>
          </w:p>
        </w:tc>
        <w:tc>
          <w:tcPr>
            <w:cnfStyle w:val="000000000000" w:firstRow="0" w:lastRow="0" w:firstColumn="0" w:lastColumn="0" w:oddVBand="0" w:evenVBand="0" w:oddHBand="0" w:evenHBand="0" w:firstRowFirstColumn="0" w:firstRowLastColumn="0" w:lastRowFirstColumn="0" w:lastRowLastColumn="0"/>
            <w:tcW w:w="8055" w:type="dxa"/>
            <w:tcMar/>
          </w:tcPr>
          <w:p w:rsidRPr="00413D1D" w:rsidR="008721E8" w:rsidP="006E48B1" w:rsidRDefault="008721E8" w14:paraId="20C02C6F" w14:textId="77777777">
            <w:r w:rsidRPr="00413D1D">
              <w:rPr>
                <w:rFonts w:eastAsia="Arial"/>
                <w:color w:val="000000" w:themeColor="text1"/>
                <w:sz w:val="17"/>
                <w:szCs w:val="17"/>
              </w:rPr>
              <w:t>Incumplimiento al Principio de Publicidad y Transparencia (Ley 1712 de 2014). Imposibilidad de ejercer control ciudadano y social sobre un proceso que administra más de $1.500 millones en subvenciones a damnificados. Debilidad sistemática del expediente digital.</w:t>
            </w:r>
          </w:p>
        </w:tc>
      </w:tr>
      <w:tr w:rsidRPr="00413D1D" w:rsidR="008721E8" w:rsidTr="0ED4F347" w14:paraId="52944DB6" w14:textId="77777777">
        <w:trPr>
          <w:trHeight w:val="300"/>
        </w:trPr>
        <w:tc>
          <w:tcPr>
            <w:cnfStyle w:val="000000000000" w:firstRow="0" w:lastRow="0" w:firstColumn="0" w:lastColumn="0" w:oddVBand="0" w:evenVBand="0" w:oddHBand="0" w:evenHBand="0" w:firstRowFirstColumn="0" w:firstRowLastColumn="0" w:lastRowFirstColumn="0" w:lastRowLastColumn="0"/>
            <w:tcW w:w="2280" w:type="dxa"/>
            <w:tcMar/>
          </w:tcPr>
          <w:p w:rsidRPr="00413D1D" w:rsidR="008721E8" w:rsidP="006E48B1" w:rsidRDefault="008721E8" w14:paraId="3F4DC36A" w14:textId="77777777">
            <w:r w:rsidRPr="00413D1D">
              <w:rPr>
                <w:rFonts w:eastAsia="Arial"/>
                <w:color w:val="000000" w:themeColor="text1"/>
                <w:sz w:val="17"/>
                <w:szCs w:val="17"/>
              </w:rPr>
              <w:t>Norma vulnerada:</w:t>
            </w:r>
          </w:p>
        </w:tc>
        <w:tc>
          <w:tcPr>
            <w:cnfStyle w:val="000000000000" w:firstRow="0" w:lastRow="0" w:firstColumn="0" w:lastColumn="0" w:oddVBand="0" w:evenVBand="0" w:oddHBand="0" w:evenHBand="0" w:firstRowFirstColumn="0" w:firstRowLastColumn="0" w:lastRowFirstColumn="0" w:lastRowLastColumn="0"/>
            <w:tcW w:w="8055" w:type="dxa"/>
            <w:tcMar/>
          </w:tcPr>
          <w:p w:rsidRPr="00413D1D" w:rsidR="008721E8" w:rsidP="006E48B1" w:rsidRDefault="008721E8" w14:paraId="254E9419" w14:textId="77777777">
            <w:r w:rsidRPr="00413D1D">
              <w:rPr>
                <w:rFonts w:eastAsia="Arial"/>
                <w:color w:val="000000" w:themeColor="text1"/>
                <w:sz w:val="17"/>
                <w:szCs w:val="17"/>
              </w:rPr>
              <w:t xml:space="preserve">Ley 1712/2014 – Arts. 9 y 10. Decreto 1082/2015 – Art. 2.2.1.1.1.7.1. Manual de Gestión Contractual – </w:t>
            </w:r>
            <w:proofErr w:type="spellStart"/>
            <w:r w:rsidRPr="00413D1D">
              <w:rPr>
                <w:rFonts w:eastAsia="Arial"/>
                <w:color w:val="000000" w:themeColor="text1"/>
                <w:sz w:val="17"/>
                <w:szCs w:val="17"/>
              </w:rPr>
              <w:t>Dcto</w:t>
            </w:r>
            <w:proofErr w:type="spellEnd"/>
            <w:r w:rsidRPr="00413D1D">
              <w:rPr>
                <w:rFonts w:eastAsia="Arial"/>
                <w:color w:val="000000" w:themeColor="text1"/>
                <w:sz w:val="17"/>
                <w:szCs w:val="17"/>
              </w:rPr>
              <w:t>. 161/2024 – Parte II, Cap. I.</w:t>
            </w:r>
          </w:p>
        </w:tc>
      </w:tr>
      <w:tr w:rsidRPr="00413D1D" w:rsidR="008721E8" w:rsidTr="0ED4F347" w14:paraId="64ABD30C"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0000000000" w:firstRow="0" w:lastRow="0" w:firstColumn="0" w:lastColumn="0" w:oddVBand="0" w:evenVBand="0" w:oddHBand="0" w:evenHBand="0" w:firstRowFirstColumn="0" w:firstRowLastColumn="0" w:lastRowFirstColumn="0" w:lastRowLastColumn="0"/>
            <w:tcW w:w="2280" w:type="dxa"/>
            <w:tcMar/>
          </w:tcPr>
          <w:p w:rsidRPr="00413D1D" w:rsidR="008721E8" w:rsidP="006E48B1" w:rsidRDefault="008721E8" w14:paraId="1E7615A9" w14:textId="77777777">
            <w:r w:rsidRPr="00413D1D">
              <w:rPr>
                <w:rFonts w:eastAsia="Arial"/>
                <w:color w:val="000000" w:themeColor="text1"/>
                <w:sz w:val="17"/>
                <w:szCs w:val="17"/>
              </w:rPr>
              <w:t>Recomendación:</w:t>
            </w:r>
          </w:p>
        </w:tc>
        <w:tc>
          <w:tcPr>
            <w:cnfStyle w:val="000000000000" w:firstRow="0" w:lastRow="0" w:firstColumn="0" w:lastColumn="0" w:oddVBand="0" w:evenVBand="0" w:oddHBand="0" w:evenHBand="0" w:firstRowFirstColumn="0" w:firstRowLastColumn="0" w:lastRowFirstColumn="0" w:lastRowLastColumn="0"/>
            <w:tcW w:w="8055" w:type="dxa"/>
            <w:tcMar/>
          </w:tcPr>
          <w:p w:rsidRPr="00413D1D" w:rsidR="008721E8" w:rsidP="006E48B1" w:rsidRDefault="008721E8" w14:paraId="3329C65E" w14:textId="77777777">
            <w:r w:rsidRPr="00413D1D">
              <w:rPr>
                <w:rFonts w:eastAsia="Arial"/>
                <w:color w:val="000000" w:themeColor="text1"/>
                <w:sz w:val="17"/>
                <w:szCs w:val="17"/>
              </w:rPr>
              <w:t xml:space="preserve">Publicar de manera inmediata en la plataforma TVEC todos los documentos del proceso correspondientes a cada etapa (precontractual, contractual y </w:t>
            </w:r>
            <w:proofErr w:type="spellStart"/>
            <w:r w:rsidRPr="00413D1D">
              <w:rPr>
                <w:rFonts w:eastAsia="Arial"/>
                <w:color w:val="000000" w:themeColor="text1"/>
                <w:sz w:val="17"/>
                <w:szCs w:val="17"/>
              </w:rPr>
              <w:t>poscontractual</w:t>
            </w:r>
            <w:proofErr w:type="spellEnd"/>
            <w:r w:rsidRPr="00413D1D">
              <w:rPr>
                <w:rFonts w:eastAsia="Arial"/>
                <w:color w:val="000000" w:themeColor="text1"/>
                <w:sz w:val="17"/>
                <w:szCs w:val="17"/>
              </w:rPr>
              <w:t>). Establecer un protocolo interno de gestión del expediente electrónico que garantice el cumplimiento del plazo de 3 días hábiles.</w:t>
            </w:r>
          </w:p>
        </w:tc>
      </w:tr>
    </w:tbl>
    <w:p w:rsidRPr="00413D1D" w:rsidR="008721E8" w:rsidP="008721E8" w:rsidRDefault="008721E8" w14:paraId="2ECC5777" w14:textId="1C54165F">
      <w:pPr>
        <w:spacing w:line="240" w:lineRule="auto"/>
        <w:rPr>
          <w:rFonts w:eastAsia="Arial"/>
          <w:sz w:val="20"/>
          <w:szCs w:val="20"/>
        </w:rPr>
      </w:pPr>
    </w:p>
    <w:p w:rsidR="0ED4F347" w:rsidP="0ED4F347" w:rsidRDefault="0ED4F347" w14:paraId="7BF2C652" w14:textId="53C36624">
      <w:pPr>
        <w:spacing w:line="240" w:lineRule="auto"/>
        <w:rPr>
          <w:rFonts w:ascii="Arial" w:hAnsi="Arial" w:eastAsia="" w:cs="Arial" w:eastAsiaTheme="minorEastAsia"/>
          <w:b w:val="0"/>
          <w:bCs w:val="0"/>
          <w:color w:val="auto"/>
          <w:sz w:val="24"/>
          <w:szCs w:val="24"/>
          <w:lang w:eastAsia="es-CO" w:bidi="ar-SA"/>
        </w:rPr>
      </w:pPr>
    </w:p>
    <w:p w:rsidRPr="003A69A1" w:rsidR="008721E8" w:rsidP="0ED4F347" w:rsidRDefault="008721E8" w14:paraId="70443D7B" w14:textId="32D6B45B">
      <w:pPr>
        <w:pStyle w:val="Descripcin"/>
        <w:keepNext w:val="1"/>
        <w:rPr>
          <w:rFonts w:ascii="Arial" w:hAnsi="Arial" w:eastAsia="Arial" w:cs="Arial"/>
          <w:i w:val="0"/>
          <w:iCs w:val="0"/>
          <w:color w:val="auto" w:themeColor="text2"/>
          <w:sz w:val="24"/>
          <w:szCs w:val="24"/>
        </w:rPr>
      </w:pPr>
      <w:bookmarkStart w:name="_Toc227164195" w:id="66"/>
      <w:r w:rsidRPr="0ED4F347" w:rsidR="6994FB4E">
        <w:rPr>
          <w:rFonts w:ascii="Arial" w:hAnsi="Arial" w:eastAsia="Arial" w:cs="Arial"/>
          <w:i w:val="0"/>
          <w:iCs w:val="0"/>
          <w:color w:val="auto"/>
          <w:sz w:val="24"/>
          <w:szCs w:val="24"/>
        </w:rPr>
        <w:t>Tabla</w:t>
      </w:r>
      <w:r w:rsidRPr="0ED4F347" w:rsidR="34BB6B3E">
        <w:rPr>
          <w:rFonts w:ascii="Arial" w:hAnsi="Arial" w:eastAsia="Arial" w:cs="Arial"/>
          <w:i w:val="0"/>
          <w:iCs w:val="0"/>
          <w:color w:val="auto"/>
          <w:sz w:val="24"/>
          <w:szCs w:val="24"/>
        </w:rPr>
        <w:t xml:space="preserve"> </w:t>
      </w:r>
      <w:r w:rsidRPr="0ED4F347" w:rsidR="07480EB3">
        <w:rPr>
          <w:rFonts w:ascii="Arial" w:hAnsi="Arial" w:eastAsia="Arial" w:cs="Arial"/>
          <w:i w:val="0"/>
          <w:iCs w:val="0"/>
          <w:color w:val="auto"/>
          <w:sz w:val="24"/>
          <w:szCs w:val="24"/>
        </w:rPr>
        <w:t>9</w:t>
      </w:r>
      <w:r w:rsidRPr="0ED4F347" w:rsidR="6994FB4E">
        <w:rPr>
          <w:rFonts w:ascii="Arial" w:hAnsi="Arial" w:eastAsia="Arial" w:cs="Arial"/>
          <w:i w:val="0"/>
          <w:iCs w:val="0"/>
          <w:color w:val="auto"/>
          <w:sz w:val="24"/>
          <w:szCs w:val="24"/>
        </w:rPr>
        <w:t>. Contrato UAEGRD-AD-PS-132-2025 / O.C. TVEC 149084 – Banco Agrario de Colombia - Observación 2</w:t>
      </w:r>
      <w:bookmarkEnd w:id="66"/>
    </w:p>
    <w:tbl>
      <w:tblPr>
        <w:tblStyle w:val="Tablanormal1"/>
        <w:tblW w:w="10471" w:type="dxa"/>
        <w:tblLook w:val="0400" w:firstRow="0" w:lastRow="0" w:firstColumn="0" w:lastColumn="0" w:noHBand="0" w:noVBand="1"/>
      </w:tblPr>
      <w:tblGrid>
        <w:gridCol w:w="2281"/>
        <w:gridCol w:w="8190"/>
      </w:tblGrid>
      <w:tr w:rsidRPr="00413D1D" w:rsidR="008721E8" w:rsidTr="0ED4F347" w14:paraId="1C27DBA1"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0000000000" w:firstRow="0" w:lastRow="0" w:firstColumn="0" w:lastColumn="0" w:oddVBand="0" w:evenVBand="0" w:oddHBand="0" w:evenHBand="0" w:firstRowFirstColumn="0" w:firstRowLastColumn="0" w:lastRowFirstColumn="0" w:lastRowLastColumn="0"/>
            <w:tcW w:w="2281" w:type="dxa"/>
            <w:tcMar/>
          </w:tcPr>
          <w:p w:rsidRPr="00413D1D" w:rsidR="008721E8" w:rsidP="006E48B1" w:rsidRDefault="008721E8" w14:paraId="04F77BF1" w14:textId="77777777">
            <w:pPr>
              <w:jc w:val="center"/>
            </w:pPr>
            <w:r w:rsidRPr="00413D1D">
              <w:rPr>
                <w:rFonts w:eastAsia="Arial"/>
                <w:b/>
                <w:color w:val="000000" w:themeColor="text1"/>
                <w:sz w:val="17"/>
                <w:szCs w:val="17"/>
              </w:rPr>
              <w:t>Ítem</w:t>
            </w:r>
          </w:p>
        </w:tc>
        <w:tc>
          <w:tcPr>
            <w:cnfStyle w:val="000000000000" w:firstRow="0" w:lastRow="0" w:firstColumn="0" w:lastColumn="0" w:oddVBand="0" w:evenVBand="0" w:oddHBand="0" w:evenHBand="0" w:firstRowFirstColumn="0" w:firstRowLastColumn="0" w:lastRowFirstColumn="0" w:lastRowLastColumn="0"/>
            <w:tcW w:w="8190" w:type="dxa"/>
            <w:tcMar/>
          </w:tcPr>
          <w:p w:rsidRPr="00413D1D" w:rsidR="008721E8" w:rsidP="006E48B1" w:rsidRDefault="008721E8" w14:paraId="255A8187" w14:textId="77777777">
            <w:pPr>
              <w:jc w:val="center"/>
            </w:pPr>
            <w:r w:rsidRPr="00413D1D">
              <w:rPr>
                <w:rFonts w:eastAsia="Arial"/>
                <w:b/>
                <w:color w:val="000000" w:themeColor="text1"/>
                <w:sz w:val="17"/>
                <w:szCs w:val="17"/>
              </w:rPr>
              <w:t>Análisis</w:t>
            </w:r>
          </w:p>
        </w:tc>
      </w:tr>
      <w:tr w:rsidRPr="00413D1D" w:rsidR="008721E8" w:rsidTr="0ED4F347" w14:paraId="0AAC24C9" w14:textId="77777777">
        <w:trPr>
          <w:trHeight w:val="285"/>
        </w:trPr>
        <w:tc>
          <w:tcPr>
            <w:cnfStyle w:val="000000000000" w:firstRow="0" w:lastRow="0" w:firstColumn="0" w:lastColumn="0" w:oddVBand="0" w:evenVBand="0" w:oddHBand="0" w:evenHBand="0" w:firstRowFirstColumn="0" w:firstRowLastColumn="0" w:lastRowFirstColumn="0" w:lastRowLastColumn="0"/>
            <w:tcW w:w="2281" w:type="dxa"/>
            <w:vMerge w:val="restart"/>
            <w:tcMar/>
          </w:tcPr>
          <w:p w:rsidRPr="00413D1D" w:rsidR="008721E8" w:rsidP="006E48B1" w:rsidRDefault="008721E8" w14:paraId="4021832F" w14:textId="77777777">
            <w:r w:rsidRPr="00413D1D">
              <w:rPr>
                <w:rFonts w:eastAsia="Arial"/>
                <w:color w:val="000000" w:themeColor="text1"/>
                <w:sz w:val="17"/>
                <w:szCs w:val="17"/>
              </w:rPr>
              <w:t>Condición:</w:t>
            </w:r>
          </w:p>
        </w:tc>
        <w:tc>
          <w:tcPr>
            <w:cnfStyle w:val="000000000000" w:firstRow="0" w:lastRow="0" w:firstColumn="0" w:lastColumn="0" w:oddVBand="0" w:evenVBand="0" w:oddHBand="0" w:evenHBand="0" w:firstRowFirstColumn="0" w:firstRowLastColumn="0" w:lastRowFirstColumn="0" w:lastRowLastColumn="0"/>
            <w:tcW w:w="8190" w:type="dxa"/>
            <w:vMerge w:val="restart"/>
            <w:tcMar/>
          </w:tcPr>
          <w:p w:rsidRPr="00413D1D" w:rsidR="008721E8" w:rsidP="006E48B1" w:rsidRDefault="008721E8" w14:paraId="60B277CA" w14:textId="77777777">
            <w:r w:rsidRPr="00413D1D">
              <w:rPr>
                <w:rFonts w:eastAsia="Arial"/>
                <w:color w:val="000000" w:themeColor="text1"/>
                <w:sz w:val="17"/>
                <w:szCs w:val="17"/>
              </w:rPr>
              <w:t>Principio de Planeación. Decreto 1082/2015 – Art. 2.2.1.1.2.1.1.</w:t>
            </w:r>
          </w:p>
          <w:p w:rsidRPr="00413D1D" w:rsidR="008721E8" w:rsidP="006E48B1" w:rsidRDefault="008721E8" w14:paraId="39AA78CB" w14:textId="77777777">
            <w:r w:rsidRPr="00413D1D">
              <w:rPr>
                <w:rFonts w:eastAsia="Arial"/>
                <w:sz w:val="17"/>
                <w:szCs w:val="17"/>
              </w:rPr>
              <w:t xml:space="preserve"> </w:t>
            </w:r>
          </w:p>
          <w:p w:rsidRPr="00413D1D" w:rsidR="008721E8" w:rsidP="006E48B1" w:rsidRDefault="008721E8" w14:paraId="5BE8D99D" w14:textId="77777777">
            <w:r w:rsidRPr="00413D1D">
              <w:rPr>
                <w:rFonts w:eastAsia="Arial"/>
                <w:color w:val="000000" w:themeColor="text1"/>
                <w:sz w:val="17"/>
                <w:szCs w:val="17"/>
              </w:rPr>
              <w:t>Tras la consulta exhaustiva en el Plan Anual de Adquisiciones (PAA) publicado por la Entidad para la vigencia 2025, no se logró identificar la inclusión del proceso de 'Prestación de Servicios Financieros' bajo el AMP CP 4142. El PAA no fue actualizado para incluir esta contratación aun cuando el proceso fue suscrito el 17/07/2025.</w:t>
            </w:r>
          </w:p>
          <w:p w:rsidRPr="00413D1D" w:rsidR="008721E8" w:rsidP="006E48B1" w:rsidRDefault="008721E8" w14:paraId="0EF13C06" w14:textId="77777777">
            <w:r w:rsidRPr="00413D1D">
              <w:rPr>
                <w:rFonts w:eastAsia="Arial"/>
                <w:sz w:val="17"/>
                <w:szCs w:val="17"/>
              </w:rPr>
              <w:t xml:space="preserve"> </w:t>
            </w:r>
          </w:p>
          <w:p w:rsidRPr="00413D1D" w:rsidR="008721E8" w:rsidP="006E48B1" w:rsidRDefault="008721E8" w14:paraId="57985971" w14:textId="563F456C">
            <w:r w:rsidRPr="00413D1D">
              <w:rPr>
                <w:rFonts w:eastAsia="Arial"/>
                <w:color w:val="000000" w:themeColor="text1"/>
                <w:sz w:val="17"/>
                <w:szCs w:val="17"/>
              </w:rPr>
              <w:t xml:space="preserve">Ausencia de registro previo en el PAA e incumplimiento del deber de actualización </w:t>
            </w:r>
            <w:r w:rsidRPr="00413D1D" w:rsidR="00B92A73">
              <w:rPr>
                <w:rFonts w:eastAsia="Arial"/>
                <w:color w:val="000000" w:themeColor="text1"/>
                <w:sz w:val="17"/>
                <w:szCs w:val="17"/>
              </w:rPr>
              <w:t>de este</w:t>
            </w:r>
            <w:r w:rsidRPr="00413D1D">
              <w:rPr>
                <w:rFonts w:eastAsia="Arial"/>
                <w:color w:val="000000" w:themeColor="text1"/>
                <w:sz w:val="17"/>
                <w:szCs w:val="17"/>
              </w:rPr>
              <w:t xml:space="preserve"> conforme al Decreto 1082 del 2015, que establece que las entidades estatales deben mantener el PAA actualizado con todos los procesos de la vigencia.</w:t>
            </w:r>
          </w:p>
        </w:tc>
      </w:tr>
      <w:tr w:rsidRPr="00413D1D" w:rsidR="008721E8" w:rsidTr="0ED4F347" w14:paraId="053CC3B6" w14:textId="77777777">
        <w:trPr>
          <w:cnfStyle w:val="000000100000" w:firstRow="0" w:lastRow="0" w:firstColumn="0" w:lastColumn="0" w:oddVBand="0" w:evenVBand="0" w:oddHBand="1" w:evenHBand="0" w:firstRowFirstColumn="0" w:firstRowLastColumn="0" w:lastRowFirstColumn="0" w:lastRowLastColumn="0"/>
          <w:trHeight w:val="285"/>
        </w:trPr>
        <w:tc>
          <w:tcPr>
            <w:cnfStyle w:val="000000000000" w:firstRow="0" w:lastRow="0" w:firstColumn="0" w:lastColumn="0" w:oddVBand="0" w:evenVBand="0" w:oddHBand="0" w:evenHBand="0" w:firstRowFirstColumn="0" w:firstRowLastColumn="0" w:lastRowFirstColumn="0" w:lastRowLastColumn="0"/>
            <w:tcW w:w="2281" w:type="dxa"/>
            <w:vMerge/>
            <w:tcMar/>
          </w:tcPr>
          <w:p w:rsidRPr="00413D1D" w:rsidR="008721E8" w:rsidP="006E48B1" w:rsidRDefault="008721E8" w14:paraId="090BF99B" w14:textId="77777777"/>
        </w:tc>
        <w:tc>
          <w:tcPr>
            <w:cnfStyle w:val="000000000000" w:firstRow="0" w:lastRow="0" w:firstColumn="0" w:lastColumn="0" w:oddVBand="0" w:evenVBand="0" w:oddHBand="0" w:evenHBand="0" w:firstRowFirstColumn="0" w:firstRowLastColumn="0" w:lastRowFirstColumn="0" w:lastRowLastColumn="0"/>
            <w:tcW w:w="8190" w:type="dxa"/>
            <w:vMerge/>
            <w:tcMar/>
          </w:tcPr>
          <w:p w:rsidRPr="00413D1D" w:rsidR="008721E8" w:rsidP="006E48B1" w:rsidRDefault="008721E8" w14:paraId="2B7366D5" w14:textId="77777777"/>
        </w:tc>
      </w:tr>
      <w:tr w:rsidRPr="00413D1D" w:rsidR="008721E8" w:rsidTr="0ED4F347" w14:paraId="01D441BA" w14:textId="77777777">
        <w:trPr>
          <w:trHeight w:val="315"/>
        </w:trPr>
        <w:tc>
          <w:tcPr>
            <w:cnfStyle w:val="000000000000" w:firstRow="0" w:lastRow="0" w:firstColumn="0" w:lastColumn="0" w:oddVBand="0" w:evenVBand="0" w:oddHBand="0" w:evenHBand="0" w:firstRowFirstColumn="0" w:firstRowLastColumn="0" w:lastRowFirstColumn="0" w:lastRowLastColumn="0"/>
            <w:tcW w:w="2281" w:type="dxa"/>
            <w:vMerge/>
            <w:tcMar/>
          </w:tcPr>
          <w:p w:rsidRPr="00413D1D" w:rsidR="008721E8" w:rsidP="006E48B1" w:rsidRDefault="008721E8" w14:paraId="072CD7CA" w14:textId="77777777"/>
        </w:tc>
        <w:tc>
          <w:tcPr>
            <w:cnfStyle w:val="000000000000" w:firstRow="0" w:lastRow="0" w:firstColumn="0" w:lastColumn="0" w:oddVBand="0" w:evenVBand="0" w:oddHBand="0" w:evenHBand="0" w:firstRowFirstColumn="0" w:firstRowLastColumn="0" w:lastRowFirstColumn="0" w:lastRowLastColumn="0"/>
            <w:tcW w:w="8190" w:type="dxa"/>
            <w:vMerge/>
            <w:tcMar/>
          </w:tcPr>
          <w:p w:rsidRPr="00413D1D" w:rsidR="008721E8" w:rsidP="006E48B1" w:rsidRDefault="008721E8" w14:paraId="5E5F1C79" w14:textId="77777777"/>
        </w:tc>
      </w:tr>
      <w:tr w:rsidRPr="00413D1D" w:rsidR="008721E8" w:rsidTr="0ED4F347" w14:paraId="70B1DFBE"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0000000000" w:firstRow="0" w:lastRow="0" w:firstColumn="0" w:lastColumn="0" w:oddVBand="0" w:evenVBand="0" w:oddHBand="0" w:evenHBand="0" w:firstRowFirstColumn="0" w:firstRowLastColumn="0" w:lastRowFirstColumn="0" w:lastRowLastColumn="0"/>
            <w:tcW w:w="2281" w:type="dxa"/>
            <w:tcMar/>
          </w:tcPr>
          <w:p w:rsidRPr="00413D1D" w:rsidR="008721E8" w:rsidP="006E48B1" w:rsidRDefault="008721E8" w14:paraId="46EA2209" w14:textId="77777777">
            <w:r w:rsidRPr="00413D1D">
              <w:rPr>
                <w:rFonts w:eastAsia="Arial"/>
                <w:color w:val="000000" w:themeColor="text1"/>
                <w:sz w:val="17"/>
                <w:szCs w:val="17"/>
              </w:rPr>
              <w:lastRenderedPageBreak/>
              <w:t>Efecto:</w:t>
            </w:r>
          </w:p>
        </w:tc>
        <w:tc>
          <w:tcPr>
            <w:cnfStyle w:val="000000000000" w:firstRow="0" w:lastRow="0" w:firstColumn="0" w:lastColumn="0" w:oddVBand="0" w:evenVBand="0" w:oddHBand="0" w:evenHBand="0" w:firstRowFirstColumn="0" w:firstRowLastColumn="0" w:lastRowFirstColumn="0" w:lastRowLastColumn="0"/>
            <w:tcW w:w="8190" w:type="dxa"/>
            <w:tcMar/>
          </w:tcPr>
          <w:p w:rsidRPr="00413D1D" w:rsidR="008721E8" w:rsidP="006E48B1" w:rsidRDefault="008721E8" w14:paraId="1F288638" w14:textId="77777777">
            <w:r w:rsidRPr="00413D1D">
              <w:rPr>
                <w:rFonts w:eastAsia="Arial"/>
                <w:color w:val="000000" w:themeColor="text1"/>
                <w:sz w:val="17"/>
                <w:szCs w:val="17"/>
              </w:rPr>
              <w:t>Afectación a la transparencia y publicidad de la gestión contractual. El PAA es un instrumento de control público que permite la veeduría ciudadana. Su desactualización impide el seguimiento oportuno de los procesos de contratación.</w:t>
            </w:r>
          </w:p>
        </w:tc>
      </w:tr>
      <w:tr w:rsidRPr="00413D1D" w:rsidR="008721E8" w:rsidTr="0ED4F347" w14:paraId="456C8EEF" w14:textId="77777777">
        <w:trPr>
          <w:trHeight w:val="300"/>
        </w:trPr>
        <w:tc>
          <w:tcPr>
            <w:cnfStyle w:val="000000000000" w:firstRow="0" w:lastRow="0" w:firstColumn="0" w:lastColumn="0" w:oddVBand="0" w:evenVBand="0" w:oddHBand="0" w:evenHBand="0" w:firstRowFirstColumn="0" w:firstRowLastColumn="0" w:lastRowFirstColumn="0" w:lastRowLastColumn="0"/>
            <w:tcW w:w="2281" w:type="dxa"/>
            <w:tcMar/>
          </w:tcPr>
          <w:p w:rsidRPr="00413D1D" w:rsidR="008721E8" w:rsidP="006E48B1" w:rsidRDefault="008721E8" w14:paraId="72E16E36" w14:textId="77777777">
            <w:r w:rsidRPr="00413D1D">
              <w:rPr>
                <w:rFonts w:eastAsia="Arial"/>
                <w:color w:val="000000" w:themeColor="text1"/>
                <w:sz w:val="17"/>
                <w:szCs w:val="17"/>
              </w:rPr>
              <w:t>Norma vulnerada:</w:t>
            </w:r>
          </w:p>
        </w:tc>
        <w:tc>
          <w:tcPr>
            <w:cnfStyle w:val="000000000000" w:firstRow="0" w:lastRow="0" w:firstColumn="0" w:lastColumn="0" w:oddVBand="0" w:evenVBand="0" w:oddHBand="0" w:evenHBand="0" w:firstRowFirstColumn="0" w:firstRowLastColumn="0" w:lastRowFirstColumn="0" w:lastRowLastColumn="0"/>
            <w:tcW w:w="8190" w:type="dxa"/>
            <w:tcMar/>
          </w:tcPr>
          <w:p w:rsidRPr="00413D1D" w:rsidR="008721E8" w:rsidP="006E48B1" w:rsidRDefault="008721E8" w14:paraId="4D4E06ED" w14:textId="77777777">
            <w:r w:rsidRPr="00413D1D">
              <w:rPr>
                <w:rFonts w:eastAsia="Arial"/>
                <w:color w:val="000000" w:themeColor="text1"/>
                <w:sz w:val="17"/>
                <w:szCs w:val="17"/>
              </w:rPr>
              <w:t>Decreto 1082/2015 – Art. 2.2.1.1.2.1.1. Manual de Gestión Contractual Gobernación de Cundinamarca – Título VI.</w:t>
            </w:r>
          </w:p>
        </w:tc>
      </w:tr>
      <w:tr w:rsidRPr="00413D1D" w:rsidR="008721E8" w:rsidTr="0ED4F347" w14:paraId="195BFF7A"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0000000000" w:firstRow="0" w:lastRow="0" w:firstColumn="0" w:lastColumn="0" w:oddVBand="0" w:evenVBand="0" w:oddHBand="0" w:evenHBand="0" w:firstRowFirstColumn="0" w:firstRowLastColumn="0" w:lastRowFirstColumn="0" w:lastRowLastColumn="0"/>
            <w:tcW w:w="2281" w:type="dxa"/>
            <w:tcMar/>
          </w:tcPr>
          <w:p w:rsidRPr="00413D1D" w:rsidR="008721E8" w:rsidP="006E48B1" w:rsidRDefault="008721E8" w14:paraId="70B442AF" w14:textId="77777777">
            <w:r w:rsidRPr="00413D1D">
              <w:rPr>
                <w:rFonts w:eastAsia="Arial"/>
                <w:color w:val="000000" w:themeColor="text1"/>
                <w:sz w:val="17"/>
                <w:szCs w:val="17"/>
              </w:rPr>
              <w:t>Recomendación:</w:t>
            </w:r>
          </w:p>
        </w:tc>
        <w:tc>
          <w:tcPr>
            <w:cnfStyle w:val="000000000000" w:firstRow="0" w:lastRow="0" w:firstColumn="0" w:lastColumn="0" w:oddVBand="0" w:evenVBand="0" w:oddHBand="0" w:evenHBand="0" w:firstRowFirstColumn="0" w:firstRowLastColumn="0" w:lastRowFirstColumn="0" w:lastRowLastColumn="0"/>
            <w:tcW w:w="8190" w:type="dxa"/>
            <w:tcMar/>
          </w:tcPr>
          <w:p w:rsidRPr="00413D1D" w:rsidR="008721E8" w:rsidP="006E48B1" w:rsidRDefault="008721E8" w14:paraId="4E6F27F0" w14:textId="77777777">
            <w:r w:rsidRPr="00413D1D">
              <w:rPr>
                <w:rFonts w:eastAsia="Arial"/>
                <w:color w:val="000000" w:themeColor="text1"/>
                <w:sz w:val="17"/>
                <w:szCs w:val="17"/>
              </w:rPr>
              <w:t>Actualizar el PAA en SECOP II incluyendo el proceso UAEGRD-AD-PS-132-2025 y todos los demás procesos no registrados. Establecer control interno que garantice la actualización del PAA dentro de los tres días hábiles siguientes a la generación de cada proceso.</w:t>
            </w:r>
          </w:p>
        </w:tc>
      </w:tr>
    </w:tbl>
    <w:p w:rsidRPr="00413D1D" w:rsidR="008721E8" w:rsidP="008721E8" w:rsidRDefault="008721E8" w14:paraId="7964A443" w14:textId="77777777">
      <w:pPr>
        <w:spacing w:line="240" w:lineRule="auto"/>
        <w:rPr>
          <w:b/>
          <w:bCs/>
          <w:sz w:val="26"/>
          <w:szCs w:val="26"/>
        </w:rPr>
      </w:pPr>
    </w:p>
    <w:p w:rsidRPr="003A69A1" w:rsidR="008721E8" w:rsidP="0ED4F347" w:rsidRDefault="008721E8" w14:paraId="24FEA058" w14:textId="730D9789">
      <w:pPr>
        <w:pStyle w:val="Descripcin"/>
        <w:keepNext w:val="1"/>
        <w:rPr>
          <w:rFonts w:ascii="Arial" w:hAnsi="Arial" w:eastAsia="Arial" w:cs="Arial"/>
          <w:i w:val="0"/>
          <w:iCs w:val="0"/>
          <w:color w:val="auto" w:themeColor="text2"/>
          <w:sz w:val="24"/>
          <w:szCs w:val="24"/>
        </w:rPr>
      </w:pPr>
      <w:bookmarkStart w:name="_Toc227164196" w:id="67"/>
      <w:r w:rsidRPr="0ED4F347" w:rsidR="6994FB4E">
        <w:rPr>
          <w:rFonts w:ascii="Arial" w:hAnsi="Arial" w:eastAsia="Arial" w:cs="Arial"/>
          <w:i w:val="0"/>
          <w:iCs w:val="0"/>
          <w:color w:val="auto"/>
          <w:sz w:val="24"/>
          <w:szCs w:val="24"/>
        </w:rPr>
        <w:t xml:space="preserve">Tabla </w:t>
      </w:r>
      <w:r w:rsidRPr="0ED4F347" w:rsidR="4DECBE23">
        <w:rPr>
          <w:rFonts w:ascii="Arial" w:hAnsi="Arial" w:eastAsia="Arial" w:cs="Arial"/>
          <w:i w:val="0"/>
          <w:iCs w:val="0"/>
          <w:color w:val="auto"/>
          <w:sz w:val="24"/>
          <w:szCs w:val="24"/>
        </w:rPr>
        <w:t>10</w:t>
      </w:r>
      <w:r w:rsidRPr="0ED4F347" w:rsidR="6994FB4E">
        <w:rPr>
          <w:rFonts w:ascii="Arial" w:hAnsi="Arial" w:eastAsia="Arial" w:cs="Arial"/>
          <w:i w:val="0"/>
          <w:iCs w:val="0"/>
          <w:color w:val="auto"/>
          <w:sz w:val="24"/>
          <w:szCs w:val="24"/>
        </w:rPr>
        <w:t>. Contrato UAEGRD-AD-PS-132-2025 / O.C. TVEC 149084 – Banco Agrario de Colombia - Observación 3</w:t>
      </w:r>
      <w:bookmarkEnd w:id="67"/>
    </w:p>
    <w:tbl>
      <w:tblPr>
        <w:tblStyle w:val="Tablanormal1"/>
        <w:tblW w:w="10488" w:type="dxa"/>
        <w:tblLook w:val="0400" w:firstRow="0" w:lastRow="0" w:firstColumn="0" w:lastColumn="0" w:noHBand="0" w:noVBand="1"/>
      </w:tblPr>
      <w:tblGrid>
        <w:gridCol w:w="2283"/>
        <w:gridCol w:w="8205"/>
      </w:tblGrid>
      <w:tr w:rsidRPr="00413D1D" w:rsidR="008721E8" w:rsidTr="0ED4F347" w14:paraId="6901DB12"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0000000000" w:firstRow="0" w:lastRow="0" w:firstColumn="0" w:lastColumn="0" w:oddVBand="0" w:evenVBand="0" w:oddHBand="0" w:evenHBand="0" w:firstRowFirstColumn="0" w:firstRowLastColumn="0" w:lastRowFirstColumn="0" w:lastRowLastColumn="0"/>
            <w:tcW w:w="2283" w:type="dxa"/>
            <w:tcMar/>
          </w:tcPr>
          <w:p w:rsidRPr="00413D1D" w:rsidR="008721E8" w:rsidP="006E48B1" w:rsidRDefault="008721E8" w14:paraId="575A0923" w14:textId="77777777">
            <w:pPr>
              <w:jc w:val="center"/>
            </w:pPr>
            <w:r w:rsidRPr="00413D1D">
              <w:rPr>
                <w:rFonts w:eastAsia="Arial"/>
                <w:b/>
                <w:color w:val="000000" w:themeColor="text1"/>
                <w:sz w:val="17"/>
                <w:szCs w:val="17"/>
              </w:rPr>
              <w:t>Ítem</w:t>
            </w:r>
          </w:p>
        </w:tc>
        <w:tc>
          <w:tcPr>
            <w:cnfStyle w:val="000000000000" w:firstRow="0" w:lastRow="0" w:firstColumn="0" w:lastColumn="0" w:oddVBand="0" w:evenVBand="0" w:oddHBand="0" w:evenHBand="0" w:firstRowFirstColumn="0" w:firstRowLastColumn="0" w:lastRowFirstColumn="0" w:lastRowLastColumn="0"/>
            <w:tcW w:w="8205" w:type="dxa"/>
            <w:tcMar/>
          </w:tcPr>
          <w:p w:rsidRPr="00413D1D" w:rsidR="008721E8" w:rsidP="006E48B1" w:rsidRDefault="008721E8" w14:paraId="341D7442" w14:textId="77777777">
            <w:pPr>
              <w:jc w:val="center"/>
            </w:pPr>
            <w:r w:rsidRPr="00413D1D">
              <w:rPr>
                <w:rFonts w:eastAsia="Arial"/>
                <w:b/>
                <w:color w:val="000000" w:themeColor="text1"/>
                <w:sz w:val="17"/>
                <w:szCs w:val="17"/>
              </w:rPr>
              <w:t>Análisis</w:t>
            </w:r>
          </w:p>
        </w:tc>
      </w:tr>
      <w:tr w:rsidRPr="00413D1D" w:rsidR="008721E8" w:rsidTr="0ED4F347" w14:paraId="105D1EE2" w14:textId="77777777">
        <w:trPr>
          <w:trHeight w:val="285"/>
        </w:trPr>
        <w:tc>
          <w:tcPr>
            <w:cnfStyle w:val="000000000000" w:firstRow="0" w:lastRow="0" w:firstColumn="0" w:lastColumn="0" w:oddVBand="0" w:evenVBand="0" w:oddHBand="0" w:evenHBand="0" w:firstRowFirstColumn="0" w:firstRowLastColumn="0" w:lastRowFirstColumn="0" w:lastRowLastColumn="0"/>
            <w:tcW w:w="2283" w:type="dxa"/>
            <w:vMerge w:val="restart"/>
            <w:tcMar/>
          </w:tcPr>
          <w:p w:rsidRPr="00413D1D" w:rsidR="008721E8" w:rsidP="006E48B1" w:rsidRDefault="008721E8" w14:paraId="073E2C3E" w14:textId="77777777">
            <w:r w:rsidRPr="00413D1D">
              <w:rPr>
                <w:rFonts w:eastAsia="Arial"/>
                <w:color w:val="000000" w:themeColor="text1"/>
                <w:sz w:val="17"/>
                <w:szCs w:val="17"/>
              </w:rPr>
              <w:t>Condición:</w:t>
            </w:r>
          </w:p>
        </w:tc>
        <w:tc>
          <w:tcPr>
            <w:cnfStyle w:val="000000000000" w:firstRow="0" w:lastRow="0" w:firstColumn="0" w:lastColumn="0" w:oddVBand="0" w:evenVBand="0" w:oddHBand="0" w:evenHBand="0" w:firstRowFirstColumn="0" w:firstRowLastColumn="0" w:lastRowFirstColumn="0" w:lastRowLastColumn="0"/>
            <w:tcW w:w="8205" w:type="dxa"/>
            <w:vMerge w:val="restart"/>
            <w:tcMar/>
          </w:tcPr>
          <w:p w:rsidRPr="00413D1D" w:rsidR="008721E8" w:rsidP="006E48B1" w:rsidRDefault="008721E8" w14:paraId="7733ECCF" w14:textId="77777777">
            <w:r w:rsidRPr="00413D1D">
              <w:rPr>
                <w:rFonts w:eastAsia="Arial"/>
                <w:color w:val="000000" w:themeColor="text1"/>
                <w:sz w:val="17"/>
                <w:szCs w:val="17"/>
              </w:rPr>
              <w:t>Manual de Gestión Contractual Gobernación de Cundinamarca. Principio de Celeridad.</w:t>
            </w:r>
          </w:p>
          <w:p w:rsidRPr="00413D1D" w:rsidR="008721E8" w:rsidP="006E48B1" w:rsidRDefault="008721E8" w14:paraId="1E10BA70" w14:textId="77777777">
            <w:r w:rsidRPr="00413D1D">
              <w:rPr>
                <w:rFonts w:eastAsia="Arial"/>
                <w:sz w:val="17"/>
                <w:szCs w:val="17"/>
              </w:rPr>
              <w:t xml:space="preserve"> </w:t>
            </w:r>
          </w:p>
          <w:p w:rsidRPr="00413D1D" w:rsidR="008721E8" w:rsidP="006E48B1" w:rsidRDefault="008721E8" w14:paraId="02CD0A45" w14:textId="77777777">
            <w:r w:rsidRPr="00413D1D">
              <w:rPr>
                <w:rFonts w:eastAsia="Arial"/>
                <w:color w:val="000000" w:themeColor="text1"/>
                <w:sz w:val="17"/>
                <w:szCs w:val="17"/>
              </w:rPr>
              <w:t>Se identificó una brecha cronológica de 35 días calendario entre la generación de la Orden de Compra No. 149084 (17/07/2025) y la suscripción del Acta de Inicio (21/08/2025). Los Estudios Previos establecen que el Supervisor debe proyectar y suscribir el Acta de Inicio dentro de los 3 días hábiles siguientes a la suscripción de la orden de compra. No existe justificación en el expediente físico ni en la plataforma TVEC.</w:t>
            </w:r>
          </w:p>
          <w:p w:rsidRPr="00413D1D" w:rsidR="008721E8" w:rsidP="006E48B1" w:rsidRDefault="008721E8" w14:paraId="0F0FB9A8" w14:textId="77777777">
            <w:r w:rsidRPr="00413D1D">
              <w:rPr>
                <w:rFonts w:eastAsia="Arial"/>
                <w:sz w:val="17"/>
                <w:szCs w:val="17"/>
              </w:rPr>
              <w:t xml:space="preserve"> </w:t>
            </w:r>
          </w:p>
          <w:p w:rsidRPr="00413D1D" w:rsidR="008721E8" w:rsidP="006E48B1" w:rsidRDefault="008721E8" w14:paraId="69522B89" w14:textId="77777777">
            <w:r w:rsidRPr="00413D1D">
              <w:rPr>
                <w:rFonts w:eastAsia="Arial"/>
                <w:color w:val="000000" w:themeColor="text1"/>
                <w:sz w:val="17"/>
                <w:szCs w:val="17"/>
              </w:rPr>
              <w:t>El retraso en la formalización del inicio de la ejecución se debió parcialmente a la tardanza en la expedición del RPC (12/08/2025). Sin embargo, no obra en el expediente ningún documento que justifique la demora de 26 días entre la O.C. y el RPC, ni ningún acto que suspenda temporalmente el proceso.</w:t>
            </w:r>
          </w:p>
        </w:tc>
      </w:tr>
      <w:tr w:rsidRPr="00413D1D" w:rsidR="008721E8" w:rsidTr="0ED4F347" w14:paraId="557AB090" w14:textId="77777777">
        <w:trPr>
          <w:cnfStyle w:val="000000100000" w:firstRow="0" w:lastRow="0" w:firstColumn="0" w:lastColumn="0" w:oddVBand="0" w:evenVBand="0" w:oddHBand="1" w:evenHBand="0" w:firstRowFirstColumn="0" w:firstRowLastColumn="0" w:lastRowFirstColumn="0" w:lastRowLastColumn="0"/>
          <w:trHeight w:val="285"/>
        </w:trPr>
        <w:tc>
          <w:tcPr>
            <w:cnfStyle w:val="000000000000" w:firstRow="0" w:lastRow="0" w:firstColumn="0" w:lastColumn="0" w:oddVBand="0" w:evenVBand="0" w:oddHBand="0" w:evenHBand="0" w:firstRowFirstColumn="0" w:firstRowLastColumn="0" w:lastRowFirstColumn="0" w:lastRowLastColumn="0"/>
            <w:tcW w:w="2283" w:type="dxa"/>
            <w:vMerge/>
            <w:tcMar/>
          </w:tcPr>
          <w:p w:rsidRPr="00413D1D" w:rsidR="008721E8" w:rsidP="006E48B1" w:rsidRDefault="008721E8" w14:paraId="5F767E18" w14:textId="77777777"/>
        </w:tc>
        <w:tc>
          <w:tcPr>
            <w:cnfStyle w:val="000000000000" w:firstRow="0" w:lastRow="0" w:firstColumn="0" w:lastColumn="0" w:oddVBand="0" w:evenVBand="0" w:oddHBand="0" w:evenHBand="0" w:firstRowFirstColumn="0" w:firstRowLastColumn="0" w:lastRowFirstColumn="0" w:lastRowLastColumn="0"/>
            <w:tcW w:w="8205" w:type="dxa"/>
            <w:vMerge/>
            <w:tcMar/>
          </w:tcPr>
          <w:p w:rsidRPr="00413D1D" w:rsidR="008721E8" w:rsidP="006E48B1" w:rsidRDefault="008721E8" w14:paraId="5FD04F2F" w14:textId="77777777"/>
        </w:tc>
      </w:tr>
      <w:tr w:rsidRPr="00413D1D" w:rsidR="008721E8" w:rsidTr="0ED4F347" w14:paraId="333215E2" w14:textId="77777777">
        <w:trPr>
          <w:trHeight w:val="315"/>
        </w:trPr>
        <w:tc>
          <w:tcPr>
            <w:cnfStyle w:val="000000000000" w:firstRow="0" w:lastRow="0" w:firstColumn="0" w:lastColumn="0" w:oddVBand="0" w:evenVBand="0" w:oddHBand="0" w:evenHBand="0" w:firstRowFirstColumn="0" w:firstRowLastColumn="0" w:lastRowFirstColumn="0" w:lastRowLastColumn="0"/>
            <w:tcW w:w="2283" w:type="dxa"/>
            <w:vMerge/>
            <w:tcMar/>
          </w:tcPr>
          <w:p w:rsidRPr="00413D1D" w:rsidR="008721E8" w:rsidP="006E48B1" w:rsidRDefault="008721E8" w14:paraId="5ED47321" w14:textId="77777777"/>
        </w:tc>
        <w:tc>
          <w:tcPr>
            <w:cnfStyle w:val="000000000000" w:firstRow="0" w:lastRow="0" w:firstColumn="0" w:lastColumn="0" w:oddVBand="0" w:evenVBand="0" w:oddHBand="0" w:evenHBand="0" w:firstRowFirstColumn="0" w:firstRowLastColumn="0" w:lastRowFirstColumn="0" w:lastRowLastColumn="0"/>
            <w:tcW w:w="8205" w:type="dxa"/>
            <w:vMerge/>
            <w:tcMar/>
          </w:tcPr>
          <w:p w:rsidRPr="00413D1D" w:rsidR="008721E8" w:rsidP="006E48B1" w:rsidRDefault="008721E8" w14:paraId="1751ABA2" w14:textId="77777777"/>
        </w:tc>
      </w:tr>
      <w:tr w:rsidRPr="00413D1D" w:rsidR="008721E8" w:rsidTr="0ED4F347" w14:paraId="3276F0EA"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0000000000" w:firstRow="0" w:lastRow="0" w:firstColumn="0" w:lastColumn="0" w:oddVBand="0" w:evenVBand="0" w:oddHBand="0" w:evenHBand="0" w:firstRowFirstColumn="0" w:firstRowLastColumn="0" w:lastRowFirstColumn="0" w:lastRowLastColumn="0"/>
            <w:tcW w:w="2283" w:type="dxa"/>
            <w:tcMar/>
          </w:tcPr>
          <w:p w:rsidRPr="00413D1D" w:rsidR="008721E8" w:rsidP="006E48B1" w:rsidRDefault="008721E8" w14:paraId="237E4323" w14:textId="77777777">
            <w:r w:rsidRPr="00413D1D">
              <w:rPr>
                <w:rFonts w:eastAsia="Arial"/>
                <w:color w:val="000000" w:themeColor="text1"/>
                <w:sz w:val="17"/>
                <w:szCs w:val="17"/>
              </w:rPr>
              <w:t>Efecto:</w:t>
            </w:r>
          </w:p>
        </w:tc>
        <w:tc>
          <w:tcPr>
            <w:cnfStyle w:val="000000000000" w:firstRow="0" w:lastRow="0" w:firstColumn="0" w:lastColumn="0" w:oddVBand="0" w:evenVBand="0" w:oddHBand="0" w:evenHBand="0" w:firstRowFirstColumn="0" w:firstRowLastColumn="0" w:lastRowFirstColumn="0" w:lastRowLastColumn="0"/>
            <w:tcW w:w="8205" w:type="dxa"/>
            <w:tcMar/>
          </w:tcPr>
          <w:p w:rsidRPr="00413D1D" w:rsidR="008721E8" w:rsidP="006E48B1" w:rsidRDefault="008721E8" w14:paraId="3DE26CDB" w14:textId="77777777">
            <w:r w:rsidRPr="00413D1D">
              <w:rPr>
                <w:rFonts w:eastAsia="Arial"/>
                <w:color w:val="000000" w:themeColor="text1"/>
                <w:sz w:val="17"/>
                <w:szCs w:val="17"/>
              </w:rPr>
              <w:t>Vulneración del Principio de Celeridad en la atención de la emergencia. Tratándose de un proceso derivado de una urgencia por evento sísmico, la dilación en el inicio formal genera un riesgo de que los recursos no hayan llegado oportunamente a los damnificados. La brecha también podría indicar inicio de ejecución previa al cumplimiento de requisitos.</w:t>
            </w:r>
          </w:p>
        </w:tc>
      </w:tr>
      <w:tr w:rsidRPr="00413D1D" w:rsidR="008721E8" w:rsidTr="0ED4F347" w14:paraId="5B353A58" w14:textId="77777777">
        <w:trPr>
          <w:trHeight w:val="300"/>
        </w:trPr>
        <w:tc>
          <w:tcPr>
            <w:cnfStyle w:val="000000000000" w:firstRow="0" w:lastRow="0" w:firstColumn="0" w:lastColumn="0" w:oddVBand="0" w:evenVBand="0" w:oddHBand="0" w:evenHBand="0" w:firstRowFirstColumn="0" w:firstRowLastColumn="0" w:lastRowFirstColumn="0" w:lastRowLastColumn="0"/>
            <w:tcW w:w="2283" w:type="dxa"/>
            <w:tcMar/>
          </w:tcPr>
          <w:p w:rsidRPr="00413D1D" w:rsidR="008721E8" w:rsidP="006E48B1" w:rsidRDefault="008721E8" w14:paraId="1805154E" w14:textId="77777777">
            <w:r w:rsidRPr="00413D1D">
              <w:rPr>
                <w:rFonts w:eastAsia="Arial"/>
                <w:color w:val="000000" w:themeColor="text1"/>
                <w:sz w:val="17"/>
                <w:szCs w:val="17"/>
              </w:rPr>
              <w:t>Norma vulnerada:</w:t>
            </w:r>
          </w:p>
        </w:tc>
        <w:tc>
          <w:tcPr>
            <w:cnfStyle w:val="000000000000" w:firstRow="0" w:lastRow="0" w:firstColumn="0" w:lastColumn="0" w:oddVBand="0" w:evenVBand="0" w:oddHBand="0" w:evenHBand="0" w:firstRowFirstColumn="0" w:firstRowLastColumn="0" w:lastRowFirstColumn="0" w:lastRowLastColumn="0"/>
            <w:tcW w:w="8205" w:type="dxa"/>
            <w:tcMar/>
          </w:tcPr>
          <w:p w:rsidRPr="00413D1D" w:rsidR="008721E8" w:rsidP="006E48B1" w:rsidRDefault="008721E8" w14:paraId="160F1214" w14:textId="77777777">
            <w:r w:rsidRPr="00413D1D">
              <w:rPr>
                <w:rFonts w:eastAsia="Arial"/>
                <w:color w:val="000000" w:themeColor="text1"/>
                <w:sz w:val="17"/>
                <w:szCs w:val="17"/>
              </w:rPr>
              <w:t>Manual de Gestión Contractual Gobernación de Cundinamarca – Numeral 2.8. Ley 80/1993 – Art. 26.</w:t>
            </w:r>
          </w:p>
        </w:tc>
      </w:tr>
      <w:tr w:rsidRPr="00413D1D" w:rsidR="008721E8" w:rsidTr="0ED4F347" w14:paraId="44BBD4D3"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0000000000" w:firstRow="0" w:lastRow="0" w:firstColumn="0" w:lastColumn="0" w:oddVBand="0" w:evenVBand="0" w:oddHBand="0" w:evenHBand="0" w:firstRowFirstColumn="0" w:firstRowLastColumn="0" w:lastRowFirstColumn="0" w:lastRowLastColumn="0"/>
            <w:tcW w:w="2283" w:type="dxa"/>
            <w:tcMar/>
          </w:tcPr>
          <w:p w:rsidRPr="00413D1D" w:rsidR="008721E8" w:rsidP="006E48B1" w:rsidRDefault="008721E8" w14:paraId="240C1AD6" w14:textId="77777777">
            <w:r w:rsidRPr="00413D1D">
              <w:rPr>
                <w:rFonts w:eastAsia="Arial"/>
                <w:color w:val="000000" w:themeColor="text1"/>
                <w:sz w:val="17"/>
                <w:szCs w:val="17"/>
              </w:rPr>
              <w:t>Recomendación:</w:t>
            </w:r>
          </w:p>
        </w:tc>
        <w:tc>
          <w:tcPr>
            <w:cnfStyle w:val="000000000000" w:firstRow="0" w:lastRow="0" w:firstColumn="0" w:lastColumn="0" w:oddVBand="0" w:evenVBand="0" w:oddHBand="0" w:evenHBand="0" w:firstRowFirstColumn="0" w:firstRowLastColumn="0" w:lastRowFirstColumn="0" w:lastRowLastColumn="0"/>
            <w:tcW w:w="8205" w:type="dxa"/>
            <w:tcMar/>
          </w:tcPr>
          <w:p w:rsidRPr="00413D1D" w:rsidR="008721E8" w:rsidP="006E48B1" w:rsidRDefault="008721E8" w14:paraId="7F6E478C" w14:textId="77777777">
            <w:r w:rsidRPr="00413D1D">
              <w:rPr>
                <w:rFonts w:eastAsia="Arial"/>
                <w:color w:val="000000" w:themeColor="text1"/>
                <w:sz w:val="17"/>
                <w:szCs w:val="17"/>
              </w:rPr>
              <w:t>Documentar formalmente la causa del retraso entre la O.C. y el Acta de Inicio. Verificar que no se hayan prestado servicios o ejecutado actividades con anterioridad al 21/08/2025. Impartir instrucciones al supervisor sobre el plazo de 3 días hábiles para suscripción del Acta.</w:t>
            </w:r>
          </w:p>
        </w:tc>
      </w:tr>
    </w:tbl>
    <w:p w:rsidRPr="00413D1D" w:rsidR="008721E8" w:rsidP="008721E8" w:rsidRDefault="008721E8" w14:paraId="74E06C01" w14:textId="77777777">
      <w:pPr>
        <w:spacing w:line="240" w:lineRule="auto"/>
        <w:rPr>
          <w:b/>
          <w:bCs/>
          <w:sz w:val="26"/>
          <w:szCs w:val="26"/>
        </w:rPr>
      </w:pPr>
    </w:p>
    <w:p w:rsidRPr="00B34A69" w:rsidR="008721E8" w:rsidP="0ED4F347" w:rsidRDefault="008721E8" w14:paraId="609C5BE5" w14:textId="240F4D0D">
      <w:pPr>
        <w:pStyle w:val="Descripcin"/>
        <w:keepNext w:val="1"/>
        <w:rPr>
          <w:rFonts w:ascii="Arial" w:hAnsi="Arial" w:eastAsia="Arial" w:cs="Arial"/>
          <w:i w:val="0"/>
          <w:iCs w:val="0"/>
          <w:color w:val="auto" w:themeColor="text2"/>
          <w:sz w:val="24"/>
          <w:szCs w:val="24"/>
        </w:rPr>
      </w:pPr>
      <w:bookmarkStart w:name="_Toc227164197" w:id="68"/>
      <w:r w:rsidRPr="0ED4F347" w:rsidR="6994FB4E">
        <w:rPr>
          <w:rFonts w:ascii="Arial" w:hAnsi="Arial" w:eastAsia="Arial" w:cs="Arial"/>
          <w:i w:val="0"/>
          <w:iCs w:val="0"/>
          <w:color w:val="auto"/>
          <w:sz w:val="24"/>
          <w:szCs w:val="24"/>
        </w:rPr>
        <w:t xml:space="preserve">Tabla </w:t>
      </w:r>
      <w:r w:rsidRPr="0ED4F347" w:rsidR="1833ACEC">
        <w:rPr>
          <w:rFonts w:ascii="Arial" w:hAnsi="Arial" w:eastAsia="Arial" w:cs="Arial"/>
          <w:i w:val="0"/>
          <w:iCs w:val="0"/>
          <w:color w:val="auto"/>
          <w:sz w:val="24"/>
          <w:szCs w:val="24"/>
        </w:rPr>
        <w:t>11</w:t>
      </w:r>
      <w:r w:rsidRPr="0ED4F347" w:rsidR="6994FB4E">
        <w:rPr>
          <w:rFonts w:ascii="Arial" w:hAnsi="Arial" w:eastAsia="Arial" w:cs="Arial"/>
          <w:i w:val="0"/>
          <w:iCs w:val="0"/>
          <w:color w:val="auto"/>
          <w:sz w:val="24"/>
          <w:szCs w:val="24"/>
        </w:rPr>
        <w:t>. Contrato UAEGRD-AD-PS-132-2025 / O.C. TVEC 149084 – Banco Agrario de Colombia - Observación 4</w:t>
      </w:r>
      <w:bookmarkEnd w:id="68"/>
    </w:p>
    <w:tbl>
      <w:tblPr>
        <w:tblStyle w:val="Tablanormal1"/>
        <w:tblW w:w="10516" w:type="dxa"/>
        <w:tblLook w:val="0400" w:firstRow="0" w:lastRow="0" w:firstColumn="0" w:lastColumn="0" w:noHBand="0" w:noVBand="1"/>
      </w:tblPr>
      <w:tblGrid>
        <w:gridCol w:w="2281"/>
        <w:gridCol w:w="8235"/>
      </w:tblGrid>
      <w:tr w:rsidRPr="00413D1D" w:rsidR="008721E8" w:rsidTr="0ED4F347" w14:paraId="26C4622B"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0000000000" w:firstRow="0" w:lastRow="0" w:firstColumn="0" w:lastColumn="0" w:oddVBand="0" w:evenVBand="0" w:oddHBand="0" w:evenHBand="0" w:firstRowFirstColumn="0" w:firstRowLastColumn="0" w:lastRowFirstColumn="0" w:lastRowLastColumn="0"/>
            <w:tcW w:w="2281" w:type="dxa"/>
            <w:tcMar/>
          </w:tcPr>
          <w:p w:rsidRPr="00413D1D" w:rsidR="008721E8" w:rsidP="006E48B1" w:rsidRDefault="008721E8" w14:paraId="697E5201" w14:textId="77777777">
            <w:pPr>
              <w:jc w:val="center"/>
            </w:pPr>
            <w:r w:rsidRPr="00413D1D">
              <w:rPr>
                <w:rFonts w:eastAsia="Arial"/>
                <w:b/>
                <w:color w:val="000000" w:themeColor="text1"/>
                <w:sz w:val="17"/>
                <w:szCs w:val="17"/>
              </w:rPr>
              <w:t>Ítem</w:t>
            </w:r>
          </w:p>
        </w:tc>
        <w:tc>
          <w:tcPr>
            <w:cnfStyle w:val="000000000000" w:firstRow="0" w:lastRow="0" w:firstColumn="0" w:lastColumn="0" w:oddVBand="0" w:evenVBand="0" w:oddHBand="0" w:evenHBand="0" w:firstRowFirstColumn="0" w:firstRowLastColumn="0" w:lastRowFirstColumn="0" w:lastRowLastColumn="0"/>
            <w:tcW w:w="8235" w:type="dxa"/>
            <w:tcMar/>
          </w:tcPr>
          <w:p w:rsidRPr="00413D1D" w:rsidR="008721E8" w:rsidP="006E48B1" w:rsidRDefault="008721E8" w14:paraId="2E1CED32" w14:textId="77777777">
            <w:pPr>
              <w:jc w:val="center"/>
            </w:pPr>
            <w:r w:rsidRPr="00413D1D">
              <w:rPr>
                <w:rFonts w:eastAsia="Arial"/>
                <w:b/>
                <w:color w:val="000000" w:themeColor="text1"/>
                <w:sz w:val="17"/>
                <w:szCs w:val="17"/>
              </w:rPr>
              <w:t>Análisis</w:t>
            </w:r>
          </w:p>
        </w:tc>
      </w:tr>
      <w:tr w:rsidRPr="00413D1D" w:rsidR="008721E8" w:rsidTr="0ED4F347" w14:paraId="424D02B7" w14:textId="77777777">
        <w:trPr>
          <w:trHeight w:val="315"/>
        </w:trPr>
        <w:tc>
          <w:tcPr>
            <w:cnfStyle w:val="000000000000" w:firstRow="0" w:lastRow="0" w:firstColumn="0" w:lastColumn="0" w:oddVBand="0" w:evenVBand="0" w:oddHBand="0" w:evenHBand="0" w:firstRowFirstColumn="0" w:firstRowLastColumn="0" w:lastRowFirstColumn="0" w:lastRowLastColumn="0"/>
            <w:tcW w:w="2281" w:type="dxa"/>
            <w:vMerge w:val="restart"/>
            <w:tcMar/>
          </w:tcPr>
          <w:p w:rsidRPr="00413D1D" w:rsidR="008721E8" w:rsidP="006E48B1" w:rsidRDefault="008721E8" w14:paraId="56F6DEA4" w14:textId="77777777">
            <w:r w:rsidRPr="00413D1D">
              <w:rPr>
                <w:rFonts w:eastAsia="Arial"/>
                <w:color w:val="000000" w:themeColor="text1"/>
                <w:sz w:val="17"/>
                <w:szCs w:val="17"/>
              </w:rPr>
              <w:t>Condición:</w:t>
            </w:r>
          </w:p>
        </w:tc>
        <w:tc>
          <w:tcPr>
            <w:cnfStyle w:val="000000000000" w:firstRow="0" w:lastRow="0" w:firstColumn="0" w:lastColumn="0" w:oddVBand="0" w:evenVBand="0" w:oddHBand="0" w:evenHBand="0" w:firstRowFirstColumn="0" w:firstRowLastColumn="0" w:lastRowFirstColumn="0" w:lastRowLastColumn="0"/>
            <w:tcW w:w="8235" w:type="dxa"/>
            <w:vMerge w:val="restart"/>
            <w:tcMar/>
          </w:tcPr>
          <w:p w:rsidRPr="00413D1D" w:rsidR="008721E8" w:rsidP="006E48B1" w:rsidRDefault="008721E8" w14:paraId="57C81D4E" w14:textId="77777777">
            <w:r w:rsidRPr="00413D1D">
              <w:rPr>
                <w:rFonts w:eastAsia="Arial"/>
                <w:color w:val="000000" w:themeColor="text1"/>
                <w:sz w:val="17"/>
                <w:szCs w:val="17"/>
              </w:rPr>
              <w:t>AMP CP 4142 – Condiciones Técnicas. Principio de Responsabilidad (Ley 80/1993).</w:t>
            </w:r>
          </w:p>
          <w:p w:rsidRPr="00413D1D" w:rsidR="008721E8" w:rsidP="006E48B1" w:rsidRDefault="008721E8" w14:paraId="33193079" w14:textId="77777777">
            <w:r w:rsidRPr="00413D1D">
              <w:rPr>
                <w:rFonts w:eastAsia="Arial"/>
                <w:sz w:val="17"/>
                <w:szCs w:val="17"/>
              </w:rPr>
              <w:t xml:space="preserve"> </w:t>
            </w:r>
          </w:p>
          <w:p w:rsidRPr="00413D1D" w:rsidR="008721E8" w:rsidP="006E48B1" w:rsidRDefault="008721E8" w14:paraId="68656473" w14:textId="77777777">
            <w:r w:rsidRPr="00413D1D">
              <w:rPr>
                <w:rFonts w:eastAsia="Arial"/>
                <w:color w:val="000000" w:themeColor="text1"/>
                <w:sz w:val="17"/>
                <w:szCs w:val="17"/>
              </w:rPr>
              <w:t>Se evidencia una inconsistencia en la ejecución financiera del contrato: solo reposan 7 de los 12 ciclos de giro programados en el Anexo Técnico. No existe en el expediente (físico ni digital) nota aclaratoria, suspensión de actividades ni modificación al cronograma de giros que justifique la reducción de los ciclos de subvención económica para los damnificados.</w:t>
            </w:r>
          </w:p>
          <w:p w:rsidRPr="00413D1D" w:rsidR="008721E8" w:rsidP="006E48B1" w:rsidRDefault="008721E8" w14:paraId="14CB8F75" w14:textId="77777777">
            <w:r w:rsidRPr="00413D1D">
              <w:rPr>
                <w:rFonts w:eastAsia="Arial"/>
                <w:sz w:val="17"/>
                <w:szCs w:val="17"/>
              </w:rPr>
              <w:t xml:space="preserve"> </w:t>
            </w:r>
          </w:p>
          <w:p w:rsidRPr="00413D1D" w:rsidR="008721E8" w:rsidP="006E48B1" w:rsidRDefault="008721E8" w14:paraId="604B42C2" w14:textId="77777777">
            <w:r w:rsidRPr="00413D1D">
              <w:rPr>
                <w:rFonts w:eastAsia="Arial"/>
                <w:color w:val="000000" w:themeColor="text1"/>
                <w:sz w:val="17"/>
                <w:szCs w:val="17"/>
              </w:rPr>
              <w:t>En consecuencia, se evidencia una ausencia de documentos de control que expliquen la reducción en el número de pagos ejecutados. No se cuenta con acta de liquidación que consolide el balance final de giros realizados, lo que impide verificar el cumplimiento total del objeto contractual.</w:t>
            </w:r>
          </w:p>
        </w:tc>
      </w:tr>
      <w:tr w:rsidRPr="00413D1D" w:rsidR="008721E8" w:rsidTr="0ED4F347" w14:paraId="385AC008" w14:textId="77777777">
        <w:trPr>
          <w:cnfStyle w:val="000000100000" w:firstRow="0" w:lastRow="0" w:firstColumn="0" w:lastColumn="0" w:oddVBand="0" w:evenVBand="0" w:oddHBand="1" w:evenHBand="0" w:firstRowFirstColumn="0" w:firstRowLastColumn="0" w:lastRowFirstColumn="0" w:lastRowLastColumn="0"/>
          <w:trHeight w:val="285"/>
        </w:trPr>
        <w:tc>
          <w:tcPr>
            <w:cnfStyle w:val="000000000000" w:firstRow="0" w:lastRow="0" w:firstColumn="0" w:lastColumn="0" w:oddVBand="0" w:evenVBand="0" w:oddHBand="0" w:evenHBand="0" w:firstRowFirstColumn="0" w:firstRowLastColumn="0" w:lastRowFirstColumn="0" w:lastRowLastColumn="0"/>
            <w:tcW w:w="2281" w:type="dxa"/>
            <w:vMerge/>
            <w:tcMar/>
          </w:tcPr>
          <w:p w:rsidRPr="00413D1D" w:rsidR="008721E8" w:rsidP="006E48B1" w:rsidRDefault="008721E8" w14:paraId="1F6DF216" w14:textId="77777777"/>
        </w:tc>
        <w:tc>
          <w:tcPr>
            <w:cnfStyle w:val="000000000000" w:firstRow="0" w:lastRow="0" w:firstColumn="0" w:lastColumn="0" w:oddVBand="0" w:evenVBand="0" w:oddHBand="0" w:evenHBand="0" w:firstRowFirstColumn="0" w:firstRowLastColumn="0" w:lastRowFirstColumn="0" w:lastRowLastColumn="0"/>
            <w:tcW w:w="8235" w:type="dxa"/>
            <w:vMerge/>
            <w:tcMar/>
          </w:tcPr>
          <w:p w:rsidRPr="00413D1D" w:rsidR="008721E8" w:rsidP="006E48B1" w:rsidRDefault="008721E8" w14:paraId="57ECF408" w14:textId="77777777"/>
        </w:tc>
      </w:tr>
      <w:tr w:rsidRPr="00413D1D" w:rsidR="008721E8" w:rsidTr="0ED4F347" w14:paraId="0C44D0B3" w14:textId="77777777">
        <w:trPr>
          <w:trHeight w:val="315"/>
        </w:trPr>
        <w:tc>
          <w:tcPr>
            <w:cnfStyle w:val="000000000000" w:firstRow="0" w:lastRow="0" w:firstColumn="0" w:lastColumn="0" w:oddVBand="0" w:evenVBand="0" w:oddHBand="0" w:evenHBand="0" w:firstRowFirstColumn="0" w:firstRowLastColumn="0" w:lastRowFirstColumn="0" w:lastRowLastColumn="0"/>
            <w:tcW w:w="2281" w:type="dxa"/>
            <w:vMerge/>
            <w:tcMar/>
          </w:tcPr>
          <w:p w:rsidRPr="00413D1D" w:rsidR="008721E8" w:rsidP="006E48B1" w:rsidRDefault="008721E8" w14:paraId="0C85C6AE" w14:textId="77777777"/>
        </w:tc>
        <w:tc>
          <w:tcPr>
            <w:cnfStyle w:val="000000000000" w:firstRow="0" w:lastRow="0" w:firstColumn="0" w:lastColumn="0" w:oddVBand="0" w:evenVBand="0" w:oddHBand="0" w:evenHBand="0" w:firstRowFirstColumn="0" w:firstRowLastColumn="0" w:lastRowFirstColumn="0" w:lastRowLastColumn="0"/>
            <w:tcW w:w="8235" w:type="dxa"/>
            <w:vMerge/>
            <w:tcMar/>
          </w:tcPr>
          <w:p w:rsidRPr="00413D1D" w:rsidR="008721E8" w:rsidP="006E48B1" w:rsidRDefault="008721E8" w14:paraId="0323B78A" w14:textId="77777777"/>
        </w:tc>
      </w:tr>
      <w:tr w:rsidRPr="00413D1D" w:rsidR="008721E8" w:rsidTr="0ED4F347" w14:paraId="7B7FB6B0"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0000000000" w:firstRow="0" w:lastRow="0" w:firstColumn="0" w:lastColumn="0" w:oddVBand="0" w:evenVBand="0" w:oddHBand="0" w:evenHBand="0" w:firstRowFirstColumn="0" w:firstRowLastColumn="0" w:lastRowFirstColumn="0" w:lastRowLastColumn="0"/>
            <w:tcW w:w="2281" w:type="dxa"/>
            <w:tcMar/>
          </w:tcPr>
          <w:p w:rsidRPr="00413D1D" w:rsidR="008721E8" w:rsidP="006E48B1" w:rsidRDefault="008721E8" w14:paraId="470712E9" w14:textId="77777777">
            <w:r w:rsidRPr="00413D1D">
              <w:rPr>
                <w:rFonts w:eastAsia="Arial"/>
                <w:color w:val="000000" w:themeColor="text1"/>
                <w:sz w:val="17"/>
                <w:szCs w:val="17"/>
              </w:rPr>
              <w:lastRenderedPageBreak/>
              <w:t>Efecto:</w:t>
            </w:r>
          </w:p>
        </w:tc>
        <w:tc>
          <w:tcPr>
            <w:cnfStyle w:val="000000000000" w:firstRow="0" w:lastRow="0" w:firstColumn="0" w:lastColumn="0" w:oddVBand="0" w:evenVBand="0" w:oddHBand="0" w:evenHBand="0" w:firstRowFirstColumn="0" w:firstRowLastColumn="0" w:lastRowFirstColumn="0" w:lastRowLastColumn="0"/>
            <w:tcW w:w="8235" w:type="dxa"/>
            <w:tcMar/>
          </w:tcPr>
          <w:p w:rsidRPr="00413D1D" w:rsidR="008721E8" w:rsidP="006E48B1" w:rsidRDefault="008721E8" w14:paraId="756D41BC" w14:textId="77777777">
            <w:r w:rsidRPr="00413D1D">
              <w:rPr>
                <w:rFonts w:eastAsia="Arial"/>
                <w:color w:val="000000" w:themeColor="text1"/>
                <w:sz w:val="17"/>
                <w:szCs w:val="17"/>
              </w:rPr>
              <w:t>Riesgo de incumplimiento parcial del objeto contractual (no se habrían entregado todas las subvenciones programadas). Imposibilidad de verificar si todos los damnificados recibieron las ayudas a las que tenían derecho. Riesgo de responsabilidad por el manejo de los recursos destinados a la atención humanitaria.</w:t>
            </w:r>
          </w:p>
        </w:tc>
      </w:tr>
      <w:tr w:rsidRPr="00413D1D" w:rsidR="008721E8" w:rsidTr="0ED4F347" w14:paraId="6DC86826" w14:textId="77777777">
        <w:trPr>
          <w:trHeight w:val="300"/>
        </w:trPr>
        <w:tc>
          <w:tcPr>
            <w:cnfStyle w:val="000000000000" w:firstRow="0" w:lastRow="0" w:firstColumn="0" w:lastColumn="0" w:oddVBand="0" w:evenVBand="0" w:oddHBand="0" w:evenHBand="0" w:firstRowFirstColumn="0" w:firstRowLastColumn="0" w:lastRowFirstColumn="0" w:lastRowLastColumn="0"/>
            <w:tcW w:w="2281" w:type="dxa"/>
            <w:tcMar/>
          </w:tcPr>
          <w:p w:rsidRPr="00413D1D" w:rsidR="008721E8" w:rsidP="006E48B1" w:rsidRDefault="008721E8" w14:paraId="6D9085A1" w14:textId="77777777">
            <w:r w:rsidRPr="00413D1D">
              <w:rPr>
                <w:rFonts w:eastAsia="Arial"/>
                <w:color w:val="000000" w:themeColor="text1"/>
                <w:sz w:val="17"/>
                <w:szCs w:val="17"/>
              </w:rPr>
              <w:t>Norma vulnerada:</w:t>
            </w:r>
          </w:p>
        </w:tc>
        <w:tc>
          <w:tcPr>
            <w:cnfStyle w:val="000000000000" w:firstRow="0" w:lastRow="0" w:firstColumn="0" w:lastColumn="0" w:oddVBand="0" w:evenVBand="0" w:oddHBand="0" w:evenHBand="0" w:firstRowFirstColumn="0" w:firstRowLastColumn="0" w:lastRowFirstColumn="0" w:lastRowLastColumn="0"/>
            <w:tcW w:w="8235" w:type="dxa"/>
            <w:tcMar/>
          </w:tcPr>
          <w:p w:rsidRPr="00413D1D" w:rsidR="008721E8" w:rsidP="006E48B1" w:rsidRDefault="008721E8" w14:paraId="5C636FE4" w14:textId="77777777">
            <w:r w:rsidRPr="00413D1D">
              <w:rPr>
                <w:rFonts w:eastAsia="Arial"/>
                <w:color w:val="000000" w:themeColor="text1"/>
                <w:sz w:val="17"/>
                <w:szCs w:val="17"/>
              </w:rPr>
              <w:t>AMP CP 4142 – Condiciones de Prestación del Servicio. Decreto 1082/2015 – Art. 2.2.1.2.7.1 (Supervisión). Ley 80/1993 – Art. 26.</w:t>
            </w:r>
          </w:p>
        </w:tc>
      </w:tr>
      <w:tr w:rsidRPr="00413D1D" w:rsidR="008721E8" w:rsidTr="0ED4F347" w14:paraId="1B20364B"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0000000000" w:firstRow="0" w:lastRow="0" w:firstColumn="0" w:lastColumn="0" w:oddVBand="0" w:evenVBand="0" w:oddHBand="0" w:evenHBand="0" w:firstRowFirstColumn="0" w:firstRowLastColumn="0" w:lastRowFirstColumn="0" w:lastRowLastColumn="0"/>
            <w:tcW w:w="2281" w:type="dxa"/>
            <w:tcMar/>
          </w:tcPr>
          <w:p w:rsidRPr="00413D1D" w:rsidR="008721E8" w:rsidP="006E48B1" w:rsidRDefault="008721E8" w14:paraId="3C507058" w14:textId="77777777">
            <w:r w:rsidRPr="00413D1D">
              <w:rPr>
                <w:rFonts w:eastAsia="Arial"/>
                <w:color w:val="000000" w:themeColor="text1"/>
                <w:sz w:val="17"/>
                <w:szCs w:val="17"/>
              </w:rPr>
              <w:t>Recomendación:</w:t>
            </w:r>
          </w:p>
        </w:tc>
        <w:tc>
          <w:tcPr>
            <w:cnfStyle w:val="000000000000" w:firstRow="0" w:lastRow="0" w:firstColumn="0" w:lastColumn="0" w:oddVBand="0" w:evenVBand="0" w:oddHBand="0" w:evenHBand="0" w:firstRowFirstColumn="0" w:firstRowLastColumn="0" w:lastRowFirstColumn="0" w:lastRowLastColumn="0"/>
            <w:tcW w:w="8235" w:type="dxa"/>
            <w:tcMar/>
          </w:tcPr>
          <w:p w:rsidRPr="00413D1D" w:rsidR="008721E8" w:rsidP="006E48B1" w:rsidRDefault="008721E8" w14:paraId="74F2A13A" w14:textId="77777777">
            <w:r w:rsidRPr="00413D1D">
              <w:rPr>
                <w:rFonts w:eastAsia="Arial"/>
                <w:color w:val="000000" w:themeColor="text1"/>
                <w:sz w:val="17"/>
                <w:szCs w:val="17"/>
              </w:rPr>
              <w:t>Elaborar y publicar informe final del Supervisor que explique la diferencia entre los 12 ciclos programados y los 7 ejecutados, con soporte sobre los beneficiarios atendidos y el destino de los recursos no girados. Proceder a suscribir el Acta de Liquidación con el Banco Agrario en el menor tiempo posible.</w:t>
            </w:r>
          </w:p>
        </w:tc>
      </w:tr>
    </w:tbl>
    <w:p w:rsidRPr="00413D1D" w:rsidR="008721E8" w:rsidP="008721E8" w:rsidRDefault="008721E8" w14:paraId="3DCF976A" w14:textId="54772A19">
      <w:pPr>
        <w:spacing w:line="240" w:lineRule="auto"/>
        <w:rPr>
          <w:b/>
          <w:bCs/>
          <w:sz w:val="26"/>
          <w:szCs w:val="26"/>
        </w:rPr>
      </w:pPr>
    </w:p>
    <w:p w:rsidRPr="00035270" w:rsidR="008721E8" w:rsidP="0ED4F347" w:rsidRDefault="004C6B30" w14:paraId="5FF091E0" w14:textId="4F168859">
      <w:pPr>
        <w:pStyle w:val="Ttulo30"/>
        <w:numPr>
          <w:ilvl w:val="0"/>
          <w:numId w:val="0"/>
        </w:numPr>
        <w:spacing w:line="240" w:lineRule="auto"/>
        <w:ind w:left="0"/>
        <w:rPr>
          <w:rFonts w:eastAsia="Arial"/>
          <w:sz w:val="24"/>
          <w:szCs w:val="24"/>
        </w:rPr>
      </w:pPr>
      <w:bookmarkStart w:name="_Toc227164173" w:id="69"/>
      <w:r w:rsidRPr="0ED4F347" w:rsidR="5930BE65">
        <w:rPr>
          <w:rFonts w:eastAsia="Arial"/>
          <w:sz w:val="24"/>
          <w:szCs w:val="24"/>
        </w:rPr>
        <w:t xml:space="preserve">4.2.2.2. </w:t>
      </w:r>
      <w:r w:rsidRPr="0ED4F347" w:rsidR="5B561A7C">
        <w:rPr>
          <w:rFonts w:eastAsia="Arial"/>
          <w:sz w:val="24"/>
          <w:szCs w:val="24"/>
        </w:rPr>
        <w:t>Resultados</w:t>
      </w:r>
      <w:r w:rsidRPr="0ED4F347" w:rsidR="6994FB4E">
        <w:rPr>
          <w:rFonts w:eastAsia="Arial"/>
          <w:sz w:val="24"/>
          <w:szCs w:val="24"/>
        </w:rPr>
        <w:t xml:space="preserve">: </w:t>
      </w:r>
      <w:r w:rsidRPr="0ED4F347" w:rsidR="6994FB4E">
        <w:rPr>
          <w:rFonts w:eastAsia="Arial"/>
          <w:b w:val="0"/>
          <w:bCs w:val="0"/>
          <w:sz w:val="24"/>
          <w:szCs w:val="24"/>
        </w:rPr>
        <w:t>Contrato UAEGRD-CD-SU-120-2025 – Ferretería El Hidrante S.A.</w:t>
      </w:r>
      <w:bookmarkEnd w:id="69"/>
    </w:p>
    <w:p w:rsidRPr="00413D1D" w:rsidR="008721E8" w:rsidP="008721E8" w:rsidRDefault="008721E8" w14:paraId="2B192C72" w14:textId="77777777">
      <w:pPr>
        <w:spacing w:line="240" w:lineRule="auto"/>
        <w:jc w:val="center"/>
        <w:rPr>
          <w:rFonts w:eastAsia="Arial"/>
          <w:b/>
          <w:bCs/>
          <w:sz w:val="20"/>
          <w:szCs w:val="20"/>
        </w:rPr>
      </w:pPr>
    </w:p>
    <w:p w:rsidRPr="007F05D9" w:rsidR="008721E8" w:rsidP="0ED4F347" w:rsidRDefault="008721E8" w14:paraId="7FCAE4BB" w14:textId="75DB76E0">
      <w:pPr>
        <w:pStyle w:val="Descripcin"/>
        <w:keepNext w:val="1"/>
        <w:rPr>
          <w:rFonts w:ascii="Arial" w:hAnsi="Arial" w:eastAsia="Arial" w:cs="Arial"/>
          <w:i w:val="0"/>
          <w:iCs w:val="0"/>
          <w:color w:val="auto" w:themeColor="text2"/>
          <w:sz w:val="24"/>
          <w:szCs w:val="24"/>
        </w:rPr>
      </w:pPr>
      <w:bookmarkStart w:name="_Toc227164198" w:id="70"/>
      <w:r w:rsidRPr="0ED4F347" w:rsidR="6994FB4E">
        <w:rPr>
          <w:rFonts w:ascii="Arial" w:hAnsi="Arial" w:eastAsia="Arial" w:cs="Arial"/>
          <w:i w:val="0"/>
          <w:iCs w:val="0"/>
          <w:color w:val="auto"/>
          <w:sz w:val="24"/>
          <w:szCs w:val="24"/>
        </w:rPr>
        <w:t xml:space="preserve">Tabla </w:t>
      </w:r>
      <w:r w:rsidRPr="0ED4F347" w:rsidR="210EB6CD">
        <w:rPr>
          <w:rFonts w:ascii="Arial" w:hAnsi="Arial" w:eastAsia="Arial" w:cs="Arial"/>
          <w:i w:val="0"/>
          <w:iCs w:val="0"/>
          <w:color w:val="auto"/>
          <w:sz w:val="24"/>
          <w:szCs w:val="24"/>
        </w:rPr>
        <w:t>1</w:t>
      </w:r>
      <w:r w:rsidRPr="0ED4F347" w:rsidR="0FCD39D6">
        <w:rPr>
          <w:rFonts w:ascii="Arial" w:hAnsi="Arial" w:eastAsia="Arial" w:cs="Arial"/>
          <w:i w:val="0"/>
          <w:iCs w:val="0"/>
          <w:color w:val="auto"/>
          <w:sz w:val="24"/>
          <w:szCs w:val="24"/>
        </w:rPr>
        <w:t>2</w:t>
      </w:r>
      <w:r w:rsidRPr="0ED4F347" w:rsidR="6994FB4E">
        <w:rPr>
          <w:rFonts w:ascii="Arial" w:hAnsi="Arial" w:eastAsia="Arial" w:cs="Arial"/>
          <w:i w:val="0"/>
          <w:iCs w:val="0"/>
          <w:color w:val="auto"/>
          <w:sz w:val="24"/>
          <w:szCs w:val="24"/>
        </w:rPr>
        <w:t>. Contrato UAEGRD-CD-SU-120-2025 – Ferretería El Hidrante S.A. - Observación 1</w:t>
      </w:r>
      <w:bookmarkEnd w:id="70"/>
    </w:p>
    <w:tbl>
      <w:tblPr>
        <w:tblStyle w:val="Tablanormal1"/>
        <w:tblW w:w="10665" w:type="dxa"/>
        <w:tblLook w:val="0400" w:firstRow="0" w:lastRow="0" w:firstColumn="0" w:lastColumn="0" w:noHBand="0" w:noVBand="1"/>
      </w:tblPr>
      <w:tblGrid>
        <w:gridCol w:w="2280"/>
        <w:gridCol w:w="8385"/>
      </w:tblGrid>
      <w:tr w:rsidRPr="00413D1D" w:rsidR="008721E8" w:rsidTr="0ED4F347" w14:paraId="30953A1A"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0000000000" w:firstRow="0" w:lastRow="0" w:firstColumn="0" w:lastColumn="0" w:oddVBand="0" w:evenVBand="0" w:oddHBand="0" w:evenHBand="0" w:firstRowFirstColumn="0" w:firstRowLastColumn="0" w:lastRowFirstColumn="0" w:lastRowLastColumn="0"/>
            <w:tcW w:w="2280" w:type="dxa"/>
            <w:tcMar/>
          </w:tcPr>
          <w:p w:rsidRPr="00413D1D" w:rsidR="008721E8" w:rsidP="006E48B1" w:rsidRDefault="008721E8" w14:paraId="25B5D98A" w14:textId="77777777">
            <w:pPr>
              <w:jc w:val="center"/>
            </w:pPr>
            <w:r w:rsidRPr="00413D1D">
              <w:rPr>
                <w:rFonts w:eastAsia="Arial"/>
                <w:b/>
                <w:color w:val="000000" w:themeColor="text1"/>
                <w:sz w:val="17"/>
                <w:szCs w:val="17"/>
              </w:rPr>
              <w:t>Ítem</w:t>
            </w:r>
          </w:p>
        </w:tc>
        <w:tc>
          <w:tcPr>
            <w:cnfStyle w:val="000000000000" w:firstRow="0" w:lastRow="0" w:firstColumn="0" w:lastColumn="0" w:oddVBand="0" w:evenVBand="0" w:oddHBand="0" w:evenHBand="0" w:firstRowFirstColumn="0" w:firstRowLastColumn="0" w:lastRowFirstColumn="0" w:lastRowLastColumn="0"/>
            <w:tcW w:w="8385" w:type="dxa"/>
            <w:tcMar/>
          </w:tcPr>
          <w:p w:rsidRPr="00413D1D" w:rsidR="008721E8" w:rsidP="006E48B1" w:rsidRDefault="008721E8" w14:paraId="4C67437F" w14:textId="77777777">
            <w:pPr>
              <w:jc w:val="center"/>
            </w:pPr>
            <w:r w:rsidRPr="00413D1D">
              <w:rPr>
                <w:rFonts w:eastAsia="Arial"/>
                <w:b/>
                <w:color w:val="000000" w:themeColor="text1"/>
                <w:sz w:val="17"/>
                <w:szCs w:val="17"/>
              </w:rPr>
              <w:t>Análisis</w:t>
            </w:r>
          </w:p>
        </w:tc>
      </w:tr>
      <w:tr w:rsidRPr="00413D1D" w:rsidR="008721E8" w:rsidTr="0ED4F347" w14:paraId="5EEDEFA4" w14:textId="77777777">
        <w:trPr>
          <w:trHeight w:val="285"/>
        </w:trPr>
        <w:tc>
          <w:tcPr>
            <w:cnfStyle w:val="000000000000" w:firstRow="0" w:lastRow="0" w:firstColumn="0" w:lastColumn="0" w:oddVBand="0" w:evenVBand="0" w:oddHBand="0" w:evenHBand="0" w:firstRowFirstColumn="0" w:firstRowLastColumn="0" w:lastRowFirstColumn="0" w:lastRowLastColumn="0"/>
            <w:tcW w:w="2280" w:type="dxa"/>
            <w:vMerge w:val="restart"/>
            <w:tcMar/>
          </w:tcPr>
          <w:p w:rsidRPr="00413D1D" w:rsidR="008721E8" w:rsidP="006E48B1" w:rsidRDefault="008721E8" w14:paraId="67E2BE8D" w14:textId="77777777">
            <w:r w:rsidRPr="00413D1D">
              <w:rPr>
                <w:rFonts w:eastAsia="Arial"/>
                <w:color w:val="000000" w:themeColor="text1"/>
                <w:sz w:val="17"/>
                <w:szCs w:val="17"/>
              </w:rPr>
              <w:t>Condición:</w:t>
            </w:r>
          </w:p>
          <w:p w:rsidRPr="00413D1D" w:rsidR="008721E8" w:rsidP="006E48B1" w:rsidRDefault="008721E8" w14:paraId="00B50F87" w14:textId="77777777">
            <w:r w:rsidRPr="00413D1D">
              <w:rPr>
                <w:rFonts w:eastAsia="Arial"/>
                <w:sz w:val="20"/>
                <w:szCs w:val="20"/>
              </w:rPr>
              <w:t xml:space="preserve"> </w:t>
            </w:r>
          </w:p>
        </w:tc>
        <w:tc>
          <w:tcPr>
            <w:cnfStyle w:val="000000000000" w:firstRow="0" w:lastRow="0" w:firstColumn="0" w:lastColumn="0" w:oddVBand="0" w:evenVBand="0" w:oddHBand="0" w:evenHBand="0" w:firstRowFirstColumn="0" w:firstRowLastColumn="0" w:lastRowFirstColumn="0" w:lastRowLastColumn="0"/>
            <w:tcW w:w="8385" w:type="dxa"/>
            <w:vMerge w:val="restart"/>
            <w:tcMar/>
          </w:tcPr>
          <w:p w:rsidRPr="00413D1D" w:rsidR="008721E8" w:rsidP="006E48B1" w:rsidRDefault="008721E8" w14:paraId="3D215B86" w14:textId="77777777">
            <w:r w:rsidRPr="00413D1D">
              <w:rPr>
                <w:rFonts w:eastAsia="Arial"/>
                <w:color w:val="000000" w:themeColor="text1"/>
                <w:sz w:val="17"/>
                <w:szCs w:val="17"/>
              </w:rPr>
              <w:t>Cláusula 7 del Contrato (Supervisión). Manual de Gestión Contractual Gobernación de Cundinamarca. Principio de Responsabilidad.</w:t>
            </w:r>
          </w:p>
          <w:p w:rsidRPr="00413D1D" w:rsidR="008721E8" w:rsidP="006E48B1" w:rsidRDefault="008721E8" w14:paraId="43C10756" w14:textId="77777777">
            <w:r w:rsidRPr="00413D1D">
              <w:rPr>
                <w:rFonts w:eastAsia="Arial"/>
                <w:sz w:val="17"/>
                <w:szCs w:val="17"/>
              </w:rPr>
              <w:t xml:space="preserve"> </w:t>
            </w:r>
          </w:p>
          <w:p w:rsidRPr="00413D1D" w:rsidR="008721E8" w:rsidP="006E48B1" w:rsidRDefault="008721E8" w14:paraId="5F434382" w14:textId="77777777">
            <w:r w:rsidRPr="00413D1D">
              <w:rPr>
                <w:rFonts w:eastAsia="Arial"/>
                <w:color w:val="000000" w:themeColor="text1"/>
                <w:sz w:val="17"/>
                <w:szCs w:val="17"/>
              </w:rPr>
              <w:t>El Supervisor presentó un único informe de supervisión que cubre el período del 17/06/2025 al 05/08/2025 (casi dos meses), sin que existan informes mensuales independientes para los meses de junio y julio. La Cláusula 7 del contrato exige informes mensuales conforme al avance de ejecución. Se identifica un avance del solo 30% en el primer informe, situación crítica para un suministro de emergencia.</w:t>
            </w:r>
          </w:p>
          <w:p w:rsidRPr="00413D1D" w:rsidR="008721E8" w:rsidP="006E48B1" w:rsidRDefault="008721E8" w14:paraId="3281C731" w14:textId="77777777">
            <w:r w:rsidRPr="00413D1D">
              <w:rPr>
                <w:rFonts w:eastAsia="Arial"/>
                <w:sz w:val="17"/>
                <w:szCs w:val="17"/>
              </w:rPr>
              <w:t xml:space="preserve"> </w:t>
            </w:r>
          </w:p>
          <w:p w:rsidRPr="00413D1D" w:rsidR="008721E8" w:rsidP="006E48B1" w:rsidRDefault="008721E8" w14:paraId="37C36B08" w14:textId="77777777">
            <w:r w:rsidRPr="00413D1D">
              <w:rPr>
                <w:rFonts w:eastAsia="Arial"/>
                <w:color w:val="000000" w:themeColor="text1"/>
                <w:sz w:val="17"/>
                <w:szCs w:val="17"/>
              </w:rPr>
              <w:t>Falta de seguimiento mensual por parte del Supervisor, quien consolidó dos meses de ejecución en un solo reporte y además lo publicó con 111 días de retraso en SECOP II.</w:t>
            </w:r>
          </w:p>
        </w:tc>
      </w:tr>
      <w:tr w:rsidRPr="00413D1D" w:rsidR="008721E8" w:rsidTr="0ED4F347" w14:paraId="7EED58DF" w14:textId="77777777">
        <w:trPr>
          <w:cnfStyle w:val="000000100000" w:firstRow="0" w:lastRow="0" w:firstColumn="0" w:lastColumn="0" w:oddVBand="0" w:evenVBand="0" w:oddHBand="1" w:evenHBand="0" w:firstRowFirstColumn="0" w:firstRowLastColumn="0" w:lastRowFirstColumn="0" w:lastRowLastColumn="0"/>
          <w:trHeight w:val="285"/>
        </w:trPr>
        <w:tc>
          <w:tcPr>
            <w:cnfStyle w:val="000000000000" w:firstRow="0" w:lastRow="0" w:firstColumn="0" w:lastColumn="0" w:oddVBand="0" w:evenVBand="0" w:oddHBand="0" w:evenHBand="0" w:firstRowFirstColumn="0" w:firstRowLastColumn="0" w:lastRowFirstColumn="0" w:lastRowLastColumn="0"/>
            <w:tcW w:w="2280" w:type="dxa"/>
            <w:vMerge/>
            <w:tcMar/>
          </w:tcPr>
          <w:p w:rsidRPr="00413D1D" w:rsidR="008721E8" w:rsidP="006E48B1" w:rsidRDefault="008721E8" w14:paraId="690F4955" w14:textId="77777777"/>
        </w:tc>
        <w:tc>
          <w:tcPr>
            <w:cnfStyle w:val="000000000000" w:firstRow="0" w:lastRow="0" w:firstColumn="0" w:lastColumn="0" w:oddVBand="0" w:evenVBand="0" w:oddHBand="0" w:evenHBand="0" w:firstRowFirstColumn="0" w:firstRowLastColumn="0" w:lastRowFirstColumn="0" w:lastRowLastColumn="0"/>
            <w:tcW w:w="8385" w:type="dxa"/>
            <w:vMerge/>
            <w:tcMar/>
          </w:tcPr>
          <w:p w:rsidRPr="00413D1D" w:rsidR="008721E8" w:rsidP="006E48B1" w:rsidRDefault="008721E8" w14:paraId="0A7D2B28" w14:textId="77777777"/>
        </w:tc>
      </w:tr>
      <w:tr w:rsidRPr="00413D1D" w:rsidR="008721E8" w:rsidTr="0ED4F347" w14:paraId="6F0F25DF" w14:textId="77777777">
        <w:trPr>
          <w:trHeight w:val="285"/>
        </w:trPr>
        <w:tc>
          <w:tcPr>
            <w:cnfStyle w:val="000000000000" w:firstRow="0" w:lastRow="0" w:firstColumn="0" w:lastColumn="0" w:oddVBand="0" w:evenVBand="0" w:oddHBand="0" w:evenHBand="0" w:firstRowFirstColumn="0" w:firstRowLastColumn="0" w:lastRowFirstColumn="0" w:lastRowLastColumn="0"/>
            <w:tcW w:w="2280" w:type="dxa"/>
            <w:vMerge/>
            <w:tcMar/>
          </w:tcPr>
          <w:p w:rsidRPr="00413D1D" w:rsidR="008721E8" w:rsidP="006E48B1" w:rsidRDefault="008721E8" w14:paraId="72775DD1" w14:textId="77777777"/>
        </w:tc>
        <w:tc>
          <w:tcPr>
            <w:cnfStyle w:val="000000000000" w:firstRow="0" w:lastRow="0" w:firstColumn="0" w:lastColumn="0" w:oddVBand="0" w:evenVBand="0" w:oddHBand="0" w:evenHBand="0" w:firstRowFirstColumn="0" w:firstRowLastColumn="0" w:lastRowFirstColumn="0" w:lastRowLastColumn="0"/>
            <w:tcW w:w="8385" w:type="dxa"/>
            <w:vMerge/>
            <w:tcMar/>
          </w:tcPr>
          <w:p w:rsidRPr="00413D1D" w:rsidR="008721E8" w:rsidP="006E48B1" w:rsidRDefault="008721E8" w14:paraId="68571009" w14:textId="77777777"/>
        </w:tc>
      </w:tr>
      <w:tr w:rsidRPr="00413D1D" w:rsidR="008721E8" w:rsidTr="0ED4F347" w14:paraId="165148FA"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0000000000" w:firstRow="0" w:lastRow="0" w:firstColumn="0" w:lastColumn="0" w:oddVBand="0" w:evenVBand="0" w:oddHBand="0" w:evenHBand="0" w:firstRowFirstColumn="0" w:firstRowLastColumn="0" w:lastRowFirstColumn="0" w:lastRowLastColumn="0"/>
            <w:tcW w:w="2280" w:type="dxa"/>
            <w:tcMar/>
          </w:tcPr>
          <w:p w:rsidRPr="00413D1D" w:rsidR="008721E8" w:rsidP="006E48B1" w:rsidRDefault="008721E8" w14:paraId="332CDED6" w14:textId="77777777">
            <w:r w:rsidRPr="00413D1D">
              <w:rPr>
                <w:rFonts w:eastAsia="Arial"/>
                <w:color w:val="000000" w:themeColor="text1"/>
                <w:sz w:val="17"/>
                <w:szCs w:val="17"/>
              </w:rPr>
              <w:t>Efecto:</w:t>
            </w:r>
          </w:p>
        </w:tc>
        <w:tc>
          <w:tcPr>
            <w:cnfStyle w:val="000000000000" w:firstRow="0" w:lastRow="0" w:firstColumn="0" w:lastColumn="0" w:oddVBand="0" w:evenVBand="0" w:oddHBand="0" w:evenHBand="0" w:firstRowFirstColumn="0" w:firstRowLastColumn="0" w:lastRowFirstColumn="0" w:lastRowLastColumn="0"/>
            <w:tcW w:w="8385" w:type="dxa"/>
            <w:tcMar/>
          </w:tcPr>
          <w:p w:rsidRPr="00413D1D" w:rsidR="008721E8" w:rsidP="006E48B1" w:rsidRDefault="008721E8" w14:paraId="5B6D9746" w14:textId="77777777">
            <w:r w:rsidRPr="00413D1D">
              <w:rPr>
                <w:rFonts w:eastAsia="Arial"/>
                <w:color w:val="000000" w:themeColor="text1"/>
                <w:sz w:val="17"/>
                <w:szCs w:val="17"/>
              </w:rPr>
              <w:t>Imposibilidad de verificar la ejecución del contrato en tiempo real. El 30% de avance reportado para casi dos meses de un contrato de suministro de emergencia es un indicador de baja eficacia en la atención humanitaria. La tardanza en la publicación del informe impide el control oportuno.</w:t>
            </w:r>
          </w:p>
        </w:tc>
      </w:tr>
      <w:tr w:rsidRPr="00413D1D" w:rsidR="008721E8" w:rsidTr="0ED4F347" w14:paraId="473B0C63" w14:textId="77777777">
        <w:trPr>
          <w:trHeight w:val="300"/>
        </w:trPr>
        <w:tc>
          <w:tcPr>
            <w:cnfStyle w:val="000000000000" w:firstRow="0" w:lastRow="0" w:firstColumn="0" w:lastColumn="0" w:oddVBand="0" w:evenVBand="0" w:oddHBand="0" w:evenHBand="0" w:firstRowFirstColumn="0" w:firstRowLastColumn="0" w:lastRowFirstColumn="0" w:lastRowLastColumn="0"/>
            <w:tcW w:w="2280" w:type="dxa"/>
            <w:tcMar/>
          </w:tcPr>
          <w:p w:rsidRPr="00413D1D" w:rsidR="008721E8" w:rsidP="006E48B1" w:rsidRDefault="008721E8" w14:paraId="47694B8D" w14:textId="77777777">
            <w:r w:rsidRPr="00413D1D">
              <w:rPr>
                <w:rFonts w:eastAsia="Arial"/>
                <w:color w:val="000000" w:themeColor="text1"/>
                <w:sz w:val="17"/>
                <w:szCs w:val="17"/>
              </w:rPr>
              <w:t>Norma vulnerada:</w:t>
            </w:r>
          </w:p>
        </w:tc>
        <w:tc>
          <w:tcPr>
            <w:cnfStyle w:val="000000000000" w:firstRow="0" w:lastRow="0" w:firstColumn="0" w:lastColumn="0" w:oddVBand="0" w:evenVBand="0" w:oddHBand="0" w:evenHBand="0" w:firstRowFirstColumn="0" w:firstRowLastColumn="0" w:lastRowFirstColumn="0" w:lastRowLastColumn="0"/>
            <w:tcW w:w="8385" w:type="dxa"/>
            <w:tcMar/>
          </w:tcPr>
          <w:p w:rsidRPr="00413D1D" w:rsidR="008721E8" w:rsidP="006E48B1" w:rsidRDefault="008721E8" w14:paraId="2D844AEC" w14:textId="77777777">
            <w:r w:rsidRPr="00413D1D">
              <w:rPr>
                <w:rFonts w:eastAsia="Arial"/>
                <w:color w:val="000000" w:themeColor="text1"/>
                <w:sz w:val="17"/>
                <w:szCs w:val="17"/>
              </w:rPr>
              <w:t>Cláusula 7 del Contrato UAEGRD-CD-SU-120-2025. Manual de Gestión Contractual – Cap. III, Numeral 2, Literal g.</w:t>
            </w:r>
          </w:p>
        </w:tc>
      </w:tr>
      <w:tr w:rsidRPr="00413D1D" w:rsidR="008721E8" w:rsidTr="0ED4F347" w14:paraId="1A016FC9"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0000000000" w:firstRow="0" w:lastRow="0" w:firstColumn="0" w:lastColumn="0" w:oddVBand="0" w:evenVBand="0" w:oddHBand="0" w:evenHBand="0" w:firstRowFirstColumn="0" w:firstRowLastColumn="0" w:lastRowFirstColumn="0" w:lastRowLastColumn="0"/>
            <w:tcW w:w="2280" w:type="dxa"/>
            <w:tcMar/>
          </w:tcPr>
          <w:p w:rsidRPr="00413D1D" w:rsidR="008721E8" w:rsidP="006E48B1" w:rsidRDefault="008721E8" w14:paraId="3F5704D6" w14:textId="77777777">
            <w:r w:rsidRPr="00413D1D">
              <w:rPr>
                <w:rFonts w:eastAsia="Arial"/>
                <w:color w:val="000000" w:themeColor="text1"/>
                <w:sz w:val="17"/>
                <w:szCs w:val="17"/>
              </w:rPr>
              <w:t>Recomendación:</w:t>
            </w:r>
          </w:p>
        </w:tc>
        <w:tc>
          <w:tcPr>
            <w:cnfStyle w:val="000000000000" w:firstRow="0" w:lastRow="0" w:firstColumn="0" w:lastColumn="0" w:oddVBand="0" w:evenVBand="0" w:oddHBand="0" w:evenHBand="0" w:firstRowFirstColumn="0" w:firstRowLastColumn="0" w:lastRowFirstColumn="0" w:lastRowLastColumn="0"/>
            <w:tcW w:w="8385" w:type="dxa"/>
            <w:tcMar/>
          </w:tcPr>
          <w:p w:rsidRPr="00413D1D" w:rsidR="008721E8" w:rsidP="006E48B1" w:rsidRDefault="008721E8" w14:paraId="08615B8A" w14:textId="77777777">
            <w:r w:rsidRPr="00413D1D">
              <w:rPr>
                <w:rFonts w:eastAsia="Arial"/>
                <w:color w:val="000000" w:themeColor="text1"/>
                <w:sz w:val="17"/>
                <w:szCs w:val="17"/>
              </w:rPr>
              <w:t>Establecer mecanismo de seguimiento mensual obligatorio para contratos de suministro, con publicación oportuna en SECOP II. En futuros contratos de urgencia manifiesta, reforzar la supervisión con informes semanales durante la fase crítica de atención.</w:t>
            </w:r>
          </w:p>
        </w:tc>
      </w:tr>
    </w:tbl>
    <w:p w:rsidRPr="00413D1D" w:rsidR="008721E8" w:rsidP="008721E8" w:rsidRDefault="008721E8" w14:paraId="442A43C4" w14:textId="77777777">
      <w:pPr>
        <w:spacing w:line="240" w:lineRule="auto"/>
        <w:jc w:val="center"/>
        <w:rPr>
          <w:rFonts w:eastAsia="Arial"/>
          <w:b/>
          <w:bCs/>
          <w:sz w:val="20"/>
          <w:szCs w:val="20"/>
        </w:rPr>
      </w:pPr>
    </w:p>
    <w:p w:rsidRPr="00413D1D" w:rsidR="008721E8" w:rsidP="008721E8" w:rsidRDefault="008721E8" w14:paraId="24769690" w14:textId="77777777">
      <w:pPr>
        <w:spacing w:line="240" w:lineRule="auto"/>
        <w:rPr>
          <w:rFonts w:eastAsia="Arial"/>
          <w:b/>
          <w:bCs/>
          <w:sz w:val="20"/>
          <w:szCs w:val="20"/>
        </w:rPr>
      </w:pPr>
    </w:p>
    <w:p w:rsidRPr="007F05D9" w:rsidR="008721E8" w:rsidP="0ED4F347" w:rsidRDefault="008721E8" w14:paraId="747ADC6A" w14:textId="3A54321F">
      <w:pPr>
        <w:pStyle w:val="Descripcin"/>
        <w:keepNext w:val="1"/>
        <w:rPr>
          <w:rFonts w:ascii="Arial" w:hAnsi="Arial" w:eastAsia="Arial" w:cs="Arial"/>
          <w:i w:val="0"/>
          <w:iCs w:val="0"/>
          <w:color w:val="auto" w:themeColor="text2"/>
          <w:sz w:val="24"/>
          <w:szCs w:val="24"/>
        </w:rPr>
      </w:pPr>
      <w:bookmarkStart w:name="_Toc227164199" w:id="71"/>
      <w:r w:rsidRPr="0ED4F347" w:rsidR="6994FB4E">
        <w:rPr>
          <w:rFonts w:ascii="Arial" w:hAnsi="Arial" w:eastAsia="Arial" w:cs="Arial"/>
          <w:i w:val="0"/>
          <w:iCs w:val="0"/>
          <w:color w:val="auto"/>
          <w:sz w:val="24"/>
          <w:szCs w:val="24"/>
        </w:rPr>
        <w:t xml:space="preserve">Tabla </w:t>
      </w:r>
      <w:r w:rsidRPr="0ED4F347" w:rsidR="210EB6CD">
        <w:rPr>
          <w:rFonts w:ascii="Arial" w:hAnsi="Arial" w:eastAsia="Arial" w:cs="Arial"/>
          <w:i w:val="0"/>
          <w:iCs w:val="0"/>
          <w:color w:val="auto"/>
          <w:sz w:val="24"/>
          <w:szCs w:val="24"/>
        </w:rPr>
        <w:t>1</w:t>
      </w:r>
      <w:r w:rsidRPr="0ED4F347" w:rsidR="6F1698A8">
        <w:rPr>
          <w:rFonts w:ascii="Arial" w:hAnsi="Arial" w:eastAsia="Arial" w:cs="Arial"/>
          <w:i w:val="0"/>
          <w:iCs w:val="0"/>
          <w:color w:val="auto"/>
          <w:sz w:val="24"/>
          <w:szCs w:val="24"/>
        </w:rPr>
        <w:t>3</w:t>
      </w:r>
      <w:r w:rsidRPr="0ED4F347" w:rsidR="6994FB4E">
        <w:rPr>
          <w:rFonts w:ascii="Arial" w:hAnsi="Arial" w:eastAsia="Arial" w:cs="Arial"/>
          <w:i w:val="0"/>
          <w:iCs w:val="0"/>
          <w:color w:val="auto"/>
          <w:sz w:val="24"/>
          <w:szCs w:val="24"/>
        </w:rPr>
        <w:t>. Contrato UAEGRD-CD-SU-120-2025 – Ferretería El Hidrante S.A. - Observación 2</w:t>
      </w:r>
      <w:bookmarkEnd w:id="71"/>
    </w:p>
    <w:tbl>
      <w:tblPr>
        <w:tblStyle w:val="Tablanormal1"/>
        <w:tblW w:w="10636" w:type="dxa"/>
        <w:tblLook w:val="0400" w:firstRow="0" w:lastRow="0" w:firstColumn="0" w:lastColumn="0" w:noHBand="0" w:noVBand="1"/>
      </w:tblPr>
      <w:tblGrid>
        <w:gridCol w:w="2281"/>
        <w:gridCol w:w="8355"/>
      </w:tblGrid>
      <w:tr w:rsidRPr="00413D1D" w:rsidR="008721E8" w:rsidTr="0ED4F347" w14:paraId="689D85C7"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0000000000" w:firstRow="0" w:lastRow="0" w:firstColumn="0" w:lastColumn="0" w:oddVBand="0" w:evenVBand="0" w:oddHBand="0" w:evenHBand="0" w:firstRowFirstColumn="0" w:firstRowLastColumn="0" w:lastRowFirstColumn="0" w:lastRowLastColumn="0"/>
            <w:tcW w:w="2281" w:type="dxa"/>
            <w:tcMar/>
          </w:tcPr>
          <w:p w:rsidRPr="00413D1D" w:rsidR="008721E8" w:rsidP="006E48B1" w:rsidRDefault="008721E8" w14:paraId="2866C100" w14:textId="77777777">
            <w:pPr>
              <w:jc w:val="center"/>
            </w:pPr>
            <w:r w:rsidRPr="00413D1D">
              <w:rPr>
                <w:rFonts w:eastAsia="Arial"/>
                <w:b/>
                <w:color w:val="000000" w:themeColor="text1"/>
                <w:sz w:val="17"/>
                <w:szCs w:val="17"/>
              </w:rPr>
              <w:t>Ítem</w:t>
            </w:r>
          </w:p>
        </w:tc>
        <w:tc>
          <w:tcPr>
            <w:cnfStyle w:val="000000000000" w:firstRow="0" w:lastRow="0" w:firstColumn="0" w:lastColumn="0" w:oddVBand="0" w:evenVBand="0" w:oddHBand="0" w:evenHBand="0" w:firstRowFirstColumn="0" w:firstRowLastColumn="0" w:lastRowFirstColumn="0" w:lastRowLastColumn="0"/>
            <w:tcW w:w="8355" w:type="dxa"/>
            <w:tcMar/>
          </w:tcPr>
          <w:p w:rsidRPr="00413D1D" w:rsidR="008721E8" w:rsidP="006E48B1" w:rsidRDefault="008721E8" w14:paraId="0906E576" w14:textId="77777777">
            <w:pPr>
              <w:jc w:val="center"/>
            </w:pPr>
            <w:r w:rsidRPr="00413D1D">
              <w:rPr>
                <w:rFonts w:eastAsia="Arial"/>
                <w:b/>
                <w:color w:val="000000" w:themeColor="text1"/>
                <w:sz w:val="17"/>
                <w:szCs w:val="17"/>
              </w:rPr>
              <w:t>Análisis</w:t>
            </w:r>
          </w:p>
        </w:tc>
      </w:tr>
      <w:tr w:rsidRPr="00413D1D" w:rsidR="008721E8" w:rsidTr="0ED4F347" w14:paraId="5C010CBB" w14:textId="77777777">
        <w:trPr>
          <w:trHeight w:val="285"/>
        </w:trPr>
        <w:tc>
          <w:tcPr>
            <w:cnfStyle w:val="000000000000" w:firstRow="0" w:lastRow="0" w:firstColumn="0" w:lastColumn="0" w:oddVBand="0" w:evenVBand="0" w:oddHBand="0" w:evenHBand="0" w:firstRowFirstColumn="0" w:firstRowLastColumn="0" w:lastRowFirstColumn="0" w:lastRowLastColumn="0"/>
            <w:tcW w:w="2281" w:type="dxa"/>
            <w:vMerge w:val="restart"/>
            <w:tcMar/>
          </w:tcPr>
          <w:p w:rsidRPr="00413D1D" w:rsidR="008721E8" w:rsidP="006E48B1" w:rsidRDefault="008721E8" w14:paraId="7E22200C" w14:textId="77777777">
            <w:r w:rsidRPr="00413D1D">
              <w:rPr>
                <w:rFonts w:eastAsia="Arial"/>
                <w:color w:val="000000" w:themeColor="text1"/>
                <w:sz w:val="17"/>
                <w:szCs w:val="17"/>
              </w:rPr>
              <w:t>Condición:</w:t>
            </w:r>
          </w:p>
          <w:p w:rsidRPr="00413D1D" w:rsidR="008721E8" w:rsidP="006E48B1" w:rsidRDefault="008721E8" w14:paraId="7E3456C1" w14:textId="77777777">
            <w:r w:rsidRPr="00413D1D">
              <w:rPr>
                <w:rFonts w:eastAsia="Arial"/>
                <w:sz w:val="20"/>
                <w:szCs w:val="20"/>
              </w:rPr>
              <w:t xml:space="preserve"> </w:t>
            </w:r>
          </w:p>
        </w:tc>
        <w:tc>
          <w:tcPr>
            <w:cnfStyle w:val="000000000000" w:firstRow="0" w:lastRow="0" w:firstColumn="0" w:lastColumn="0" w:oddVBand="0" w:evenVBand="0" w:oddHBand="0" w:evenHBand="0" w:firstRowFirstColumn="0" w:firstRowLastColumn="0" w:lastRowFirstColumn="0" w:lastRowLastColumn="0"/>
            <w:tcW w:w="8355" w:type="dxa"/>
            <w:vMerge w:val="restart"/>
            <w:tcMar/>
          </w:tcPr>
          <w:p w:rsidRPr="00413D1D" w:rsidR="008721E8" w:rsidP="006E48B1" w:rsidRDefault="008721E8" w14:paraId="38F1279E" w14:textId="77777777">
            <w:r w:rsidRPr="00413D1D">
              <w:rPr>
                <w:rFonts w:eastAsia="Arial"/>
                <w:color w:val="000000" w:themeColor="text1"/>
                <w:sz w:val="17"/>
                <w:szCs w:val="17"/>
              </w:rPr>
              <w:t>Manual de Gestión Contractual – Literal 4.2, Numeral 4, Cap. I, Parte III. Ley 80/1993 – Obligaciones del Supervisor.</w:t>
            </w:r>
          </w:p>
          <w:p w:rsidRPr="00413D1D" w:rsidR="008721E8" w:rsidP="006E48B1" w:rsidRDefault="008721E8" w14:paraId="1689BBD5" w14:textId="77777777">
            <w:r w:rsidRPr="00413D1D">
              <w:rPr>
                <w:rFonts w:eastAsia="Arial"/>
                <w:sz w:val="17"/>
                <w:szCs w:val="17"/>
              </w:rPr>
              <w:t xml:space="preserve"> </w:t>
            </w:r>
          </w:p>
          <w:p w:rsidRPr="00413D1D" w:rsidR="008721E8" w:rsidP="006E48B1" w:rsidRDefault="008721E8" w14:paraId="3CF78F47" w14:textId="77777777">
            <w:r w:rsidRPr="00413D1D">
              <w:rPr>
                <w:rFonts w:eastAsia="Arial"/>
                <w:color w:val="000000" w:themeColor="text1"/>
                <w:sz w:val="17"/>
                <w:szCs w:val="17"/>
              </w:rPr>
              <w:t>El expediente físico del contrato no contiene Acta de Entrega de Bienes, siendo este un documento esencial para un contrato de suministro. El Manual de Gestión Contractual define el 'Acta de Entrega de Bienes y/o Equipos' como el documento donde se deja constancia de los bienes que entrega el contratista al Departamento, dejando claro el estado en que se reciben. El informe final de supervisión no suple esta obligación.</w:t>
            </w:r>
          </w:p>
          <w:p w:rsidRPr="00413D1D" w:rsidR="008721E8" w:rsidP="006E48B1" w:rsidRDefault="008721E8" w14:paraId="004079C7" w14:textId="77777777">
            <w:r w:rsidRPr="00413D1D">
              <w:rPr>
                <w:rFonts w:eastAsia="Arial"/>
                <w:sz w:val="17"/>
                <w:szCs w:val="17"/>
              </w:rPr>
              <w:lastRenderedPageBreak/>
              <w:t xml:space="preserve"> </w:t>
            </w:r>
          </w:p>
          <w:p w:rsidRPr="00413D1D" w:rsidR="008721E8" w:rsidP="006E48B1" w:rsidRDefault="008721E8" w14:paraId="448C78BF" w14:textId="77777777">
            <w:r w:rsidRPr="00413D1D">
              <w:rPr>
                <w:rFonts w:eastAsia="Arial"/>
                <w:color w:val="000000" w:themeColor="text1"/>
                <w:sz w:val="17"/>
                <w:szCs w:val="17"/>
              </w:rPr>
              <w:t>El supervisor acreditó el cumplimiento del contrato mediante el informe de supervisión del último pago, pero no se levantó acta formal de recibo de bienes. Esta omisión impide verificar de manera objetiva que la Entidad recibió la totalidad de los bienes pactados en las condiciones técnicas requeridas.</w:t>
            </w:r>
          </w:p>
        </w:tc>
      </w:tr>
      <w:tr w:rsidRPr="00413D1D" w:rsidR="008721E8" w:rsidTr="0ED4F347" w14:paraId="51628093" w14:textId="77777777">
        <w:trPr>
          <w:cnfStyle w:val="000000100000" w:firstRow="0" w:lastRow="0" w:firstColumn="0" w:lastColumn="0" w:oddVBand="0" w:evenVBand="0" w:oddHBand="1" w:evenHBand="0" w:firstRowFirstColumn="0" w:firstRowLastColumn="0" w:lastRowFirstColumn="0" w:lastRowLastColumn="0"/>
          <w:trHeight w:val="285"/>
        </w:trPr>
        <w:tc>
          <w:tcPr>
            <w:cnfStyle w:val="000000000000" w:firstRow="0" w:lastRow="0" w:firstColumn="0" w:lastColumn="0" w:oddVBand="0" w:evenVBand="0" w:oddHBand="0" w:evenHBand="0" w:firstRowFirstColumn="0" w:firstRowLastColumn="0" w:lastRowFirstColumn="0" w:lastRowLastColumn="0"/>
            <w:tcW w:w="2281" w:type="dxa"/>
            <w:vMerge/>
            <w:tcMar/>
          </w:tcPr>
          <w:p w:rsidRPr="00413D1D" w:rsidR="008721E8" w:rsidP="006E48B1" w:rsidRDefault="008721E8" w14:paraId="2F5245E4" w14:textId="77777777"/>
        </w:tc>
        <w:tc>
          <w:tcPr>
            <w:cnfStyle w:val="000000000000" w:firstRow="0" w:lastRow="0" w:firstColumn="0" w:lastColumn="0" w:oddVBand="0" w:evenVBand="0" w:oddHBand="0" w:evenHBand="0" w:firstRowFirstColumn="0" w:firstRowLastColumn="0" w:lastRowFirstColumn="0" w:lastRowLastColumn="0"/>
            <w:tcW w:w="8355" w:type="dxa"/>
            <w:vMerge/>
            <w:tcMar/>
          </w:tcPr>
          <w:p w:rsidRPr="00413D1D" w:rsidR="008721E8" w:rsidP="006E48B1" w:rsidRDefault="008721E8" w14:paraId="024FFB26" w14:textId="77777777"/>
        </w:tc>
      </w:tr>
      <w:tr w:rsidRPr="00413D1D" w:rsidR="008721E8" w:rsidTr="0ED4F347" w14:paraId="285673FA" w14:textId="77777777">
        <w:trPr>
          <w:trHeight w:val="285"/>
        </w:trPr>
        <w:tc>
          <w:tcPr>
            <w:cnfStyle w:val="000000000000" w:firstRow="0" w:lastRow="0" w:firstColumn="0" w:lastColumn="0" w:oddVBand="0" w:evenVBand="0" w:oddHBand="0" w:evenHBand="0" w:firstRowFirstColumn="0" w:firstRowLastColumn="0" w:lastRowFirstColumn="0" w:lastRowLastColumn="0"/>
            <w:tcW w:w="2281" w:type="dxa"/>
            <w:vMerge/>
            <w:tcMar/>
          </w:tcPr>
          <w:p w:rsidRPr="00413D1D" w:rsidR="008721E8" w:rsidP="006E48B1" w:rsidRDefault="008721E8" w14:paraId="4AEB61D8" w14:textId="77777777"/>
        </w:tc>
        <w:tc>
          <w:tcPr>
            <w:cnfStyle w:val="000000000000" w:firstRow="0" w:lastRow="0" w:firstColumn="0" w:lastColumn="0" w:oddVBand="0" w:evenVBand="0" w:oddHBand="0" w:evenHBand="0" w:firstRowFirstColumn="0" w:firstRowLastColumn="0" w:lastRowFirstColumn="0" w:lastRowLastColumn="0"/>
            <w:tcW w:w="8355" w:type="dxa"/>
            <w:vMerge/>
            <w:tcMar/>
          </w:tcPr>
          <w:p w:rsidRPr="00413D1D" w:rsidR="008721E8" w:rsidP="006E48B1" w:rsidRDefault="008721E8" w14:paraId="43156F2A" w14:textId="77777777"/>
        </w:tc>
      </w:tr>
      <w:tr w:rsidRPr="00413D1D" w:rsidR="008721E8" w:rsidTr="0ED4F347" w14:paraId="20E6E0F0"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0000000000" w:firstRow="0" w:lastRow="0" w:firstColumn="0" w:lastColumn="0" w:oddVBand="0" w:evenVBand="0" w:oddHBand="0" w:evenHBand="0" w:firstRowFirstColumn="0" w:firstRowLastColumn="0" w:lastRowFirstColumn="0" w:lastRowLastColumn="0"/>
            <w:tcW w:w="2281" w:type="dxa"/>
            <w:tcMar/>
          </w:tcPr>
          <w:p w:rsidRPr="00413D1D" w:rsidR="008721E8" w:rsidP="006E48B1" w:rsidRDefault="008721E8" w14:paraId="17AC0FDF" w14:textId="77777777">
            <w:r w:rsidRPr="00413D1D">
              <w:rPr>
                <w:rFonts w:eastAsia="Arial"/>
                <w:color w:val="000000" w:themeColor="text1"/>
                <w:sz w:val="17"/>
                <w:szCs w:val="17"/>
              </w:rPr>
              <w:lastRenderedPageBreak/>
              <w:t>Efecto:</w:t>
            </w:r>
          </w:p>
        </w:tc>
        <w:tc>
          <w:tcPr>
            <w:cnfStyle w:val="000000000000" w:firstRow="0" w:lastRow="0" w:firstColumn="0" w:lastColumn="0" w:oddVBand="0" w:evenVBand="0" w:oddHBand="0" w:evenHBand="0" w:firstRowFirstColumn="0" w:firstRowLastColumn="0" w:lastRowFirstColumn="0" w:lastRowLastColumn="0"/>
            <w:tcW w:w="8355" w:type="dxa"/>
            <w:tcMar/>
          </w:tcPr>
          <w:p w:rsidRPr="00413D1D" w:rsidR="008721E8" w:rsidP="006E48B1" w:rsidRDefault="008721E8" w14:paraId="3EE98D84" w14:textId="77777777">
            <w:r w:rsidRPr="00413D1D">
              <w:rPr>
                <w:rFonts w:eastAsia="Arial"/>
                <w:color w:val="000000" w:themeColor="text1"/>
                <w:sz w:val="17"/>
                <w:szCs w:val="17"/>
              </w:rPr>
              <w:t>Sin el Acta de Entrega de Bienes no es posible verificar la recepción material del suministro. La Entidad carece de un documento que acredite formalmente haber recibido los bienes objeto del contrato, lo que genera un vacío probatorio sobre la ejecución del objeto contractual.</w:t>
            </w:r>
          </w:p>
        </w:tc>
      </w:tr>
      <w:tr w:rsidRPr="00413D1D" w:rsidR="008721E8" w:rsidTr="0ED4F347" w14:paraId="3D60CA31" w14:textId="77777777">
        <w:trPr>
          <w:trHeight w:val="300"/>
        </w:trPr>
        <w:tc>
          <w:tcPr>
            <w:cnfStyle w:val="000000000000" w:firstRow="0" w:lastRow="0" w:firstColumn="0" w:lastColumn="0" w:oddVBand="0" w:evenVBand="0" w:oddHBand="0" w:evenHBand="0" w:firstRowFirstColumn="0" w:firstRowLastColumn="0" w:lastRowFirstColumn="0" w:lastRowLastColumn="0"/>
            <w:tcW w:w="2281" w:type="dxa"/>
            <w:tcMar/>
          </w:tcPr>
          <w:p w:rsidRPr="00413D1D" w:rsidR="008721E8" w:rsidP="006E48B1" w:rsidRDefault="008721E8" w14:paraId="545024D0" w14:textId="77777777">
            <w:r w:rsidRPr="00413D1D">
              <w:rPr>
                <w:rFonts w:eastAsia="Arial"/>
                <w:color w:val="000000" w:themeColor="text1"/>
                <w:sz w:val="17"/>
                <w:szCs w:val="17"/>
              </w:rPr>
              <w:t>Norma vulnerada:</w:t>
            </w:r>
          </w:p>
        </w:tc>
        <w:tc>
          <w:tcPr>
            <w:cnfStyle w:val="000000000000" w:firstRow="0" w:lastRow="0" w:firstColumn="0" w:lastColumn="0" w:oddVBand="0" w:evenVBand="0" w:oddHBand="0" w:evenHBand="0" w:firstRowFirstColumn="0" w:firstRowLastColumn="0" w:lastRowFirstColumn="0" w:lastRowLastColumn="0"/>
            <w:tcW w:w="8355" w:type="dxa"/>
            <w:tcMar/>
          </w:tcPr>
          <w:p w:rsidRPr="00413D1D" w:rsidR="008721E8" w:rsidP="006E48B1" w:rsidRDefault="008721E8" w14:paraId="21A1204C" w14:textId="77777777">
            <w:r w:rsidRPr="00413D1D">
              <w:rPr>
                <w:rFonts w:eastAsia="Arial"/>
                <w:color w:val="000000" w:themeColor="text1"/>
                <w:sz w:val="17"/>
                <w:szCs w:val="17"/>
              </w:rPr>
              <w:t>Manual de Gestión Contractual – Literal 4.2, Numeral 4, Cap. I, Parte III. Ley 80/1993 – Arts. 26 y 51.</w:t>
            </w:r>
          </w:p>
        </w:tc>
      </w:tr>
      <w:tr w:rsidRPr="00413D1D" w:rsidR="008721E8" w:rsidTr="0ED4F347" w14:paraId="503FE2BC"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0000000000" w:firstRow="0" w:lastRow="0" w:firstColumn="0" w:lastColumn="0" w:oddVBand="0" w:evenVBand="0" w:oddHBand="0" w:evenHBand="0" w:firstRowFirstColumn="0" w:firstRowLastColumn="0" w:lastRowFirstColumn="0" w:lastRowLastColumn="0"/>
            <w:tcW w:w="2281" w:type="dxa"/>
            <w:tcMar/>
          </w:tcPr>
          <w:p w:rsidRPr="00413D1D" w:rsidR="008721E8" w:rsidP="006E48B1" w:rsidRDefault="008721E8" w14:paraId="453997B0" w14:textId="77777777">
            <w:r w:rsidRPr="00413D1D">
              <w:rPr>
                <w:rFonts w:eastAsia="Arial"/>
                <w:color w:val="000000" w:themeColor="text1"/>
                <w:sz w:val="17"/>
                <w:szCs w:val="17"/>
              </w:rPr>
              <w:t>Recomendación:</w:t>
            </w:r>
          </w:p>
        </w:tc>
        <w:tc>
          <w:tcPr>
            <w:cnfStyle w:val="000000000000" w:firstRow="0" w:lastRow="0" w:firstColumn="0" w:lastColumn="0" w:oddVBand="0" w:evenVBand="0" w:oddHBand="0" w:evenHBand="0" w:firstRowFirstColumn="0" w:firstRowLastColumn="0" w:lastRowFirstColumn="0" w:lastRowLastColumn="0"/>
            <w:tcW w:w="8355" w:type="dxa"/>
            <w:tcMar/>
          </w:tcPr>
          <w:p w:rsidRPr="00413D1D" w:rsidR="008721E8" w:rsidP="006E48B1" w:rsidRDefault="008721E8" w14:paraId="4D7D0544" w14:textId="77777777">
            <w:r w:rsidRPr="00413D1D">
              <w:rPr>
                <w:rFonts w:eastAsia="Arial"/>
                <w:color w:val="000000" w:themeColor="text1"/>
                <w:sz w:val="17"/>
                <w:szCs w:val="17"/>
              </w:rPr>
              <w:t>Expedir el Acta de Entrega de Bienes correspondiente al contrato UAEGRD-CD-SU-120-2025, incluyendo descripción, cantidades y estado de los bienes recibidos. Incluir este documento como requisito obligatorio en todos los contratos de suministro futuros.</w:t>
            </w:r>
          </w:p>
        </w:tc>
      </w:tr>
    </w:tbl>
    <w:p w:rsidRPr="00413D1D" w:rsidR="008721E8" w:rsidP="008721E8" w:rsidRDefault="008721E8" w14:paraId="3DEA28C1" w14:textId="77777777">
      <w:pPr>
        <w:spacing w:line="240" w:lineRule="auto"/>
        <w:jc w:val="center"/>
        <w:rPr>
          <w:rFonts w:eastAsia="Arial"/>
          <w:b/>
          <w:bCs/>
          <w:sz w:val="20"/>
          <w:szCs w:val="20"/>
        </w:rPr>
      </w:pPr>
    </w:p>
    <w:p w:rsidRPr="006B28E0" w:rsidR="008721E8" w:rsidP="0ED4F347" w:rsidRDefault="008721E8" w14:paraId="5B2A4183" w14:textId="5924798A">
      <w:pPr>
        <w:pStyle w:val="Descripcin"/>
        <w:keepNext w:val="1"/>
        <w:rPr>
          <w:rFonts w:ascii="Arial" w:hAnsi="Arial" w:eastAsia="Arial" w:cs="Arial"/>
          <w:i w:val="0"/>
          <w:iCs w:val="0"/>
          <w:color w:val="auto" w:themeColor="text2"/>
          <w:sz w:val="24"/>
          <w:szCs w:val="24"/>
        </w:rPr>
      </w:pPr>
      <w:bookmarkStart w:name="_Toc227164200" w:id="72"/>
      <w:r w:rsidRPr="0ED4F347" w:rsidR="6994FB4E">
        <w:rPr>
          <w:rFonts w:ascii="Arial" w:hAnsi="Arial" w:eastAsia="Arial" w:cs="Arial"/>
          <w:i w:val="0"/>
          <w:iCs w:val="0"/>
          <w:color w:val="auto"/>
          <w:sz w:val="24"/>
          <w:szCs w:val="24"/>
        </w:rPr>
        <w:t xml:space="preserve">Tabla </w:t>
      </w:r>
      <w:r w:rsidRPr="0ED4F347" w:rsidR="01840C1E">
        <w:rPr>
          <w:rFonts w:ascii="Arial" w:hAnsi="Arial" w:eastAsia="Arial" w:cs="Arial"/>
          <w:i w:val="0"/>
          <w:iCs w:val="0"/>
          <w:color w:val="auto"/>
          <w:sz w:val="24"/>
          <w:szCs w:val="24"/>
        </w:rPr>
        <w:t>1</w:t>
      </w:r>
      <w:r w:rsidRPr="0ED4F347" w:rsidR="0CC46659">
        <w:rPr>
          <w:rFonts w:ascii="Arial" w:hAnsi="Arial" w:eastAsia="Arial" w:cs="Arial"/>
          <w:i w:val="0"/>
          <w:iCs w:val="0"/>
          <w:color w:val="auto"/>
          <w:sz w:val="24"/>
          <w:szCs w:val="24"/>
        </w:rPr>
        <w:t>4</w:t>
      </w:r>
      <w:r w:rsidRPr="0ED4F347" w:rsidR="01840C1E">
        <w:rPr>
          <w:rFonts w:ascii="Arial" w:hAnsi="Arial" w:eastAsia="Arial" w:cs="Arial"/>
          <w:i w:val="0"/>
          <w:iCs w:val="0"/>
          <w:color w:val="auto"/>
          <w:sz w:val="24"/>
          <w:szCs w:val="24"/>
        </w:rPr>
        <w:t>.</w:t>
      </w:r>
      <w:r w:rsidRPr="0ED4F347" w:rsidR="6994FB4E">
        <w:rPr>
          <w:rFonts w:ascii="Arial" w:hAnsi="Arial" w:eastAsia="Arial" w:cs="Arial"/>
          <w:i w:val="0"/>
          <w:iCs w:val="0"/>
          <w:color w:val="auto"/>
          <w:sz w:val="24"/>
          <w:szCs w:val="24"/>
        </w:rPr>
        <w:t xml:space="preserve"> Contrato UAEGRD-CD-SU-120-2025 – Ferretería El Hidrante S.A. - Observación 3</w:t>
      </w:r>
      <w:bookmarkEnd w:id="72"/>
    </w:p>
    <w:tbl>
      <w:tblPr>
        <w:tblStyle w:val="Tablanormal1"/>
        <w:tblW w:w="10666" w:type="dxa"/>
        <w:tblLook w:val="0400" w:firstRow="0" w:lastRow="0" w:firstColumn="0" w:lastColumn="0" w:noHBand="0" w:noVBand="1"/>
      </w:tblPr>
      <w:tblGrid>
        <w:gridCol w:w="2281"/>
        <w:gridCol w:w="8385"/>
      </w:tblGrid>
      <w:tr w:rsidRPr="00413D1D" w:rsidR="008721E8" w:rsidTr="0ED4F347" w14:paraId="37875FC8"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0000000000" w:firstRow="0" w:lastRow="0" w:firstColumn="0" w:lastColumn="0" w:oddVBand="0" w:evenVBand="0" w:oddHBand="0" w:evenHBand="0" w:firstRowFirstColumn="0" w:firstRowLastColumn="0" w:lastRowFirstColumn="0" w:lastRowLastColumn="0"/>
            <w:tcW w:w="2281" w:type="dxa"/>
            <w:tcMar/>
          </w:tcPr>
          <w:p w:rsidRPr="00413D1D" w:rsidR="008721E8" w:rsidP="006E48B1" w:rsidRDefault="008721E8" w14:paraId="7F2030C7" w14:textId="77777777">
            <w:pPr>
              <w:jc w:val="center"/>
            </w:pPr>
            <w:r w:rsidRPr="00413D1D">
              <w:rPr>
                <w:rFonts w:eastAsia="Arial"/>
                <w:b/>
                <w:color w:val="000000" w:themeColor="text1"/>
                <w:sz w:val="17"/>
                <w:szCs w:val="17"/>
              </w:rPr>
              <w:t>Ítem</w:t>
            </w:r>
          </w:p>
        </w:tc>
        <w:tc>
          <w:tcPr>
            <w:cnfStyle w:val="000000000000" w:firstRow="0" w:lastRow="0" w:firstColumn="0" w:lastColumn="0" w:oddVBand="0" w:evenVBand="0" w:oddHBand="0" w:evenHBand="0" w:firstRowFirstColumn="0" w:firstRowLastColumn="0" w:lastRowFirstColumn="0" w:lastRowLastColumn="0"/>
            <w:tcW w:w="8385" w:type="dxa"/>
            <w:tcMar/>
          </w:tcPr>
          <w:p w:rsidRPr="00413D1D" w:rsidR="008721E8" w:rsidP="006E48B1" w:rsidRDefault="008721E8" w14:paraId="10FC3B9B" w14:textId="77777777">
            <w:pPr>
              <w:jc w:val="center"/>
            </w:pPr>
            <w:r w:rsidRPr="00413D1D">
              <w:rPr>
                <w:rFonts w:eastAsia="Arial"/>
                <w:b/>
                <w:color w:val="000000" w:themeColor="text1"/>
                <w:sz w:val="17"/>
                <w:szCs w:val="17"/>
              </w:rPr>
              <w:t>Análisis</w:t>
            </w:r>
          </w:p>
        </w:tc>
      </w:tr>
      <w:tr w:rsidRPr="00413D1D" w:rsidR="008721E8" w:rsidTr="0ED4F347" w14:paraId="7D9FD5D1" w14:textId="77777777">
        <w:trPr>
          <w:trHeight w:val="285"/>
        </w:trPr>
        <w:tc>
          <w:tcPr>
            <w:cnfStyle w:val="000000000000" w:firstRow="0" w:lastRow="0" w:firstColumn="0" w:lastColumn="0" w:oddVBand="0" w:evenVBand="0" w:oddHBand="0" w:evenHBand="0" w:firstRowFirstColumn="0" w:firstRowLastColumn="0" w:lastRowFirstColumn="0" w:lastRowLastColumn="0"/>
            <w:tcW w:w="2281" w:type="dxa"/>
            <w:vMerge w:val="restart"/>
            <w:tcMar/>
          </w:tcPr>
          <w:p w:rsidRPr="00413D1D" w:rsidR="008721E8" w:rsidP="006E48B1" w:rsidRDefault="008721E8" w14:paraId="5F725784" w14:textId="77777777">
            <w:r w:rsidRPr="00413D1D">
              <w:rPr>
                <w:rFonts w:eastAsia="Arial"/>
                <w:color w:val="000000" w:themeColor="text1"/>
                <w:sz w:val="17"/>
                <w:szCs w:val="17"/>
              </w:rPr>
              <w:t>Condición:</w:t>
            </w:r>
          </w:p>
        </w:tc>
        <w:tc>
          <w:tcPr>
            <w:cnfStyle w:val="000000000000" w:firstRow="0" w:lastRow="0" w:firstColumn="0" w:lastColumn="0" w:oddVBand="0" w:evenVBand="0" w:oddHBand="0" w:evenHBand="0" w:firstRowFirstColumn="0" w:firstRowLastColumn="0" w:lastRowFirstColumn="0" w:lastRowLastColumn="0"/>
            <w:tcW w:w="8385" w:type="dxa"/>
            <w:vMerge w:val="restart"/>
            <w:tcMar/>
          </w:tcPr>
          <w:p w:rsidRPr="00413D1D" w:rsidR="008721E8" w:rsidP="006E48B1" w:rsidRDefault="008721E8" w14:paraId="40945751" w14:textId="77777777">
            <w:r w:rsidRPr="00413D1D">
              <w:rPr>
                <w:rFonts w:eastAsia="Arial"/>
                <w:color w:val="000000" w:themeColor="text1"/>
                <w:sz w:val="17"/>
                <w:szCs w:val="17"/>
              </w:rPr>
              <w:t>Decreto 1082/2015. Manual de Gestión Contractual – Módulo de Garantías SECOP II.</w:t>
            </w:r>
          </w:p>
          <w:p w:rsidRPr="00413D1D" w:rsidR="008721E8" w:rsidP="006E48B1" w:rsidRDefault="008721E8" w14:paraId="15E69BA4" w14:textId="77777777">
            <w:r w:rsidRPr="00413D1D">
              <w:rPr>
                <w:rFonts w:eastAsia="Arial"/>
                <w:sz w:val="17"/>
                <w:szCs w:val="17"/>
              </w:rPr>
              <w:t xml:space="preserve"> </w:t>
            </w:r>
          </w:p>
          <w:p w:rsidRPr="00413D1D" w:rsidR="008721E8" w:rsidP="006E48B1" w:rsidRDefault="008721E8" w14:paraId="4AED948E" w14:textId="77777777">
            <w:r w:rsidRPr="00413D1D">
              <w:rPr>
                <w:rFonts w:eastAsia="Arial"/>
                <w:color w:val="000000" w:themeColor="text1"/>
                <w:sz w:val="17"/>
                <w:szCs w:val="17"/>
              </w:rPr>
              <w:t>Se identificó que el módulo de Garantías del Proveedor en SECOP II arroja 'No existen resultados', indicando que las pólizas de cumplimiento, calidad, salarios y RC Extracontractual no fueron cargadas a través del módulo interactivo de la plataforma. El certificado de aprobación de garantías (17/06/2025) fue publicado con 23 días de retraso (10/07/2025). Solo el expediente físico contiene la documentación completa de las garantías.</w:t>
            </w:r>
          </w:p>
          <w:p w:rsidRPr="00413D1D" w:rsidR="008721E8" w:rsidP="006E48B1" w:rsidRDefault="008721E8" w14:paraId="1768EB59" w14:textId="77777777">
            <w:r w:rsidRPr="00413D1D">
              <w:rPr>
                <w:rFonts w:eastAsia="Arial"/>
                <w:sz w:val="17"/>
                <w:szCs w:val="17"/>
              </w:rPr>
              <w:t xml:space="preserve"> </w:t>
            </w:r>
          </w:p>
          <w:p w:rsidRPr="00413D1D" w:rsidR="008721E8" w:rsidP="006E48B1" w:rsidRDefault="008721E8" w14:paraId="2F196E0E" w14:textId="77777777">
            <w:r w:rsidRPr="00413D1D">
              <w:rPr>
                <w:rFonts w:eastAsia="Arial"/>
                <w:color w:val="000000" w:themeColor="text1"/>
                <w:sz w:val="17"/>
                <w:szCs w:val="17"/>
              </w:rPr>
              <w:t>Las pólizas constituyeron físicamente en plazo, pero no fueron vinculadas al módulo de garantías de SECOP II, impidiendo el seguimiento automatizado de su vigencia y el acceso público a esta información.</w:t>
            </w:r>
          </w:p>
        </w:tc>
      </w:tr>
      <w:tr w:rsidRPr="00413D1D" w:rsidR="008721E8" w:rsidTr="0ED4F347" w14:paraId="069BEC79" w14:textId="77777777">
        <w:trPr>
          <w:cnfStyle w:val="000000100000" w:firstRow="0" w:lastRow="0" w:firstColumn="0" w:lastColumn="0" w:oddVBand="0" w:evenVBand="0" w:oddHBand="1" w:evenHBand="0" w:firstRowFirstColumn="0" w:firstRowLastColumn="0" w:lastRowFirstColumn="0" w:lastRowLastColumn="0"/>
          <w:trHeight w:val="285"/>
        </w:trPr>
        <w:tc>
          <w:tcPr>
            <w:cnfStyle w:val="000000000000" w:firstRow="0" w:lastRow="0" w:firstColumn="0" w:lastColumn="0" w:oddVBand="0" w:evenVBand="0" w:oddHBand="0" w:evenHBand="0" w:firstRowFirstColumn="0" w:firstRowLastColumn="0" w:lastRowFirstColumn="0" w:lastRowLastColumn="0"/>
            <w:tcW w:w="2281" w:type="dxa"/>
            <w:vMerge/>
            <w:tcMar/>
          </w:tcPr>
          <w:p w:rsidRPr="00413D1D" w:rsidR="008721E8" w:rsidP="006E48B1" w:rsidRDefault="008721E8" w14:paraId="77DA9EBF" w14:textId="77777777"/>
        </w:tc>
        <w:tc>
          <w:tcPr>
            <w:cnfStyle w:val="000000000000" w:firstRow="0" w:lastRow="0" w:firstColumn="0" w:lastColumn="0" w:oddVBand="0" w:evenVBand="0" w:oddHBand="0" w:evenHBand="0" w:firstRowFirstColumn="0" w:firstRowLastColumn="0" w:lastRowFirstColumn="0" w:lastRowLastColumn="0"/>
            <w:tcW w:w="8385" w:type="dxa"/>
            <w:vMerge/>
            <w:tcMar/>
          </w:tcPr>
          <w:p w:rsidRPr="00413D1D" w:rsidR="008721E8" w:rsidP="006E48B1" w:rsidRDefault="008721E8" w14:paraId="1908EDEA" w14:textId="77777777"/>
        </w:tc>
      </w:tr>
      <w:tr w:rsidRPr="00413D1D" w:rsidR="008721E8" w:rsidTr="0ED4F347" w14:paraId="2D141794" w14:textId="77777777">
        <w:trPr>
          <w:trHeight w:val="285"/>
        </w:trPr>
        <w:tc>
          <w:tcPr>
            <w:cnfStyle w:val="000000000000" w:firstRow="0" w:lastRow="0" w:firstColumn="0" w:lastColumn="0" w:oddVBand="0" w:evenVBand="0" w:oddHBand="0" w:evenHBand="0" w:firstRowFirstColumn="0" w:firstRowLastColumn="0" w:lastRowFirstColumn="0" w:lastRowLastColumn="0"/>
            <w:tcW w:w="2281" w:type="dxa"/>
            <w:vMerge/>
            <w:tcMar/>
          </w:tcPr>
          <w:p w:rsidRPr="00413D1D" w:rsidR="008721E8" w:rsidP="006E48B1" w:rsidRDefault="008721E8" w14:paraId="26CB95DB" w14:textId="77777777"/>
        </w:tc>
        <w:tc>
          <w:tcPr>
            <w:cnfStyle w:val="000000000000" w:firstRow="0" w:lastRow="0" w:firstColumn="0" w:lastColumn="0" w:oddVBand="0" w:evenVBand="0" w:oddHBand="0" w:evenHBand="0" w:firstRowFirstColumn="0" w:firstRowLastColumn="0" w:lastRowFirstColumn="0" w:lastRowLastColumn="0"/>
            <w:tcW w:w="8385" w:type="dxa"/>
            <w:vMerge/>
            <w:tcMar/>
          </w:tcPr>
          <w:p w:rsidRPr="00413D1D" w:rsidR="008721E8" w:rsidP="006E48B1" w:rsidRDefault="008721E8" w14:paraId="6B40B95D" w14:textId="77777777"/>
        </w:tc>
      </w:tr>
      <w:tr w:rsidRPr="00413D1D" w:rsidR="008721E8" w:rsidTr="0ED4F347" w14:paraId="7EA28865"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0000000000" w:firstRow="0" w:lastRow="0" w:firstColumn="0" w:lastColumn="0" w:oddVBand="0" w:evenVBand="0" w:oddHBand="0" w:evenHBand="0" w:firstRowFirstColumn="0" w:firstRowLastColumn="0" w:lastRowFirstColumn="0" w:lastRowLastColumn="0"/>
            <w:tcW w:w="2281" w:type="dxa"/>
            <w:tcMar/>
          </w:tcPr>
          <w:p w:rsidRPr="00413D1D" w:rsidR="008721E8" w:rsidP="006E48B1" w:rsidRDefault="008721E8" w14:paraId="76D946BA" w14:textId="77777777">
            <w:r w:rsidRPr="00413D1D">
              <w:rPr>
                <w:rFonts w:eastAsia="Arial"/>
                <w:color w:val="000000" w:themeColor="text1"/>
                <w:sz w:val="17"/>
                <w:szCs w:val="17"/>
              </w:rPr>
              <w:t>Efecto:</w:t>
            </w:r>
          </w:p>
        </w:tc>
        <w:tc>
          <w:tcPr>
            <w:cnfStyle w:val="000000000000" w:firstRow="0" w:lastRow="0" w:firstColumn="0" w:lastColumn="0" w:oddVBand="0" w:evenVBand="0" w:oddHBand="0" w:evenHBand="0" w:firstRowFirstColumn="0" w:firstRowLastColumn="0" w:lastRowFirstColumn="0" w:lastRowLastColumn="0"/>
            <w:tcW w:w="8385" w:type="dxa"/>
            <w:tcMar/>
          </w:tcPr>
          <w:p w:rsidRPr="00413D1D" w:rsidR="008721E8" w:rsidP="006E48B1" w:rsidRDefault="008721E8" w14:paraId="087B5618" w14:textId="77777777">
            <w:r w:rsidRPr="00413D1D">
              <w:rPr>
                <w:rFonts w:eastAsia="Arial"/>
                <w:color w:val="000000" w:themeColor="text1"/>
                <w:sz w:val="17"/>
                <w:szCs w:val="17"/>
              </w:rPr>
              <w:t>Imposibilidad de seguimiento automático por el sistema de vigencias de las garantías. Debilidad en la transparencia de la cobertura de los riesgos del contrato. Potencial incumplimiento de los deberes de publicidad del Art. 2.2.1.1.1.7.1 del Decreto 1082/2015.</w:t>
            </w:r>
          </w:p>
        </w:tc>
      </w:tr>
      <w:tr w:rsidRPr="00413D1D" w:rsidR="008721E8" w:rsidTr="0ED4F347" w14:paraId="3B653974" w14:textId="77777777">
        <w:trPr>
          <w:trHeight w:val="300"/>
        </w:trPr>
        <w:tc>
          <w:tcPr>
            <w:cnfStyle w:val="000000000000" w:firstRow="0" w:lastRow="0" w:firstColumn="0" w:lastColumn="0" w:oddVBand="0" w:evenVBand="0" w:oddHBand="0" w:evenHBand="0" w:firstRowFirstColumn="0" w:firstRowLastColumn="0" w:lastRowFirstColumn="0" w:lastRowLastColumn="0"/>
            <w:tcW w:w="2281" w:type="dxa"/>
            <w:tcMar/>
          </w:tcPr>
          <w:p w:rsidRPr="00413D1D" w:rsidR="008721E8" w:rsidP="006E48B1" w:rsidRDefault="008721E8" w14:paraId="3C5774F1" w14:textId="77777777">
            <w:r w:rsidRPr="00413D1D">
              <w:rPr>
                <w:rFonts w:eastAsia="Arial"/>
                <w:color w:val="000000" w:themeColor="text1"/>
                <w:sz w:val="17"/>
                <w:szCs w:val="17"/>
              </w:rPr>
              <w:t>Norma vulnerada:</w:t>
            </w:r>
          </w:p>
        </w:tc>
        <w:tc>
          <w:tcPr>
            <w:cnfStyle w:val="000000000000" w:firstRow="0" w:lastRow="0" w:firstColumn="0" w:lastColumn="0" w:oddVBand="0" w:evenVBand="0" w:oddHBand="0" w:evenHBand="0" w:firstRowFirstColumn="0" w:firstRowLastColumn="0" w:lastRowFirstColumn="0" w:lastRowLastColumn="0"/>
            <w:tcW w:w="8385" w:type="dxa"/>
            <w:tcMar/>
          </w:tcPr>
          <w:p w:rsidRPr="00413D1D" w:rsidR="008721E8" w:rsidP="006E48B1" w:rsidRDefault="008721E8" w14:paraId="022E0AE9" w14:textId="77777777">
            <w:r w:rsidRPr="00413D1D">
              <w:rPr>
                <w:rFonts w:eastAsia="Arial"/>
                <w:color w:val="000000" w:themeColor="text1"/>
                <w:sz w:val="17"/>
                <w:szCs w:val="17"/>
              </w:rPr>
              <w:t xml:space="preserve">Decreto 1082/2015 – Art. 2.2.1.1.1.7.1. Manual de Gestión Contractual – </w:t>
            </w:r>
            <w:proofErr w:type="spellStart"/>
            <w:r w:rsidRPr="00413D1D">
              <w:rPr>
                <w:rFonts w:eastAsia="Arial"/>
                <w:color w:val="000000" w:themeColor="text1"/>
                <w:sz w:val="17"/>
                <w:szCs w:val="17"/>
              </w:rPr>
              <w:t>Dcto</w:t>
            </w:r>
            <w:proofErr w:type="spellEnd"/>
            <w:r w:rsidRPr="00413D1D">
              <w:rPr>
                <w:rFonts w:eastAsia="Arial"/>
                <w:color w:val="000000" w:themeColor="text1"/>
                <w:sz w:val="17"/>
                <w:szCs w:val="17"/>
              </w:rPr>
              <w:t>. 161/2024.</w:t>
            </w:r>
          </w:p>
        </w:tc>
      </w:tr>
      <w:tr w:rsidRPr="00413D1D" w:rsidR="008721E8" w:rsidTr="0ED4F347" w14:paraId="44B74A75"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0000000000" w:firstRow="0" w:lastRow="0" w:firstColumn="0" w:lastColumn="0" w:oddVBand="0" w:evenVBand="0" w:oddHBand="0" w:evenHBand="0" w:firstRowFirstColumn="0" w:firstRowLastColumn="0" w:lastRowFirstColumn="0" w:lastRowLastColumn="0"/>
            <w:tcW w:w="2281" w:type="dxa"/>
            <w:tcMar/>
          </w:tcPr>
          <w:p w:rsidRPr="00413D1D" w:rsidR="008721E8" w:rsidP="006E48B1" w:rsidRDefault="008721E8" w14:paraId="3559E272" w14:textId="77777777">
            <w:r w:rsidRPr="00413D1D">
              <w:rPr>
                <w:rFonts w:eastAsia="Arial"/>
                <w:color w:val="000000" w:themeColor="text1"/>
                <w:sz w:val="17"/>
                <w:szCs w:val="17"/>
              </w:rPr>
              <w:t>Recomendación:</w:t>
            </w:r>
          </w:p>
        </w:tc>
        <w:tc>
          <w:tcPr>
            <w:cnfStyle w:val="000000000000" w:firstRow="0" w:lastRow="0" w:firstColumn="0" w:lastColumn="0" w:oddVBand="0" w:evenVBand="0" w:oddHBand="0" w:evenHBand="0" w:firstRowFirstColumn="0" w:firstRowLastColumn="0" w:lastRowFirstColumn="0" w:lastRowLastColumn="0"/>
            <w:tcW w:w="8385" w:type="dxa"/>
            <w:tcMar/>
          </w:tcPr>
          <w:p w:rsidRPr="00413D1D" w:rsidR="008721E8" w:rsidP="006E48B1" w:rsidRDefault="008721E8" w14:paraId="54510EF2" w14:textId="77777777">
            <w:r w:rsidRPr="00413D1D">
              <w:rPr>
                <w:rFonts w:eastAsia="Arial"/>
                <w:color w:val="000000" w:themeColor="text1"/>
                <w:sz w:val="17"/>
                <w:szCs w:val="17"/>
              </w:rPr>
              <w:t>Cargar las garantías en el módulo específico de SECOP II, garantizando que el sistema pueda hacer seguimiento automatizado de las vigencias. Instruir al equipo de contratación sobre el uso correcto del módulo de garantías en la plataforma.</w:t>
            </w:r>
          </w:p>
        </w:tc>
      </w:tr>
    </w:tbl>
    <w:p w:rsidRPr="00413D1D" w:rsidR="008721E8" w:rsidP="008721E8" w:rsidRDefault="008721E8" w14:paraId="72380147" w14:textId="77777777">
      <w:pPr>
        <w:spacing w:line="240" w:lineRule="auto"/>
        <w:rPr>
          <w:color w:val="FF0000"/>
          <w:highlight w:val="yellow"/>
        </w:rPr>
      </w:pPr>
    </w:p>
    <w:p w:rsidRPr="00EE3019" w:rsidR="008721E8" w:rsidP="00CD3C74" w:rsidRDefault="005B36EA" w14:paraId="6995F3CE" w14:textId="093D4B78">
      <w:pPr>
        <w:pStyle w:val="Ttulo30"/>
        <w:spacing w:line="240" w:lineRule="auto"/>
        <w:rPr>
          <w:rFonts w:eastAsiaTheme="minorEastAsia"/>
          <w:b w:val="0"/>
          <w:bCs/>
          <w:sz w:val="24"/>
          <w:szCs w:val="24"/>
        </w:rPr>
      </w:pPr>
      <w:bookmarkStart w:name="_Toc227164174" w:id="73"/>
      <w:r w:rsidRPr="00EE3019">
        <w:rPr>
          <w:rFonts w:eastAsiaTheme="minorEastAsia"/>
          <w:sz w:val="24"/>
          <w:szCs w:val="24"/>
        </w:rPr>
        <w:t>Resultados</w:t>
      </w:r>
      <w:r w:rsidRPr="00EE3019" w:rsidR="008721E8">
        <w:rPr>
          <w:rFonts w:eastAsiaTheme="minorEastAsia"/>
          <w:sz w:val="24"/>
          <w:szCs w:val="24"/>
        </w:rPr>
        <w:t xml:space="preserve">: </w:t>
      </w:r>
      <w:r w:rsidRPr="00EE3019" w:rsidR="008721E8">
        <w:rPr>
          <w:rFonts w:eastAsiaTheme="minorEastAsia"/>
          <w:b w:val="0"/>
          <w:bCs/>
          <w:sz w:val="24"/>
          <w:szCs w:val="24"/>
        </w:rPr>
        <w:t xml:space="preserve">Convenio Interadministrativo UAEGRD-CD-CVI-123-2025 – Municipio de </w:t>
      </w:r>
      <w:proofErr w:type="spellStart"/>
      <w:r w:rsidRPr="00EE3019" w:rsidR="008721E8">
        <w:rPr>
          <w:rFonts w:eastAsiaTheme="minorEastAsia"/>
          <w:b w:val="0"/>
          <w:bCs/>
          <w:sz w:val="24"/>
          <w:szCs w:val="24"/>
        </w:rPr>
        <w:t>Paratebueno</w:t>
      </w:r>
      <w:bookmarkEnd w:id="73"/>
      <w:proofErr w:type="spellEnd"/>
    </w:p>
    <w:p w:rsidRPr="00413D1D" w:rsidR="008721E8" w:rsidP="008721E8" w:rsidRDefault="008721E8" w14:paraId="38B71F25" w14:textId="77777777">
      <w:pPr>
        <w:spacing w:line="240" w:lineRule="auto"/>
        <w:rPr>
          <w:rFonts w:eastAsiaTheme="minorEastAsia"/>
          <w:color w:val="FF0000"/>
          <w:highlight w:val="yellow"/>
        </w:rPr>
      </w:pPr>
    </w:p>
    <w:p w:rsidRPr="005B36EA" w:rsidR="008721E8" w:rsidP="0ED4F347" w:rsidRDefault="008721E8" w14:paraId="6432AB33" w14:textId="09F17A22">
      <w:pPr>
        <w:pStyle w:val="Descripcin"/>
        <w:keepNext w:val="1"/>
        <w:rPr>
          <w:rFonts w:ascii="Arial" w:hAnsi="Arial" w:eastAsia="Arial" w:cs="Arial"/>
          <w:i w:val="0"/>
          <w:iCs w:val="0"/>
          <w:color w:val="auto" w:themeColor="text2"/>
          <w:sz w:val="24"/>
          <w:szCs w:val="24"/>
        </w:rPr>
      </w:pPr>
      <w:bookmarkStart w:name="_Toc227164201" w:id="74"/>
      <w:r w:rsidRPr="0ED4F347" w:rsidR="6994FB4E">
        <w:rPr>
          <w:rFonts w:ascii="Arial" w:hAnsi="Arial" w:eastAsia="Arial" w:cs="Arial"/>
          <w:i w:val="0"/>
          <w:iCs w:val="0"/>
          <w:color w:val="auto"/>
          <w:sz w:val="24"/>
          <w:szCs w:val="24"/>
        </w:rPr>
        <w:t xml:space="preserve">Tabla </w:t>
      </w:r>
      <w:r w:rsidRPr="0ED4F347" w:rsidR="2BB4705D">
        <w:rPr>
          <w:rFonts w:ascii="Arial" w:hAnsi="Arial" w:eastAsia="Arial" w:cs="Arial"/>
          <w:i w:val="0"/>
          <w:iCs w:val="0"/>
          <w:color w:val="auto"/>
          <w:sz w:val="24"/>
          <w:szCs w:val="24"/>
        </w:rPr>
        <w:t>1</w:t>
      </w:r>
      <w:r w:rsidRPr="0ED4F347" w:rsidR="14DE4F15">
        <w:rPr>
          <w:rFonts w:ascii="Arial" w:hAnsi="Arial" w:eastAsia="Arial" w:cs="Arial"/>
          <w:i w:val="0"/>
          <w:iCs w:val="0"/>
          <w:color w:val="auto"/>
          <w:sz w:val="24"/>
          <w:szCs w:val="24"/>
        </w:rPr>
        <w:t>5</w:t>
      </w:r>
      <w:r w:rsidRPr="0ED4F347" w:rsidR="6994FB4E">
        <w:rPr>
          <w:rFonts w:ascii="Arial" w:hAnsi="Arial" w:eastAsia="Arial" w:cs="Arial"/>
          <w:i w:val="0"/>
          <w:iCs w:val="0"/>
          <w:color w:val="auto"/>
          <w:sz w:val="24"/>
          <w:szCs w:val="24"/>
        </w:rPr>
        <w:t xml:space="preserve">. Convenio Interadministrativo UAEGRD-CD-CVI-123-2025 – Municipio de </w:t>
      </w:r>
      <w:r w:rsidRPr="0ED4F347" w:rsidR="6994FB4E">
        <w:rPr>
          <w:rFonts w:ascii="Arial" w:hAnsi="Arial" w:eastAsia="Arial" w:cs="Arial"/>
          <w:i w:val="0"/>
          <w:iCs w:val="0"/>
          <w:color w:val="auto"/>
          <w:sz w:val="24"/>
          <w:szCs w:val="24"/>
        </w:rPr>
        <w:t>Paratebueno</w:t>
      </w:r>
      <w:r w:rsidRPr="0ED4F347" w:rsidR="6994FB4E">
        <w:rPr>
          <w:rFonts w:ascii="Arial" w:hAnsi="Arial" w:eastAsia="Arial" w:cs="Arial"/>
          <w:i w:val="0"/>
          <w:iCs w:val="0"/>
          <w:color w:val="auto"/>
          <w:sz w:val="24"/>
          <w:szCs w:val="24"/>
        </w:rPr>
        <w:t xml:space="preserve"> - Observación 1</w:t>
      </w:r>
      <w:bookmarkEnd w:id="74"/>
    </w:p>
    <w:tbl>
      <w:tblPr>
        <w:tblStyle w:val="Tablanormal1"/>
        <w:tblW w:w="10638" w:type="dxa"/>
        <w:tblLook w:val="0400" w:firstRow="0" w:lastRow="0" w:firstColumn="0" w:lastColumn="0" w:noHBand="0" w:noVBand="1"/>
      </w:tblPr>
      <w:tblGrid>
        <w:gridCol w:w="2283"/>
        <w:gridCol w:w="8355"/>
      </w:tblGrid>
      <w:tr w:rsidRPr="00413D1D" w:rsidR="008721E8" w:rsidTr="0ED4F347" w14:paraId="729AFCE9"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0000000000" w:firstRow="0" w:lastRow="0" w:firstColumn="0" w:lastColumn="0" w:oddVBand="0" w:evenVBand="0" w:oddHBand="0" w:evenHBand="0" w:firstRowFirstColumn="0" w:firstRowLastColumn="0" w:lastRowFirstColumn="0" w:lastRowLastColumn="0"/>
            <w:tcW w:w="2283" w:type="dxa"/>
            <w:tcMar/>
          </w:tcPr>
          <w:p w:rsidRPr="00413D1D" w:rsidR="008721E8" w:rsidP="006E48B1" w:rsidRDefault="008721E8" w14:paraId="06DEBECA" w14:textId="77777777">
            <w:pPr>
              <w:jc w:val="center"/>
            </w:pPr>
            <w:r w:rsidRPr="00413D1D">
              <w:rPr>
                <w:rFonts w:eastAsia="Arial"/>
                <w:b/>
                <w:color w:val="000000" w:themeColor="text1"/>
                <w:sz w:val="17"/>
                <w:szCs w:val="17"/>
              </w:rPr>
              <w:t>Ítem</w:t>
            </w:r>
          </w:p>
        </w:tc>
        <w:tc>
          <w:tcPr>
            <w:cnfStyle w:val="000000000000" w:firstRow="0" w:lastRow="0" w:firstColumn="0" w:lastColumn="0" w:oddVBand="0" w:evenVBand="0" w:oddHBand="0" w:evenHBand="0" w:firstRowFirstColumn="0" w:firstRowLastColumn="0" w:lastRowFirstColumn="0" w:lastRowLastColumn="0"/>
            <w:tcW w:w="8355" w:type="dxa"/>
            <w:tcMar/>
          </w:tcPr>
          <w:p w:rsidRPr="00413D1D" w:rsidR="008721E8" w:rsidP="006E48B1" w:rsidRDefault="008721E8" w14:paraId="2A49F725" w14:textId="77777777">
            <w:pPr>
              <w:jc w:val="center"/>
            </w:pPr>
            <w:r w:rsidRPr="00413D1D">
              <w:rPr>
                <w:rFonts w:eastAsia="Arial"/>
                <w:b/>
                <w:color w:val="000000" w:themeColor="text1"/>
                <w:sz w:val="17"/>
                <w:szCs w:val="17"/>
              </w:rPr>
              <w:t>Análisis</w:t>
            </w:r>
          </w:p>
        </w:tc>
      </w:tr>
      <w:tr w:rsidRPr="00413D1D" w:rsidR="008721E8" w:rsidTr="0ED4F347" w14:paraId="7785BD6B" w14:textId="77777777">
        <w:trPr>
          <w:trHeight w:val="285"/>
        </w:trPr>
        <w:tc>
          <w:tcPr>
            <w:cnfStyle w:val="000000000000" w:firstRow="0" w:lastRow="0" w:firstColumn="0" w:lastColumn="0" w:oddVBand="0" w:evenVBand="0" w:oddHBand="0" w:evenHBand="0" w:firstRowFirstColumn="0" w:firstRowLastColumn="0" w:lastRowFirstColumn="0" w:lastRowLastColumn="0"/>
            <w:tcW w:w="2283" w:type="dxa"/>
            <w:vMerge w:val="restart"/>
            <w:tcMar/>
          </w:tcPr>
          <w:p w:rsidRPr="00413D1D" w:rsidR="008721E8" w:rsidP="006E48B1" w:rsidRDefault="008721E8" w14:paraId="3EE578DF" w14:textId="77777777">
            <w:r w:rsidRPr="00413D1D">
              <w:rPr>
                <w:rFonts w:eastAsia="Arial"/>
                <w:color w:val="000000" w:themeColor="text1"/>
                <w:sz w:val="17"/>
                <w:szCs w:val="17"/>
              </w:rPr>
              <w:t>Condición:</w:t>
            </w:r>
          </w:p>
        </w:tc>
        <w:tc>
          <w:tcPr>
            <w:cnfStyle w:val="000000000000" w:firstRow="0" w:lastRow="0" w:firstColumn="0" w:lastColumn="0" w:oddVBand="0" w:evenVBand="0" w:oddHBand="0" w:evenHBand="0" w:firstRowFirstColumn="0" w:firstRowLastColumn="0" w:lastRowFirstColumn="0" w:lastRowLastColumn="0"/>
            <w:tcW w:w="8355" w:type="dxa"/>
            <w:vMerge w:val="restart"/>
            <w:tcMar/>
          </w:tcPr>
          <w:p w:rsidRPr="00413D1D" w:rsidR="008721E8" w:rsidP="006E48B1" w:rsidRDefault="008721E8" w14:paraId="045AD12A" w14:textId="77777777">
            <w:r w:rsidRPr="00413D1D">
              <w:rPr>
                <w:rFonts w:eastAsia="Arial"/>
                <w:color w:val="000000" w:themeColor="text1"/>
                <w:sz w:val="17"/>
                <w:szCs w:val="17"/>
              </w:rPr>
              <w:t>Decreto 1082/2015 – Art. 2.2.1.1.1.7.1. Ley 1474/2011 – Art. 83.</w:t>
            </w:r>
          </w:p>
          <w:p w:rsidRPr="00413D1D" w:rsidR="008721E8" w:rsidP="006E48B1" w:rsidRDefault="008721E8" w14:paraId="2B16FD0B" w14:textId="77777777">
            <w:r w:rsidRPr="00413D1D">
              <w:rPr>
                <w:rFonts w:eastAsia="Arial"/>
                <w:sz w:val="17"/>
                <w:szCs w:val="17"/>
              </w:rPr>
              <w:t xml:space="preserve"> </w:t>
            </w:r>
          </w:p>
          <w:p w:rsidRPr="00413D1D" w:rsidR="008721E8" w:rsidP="006E48B1" w:rsidRDefault="008721E8" w14:paraId="2BF65F19" w14:textId="77777777">
            <w:r w:rsidRPr="00413D1D">
              <w:rPr>
                <w:rFonts w:eastAsia="Arial"/>
                <w:color w:val="000000" w:themeColor="text1"/>
                <w:sz w:val="17"/>
                <w:szCs w:val="17"/>
              </w:rPr>
              <w:t xml:space="preserve">No se evidencian informes de supervisión publicados en SECOP II desde el inicio de la ejecución del convenio (02/07/2025). En el expediente físico obra solo un </w:t>
            </w:r>
            <w:r w:rsidRPr="00413D1D">
              <w:rPr>
                <w:rFonts w:eastAsia="Arial"/>
                <w:color w:val="000000" w:themeColor="text1"/>
                <w:sz w:val="17"/>
                <w:szCs w:val="17"/>
              </w:rPr>
              <w:lastRenderedPageBreak/>
              <w:t xml:space="preserve">informe de supervisión (Folio 75). Asimismo, los informes de actividades del Municipio de </w:t>
            </w:r>
            <w:proofErr w:type="spellStart"/>
            <w:r w:rsidRPr="00413D1D">
              <w:rPr>
                <w:rFonts w:eastAsia="Arial"/>
                <w:color w:val="000000" w:themeColor="text1"/>
                <w:sz w:val="17"/>
                <w:szCs w:val="17"/>
              </w:rPr>
              <w:t>Paratebueno</w:t>
            </w:r>
            <w:proofErr w:type="spellEnd"/>
            <w:r w:rsidRPr="00413D1D">
              <w:rPr>
                <w:rFonts w:eastAsia="Arial"/>
                <w:color w:val="000000" w:themeColor="text1"/>
                <w:sz w:val="17"/>
                <w:szCs w:val="17"/>
              </w:rPr>
              <w:t xml:space="preserve"> no están publicados en la plataforma.</w:t>
            </w:r>
          </w:p>
          <w:p w:rsidRPr="00413D1D" w:rsidR="008721E8" w:rsidP="006E48B1" w:rsidRDefault="008721E8" w14:paraId="25AAFC3A" w14:textId="77777777">
            <w:r w:rsidRPr="00413D1D">
              <w:rPr>
                <w:rFonts w:eastAsia="Arial"/>
                <w:sz w:val="17"/>
                <w:szCs w:val="17"/>
              </w:rPr>
              <w:t xml:space="preserve"> </w:t>
            </w:r>
          </w:p>
          <w:p w:rsidRPr="00413D1D" w:rsidR="008721E8" w:rsidP="006E48B1" w:rsidRDefault="008721E8" w14:paraId="2B9B151D" w14:textId="77777777">
            <w:r w:rsidRPr="00413D1D">
              <w:rPr>
                <w:rFonts w:eastAsia="Arial"/>
                <w:color w:val="000000" w:themeColor="text1"/>
                <w:sz w:val="17"/>
                <w:szCs w:val="17"/>
              </w:rPr>
              <w:t>El supervisor del convenio no ha dado cumplimiento a la obligación de presentar y publicar informes mensuales de seguimiento técnico, financiero y administrativo conforme a las obligaciones del convenio y el Manual de Gestión Contractual.</w:t>
            </w:r>
          </w:p>
        </w:tc>
      </w:tr>
      <w:tr w:rsidRPr="00413D1D" w:rsidR="008721E8" w:rsidTr="0ED4F347" w14:paraId="2AB870F0" w14:textId="77777777">
        <w:trPr>
          <w:cnfStyle w:val="000000100000" w:firstRow="0" w:lastRow="0" w:firstColumn="0" w:lastColumn="0" w:oddVBand="0" w:evenVBand="0" w:oddHBand="1" w:evenHBand="0" w:firstRowFirstColumn="0" w:firstRowLastColumn="0" w:lastRowFirstColumn="0" w:lastRowLastColumn="0"/>
          <w:trHeight w:val="285"/>
        </w:trPr>
        <w:tc>
          <w:tcPr>
            <w:cnfStyle w:val="000000000000" w:firstRow="0" w:lastRow="0" w:firstColumn="0" w:lastColumn="0" w:oddVBand="0" w:evenVBand="0" w:oddHBand="0" w:evenHBand="0" w:firstRowFirstColumn="0" w:firstRowLastColumn="0" w:lastRowFirstColumn="0" w:lastRowLastColumn="0"/>
            <w:tcW w:w="2283" w:type="dxa"/>
            <w:vMerge/>
            <w:tcMar/>
          </w:tcPr>
          <w:p w:rsidRPr="00413D1D" w:rsidR="008721E8" w:rsidP="006E48B1" w:rsidRDefault="008721E8" w14:paraId="60C0A170" w14:textId="77777777"/>
        </w:tc>
        <w:tc>
          <w:tcPr>
            <w:cnfStyle w:val="000000000000" w:firstRow="0" w:lastRow="0" w:firstColumn="0" w:lastColumn="0" w:oddVBand="0" w:evenVBand="0" w:oddHBand="0" w:evenHBand="0" w:firstRowFirstColumn="0" w:firstRowLastColumn="0" w:lastRowFirstColumn="0" w:lastRowLastColumn="0"/>
            <w:tcW w:w="8355" w:type="dxa"/>
            <w:vMerge/>
            <w:tcMar/>
          </w:tcPr>
          <w:p w:rsidRPr="00413D1D" w:rsidR="008721E8" w:rsidP="006E48B1" w:rsidRDefault="008721E8" w14:paraId="58FE315C" w14:textId="77777777"/>
        </w:tc>
      </w:tr>
      <w:tr w:rsidRPr="00413D1D" w:rsidR="008721E8" w:rsidTr="0ED4F347" w14:paraId="0C6396BD" w14:textId="77777777">
        <w:trPr>
          <w:trHeight w:val="285"/>
        </w:trPr>
        <w:tc>
          <w:tcPr>
            <w:cnfStyle w:val="000000000000" w:firstRow="0" w:lastRow="0" w:firstColumn="0" w:lastColumn="0" w:oddVBand="0" w:evenVBand="0" w:oddHBand="0" w:evenHBand="0" w:firstRowFirstColumn="0" w:firstRowLastColumn="0" w:lastRowFirstColumn="0" w:lastRowLastColumn="0"/>
            <w:tcW w:w="2283" w:type="dxa"/>
            <w:vMerge/>
            <w:tcMar/>
          </w:tcPr>
          <w:p w:rsidRPr="00413D1D" w:rsidR="008721E8" w:rsidP="006E48B1" w:rsidRDefault="008721E8" w14:paraId="00D16ADA" w14:textId="77777777"/>
        </w:tc>
        <w:tc>
          <w:tcPr>
            <w:cnfStyle w:val="000000000000" w:firstRow="0" w:lastRow="0" w:firstColumn="0" w:lastColumn="0" w:oddVBand="0" w:evenVBand="0" w:oddHBand="0" w:evenHBand="0" w:firstRowFirstColumn="0" w:firstRowLastColumn="0" w:lastRowFirstColumn="0" w:lastRowLastColumn="0"/>
            <w:tcW w:w="8355" w:type="dxa"/>
            <w:vMerge/>
            <w:tcMar/>
          </w:tcPr>
          <w:p w:rsidRPr="00413D1D" w:rsidR="008721E8" w:rsidP="006E48B1" w:rsidRDefault="008721E8" w14:paraId="7CFCE17E" w14:textId="77777777"/>
        </w:tc>
      </w:tr>
      <w:tr w:rsidRPr="00413D1D" w:rsidR="008721E8" w:rsidTr="0ED4F347" w14:paraId="02384D3C"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0000000000" w:firstRow="0" w:lastRow="0" w:firstColumn="0" w:lastColumn="0" w:oddVBand="0" w:evenVBand="0" w:oddHBand="0" w:evenHBand="0" w:firstRowFirstColumn="0" w:firstRowLastColumn="0" w:lastRowFirstColumn="0" w:lastRowLastColumn="0"/>
            <w:tcW w:w="2283" w:type="dxa"/>
            <w:tcMar/>
          </w:tcPr>
          <w:p w:rsidRPr="00413D1D" w:rsidR="008721E8" w:rsidP="006E48B1" w:rsidRDefault="008721E8" w14:paraId="639A8854" w14:textId="77777777">
            <w:r w:rsidRPr="00413D1D">
              <w:rPr>
                <w:rFonts w:eastAsia="Arial"/>
                <w:color w:val="000000" w:themeColor="text1"/>
                <w:sz w:val="17"/>
                <w:szCs w:val="17"/>
              </w:rPr>
              <w:lastRenderedPageBreak/>
              <w:t>Efecto:</w:t>
            </w:r>
          </w:p>
        </w:tc>
        <w:tc>
          <w:tcPr>
            <w:cnfStyle w:val="000000000000" w:firstRow="0" w:lastRow="0" w:firstColumn="0" w:lastColumn="0" w:oddVBand="0" w:evenVBand="0" w:oddHBand="0" w:evenHBand="0" w:firstRowFirstColumn="0" w:firstRowLastColumn="0" w:lastRowFirstColumn="0" w:lastRowLastColumn="0"/>
            <w:tcW w:w="8355" w:type="dxa"/>
            <w:tcMar/>
          </w:tcPr>
          <w:p w:rsidRPr="00413D1D" w:rsidR="008721E8" w:rsidP="006E48B1" w:rsidRDefault="008721E8" w14:paraId="3A6CFD25" w14:textId="77777777">
            <w:r w:rsidRPr="00413D1D">
              <w:rPr>
                <w:rFonts w:eastAsia="Arial"/>
                <w:color w:val="000000" w:themeColor="text1"/>
                <w:sz w:val="17"/>
                <w:szCs w:val="17"/>
              </w:rPr>
              <w:t>Ausencia de evidencia documentada sobre el avance del convenio. Imposibilidad de verificar públicamente el cumplimiento de las campañas de mitigación del riesgo, la ejecución de los recursos y el aporte en especie del municipio. Riesgo de hallazgo fiscal si se demuestra que los recursos no fueron ejecutados conforme al objeto.</w:t>
            </w:r>
          </w:p>
        </w:tc>
      </w:tr>
      <w:tr w:rsidRPr="00413D1D" w:rsidR="008721E8" w:rsidTr="0ED4F347" w14:paraId="159AB72C" w14:textId="77777777">
        <w:trPr>
          <w:trHeight w:val="300"/>
        </w:trPr>
        <w:tc>
          <w:tcPr>
            <w:cnfStyle w:val="000000000000" w:firstRow="0" w:lastRow="0" w:firstColumn="0" w:lastColumn="0" w:oddVBand="0" w:evenVBand="0" w:oddHBand="0" w:evenHBand="0" w:firstRowFirstColumn="0" w:firstRowLastColumn="0" w:lastRowFirstColumn="0" w:lastRowLastColumn="0"/>
            <w:tcW w:w="2283" w:type="dxa"/>
            <w:tcMar/>
          </w:tcPr>
          <w:p w:rsidRPr="00413D1D" w:rsidR="008721E8" w:rsidP="006E48B1" w:rsidRDefault="008721E8" w14:paraId="44F7B3A4" w14:textId="77777777">
            <w:r w:rsidRPr="00413D1D">
              <w:rPr>
                <w:rFonts w:eastAsia="Arial"/>
                <w:color w:val="000000" w:themeColor="text1"/>
                <w:sz w:val="17"/>
                <w:szCs w:val="17"/>
              </w:rPr>
              <w:t>Norma vulnerada:</w:t>
            </w:r>
          </w:p>
        </w:tc>
        <w:tc>
          <w:tcPr>
            <w:cnfStyle w:val="000000000000" w:firstRow="0" w:lastRow="0" w:firstColumn="0" w:lastColumn="0" w:oddVBand="0" w:evenVBand="0" w:oddHBand="0" w:evenHBand="0" w:firstRowFirstColumn="0" w:firstRowLastColumn="0" w:lastRowFirstColumn="0" w:lastRowLastColumn="0"/>
            <w:tcW w:w="8355" w:type="dxa"/>
            <w:tcMar/>
          </w:tcPr>
          <w:p w:rsidRPr="00413D1D" w:rsidR="008721E8" w:rsidP="006E48B1" w:rsidRDefault="008721E8" w14:paraId="6DB360F0" w14:textId="77777777">
            <w:r w:rsidRPr="00413D1D">
              <w:rPr>
                <w:rFonts w:eastAsia="Arial"/>
                <w:color w:val="000000" w:themeColor="text1"/>
                <w:sz w:val="17"/>
                <w:szCs w:val="17"/>
              </w:rPr>
              <w:t>Decreto 1082/2015 – Art. 2.2.1.1.1.7.1. Manual de Contratación. Cláusula 2.4.4 del Convenio.</w:t>
            </w:r>
          </w:p>
        </w:tc>
      </w:tr>
      <w:tr w:rsidRPr="00413D1D" w:rsidR="008721E8" w:rsidTr="0ED4F347" w14:paraId="55FD4341"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0000000000" w:firstRow="0" w:lastRow="0" w:firstColumn="0" w:lastColumn="0" w:oddVBand="0" w:evenVBand="0" w:oddHBand="0" w:evenHBand="0" w:firstRowFirstColumn="0" w:firstRowLastColumn="0" w:lastRowFirstColumn="0" w:lastRowLastColumn="0"/>
            <w:tcW w:w="2283" w:type="dxa"/>
            <w:tcMar/>
          </w:tcPr>
          <w:p w:rsidRPr="00413D1D" w:rsidR="008721E8" w:rsidP="006E48B1" w:rsidRDefault="008721E8" w14:paraId="6B71E0AF" w14:textId="77777777">
            <w:r w:rsidRPr="00413D1D">
              <w:rPr>
                <w:rFonts w:eastAsia="Arial"/>
                <w:color w:val="000000" w:themeColor="text1"/>
                <w:sz w:val="17"/>
                <w:szCs w:val="17"/>
              </w:rPr>
              <w:t>Recomendación:</w:t>
            </w:r>
          </w:p>
        </w:tc>
        <w:tc>
          <w:tcPr>
            <w:cnfStyle w:val="000000000000" w:firstRow="0" w:lastRow="0" w:firstColumn="0" w:lastColumn="0" w:oddVBand="0" w:evenVBand="0" w:oddHBand="0" w:evenHBand="0" w:firstRowFirstColumn="0" w:firstRowLastColumn="0" w:lastRowFirstColumn="0" w:lastRowLastColumn="0"/>
            <w:tcW w:w="8355" w:type="dxa"/>
            <w:tcMar/>
          </w:tcPr>
          <w:p w:rsidRPr="00413D1D" w:rsidR="008721E8" w:rsidP="006E48B1" w:rsidRDefault="008721E8" w14:paraId="0AC58147" w14:textId="77777777">
            <w:r w:rsidRPr="00413D1D">
              <w:rPr>
                <w:rFonts w:eastAsia="Arial"/>
                <w:color w:val="000000" w:themeColor="text1"/>
                <w:sz w:val="17"/>
                <w:szCs w:val="17"/>
              </w:rPr>
              <w:t xml:space="preserve">El Supervisor debe publicar de inmediato los informes de supervisión pendientes en SECOP II y establecer un cronograma mensual de seguimiento y reporte. Exigir al Municipio de </w:t>
            </w:r>
            <w:proofErr w:type="spellStart"/>
            <w:r w:rsidRPr="00413D1D">
              <w:rPr>
                <w:rFonts w:eastAsia="Arial"/>
                <w:color w:val="000000" w:themeColor="text1"/>
                <w:sz w:val="17"/>
                <w:szCs w:val="17"/>
              </w:rPr>
              <w:t>Paratebueno</w:t>
            </w:r>
            <w:proofErr w:type="spellEnd"/>
            <w:r w:rsidRPr="00413D1D">
              <w:rPr>
                <w:rFonts w:eastAsia="Arial"/>
                <w:color w:val="000000" w:themeColor="text1"/>
                <w:sz w:val="17"/>
                <w:szCs w:val="17"/>
              </w:rPr>
              <w:t xml:space="preserve"> la presentación de los informes de actividades mensuales comprometidos en el convenio.</w:t>
            </w:r>
          </w:p>
        </w:tc>
      </w:tr>
    </w:tbl>
    <w:p w:rsidRPr="00413D1D" w:rsidR="008721E8" w:rsidP="008721E8" w:rsidRDefault="008721E8" w14:paraId="7009F2DF" w14:textId="77777777">
      <w:pPr>
        <w:spacing w:line="240" w:lineRule="auto"/>
        <w:rPr>
          <w:color w:val="FF0000"/>
          <w:highlight w:val="yellow"/>
        </w:rPr>
      </w:pPr>
    </w:p>
    <w:p w:rsidRPr="00263512" w:rsidR="008721E8" w:rsidP="0ED4F347" w:rsidRDefault="008721E8" w14:paraId="48B7422F" w14:textId="6B7AC8C7">
      <w:pPr>
        <w:pStyle w:val="Descripcin"/>
        <w:keepNext w:val="1"/>
        <w:rPr>
          <w:rFonts w:ascii="Arial" w:hAnsi="Arial" w:eastAsia="Arial" w:cs="Arial"/>
          <w:i w:val="0"/>
          <w:iCs w:val="0"/>
          <w:color w:val="auto" w:themeColor="text2"/>
          <w:sz w:val="24"/>
          <w:szCs w:val="24"/>
        </w:rPr>
      </w:pPr>
      <w:bookmarkStart w:name="_Toc227164202" w:id="75"/>
      <w:r w:rsidRPr="0ED4F347" w:rsidR="6994FB4E">
        <w:rPr>
          <w:rFonts w:ascii="Arial" w:hAnsi="Arial" w:eastAsia="Arial" w:cs="Arial"/>
          <w:i w:val="0"/>
          <w:iCs w:val="0"/>
          <w:color w:val="auto"/>
          <w:sz w:val="24"/>
          <w:szCs w:val="24"/>
        </w:rPr>
        <w:t xml:space="preserve">Tabla </w:t>
      </w:r>
      <w:r w:rsidRPr="0ED4F347" w:rsidR="170BC26C">
        <w:rPr>
          <w:rFonts w:ascii="Arial" w:hAnsi="Arial" w:eastAsia="Arial" w:cs="Arial"/>
          <w:i w:val="0"/>
          <w:iCs w:val="0"/>
          <w:color w:val="auto"/>
          <w:sz w:val="24"/>
          <w:szCs w:val="24"/>
        </w:rPr>
        <w:t>1</w:t>
      </w:r>
      <w:r w:rsidRPr="0ED4F347" w:rsidR="4255CE78">
        <w:rPr>
          <w:rFonts w:ascii="Arial" w:hAnsi="Arial" w:eastAsia="Arial" w:cs="Arial"/>
          <w:i w:val="0"/>
          <w:iCs w:val="0"/>
          <w:color w:val="auto"/>
          <w:sz w:val="24"/>
          <w:szCs w:val="24"/>
        </w:rPr>
        <w:t>6</w:t>
      </w:r>
      <w:r w:rsidRPr="0ED4F347" w:rsidR="6994FB4E">
        <w:rPr>
          <w:rFonts w:ascii="Arial" w:hAnsi="Arial" w:eastAsia="Arial" w:cs="Arial"/>
          <w:i w:val="0"/>
          <w:iCs w:val="0"/>
          <w:color w:val="auto"/>
          <w:sz w:val="24"/>
          <w:szCs w:val="24"/>
        </w:rPr>
        <w:t xml:space="preserve">. Convenio Interadministrativo UAEGRD-CD-CVI-123-2025 – Municipio de </w:t>
      </w:r>
      <w:r w:rsidRPr="0ED4F347" w:rsidR="6994FB4E">
        <w:rPr>
          <w:rFonts w:ascii="Arial" w:hAnsi="Arial" w:eastAsia="Arial" w:cs="Arial"/>
          <w:i w:val="0"/>
          <w:iCs w:val="0"/>
          <w:color w:val="auto"/>
          <w:sz w:val="24"/>
          <w:szCs w:val="24"/>
        </w:rPr>
        <w:t>Paratebueno</w:t>
      </w:r>
      <w:r w:rsidRPr="0ED4F347" w:rsidR="6994FB4E">
        <w:rPr>
          <w:rFonts w:ascii="Arial" w:hAnsi="Arial" w:eastAsia="Arial" w:cs="Arial"/>
          <w:i w:val="0"/>
          <w:iCs w:val="0"/>
          <w:color w:val="auto"/>
          <w:sz w:val="24"/>
          <w:szCs w:val="24"/>
        </w:rPr>
        <w:t xml:space="preserve"> - Observación 2</w:t>
      </w:r>
      <w:bookmarkEnd w:id="75"/>
    </w:p>
    <w:tbl>
      <w:tblPr>
        <w:tblStyle w:val="Tablanormal1"/>
        <w:tblW w:w="10668" w:type="dxa"/>
        <w:tblLook w:val="0400" w:firstRow="0" w:lastRow="0" w:firstColumn="0" w:lastColumn="0" w:noHBand="0" w:noVBand="1"/>
      </w:tblPr>
      <w:tblGrid>
        <w:gridCol w:w="2283"/>
        <w:gridCol w:w="8385"/>
      </w:tblGrid>
      <w:tr w:rsidRPr="00413D1D" w:rsidR="008721E8" w:rsidTr="0ED4F347" w14:paraId="7538B40F"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0000000000" w:firstRow="0" w:lastRow="0" w:firstColumn="0" w:lastColumn="0" w:oddVBand="0" w:evenVBand="0" w:oddHBand="0" w:evenHBand="0" w:firstRowFirstColumn="0" w:firstRowLastColumn="0" w:lastRowFirstColumn="0" w:lastRowLastColumn="0"/>
            <w:tcW w:w="2283" w:type="dxa"/>
            <w:tcMar/>
          </w:tcPr>
          <w:p w:rsidRPr="00413D1D" w:rsidR="008721E8" w:rsidP="006E48B1" w:rsidRDefault="008721E8" w14:paraId="3972D194" w14:textId="77777777">
            <w:pPr>
              <w:jc w:val="center"/>
            </w:pPr>
            <w:r w:rsidRPr="00413D1D">
              <w:rPr>
                <w:rFonts w:eastAsia="Arial"/>
                <w:b/>
                <w:color w:val="000000" w:themeColor="text1"/>
                <w:sz w:val="17"/>
                <w:szCs w:val="17"/>
              </w:rPr>
              <w:t>Ítem</w:t>
            </w:r>
          </w:p>
        </w:tc>
        <w:tc>
          <w:tcPr>
            <w:cnfStyle w:val="000000000000" w:firstRow="0" w:lastRow="0" w:firstColumn="0" w:lastColumn="0" w:oddVBand="0" w:evenVBand="0" w:oddHBand="0" w:evenHBand="0" w:firstRowFirstColumn="0" w:firstRowLastColumn="0" w:lastRowFirstColumn="0" w:lastRowLastColumn="0"/>
            <w:tcW w:w="8385" w:type="dxa"/>
            <w:tcMar/>
          </w:tcPr>
          <w:p w:rsidRPr="00413D1D" w:rsidR="008721E8" w:rsidP="006E48B1" w:rsidRDefault="008721E8" w14:paraId="04DEDFB4" w14:textId="77777777">
            <w:pPr>
              <w:jc w:val="center"/>
            </w:pPr>
            <w:r w:rsidRPr="00413D1D">
              <w:rPr>
                <w:rFonts w:eastAsia="Arial"/>
                <w:b/>
                <w:color w:val="000000" w:themeColor="text1"/>
                <w:sz w:val="17"/>
                <w:szCs w:val="17"/>
              </w:rPr>
              <w:t>Análisis</w:t>
            </w:r>
          </w:p>
        </w:tc>
      </w:tr>
      <w:tr w:rsidRPr="00413D1D" w:rsidR="008721E8" w:rsidTr="0ED4F347" w14:paraId="4F0AC44E" w14:textId="77777777">
        <w:trPr>
          <w:trHeight w:val="285"/>
        </w:trPr>
        <w:tc>
          <w:tcPr>
            <w:cnfStyle w:val="000000000000" w:firstRow="0" w:lastRow="0" w:firstColumn="0" w:lastColumn="0" w:oddVBand="0" w:evenVBand="0" w:oddHBand="0" w:evenHBand="0" w:firstRowFirstColumn="0" w:firstRowLastColumn="0" w:lastRowFirstColumn="0" w:lastRowLastColumn="0"/>
            <w:tcW w:w="2283" w:type="dxa"/>
            <w:vMerge w:val="restart"/>
            <w:tcMar/>
          </w:tcPr>
          <w:p w:rsidRPr="00413D1D" w:rsidR="008721E8" w:rsidP="006E48B1" w:rsidRDefault="008721E8" w14:paraId="1B60A215" w14:textId="77777777">
            <w:r w:rsidRPr="00413D1D">
              <w:rPr>
                <w:rFonts w:eastAsia="Arial"/>
                <w:color w:val="000000" w:themeColor="text1"/>
                <w:sz w:val="17"/>
                <w:szCs w:val="17"/>
              </w:rPr>
              <w:t xml:space="preserve">Condición: </w:t>
            </w:r>
          </w:p>
          <w:p w:rsidRPr="00413D1D" w:rsidR="008721E8" w:rsidP="006E48B1" w:rsidRDefault="008721E8" w14:paraId="6536B234" w14:textId="77777777">
            <w:r w:rsidRPr="00413D1D">
              <w:rPr>
                <w:rFonts w:eastAsia="Arial"/>
                <w:sz w:val="20"/>
                <w:szCs w:val="20"/>
              </w:rPr>
              <w:t xml:space="preserve"> </w:t>
            </w:r>
          </w:p>
        </w:tc>
        <w:tc>
          <w:tcPr>
            <w:cnfStyle w:val="000000000000" w:firstRow="0" w:lastRow="0" w:firstColumn="0" w:lastColumn="0" w:oddVBand="0" w:evenVBand="0" w:oddHBand="0" w:evenHBand="0" w:firstRowFirstColumn="0" w:firstRowLastColumn="0" w:lastRowFirstColumn="0" w:lastRowLastColumn="0"/>
            <w:tcW w:w="8385" w:type="dxa"/>
            <w:vMerge w:val="restart"/>
            <w:tcMar/>
          </w:tcPr>
          <w:p w:rsidRPr="00413D1D" w:rsidR="008721E8" w:rsidP="006E48B1" w:rsidRDefault="008721E8" w14:paraId="7E5F6607" w14:textId="77777777">
            <w:r w:rsidRPr="00413D1D">
              <w:rPr>
                <w:rFonts w:eastAsia="Arial"/>
                <w:color w:val="000000" w:themeColor="text1"/>
                <w:sz w:val="17"/>
                <w:szCs w:val="17"/>
              </w:rPr>
              <w:t>Estudio Previo CD-CVI-004-2025, Numeral 4. Obligaciones específicas del Municipio, numeral 8.</w:t>
            </w:r>
          </w:p>
          <w:p w:rsidRPr="00413D1D" w:rsidR="008721E8" w:rsidP="006E48B1" w:rsidRDefault="008721E8" w14:paraId="2CDA2563" w14:textId="77777777">
            <w:r w:rsidRPr="00413D1D">
              <w:rPr>
                <w:rFonts w:eastAsia="Arial"/>
                <w:sz w:val="17"/>
                <w:szCs w:val="17"/>
              </w:rPr>
              <w:t xml:space="preserve"> </w:t>
            </w:r>
          </w:p>
          <w:p w:rsidRPr="00413D1D" w:rsidR="008721E8" w:rsidP="006E48B1" w:rsidRDefault="008721E8" w14:paraId="47D910C5" w14:textId="77777777">
            <w:r w:rsidRPr="00413D1D">
              <w:rPr>
                <w:rFonts w:eastAsia="Arial"/>
                <w:color w:val="000000" w:themeColor="text1"/>
                <w:sz w:val="17"/>
                <w:szCs w:val="17"/>
              </w:rPr>
              <w:t xml:space="preserve">No se verificó en los archivos disponibles la documentación que acredite formalmente el aporte en especie del Municipio de </w:t>
            </w:r>
            <w:proofErr w:type="spellStart"/>
            <w:r w:rsidRPr="00413D1D">
              <w:rPr>
                <w:rFonts w:eastAsia="Arial"/>
                <w:color w:val="000000" w:themeColor="text1"/>
                <w:sz w:val="17"/>
                <w:szCs w:val="17"/>
              </w:rPr>
              <w:t>Paratebueno</w:t>
            </w:r>
            <w:proofErr w:type="spellEnd"/>
            <w:r w:rsidRPr="00413D1D">
              <w:rPr>
                <w:rFonts w:eastAsia="Arial"/>
                <w:color w:val="000000" w:themeColor="text1"/>
                <w:sz w:val="17"/>
                <w:szCs w:val="17"/>
              </w:rPr>
              <w:t xml:space="preserve"> ($10.000.000 COP), el cual comprende personal administrativo, espacios físicos y transporte. El informe de actividades del municipio hace referencia a actividades </w:t>
            </w:r>
            <w:proofErr w:type="gramStart"/>
            <w:r w:rsidRPr="00413D1D">
              <w:rPr>
                <w:rFonts w:eastAsia="Arial"/>
                <w:color w:val="000000" w:themeColor="text1"/>
                <w:sz w:val="17"/>
                <w:szCs w:val="17"/>
              </w:rPr>
              <w:t>realizadas</w:t>
            </w:r>
            <w:proofErr w:type="gramEnd"/>
            <w:r w:rsidRPr="00413D1D">
              <w:rPr>
                <w:rFonts w:eastAsia="Arial"/>
                <w:color w:val="000000" w:themeColor="text1"/>
                <w:sz w:val="17"/>
                <w:szCs w:val="17"/>
              </w:rPr>
              <w:t xml:space="preserve"> pero sin cuantificación del aporte.</w:t>
            </w:r>
          </w:p>
          <w:p w:rsidRPr="00413D1D" w:rsidR="008721E8" w:rsidP="006E48B1" w:rsidRDefault="008721E8" w14:paraId="6D652C2E" w14:textId="77777777">
            <w:r w:rsidRPr="00413D1D">
              <w:rPr>
                <w:rFonts w:eastAsia="Arial"/>
                <w:sz w:val="17"/>
                <w:szCs w:val="17"/>
              </w:rPr>
              <w:t xml:space="preserve"> </w:t>
            </w:r>
          </w:p>
          <w:p w:rsidRPr="00413D1D" w:rsidR="008721E8" w:rsidP="006E48B1" w:rsidRDefault="008721E8" w14:paraId="5D5CE003" w14:textId="77777777">
            <w:r w:rsidRPr="00413D1D">
              <w:rPr>
                <w:rFonts w:eastAsia="Arial"/>
                <w:color w:val="000000" w:themeColor="text1"/>
                <w:sz w:val="17"/>
                <w:szCs w:val="17"/>
              </w:rPr>
              <w:t>El convenio no prevé un mecanismo formal de acreditación y cuantificación del aporte en especie del municipio, y el supervisor no ha exigido soportes que demuestren el valor comprometido.</w:t>
            </w:r>
          </w:p>
        </w:tc>
      </w:tr>
      <w:tr w:rsidRPr="00413D1D" w:rsidR="008721E8" w:rsidTr="0ED4F347" w14:paraId="6DA84B96" w14:textId="77777777">
        <w:trPr>
          <w:cnfStyle w:val="000000100000" w:firstRow="0" w:lastRow="0" w:firstColumn="0" w:lastColumn="0" w:oddVBand="0" w:evenVBand="0" w:oddHBand="1" w:evenHBand="0" w:firstRowFirstColumn="0" w:firstRowLastColumn="0" w:lastRowFirstColumn="0" w:lastRowLastColumn="0"/>
          <w:trHeight w:val="285"/>
        </w:trPr>
        <w:tc>
          <w:tcPr>
            <w:cnfStyle w:val="000000000000" w:firstRow="0" w:lastRow="0" w:firstColumn="0" w:lastColumn="0" w:oddVBand="0" w:evenVBand="0" w:oddHBand="0" w:evenHBand="0" w:firstRowFirstColumn="0" w:firstRowLastColumn="0" w:lastRowFirstColumn="0" w:lastRowLastColumn="0"/>
            <w:tcW w:w="2283" w:type="dxa"/>
            <w:vMerge/>
            <w:tcMar/>
          </w:tcPr>
          <w:p w:rsidRPr="00413D1D" w:rsidR="008721E8" w:rsidP="006E48B1" w:rsidRDefault="008721E8" w14:paraId="6B19CFC8" w14:textId="77777777"/>
        </w:tc>
        <w:tc>
          <w:tcPr>
            <w:cnfStyle w:val="000000000000" w:firstRow="0" w:lastRow="0" w:firstColumn="0" w:lastColumn="0" w:oddVBand="0" w:evenVBand="0" w:oddHBand="0" w:evenHBand="0" w:firstRowFirstColumn="0" w:firstRowLastColumn="0" w:lastRowFirstColumn="0" w:lastRowLastColumn="0"/>
            <w:tcW w:w="8385" w:type="dxa"/>
            <w:vMerge/>
            <w:tcMar/>
          </w:tcPr>
          <w:p w:rsidRPr="00413D1D" w:rsidR="008721E8" w:rsidP="006E48B1" w:rsidRDefault="008721E8" w14:paraId="584517A0" w14:textId="77777777"/>
        </w:tc>
      </w:tr>
      <w:tr w:rsidRPr="00413D1D" w:rsidR="008721E8" w:rsidTr="0ED4F347" w14:paraId="149BCBF6" w14:textId="77777777">
        <w:trPr>
          <w:trHeight w:val="285"/>
        </w:trPr>
        <w:tc>
          <w:tcPr>
            <w:cnfStyle w:val="000000000000" w:firstRow="0" w:lastRow="0" w:firstColumn="0" w:lastColumn="0" w:oddVBand="0" w:evenVBand="0" w:oddHBand="0" w:evenHBand="0" w:firstRowFirstColumn="0" w:firstRowLastColumn="0" w:lastRowFirstColumn="0" w:lastRowLastColumn="0"/>
            <w:tcW w:w="2283" w:type="dxa"/>
            <w:vMerge/>
            <w:tcMar/>
          </w:tcPr>
          <w:p w:rsidRPr="00413D1D" w:rsidR="008721E8" w:rsidP="006E48B1" w:rsidRDefault="008721E8" w14:paraId="6C6899FF" w14:textId="77777777"/>
        </w:tc>
        <w:tc>
          <w:tcPr>
            <w:cnfStyle w:val="000000000000" w:firstRow="0" w:lastRow="0" w:firstColumn="0" w:lastColumn="0" w:oddVBand="0" w:evenVBand="0" w:oddHBand="0" w:evenHBand="0" w:firstRowFirstColumn="0" w:firstRowLastColumn="0" w:lastRowFirstColumn="0" w:lastRowLastColumn="0"/>
            <w:tcW w:w="8385" w:type="dxa"/>
            <w:vMerge/>
            <w:tcMar/>
          </w:tcPr>
          <w:p w:rsidRPr="00413D1D" w:rsidR="008721E8" w:rsidP="006E48B1" w:rsidRDefault="008721E8" w14:paraId="03E8CA0B" w14:textId="77777777"/>
        </w:tc>
      </w:tr>
      <w:tr w:rsidRPr="00413D1D" w:rsidR="008721E8" w:rsidTr="0ED4F347" w14:paraId="6DFE5992"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0000000000" w:firstRow="0" w:lastRow="0" w:firstColumn="0" w:lastColumn="0" w:oddVBand="0" w:evenVBand="0" w:oddHBand="0" w:evenHBand="0" w:firstRowFirstColumn="0" w:firstRowLastColumn="0" w:lastRowFirstColumn="0" w:lastRowLastColumn="0"/>
            <w:tcW w:w="2283" w:type="dxa"/>
            <w:tcMar/>
          </w:tcPr>
          <w:p w:rsidRPr="00413D1D" w:rsidR="008721E8" w:rsidP="006E48B1" w:rsidRDefault="008721E8" w14:paraId="37EC462E" w14:textId="77777777">
            <w:r w:rsidRPr="00413D1D">
              <w:rPr>
                <w:rFonts w:eastAsia="Arial"/>
                <w:color w:val="000000" w:themeColor="text1"/>
                <w:sz w:val="17"/>
                <w:szCs w:val="17"/>
              </w:rPr>
              <w:t>Efecto:</w:t>
            </w:r>
          </w:p>
        </w:tc>
        <w:tc>
          <w:tcPr>
            <w:cnfStyle w:val="000000000000" w:firstRow="0" w:lastRow="0" w:firstColumn="0" w:lastColumn="0" w:oddVBand="0" w:evenVBand="0" w:oddHBand="0" w:evenHBand="0" w:firstRowFirstColumn="0" w:firstRowLastColumn="0" w:lastRowFirstColumn="0" w:lastRowLastColumn="0"/>
            <w:tcW w:w="8385" w:type="dxa"/>
            <w:tcMar/>
          </w:tcPr>
          <w:p w:rsidRPr="00413D1D" w:rsidR="008721E8" w:rsidP="006E48B1" w:rsidRDefault="008721E8" w14:paraId="7E4D13D2" w14:textId="77777777">
            <w:r w:rsidRPr="00413D1D">
              <w:rPr>
                <w:rFonts w:eastAsia="Arial"/>
                <w:color w:val="000000" w:themeColor="text1"/>
                <w:sz w:val="17"/>
                <w:szCs w:val="17"/>
              </w:rPr>
              <w:t>Sin la acreditación formal del aporte en especie, no es posible verificar que la relación costo-beneficio del convenio se cumplió según lo acordado. El aporte en especie no acreditado podría derivar en que el Departamento financió la totalidad de las actividades con sus recursos, sin la contrapartida municipal pactada.</w:t>
            </w:r>
          </w:p>
        </w:tc>
      </w:tr>
      <w:tr w:rsidRPr="00413D1D" w:rsidR="008721E8" w:rsidTr="0ED4F347" w14:paraId="4F0FA8EA" w14:textId="77777777">
        <w:trPr>
          <w:trHeight w:val="300"/>
        </w:trPr>
        <w:tc>
          <w:tcPr>
            <w:cnfStyle w:val="000000000000" w:firstRow="0" w:lastRow="0" w:firstColumn="0" w:lastColumn="0" w:oddVBand="0" w:evenVBand="0" w:oddHBand="0" w:evenHBand="0" w:firstRowFirstColumn="0" w:firstRowLastColumn="0" w:lastRowFirstColumn="0" w:lastRowLastColumn="0"/>
            <w:tcW w:w="2283" w:type="dxa"/>
            <w:tcMar/>
          </w:tcPr>
          <w:p w:rsidRPr="00413D1D" w:rsidR="008721E8" w:rsidP="006E48B1" w:rsidRDefault="008721E8" w14:paraId="51BF20A9" w14:textId="77777777">
            <w:r w:rsidRPr="00413D1D">
              <w:rPr>
                <w:rFonts w:eastAsia="Arial"/>
                <w:color w:val="000000" w:themeColor="text1"/>
                <w:sz w:val="17"/>
                <w:szCs w:val="17"/>
              </w:rPr>
              <w:t>Norma vulnerada:</w:t>
            </w:r>
          </w:p>
        </w:tc>
        <w:tc>
          <w:tcPr>
            <w:cnfStyle w:val="000000000000" w:firstRow="0" w:lastRow="0" w:firstColumn="0" w:lastColumn="0" w:oddVBand="0" w:evenVBand="0" w:oddHBand="0" w:evenHBand="0" w:firstRowFirstColumn="0" w:firstRowLastColumn="0" w:lastRowFirstColumn="0" w:lastRowLastColumn="0"/>
            <w:tcW w:w="8385" w:type="dxa"/>
            <w:tcMar/>
          </w:tcPr>
          <w:p w:rsidRPr="00413D1D" w:rsidR="008721E8" w:rsidP="006E48B1" w:rsidRDefault="008721E8" w14:paraId="2C54DF85" w14:textId="77777777">
            <w:r w:rsidRPr="00413D1D">
              <w:rPr>
                <w:rFonts w:eastAsia="Arial"/>
                <w:color w:val="000000" w:themeColor="text1"/>
                <w:sz w:val="17"/>
                <w:szCs w:val="17"/>
              </w:rPr>
              <w:t>Estudio Previo CD-CVI-004-2025, Numeral 4. Obligación específica del Municipio, numeral 8.</w:t>
            </w:r>
          </w:p>
        </w:tc>
      </w:tr>
      <w:tr w:rsidRPr="00413D1D" w:rsidR="008721E8" w:rsidTr="0ED4F347" w14:paraId="26F046B8"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0000000000" w:firstRow="0" w:lastRow="0" w:firstColumn="0" w:lastColumn="0" w:oddVBand="0" w:evenVBand="0" w:oddHBand="0" w:evenHBand="0" w:firstRowFirstColumn="0" w:firstRowLastColumn="0" w:lastRowFirstColumn="0" w:lastRowLastColumn="0"/>
            <w:tcW w:w="2283" w:type="dxa"/>
            <w:tcMar/>
          </w:tcPr>
          <w:p w:rsidRPr="00413D1D" w:rsidR="008721E8" w:rsidP="006E48B1" w:rsidRDefault="008721E8" w14:paraId="26CFEA4F" w14:textId="77777777">
            <w:r w:rsidRPr="00413D1D">
              <w:rPr>
                <w:rFonts w:eastAsia="Arial"/>
                <w:color w:val="000000" w:themeColor="text1"/>
                <w:sz w:val="17"/>
                <w:szCs w:val="17"/>
              </w:rPr>
              <w:t>Recomendación:</w:t>
            </w:r>
          </w:p>
        </w:tc>
        <w:tc>
          <w:tcPr>
            <w:cnfStyle w:val="000000000000" w:firstRow="0" w:lastRow="0" w:firstColumn="0" w:lastColumn="0" w:oddVBand="0" w:evenVBand="0" w:oddHBand="0" w:evenHBand="0" w:firstRowFirstColumn="0" w:firstRowLastColumn="0" w:lastRowFirstColumn="0" w:lastRowLastColumn="0"/>
            <w:tcW w:w="8385" w:type="dxa"/>
            <w:tcMar/>
          </w:tcPr>
          <w:p w:rsidRPr="00413D1D" w:rsidR="008721E8" w:rsidP="006E48B1" w:rsidRDefault="008721E8" w14:paraId="115C8F40" w14:textId="77777777">
            <w:r w:rsidRPr="00413D1D">
              <w:rPr>
                <w:rFonts w:eastAsia="Arial"/>
                <w:color w:val="000000" w:themeColor="text1"/>
                <w:sz w:val="17"/>
                <w:szCs w:val="17"/>
              </w:rPr>
              <w:t xml:space="preserve">Solicitar al Municipio de </w:t>
            </w:r>
            <w:proofErr w:type="spellStart"/>
            <w:r w:rsidRPr="00413D1D">
              <w:rPr>
                <w:rFonts w:eastAsia="Arial"/>
                <w:color w:val="000000" w:themeColor="text1"/>
                <w:sz w:val="17"/>
                <w:szCs w:val="17"/>
              </w:rPr>
              <w:t>Paratebueno</w:t>
            </w:r>
            <w:proofErr w:type="spellEnd"/>
            <w:r w:rsidRPr="00413D1D">
              <w:rPr>
                <w:rFonts w:eastAsia="Arial"/>
                <w:color w:val="000000" w:themeColor="text1"/>
                <w:sz w:val="17"/>
                <w:szCs w:val="17"/>
              </w:rPr>
              <w:t xml:space="preserve"> la presentación de soportes documentales que acrediten el valor del aporte en especie (nómina del personal asignado, contratos de transporte, disponibilidad de espacios). Verificar en el Acta de Liquidación que el aporte en especie sea cuantificado y acreditado formalmente.</w:t>
            </w:r>
          </w:p>
        </w:tc>
      </w:tr>
    </w:tbl>
    <w:p w:rsidR="1C3D137E" w:rsidP="1C3D137E" w:rsidRDefault="1C3D137E" w14:paraId="71CF3834" w14:textId="1338CFA4">
      <w:pPr>
        <w:spacing w:after="160"/>
        <w:rPr>
          <w:rFonts w:eastAsia="Arial"/>
          <w:sz w:val="24"/>
          <w:szCs w:val="24"/>
        </w:rPr>
      </w:pPr>
    </w:p>
    <w:p w:rsidR="06E5C573" w:rsidP="0ED4F347" w:rsidRDefault="06E5C573" w14:paraId="769682D5" w14:textId="0EB288AC">
      <w:pPr>
        <w:pStyle w:val="Textonotapie"/>
        <w:bidi w:val="0"/>
        <w:rPr>
          <w:rFonts w:eastAsia="" w:eastAsiaTheme="minorEastAsia"/>
          <w:sz w:val="24"/>
          <w:szCs w:val="24"/>
        </w:rPr>
      </w:pPr>
      <w:r w:rsidRPr="0ED4F347" w:rsidR="0BB2DFA1">
        <w:rPr>
          <w:rFonts w:ascii="Arial" w:hAnsi="Arial" w:eastAsia="" w:cs="Arial" w:eastAsiaTheme="minorEastAsia"/>
          <w:color w:val="auto"/>
          <w:sz w:val="24"/>
          <w:szCs w:val="24"/>
          <w:lang w:eastAsia="es-CO" w:bidi="ar-SA"/>
        </w:rPr>
        <w:t>Tomando en cuenta la aclaración proporcionada por la UAEGRD mediante correo institucional del 20 de abril de 2026, en respuesta a las observaciones formuladas en la auditoría interna de gestión realizada por la Oficina de Control Interno (Cóndor N.° GOB-S-CR-2026-0062623 del 15 de abril de 2026), la auditoría determinó mantener el hallazgo de incumplimiento. El análisis correspondiente se presenta en el apartado “Análisis de la controversia del Incumplimiento 8.3.4” del presente informe.</w:t>
      </w:r>
    </w:p>
    <w:p w:rsidR="06E5C573" w:rsidP="0ED4F347" w:rsidRDefault="06E5C573" w14:paraId="698296C8" w14:textId="43053D22">
      <w:pPr>
        <w:pStyle w:val="Textonotapie"/>
        <w:bidi w:val="0"/>
      </w:pPr>
    </w:p>
    <w:p w:rsidR="06E5C573" w:rsidP="0ED4F347" w:rsidRDefault="06E5C573" w14:paraId="2E63737D" w14:textId="205F7B80">
      <w:pPr>
        <w:pStyle w:val="Normal"/>
        <w:spacing w:after="160" w:line="240" w:lineRule="auto"/>
        <w:rPr>
          <w:rFonts w:ascii="Arial" w:hAnsi="Arial" w:eastAsia="Arial" w:cs="Arial"/>
          <w:noProof w:val="0"/>
          <w:sz w:val="24"/>
          <w:szCs w:val="24"/>
          <w:lang w:val="es-ES"/>
        </w:rPr>
      </w:pPr>
      <w:r w:rsidRPr="0ED4F347" w:rsidR="0BB2DFA1">
        <w:rPr>
          <w:rFonts w:ascii="Arial" w:hAnsi="Arial" w:eastAsia="Arial" w:cs="Arial"/>
          <w:noProof w:val="0"/>
          <w:sz w:val="24"/>
          <w:szCs w:val="24"/>
          <w:lang w:val="es-ES"/>
        </w:rPr>
        <w:t xml:space="preserve">Es de resaltar, que lo evidenciado en la tabla 8 fue subsanado por la UAEGRD, situación que fue constatada y verificada por el equipo auditor, configurándose como un </w:t>
      </w:r>
      <w:r w:rsidRPr="0ED4F347" w:rsidR="0BB2DFA1">
        <w:rPr>
          <w:rFonts w:ascii="Arial" w:hAnsi="Arial" w:eastAsia="Arial" w:cs="Arial"/>
          <w:b w:val="1"/>
          <w:bCs w:val="1"/>
          <w:noProof w:val="0"/>
          <w:sz w:val="24"/>
          <w:szCs w:val="24"/>
          <w:lang w:val="es-ES"/>
        </w:rPr>
        <w:t>beneficio de auditoría.</w:t>
      </w:r>
    </w:p>
    <w:p w:rsidR="06E5C573" w:rsidP="0ED4F347" w:rsidRDefault="06E5C573" w14:paraId="61B90A10" w14:textId="5ABFB40A">
      <w:pPr>
        <w:pStyle w:val="Normal"/>
        <w:spacing w:before="0" w:beforeAutospacing="off" w:after="160" w:afterAutospacing="off" w:line="276" w:lineRule="auto"/>
        <w:jc w:val="both"/>
        <w:rPr>
          <w:rFonts w:ascii="Arial" w:hAnsi="Arial" w:eastAsia="Arial" w:cs="Arial"/>
          <w:noProof w:val="0"/>
          <w:sz w:val="24"/>
          <w:szCs w:val="24"/>
          <w:lang w:val="es-ES"/>
        </w:rPr>
      </w:pPr>
    </w:p>
    <w:p w:rsidR="06E5C573" w:rsidP="0ED4F347" w:rsidRDefault="06E5C573" w14:paraId="28D215C7" w14:textId="23405821">
      <w:pPr>
        <w:pStyle w:val="Normal"/>
        <w:spacing w:before="0" w:beforeAutospacing="off" w:after="160" w:afterAutospacing="off" w:line="276" w:lineRule="auto"/>
        <w:jc w:val="both"/>
        <w:rPr>
          <w:rFonts w:ascii="Arial" w:hAnsi="Arial" w:eastAsia="Arial" w:cs="Arial"/>
          <w:noProof w:val="0"/>
          <w:sz w:val="24"/>
          <w:szCs w:val="24"/>
          <w:lang w:val="es-ES"/>
        </w:rPr>
      </w:pPr>
      <w:r w:rsidRPr="0ED4F347" w:rsidR="7CA4ED87">
        <w:rPr>
          <w:rFonts w:ascii="Arial" w:hAnsi="Arial" w:eastAsia="Arial" w:cs="Arial"/>
          <w:noProof w:val="0"/>
          <w:sz w:val="24"/>
          <w:szCs w:val="24"/>
          <w:lang w:val="es-ES"/>
        </w:rPr>
        <w:t>De la revisión integral de los contratos UAEGRD-AD-PS-132-2025 | O.C. TVEC 149084, UAEGRD-CD-SU-120-2025 y el Convenio UAEGRD-CD-CVI-123-2025, se evidencian debilidades generalizadas en la gestión documental que afectan tanto los expedientes electrónicos —registrados en SECOP II y TVEC— como los expedientes físicos. Se identificaron inconsistencias entre la información física y digital, vacíos que impiden reconstruir la trazabilidad de la ejecución, ausencia de soportes que acrediten aportes en especie pactados, deficiencias en la oportunidad y periodicidad de los reportes de supervisión, desactualización del Plan Anual de Adquisiciones y falta de justificación de situaciones relevantes de la ejecución, tales como retrasos, modificaciones o desviaciones.</w:t>
      </w:r>
    </w:p>
    <w:p w:rsidR="06E5C573" w:rsidP="0ED4F347" w:rsidRDefault="06E5C573" w14:paraId="16DA565E" w14:textId="0FCBE8BB">
      <w:pPr>
        <w:pStyle w:val="Normal"/>
        <w:spacing w:after="160"/>
        <w:rPr>
          <w:rFonts w:eastAsia="Arial"/>
          <w:b w:val="1"/>
          <w:bCs w:val="1"/>
          <w:sz w:val="24"/>
          <w:szCs w:val="24"/>
        </w:rPr>
      </w:pPr>
      <w:r w:rsidRPr="0ED4F347" w:rsidR="2F900048">
        <w:rPr>
          <w:rFonts w:eastAsia="Arial"/>
          <w:sz w:val="24"/>
          <w:szCs w:val="24"/>
        </w:rPr>
        <w:t xml:space="preserve">Lo anterior configura </w:t>
      </w:r>
      <w:r w:rsidRPr="0ED4F347" w:rsidR="755DE8CD">
        <w:rPr>
          <w:rFonts w:eastAsia="Arial"/>
          <w:sz w:val="24"/>
          <w:szCs w:val="24"/>
        </w:rPr>
        <w:t>un</w:t>
      </w:r>
      <w:r w:rsidRPr="0ED4F347" w:rsidR="2F900048">
        <w:rPr>
          <w:rFonts w:eastAsia="Arial"/>
          <w:sz w:val="24"/>
          <w:szCs w:val="24"/>
        </w:rPr>
        <w:t xml:space="preserve"> incumplimiento</w:t>
      </w:r>
      <w:r w:rsidRPr="0ED4F347" w:rsidR="504C5462">
        <w:rPr>
          <w:rFonts w:eastAsia="Arial"/>
          <w:sz w:val="24"/>
          <w:szCs w:val="24"/>
        </w:rPr>
        <w:t xml:space="preserve"> </w:t>
      </w:r>
      <w:r w:rsidRPr="0ED4F347" w:rsidR="2F900048">
        <w:rPr>
          <w:rFonts w:eastAsia="Arial"/>
          <w:sz w:val="24"/>
          <w:szCs w:val="24"/>
        </w:rPr>
        <w:t>de los principios de publicidad y transparencia establecidos en la Ley 1712 de 2014, de las obligaciones previstas en los artículos 26 y 51 de la Ley 80 de 1993, de las disposiciones del Decreto 1082 de 2015 y de las directrices del Manual de Gestión Contractual adoptado mediante el Decreto 161 de 2024 de la Gobernación de Cundinamarca. Esta situación adquiere especial gravedad por tratarse de contratos suscritos en el marco de una emergencia declarada, donde la correcta documentación de la ejecución no es solo una exigencia formal sino una garantía para la población afectada.</w:t>
      </w:r>
      <w:r w:rsidRPr="0ED4F347" w:rsidR="6F21EC28">
        <w:rPr>
          <w:rFonts w:eastAsia="Arial"/>
          <w:sz w:val="24"/>
          <w:szCs w:val="24"/>
        </w:rPr>
        <w:t xml:space="preserve"> </w:t>
      </w:r>
    </w:p>
    <w:p w:rsidR="2F900048" w:rsidP="0ED4F347" w:rsidRDefault="2F900048" w14:paraId="10FF91ED" w14:textId="472D5326">
      <w:pPr>
        <w:spacing w:after="160"/>
      </w:pPr>
      <w:r w:rsidRPr="0ED4F347" w:rsidR="2F900048">
        <w:rPr>
          <w:rFonts w:eastAsia="Arial"/>
          <w:sz w:val="24"/>
          <w:szCs w:val="24"/>
        </w:rPr>
        <w:t>Como resultado de estas debilidades, no es posible verificar integralmente el cumplimiento de los objetos contractuales, la correcta aplicación de los recursos públicos ni la entrega efectiva de bienes y ayudas a los beneficiarios, lo que incrementa el riesgo de incumplimientos contractuales, detrimento patrimonial y eventuales hallazgos fiscales, disciplinarios o administrativos. Adicionalmente, la falta de trazabilidad documental debilita los mecanismos de supervisión, control interno y control social, y limita la capacidad de la entidad para demostrar la debida ejecución de los contratos y convenios ante los entes de control.</w:t>
      </w:r>
    </w:p>
    <w:p w:rsidR="001F346B" w:rsidP="0ED4F347" w:rsidRDefault="001F346B" w14:paraId="1BADC982" w14:textId="6625CF89">
      <w:pPr>
        <w:pStyle w:val="Ttulo3"/>
        <w:shd w:val="clear" w:color="auto" w:fill="FFFFFF" w:themeFill="background1"/>
        <w:spacing w:line="240" w:lineRule="auto"/>
        <w:rPr>
          <w:rFonts w:eastAsia="" w:eastAsiaTheme="minorEastAsia"/>
          <w:color w:val="242424"/>
          <w:sz w:val="24"/>
          <w:szCs w:val="24"/>
        </w:rPr>
      </w:pPr>
      <w:r w:rsidRPr="0ED4F347" w:rsidR="42B7D185">
        <w:rPr>
          <w:rFonts w:eastAsia="" w:eastAsiaTheme="minorEastAsia"/>
          <w:sz w:val="24"/>
          <w:szCs w:val="24"/>
        </w:rPr>
        <w:t xml:space="preserve">Componente </w:t>
      </w:r>
      <w:r w:rsidRPr="0ED4F347" w:rsidR="42B7D185">
        <w:rPr>
          <w:rFonts w:eastAsia="" w:eastAsiaTheme="minorEastAsia"/>
          <w:color w:val="242424"/>
          <w:sz w:val="24"/>
          <w:szCs w:val="24"/>
        </w:rPr>
        <w:t>de la gestión documental</w:t>
      </w:r>
    </w:p>
    <w:p w:rsidRPr="00910282" w:rsidR="001F346B" w:rsidP="001F346B" w:rsidRDefault="001F346B" w14:paraId="0248D695" w14:textId="77777777">
      <w:pPr>
        <w:spacing w:line="240" w:lineRule="auto"/>
        <w:rPr>
          <w:rFonts w:eastAsiaTheme="minorEastAsia"/>
          <w:b/>
          <w:bCs/>
          <w:sz w:val="24"/>
          <w:szCs w:val="24"/>
        </w:rPr>
      </w:pPr>
    </w:p>
    <w:p w:rsidR="00E80B21" w:rsidP="0ED4F347" w:rsidRDefault="5891BC41" w14:paraId="7B17B93F" w14:textId="3827EE59">
      <w:pPr>
        <w:spacing w:after="160"/>
        <w:contextualSpacing w:val="1"/>
      </w:pPr>
      <w:r w:rsidRPr="0ED4F347" w:rsidR="54FC609C">
        <w:rPr>
          <w:rFonts w:eastAsia="Arial"/>
          <w:sz w:val="24"/>
          <w:szCs w:val="24"/>
        </w:rPr>
        <w:t xml:space="preserve">De la revisión de una muestra de la gestión documental asociada a la atención del sismo del 8 de junio de 2025 en los municipios de Medina y </w:t>
      </w:r>
      <w:r w:rsidRPr="0ED4F347" w:rsidR="54FC609C">
        <w:rPr>
          <w:rFonts w:eastAsia="Arial"/>
          <w:sz w:val="24"/>
          <w:szCs w:val="24"/>
        </w:rPr>
        <w:t>Paratebueno</w:t>
      </w:r>
      <w:r w:rsidRPr="0ED4F347" w:rsidR="54FC609C">
        <w:rPr>
          <w:rFonts w:eastAsia="Arial"/>
          <w:sz w:val="24"/>
          <w:szCs w:val="24"/>
        </w:rPr>
        <w:t>, se valoró la forma en que la UAEGRD registró sus decisiones y actuaciones frente a la emergencia, tomando como base tres expedientes contractuales que incluyen contratos, estudios previos, CDP, actas, informes y comunicaciones.</w:t>
      </w:r>
    </w:p>
    <w:p w:rsidR="0ED4F347" w:rsidP="0ED4F347" w:rsidRDefault="0ED4F347" w14:paraId="2592D6F0" w14:textId="7876DB79">
      <w:pPr>
        <w:spacing w:after="160"/>
        <w:contextualSpacing w:val="1"/>
        <w:rPr>
          <w:rFonts w:eastAsia="Arial"/>
          <w:sz w:val="24"/>
          <w:szCs w:val="24"/>
        </w:rPr>
      </w:pPr>
    </w:p>
    <w:p w:rsidR="00E80B21" w:rsidP="0ED4F347" w:rsidRDefault="5891BC41" w14:paraId="2DE2861D" w14:textId="72971443">
      <w:pPr>
        <w:spacing w:after="160"/>
        <w:contextualSpacing w:val="1"/>
      </w:pPr>
      <w:r w:rsidRPr="0ED4F347" w:rsidR="54FC609C">
        <w:rPr>
          <w:rFonts w:eastAsia="Arial"/>
          <w:sz w:val="24"/>
          <w:szCs w:val="24"/>
        </w:rPr>
        <w:t xml:space="preserve">En lo que respecta al manejo del archivo físico, la revisión arrojó resultados positivos: los expedientes de los contratos UAEGRD-AD-PS-132-2025, UAEGRD-CD-SU-120-2025 y el Convenio Interadministrativo UAEGRD-CD-CVI-123-2025 presentan una estructura clara, respetan el orden original de los documentos, identifican correctamente las series y </w:t>
      </w:r>
      <w:r w:rsidRPr="0ED4F347" w:rsidR="54FC609C">
        <w:rPr>
          <w:rFonts w:eastAsia="Arial"/>
          <w:sz w:val="24"/>
          <w:szCs w:val="24"/>
        </w:rPr>
        <w:t>subseries</w:t>
      </w:r>
      <w:r w:rsidRPr="0ED4F347" w:rsidR="54FC609C">
        <w:rPr>
          <w:rFonts w:eastAsia="Arial"/>
          <w:sz w:val="24"/>
          <w:szCs w:val="24"/>
        </w:rPr>
        <w:t>, y cuentan con foliación adecuada, soportada en formatos de control documental y Formato Único de Inventario Documental (FUID) debidamente diligenciados. Esto permite seguir cada actuación folio a folio y verificar la trazabilidad de lo actuado, lo que facilita el control interno y la reconstrucción del proceso.</w:t>
      </w:r>
    </w:p>
    <w:p w:rsidR="0ED4F347" w:rsidP="0ED4F347" w:rsidRDefault="0ED4F347" w14:paraId="7CB4B3F8" w14:textId="76587F52">
      <w:pPr>
        <w:spacing w:after="160"/>
        <w:contextualSpacing w:val="1"/>
        <w:rPr>
          <w:rFonts w:eastAsia="Arial"/>
          <w:sz w:val="24"/>
          <w:szCs w:val="24"/>
        </w:rPr>
      </w:pPr>
    </w:p>
    <w:p w:rsidR="54FC609C" w:rsidP="0ED4F347" w:rsidRDefault="54FC609C" w14:paraId="71CB8F30" w14:textId="655E6548">
      <w:pPr>
        <w:spacing w:after="160"/>
        <w:contextualSpacing w:val="1"/>
        <w:rPr>
          <w:rStyle w:val="Refdenotaalpie"/>
          <w:rFonts w:eastAsia="Arial"/>
          <w:sz w:val="24"/>
          <w:szCs w:val="24"/>
        </w:rPr>
      </w:pPr>
      <w:r w:rsidRPr="0ED4F347" w:rsidR="54FC609C">
        <w:rPr>
          <w:rFonts w:eastAsia="Arial"/>
          <w:sz w:val="24"/>
          <w:szCs w:val="24"/>
        </w:rPr>
        <w:t>No obstante, se identificó una debilidad de fondo en el componente digital: la entidad no cuenta con un repositorio digital institucional ni con un sistema formal de gestión electrónica de documentos, y los soportes electrónicos se almacenan en cuentas personales de funcionarios, sin ningún control oficial sobre su conservación, integridad y disponibilidad. Esta situación desconoce</w:t>
      </w:r>
      <w:r w:rsidRPr="0ED4F347" w:rsidR="6EBD02AA">
        <w:rPr>
          <w:rFonts w:eastAsia="Arial"/>
          <w:sz w:val="24"/>
          <w:szCs w:val="24"/>
        </w:rPr>
        <w:t xml:space="preserve">, </w:t>
      </w:r>
      <w:r w:rsidRPr="0ED4F347" w:rsidR="6EBD02AA">
        <w:rPr>
          <w:rFonts w:ascii="Arial" w:hAnsi="Arial" w:eastAsia="Arial" w:cs="Arial"/>
          <w:noProof w:val="0"/>
          <w:sz w:val="24"/>
          <w:szCs w:val="24"/>
          <w:lang w:val="es"/>
        </w:rPr>
        <w:t>la normatividad vigente y la Guía para la Organización de Archivos de Gestión y Transferencias Documentales (A-GD-GUI-001 versión 6) de la Gobernación de Cundinamarca, en el numeral 6.1.2 “Ordenación Documental” subíndice “</w:t>
      </w:r>
      <w:r w:rsidRPr="0ED4F347" w:rsidR="6EBD02AA">
        <w:rPr>
          <w:rFonts w:ascii="Arial" w:hAnsi="Arial" w:eastAsia="Arial" w:cs="Arial"/>
          <w:i w:val="1"/>
          <w:iCs w:val="1"/>
          <w:noProof w:val="0"/>
          <w:sz w:val="24"/>
          <w:szCs w:val="24"/>
          <w:lang w:val="es"/>
        </w:rPr>
        <w:t>Organización de los documentos en formato digital o electrónico</w:t>
      </w:r>
      <w:r w:rsidRPr="0ED4F347" w:rsidR="6EBD02AA">
        <w:rPr>
          <w:rFonts w:ascii="Arial" w:hAnsi="Arial" w:eastAsia="Arial" w:cs="Arial"/>
          <w:noProof w:val="0"/>
          <w:sz w:val="24"/>
          <w:szCs w:val="24"/>
          <w:lang w:val="es"/>
        </w:rPr>
        <w:t>” establece que los expedientes electrónicos deben almacenarse en los repositorios digitales definidos por la Secretaría de Tecnologías de la Información y las Comunicaciones (TIC), o en sistemas de información institucionales, con el fin de garantizar su seguridad, respaldo, organización y disponibilidad.</w:t>
      </w:r>
      <w:r w:rsidRPr="0ED4F347" w:rsidR="1DBE75E4">
        <w:rPr>
          <w:rFonts w:ascii="Arial" w:hAnsi="Arial" w:eastAsia="Arial" w:cs="Arial"/>
          <w:noProof w:val="0"/>
          <w:sz w:val="24"/>
          <w:szCs w:val="24"/>
          <w:lang w:val="es"/>
        </w:rPr>
        <w:t xml:space="preserve"> Este hecho se constituye en el </w:t>
      </w:r>
      <w:r w:rsidRPr="0ED4F347" w:rsidR="1DBE75E4">
        <w:rPr>
          <w:rFonts w:ascii="Arial" w:hAnsi="Arial" w:eastAsia="Arial" w:cs="Arial"/>
          <w:b w:val="1"/>
          <w:bCs w:val="1"/>
          <w:noProof w:val="0"/>
          <w:sz w:val="24"/>
          <w:szCs w:val="24"/>
          <w:lang w:val="es"/>
        </w:rPr>
        <w:t>incumplimiento 8.3.5</w:t>
      </w:r>
      <w:r w:rsidRPr="0ED4F347">
        <w:rPr>
          <w:rStyle w:val="Refdenotaalpie"/>
          <w:rFonts w:eastAsia="Arial"/>
          <w:sz w:val="24"/>
          <w:szCs w:val="24"/>
        </w:rPr>
        <w:footnoteReference w:id="13858"/>
      </w:r>
    </w:p>
    <w:p w:rsidR="0ED4F347" w:rsidP="0ED4F347" w:rsidRDefault="0ED4F347" w14:paraId="0411B34C" w14:textId="3DA27883">
      <w:pPr>
        <w:pStyle w:val="Normal"/>
        <w:spacing w:after="160"/>
        <w:contextualSpacing w:val="1"/>
        <w:rPr>
          <w:rFonts w:eastAsia="Arial"/>
          <w:b w:val="1"/>
          <w:bCs w:val="1"/>
          <w:sz w:val="24"/>
          <w:szCs w:val="24"/>
        </w:rPr>
      </w:pPr>
    </w:p>
    <w:p w:rsidR="00E80B21" w:rsidP="0ED4F347" w:rsidRDefault="5891BC41" w14:paraId="25F2C142" w14:textId="02F3596E">
      <w:pPr>
        <w:spacing w:after="160"/>
        <w:contextualSpacing w:val="1"/>
        <w:rPr>
          <w:rFonts w:eastAsia="Arial"/>
          <w:sz w:val="24"/>
          <w:szCs w:val="24"/>
        </w:rPr>
      </w:pPr>
      <w:r w:rsidRPr="0ED4F347" w:rsidR="54FC609C">
        <w:rPr>
          <w:rFonts w:eastAsia="Arial"/>
          <w:sz w:val="24"/>
          <w:szCs w:val="24"/>
        </w:rPr>
        <w:t>Las consecuencias de esta situación son concretas y verificables: aumenta el riesgo de pérdida, deterioro o alteración de información oficial; dificulta la toma de decisiones oportunas al no existir información digital centralizada y de fácil consulta; expone a la entidad a incumplimientos de la normativa archivística, de transparencia y de gobierno digital, afectando los principios de publicidad y acceso a la información pública; y puede generar responsabilidades disciplinarias, fiscales o legales para los funcionarios involucrados en la gestión documental electrónica.</w:t>
      </w:r>
      <w:r w:rsidRPr="0ED4F347" w:rsidR="53C072AD">
        <w:rPr>
          <w:rFonts w:eastAsia="Arial"/>
          <w:sz w:val="24"/>
          <w:szCs w:val="24"/>
        </w:rPr>
        <w:t xml:space="preserve"> </w:t>
      </w:r>
    </w:p>
    <w:p w:rsidR="00B83047" w:rsidP="005E6D83" w:rsidRDefault="0999B748" w14:paraId="69C7BAD8" w14:textId="021F7441">
      <w:pPr>
        <w:pStyle w:val="Ttulo2"/>
        <w:rPr>
          <w:lang w:val="es-ES"/>
        </w:rPr>
      </w:pPr>
      <w:bookmarkStart w:name="_Toc227164164" w:id="76"/>
      <w:bookmarkEnd w:id="76"/>
      <w:r w:rsidRPr="0ED4F347" w:rsidR="3E71791F">
        <w:rPr>
          <w:lang w:val="es-ES"/>
        </w:rPr>
        <w:t xml:space="preserve">Acciones de conocimiento y reducción de riesgos – </w:t>
      </w:r>
      <w:r w:rsidRPr="0ED4F347" w:rsidR="2E3FC104">
        <w:rPr>
          <w:lang w:val="es-ES"/>
        </w:rPr>
        <w:t>Evento sísmico</w:t>
      </w:r>
      <w:r w:rsidRPr="0ED4F347" w:rsidR="3E71791F">
        <w:rPr>
          <w:lang w:val="es-ES"/>
        </w:rPr>
        <w:t xml:space="preserve"> </w:t>
      </w:r>
      <w:r w:rsidRPr="0ED4F347" w:rsidR="3E71791F">
        <w:rPr>
          <w:lang w:val="es-ES"/>
        </w:rPr>
        <w:t xml:space="preserve">de Medina y </w:t>
      </w:r>
      <w:r w:rsidRPr="0ED4F347" w:rsidR="3E71791F">
        <w:rPr>
          <w:lang w:val="es-ES"/>
        </w:rPr>
        <w:t>Paratebueno</w:t>
      </w:r>
      <w:r w:rsidRPr="0ED4F347" w:rsidR="3E71791F">
        <w:rPr>
          <w:lang w:val="es-ES"/>
        </w:rPr>
        <w:t xml:space="preserve"> 08 de junio del 2025</w:t>
      </w:r>
    </w:p>
    <w:p w:rsidR="00B83047" w:rsidP="0ED4F347" w:rsidRDefault="00B83047" w14:paraId="7A60A777" w14:textId="5D0DA57D">
      <w:pPr>
        <w:pStyle w:val="Ttulo2"/>
        <w:numPr>
          <w:ilvl w:val="0"/>
          <w:numId w:val="0"/>
        </w:numPr>
        <w:rPr>
          <w:sz w:val="24"/>
          <w:szCs w:val="24"/>
          <w:lang w:val="es-ES"/>
        </w:rPr>
      </w:pPr>
      <w:r w:rsidRPr="0ED4F347" w:rsidR="73892B9E">
        <w:rPr>
          <w:sz w:val="24"/>
          <w:szCs w:val="24"/>
          <w:lang w:val="es-ES"/>
        </w:rPr>
        <w:t xml:space="preserve">Objetivo 3. </w:t>
      </w:r>
      <w:r w:rsidRPr="0ED4F347" w:rsidR="2236E5A8">
        <w:rPr>
          <w:b w:val="0"/>
          <w:bCs w:val="0"/>
          <w:sz w:val="24"/>
          <w:szCs w:val="24"/>
          <w:lang w:val="es-ES"/>
        </w:rPr>
        <w:t>Evaluar las acciones de conocimiento y reducción de riesgos que la Unidad adelantó previo a que ocurriera el desastre natural que toma como nuestra en el objetivo 2.</w:t>
      </w:r>
    </w:p>
    <w:p w:rsidRPr="002D39DC" w:rsidR="007C12B2" w:rsidP="007C12B2" w:rsidRDefault="007C12B2" w14:paraId="69CC88BF" w14:textId="749034E1">
      <w:pPr>
        <w:rPr>
          <w:sz w:val="24"/>
          <w:szCs w:val="24"/>
        </w:rPr>
      </w:pPr>
      <w:r w:rsidRPr="0ED4F347" w:rsidR="392A34DA">
        <w:rPr>
          <w:sz w:val="24"/>
          <w:szCs w:val="24"/>
        </w:rPr>
        <w:t xml:space="preserve">A partir de la información revisada, la auditoría reconoce que el evento sísmico que afectó a Medina y </w:t>
      </w:r>
      <w:r w:rsidRPr="0ED4F347" w:rsidR="392A34DA">
        <w:rPr>
          <w:sz w:val="24"/>
          <w:szCs w:val="24"/>
        </w:rPr>
        <w:t>Paratebueno</w:t>
      </w:r>
      <w:r w:rsidRPr="0ED4F347" w:rsidR="392A34DA">
        <w:rPr>
          <w:sz w:val="24"/>
          <w:szCs w:val="24"/>
        </w:rPr>
        <w:t xml:space="preserve"> corresponde a un fenómeno natural súbito e impredecible, frente al cual no es posible anticipar con exactitud ni el momento ni la magnitud de su ocurrencia. En este contexto, el análisis se centra en establecer si, antes del desastre, la UAEGRD venía adelantando acciones orientadas a que la población y las autoridades conocieran mejor sus riesgos y contaran con elementos para reducir su vulnerabilidad.</w:t>
      </w:r>
    </w:p>
    <w:p w:rsidRPr="002D39DC" w:rsidR="007C12B2" w:rsidP="0ED4F347" w:rsidRDefault="007C12B2" w14:paraId="66A6EC50" w14:textId="1FC1C968">
      <w:pPr>
        <w:pStyle w:val="Ttulo3"/>
        <w:numPr>
          <w:ilvl w:val="0"/>
          <w:numId w:val="0"/>
        </w:numPr>
        <w:ind w:left="0"/>
        <w:rPr>
          <w:sz w:val="24"/>
          <w:szCs w:val="24"/>
        </w:rPr>
      </w:pPr>
      <w:r w:rsidRPr="0ED4F347" w:rsidR="00C4F5DD">
        <w:rPr>
          <w:sz w:val="24"/>
          <w:szCs w:val="24"/>
        </w:rPr>
        <w:t xml:space="preserve">4.3.2. </w:t>
      </w:r>
      <w:r w:rsidRPr="0ED4F347" w:rsidR="392A34DA">
        <w:rPr>
          <w:sz w:val="24"/>
          <w:szCs w:val="24"/>
        </w:rPr>
        <w:t>Acciones de conocimiento del riesgo</w:t>
      </w:r>
    </w:p>
    <w:p w:rsidRPr="00021FDC" w:rsidR="007C12B2" w:rsidP="007C12B2" w:rsidRDefault="007C12B2" w14:paraId="7A514FBD" w14:textId="686B8B07">
      <w:pPr>
        <w:rPr>
          <w:sz w:val="24"/>
          <w:szCs w:val="24"/>
        </w:rPr>
      </w:pPr>
      <w:r w:rsidRPr="00012076">
        <w:rPr>
          <w:sz w:val="24"/>
          <w:szCs w:val="24"/>
        </w:rPr>
        <w:t xml:space="preserve">En materia de conocimiento del riesgo, la auditoría evidencia asistencias técnicas dirigidas a fortalecer los instrumentos de planificación territorial y la comprensión de amenazas en los municipios de Medina y </w:t>
      </w:r>
      <w:proofErr w:type="spellStart"/>
      <w:r w:rsidRPr="00012076">
        <w:rPr>
          <w:sz w:val="24"/>
          <w:szCs w:val="24"/>
        </w:rPr>
        <w:t>Paratebueno</w:t>
      </w:r>
      <w:proofErr w:type="spellEnd"/>
      <w:r w:rsidRPr="00012076">
        <w:rPr>
          <w:sz w:val="24"/>
          <w:szCs w:val="24"/>
        </w:rPr>
        <w:t>:</w:t>
      </w:r>
    </w:p>
    <w:p w:rsidRPr="002D39DC" w:rsidR="007C12B2" w:rsidP="0ED4F347" w:rsidRDefault="007C12B2" w14:paraId="1C6D07AA" w14:textId="00513DEB">
      <w:pPr>
        <w:pStyle w:val="Ttulo30"/>
        <w:numPr>
          <w:ilvl w:val="0"/>
          <w:numId w:val="0"/>
        </w:numPr>
        <w:ind w:left="0"/>
        <w:rPr>
          <w:sz w:val="24"/>
          <w:szCs w:val="24"/>
        </w:rPr>
      </w:pPr>
      <w:r w:rsidRPr="0ED4F347" w:rsidR="1CFA7B7C">
        <w:rPr>
          <w:sz w:val="24"/>
          <w:szCs w:val="24"/>
        </w:rPr>
        <w:t xml:space="preserve">4.3.2.1. </w:t>
      </w:r>
      <w:r w:rsidRPr="0ED4F347" w:rsidR="392A34DA">
        <w:rPr>
          <w:sz w:val="24"/>
          <w:szCs w:val="24"/>
        </w:rPr>
        <w:t>Asistencias a los Planes Municipales para la Gestión del Riesgo de Desastres (PMGRD)</w:t>
      </w:r>
    </w:p>
    <w:p w:rsidRPr="00012076" w:rsidR="007C12B2" w:rsidP="0ED4F347" w:rsidRDefault="007C12B2" w14:paraId="2C421DA4" w14:textId="1BFA7D8B">
      <w:pPr>
        <w:pStyle w:val="Normal"/>
        <w:rPr>
          <w:sz w:val="24"/>
          <w:szCs w:val="24"/>
        </w:rPr>
      </w:pPr>
      <w:r w:rsidRPr="0ED4F347" w:rsidR="392A34DA">
        <w:rPr>
          <w:sz w:val="24"/>
          <w:szCs w:val="24"/>
        </w:rPr>
        <w:t xml:space="preserve">El 10 de marzo de 2025, la Subdirección de Conocimiento de la UAEGRD, realizó asistencia técnica al Consejo Municipal de Gestión del Riesgo de Desastres (CMGRD) del municipio de Medina, con la participación de 8 funcionarios de la </w:t>
      </w:r>
      <w:r w:rsidRPr="0ED4F347" w:rsidR="1F53B574">
        <w:rPr>
          <w:sz w:val="24"/>
          <w:szCs w:val="24"/>
        </w:rPr>
        <w:t>A</w:t>
      </w:r>
      <w:r w:rsidRPr="0ED4F347" w:rsidR="392A34DA">
        <w:rPr>
          <w:sz w:val="24"/>
          <w:szCs w:val="24"/>
        </w:rPr>
        <w:t>lcaldía. La asistencia abordó el tema 1</w:t>
      </w:r>
      <w:r w:rsidRPr="0ED4F347" w:rsidR="392A34DA">
        <w:rPr>
          <w:sz w:val="24"/>
          <w:szCs w:val="24"/>
        </w:rPr>
        <w:t>271 "</w:t>
      </w:r>
      <w:r w:rsidRPr="0ED4F347" w:rsidR="392A34DA">
        <w:rPr>
          <w:i w:val="1"/>
          <w:iCs w:val="1"/>
          <w:sz w:val="24"/>
          <w:szCs w:val="24"/>
        </w:rPr>
        <w:t>Elaboración e Implementación de Instrumentos Legales y Normativos del Plan Departamental y Plan Municipal para la Gestión del Riesgo de Desastres</w:t>
      </w:r>
      <w:r w:rsidRPr="0ED4F347" w:rsidR="392A34DA">
        <w:rPr>
          <w:sz w:val="24"/>
          <w:szCs w:val="24"/>
        </w:rPr>
        <w:t>", incluyendo la socialización de la Ley 1523 de 2012</w:t>
      </w:r>
      <w:r w:rsidRPr="0ED4F347" w:rsidR="545C9ED8">
        <w:rPr>
          <w:rFonts w:ascii="Arial" w:hAnsi="Arial" w:eastAsia="Calibri" w:cs="Arial"/>
          <w:color w:val="auto"/>
          <w:sz w:val="24"/>
          <w:szCs w:val="24"/>
          <w:lang w:eastAsia="es-CO" w:bidi="ar-SA"/>
        </w:rPr>
        <w:t xml:space="preserve"> “</w:t>
      </w:r>
      <w:r w:rsidRPr="0ED4F347" w:rsidR="545C9ED8">
        <w:rPr>
          <w:rFonts w:ascii="Arial" w:hAnsi="Arial" w:eastAsia="Calibri" w:cs="Arial"/>
          <w:i w:val="1"/>
          <w:iCs w:val="1"/>
          <w:noProof w:val="0"/>
          <w:color w:val="auto"/>
          <w:sz w:val="24"/>
          <w:szCs w:val="24"/>
          <w:lang w:val="es-ES" w:eastAsia="es-CO" w:bidi="ar-SA"/>
        </w:rPr>
        <w:t>Por la cual se adopta la política nacional de gestión del riesgo de desastres y se establece el Sistema Nacional de Gestión del Riesgo de Desastres y se dictan otras disposiciones</w:t>
      </w:r>
      <w:r w:rsidRPr="0ED4F347" w:rsidR="545C9ED8">
        <w:rPr>
          <w:rFonts w:ascii="Arial" w:hAnsi="Arial" w:eastAsia="Calibri" w:cs="Arial"/>
          <w:noProof w:val="0"/>
          <w:color w:val="auto"/>
          <w:sz w:val="24"/>
          <w:szCs w:val="24"/>
          <w:lang w:val="es-ES" w:eastAsia="es-CO" w:bidi="ar-SA"/>
        </w:rPr>
        <w:t>”</w:t>
      </w:r>
      <w:r w:rsidRPr="0ED4F347" w:rsidR="392A34DA">
        <w:rPr>
          <w:rFonts w:ascii="Arial" w:hAnsi="Arial" w:eastAsia="Calibri" w:cs="Arial"/>
          <w:color w:val="auto"/>
          <w:sz w:val="24"/>
          <w:szCs w:val="24"/>
          <w:lang w:eastAsia="es-CO" w:bidi="ar-SA"/>
        </w:rPr>
        <w:t xml:space="preserve">, el funcionamiento del Sistema Nacional y Departamental de Gestión del Riesgo de Desastres, contenidos sobre cambio climático, financiación de la gestión del riesgo y responsabilidades de los diferentes actores. Según el registro, se logró fortalecer las capacidades y conocimiento de los integrantes del </w:t>
      </w:r>
      <w:r w:rsidRPr="0ED4F347" w:rsidR="392A34DA">
        <w:rPr>
          <w:sz w:val="24"/>
          <w:szCs w:val="24"/>
        </w:rPr>
        <w:t>Consejo Municipal de Gestión del Riesgo y Desastres</w:t>
      </w:r>
      <w:r w:rsidRPr="0ED4F347" w:rsidR="4DA14955">
        <w:rPr>
          <w:sz w:val="24"/>
          <w:szCs w:val="24"/>
        </w:rPr>
        <w:t xml:space="preserve"> </w:t>
      </w:r>
      <w:r w:rsidRPr="0ED4F347" w:rsidR="392A34DA">
        <w:rPr>
          <w:sz w:val="24"/>
          <w:szCs w:val="24"/>
        </w:rPr>
        <w:t>(</w:t>
      </w:r>
      <w:r w:rsidRPr="0ED4F347" w:rsidR="392A34DA">
        <w:rPr>
          <w:sz w:val="24"/>
          <w:szCs w:val="24"/>
        </w:rPr>
        <w:t>CMGRD</w:t>
      </w:r>
      <w:r w:rsidRPr="0ED4F347" w:rsidR="392A34DA">
        <w:rPr>
          <w:sz w:val="24"/>
          <w:szCs w:val="24"/>
        </w:rPr>
        <w:t>)</w:t>
      </w:r>
      <w:r w:rsidRPr="0ED4F347" w:rsidR="392A34DA">
        <w:rPr>
          <w:sz w:val="24"/>
          <w:szCs w:val="24"/>
        </w:rPr>
        <w:t xml:space="preserve"> y del equipo de gestión del riesgo municipal para gestionar posibles riesgos y desastres de manera más efectiva.</w:t>
      </w:r>
    </w:p>
    <w:p w:rsidRPr="002D39DC" w:rsidR="007C12B2" w:rsidP="0ED4F347" w:rsidRDefault="007C12B2" w14:paraId="7F77EFAC" w14:textId="3FA88371">
      <w:pPr>
        <w:pStyle w:val="Ttulo30"/>
        <w:numPr>
          <w:ilvl w:val="0"/>
          <w:numId w:val="0"/>
        </w:numPr>
        <w:ind w:left="0"/>
        <w:rPr>
          <w:sz w:val="24"/>
          <w:szCs w:val="24"/>
        </w:rPr>
      </w:pPr>
      <w:r w:rsidRPr="0ED4F347" w:rsidR="5DA664F2">
        <w:rPr>
          <w:sz w:val="24"/>
          <w:szCs w:val="24"/>
        </w:rPr>
        <w:t xml:space="preserve">4.3.2.2. </w:t>
      </w:r>
      <w:r w:rsidRPr="0ED4F347" w:rsidR="392A34DA">
        <w:rPr>
          <w:sz w:val="24"/>
          <w:szCs w:val="24"/>
        </w:rPr>
        <w:t>Acompañamiento a Planes Escolares para la Gestión del Riesgo de Desastres (PEGRD)</w:t>
      </w:r>
    </w:p>
    <w:p w:rsidRPr="00012076" w:rsidR="007C12B2" w:rsidP="0ED4F347" w:rsidRDefault="007C12B2" w14:paraId="3732842F" w14:textId="4861491E">
      <w:pPr>
        <w:pStyle w:val="Normal"/>
        <w:rPr>
          <w:i w:val="1"/>
          <w:iCs w:val="1"/>
          <w:sz w:val="24"/>
          <w:szCs w:val="24"/>
        </w:rPr>
      </w:pPr>
      <w:r w:rsidRPr="0ED4F347" w:rsidR="392A34DA">
        <w:rPr>
          <w:sz w:val="24"/>
          <w:szCs w:val="24"/>
        </w:rPr>
        <w:t xml:space="preserve">El 11 de marzo de 2025, la UAEGRD realizó asistencia técnica en la IED Agrícola de </w:t>
      </w:r>
      <w:r w:rsidRPr="0ED4F347" w:rsidR="392A34DA">
        <w:rPr>
          <w:sz w:val="24"/>
          <w:szCs w:val="24"/>
        </w:rPr>
        <w:t>Paratebueno</w:t>
      </w:r>
      <w:r w:rsidRPr="0ED4F347" w:rsidR="392A34DA">
        <w:rPr>
          <w:sz w:val="24"/>
          <w:szCs w:val="24"/>
        </w:rPr>
        <w:t>, dirigida a 5 docentes bajo el tema 1268 "</w:t>
      </w:r>
      <w:r w:rsidRPr="0ED4F347" w:rsidR="392A34DA">
        <w:rPr>
          <w:i w:val="1"/>
          <w:iCs w:val="1"/>
          <w:sz w:val="24"/>
          <w:szCs w:val="24"/>
        </w:rPr>
        <w:t>Acompañamiento para la Elaboración de Planes Escolares para la Gestión del Riesgo</w:t>
      </w:r>
      <w:r w:rsidRPr="0ED4F347" w:rsidR="392A34DA">
        <w:rPr>
          <w:sz w:val="24"/>
          <w:szCs w:val="24"/>
        </w:rPr>
        <w:t xml:space="preserve">". En esta jornada se sensibilizó al personal educativo sobre la importancia de la participación transversal en la conformación y elaboración de los </w:t>
      </w:r>
      <w:r w:rsidRPr="0ED4F347" w:rsidR="783542A3">
        <w:rPr>
          <w:rFonts w:ascii="Arial" w:hAnsi="Arial" w:eastAsia="Calibri" w:cs="Arial"/>
          <w:noProof w:val="0"/>
          <w:color w:val="auto"/>
          <w:sz w:val="24"/>
          <w:szCs w:val="24"/>
          <w:lang w:val="es-ES" w:eastAsia="es-CO" w:bidi="ar-SA"/>
        </w:rPr>
        <w:t>P</w:t>
      </w:r>
      <w:r w:rsidRPr="0ED4F347" w:rsidR="46F1194F">
        <w:rPr>
          <w:rFonts w:ascii="Arial" w:hAnsi="Arial" w:eastAsia="Calibri" w:cs="Arial"/>
          <w:noProof w:val="0"/>
          <w:color w:val="auto"/>
          <w:sz w:val="24"/>
          <w:szCs w:val="24"/>
          <w:lang w:val="es-ES" w:eastAsia="es-CO" w:bidi="ar-SA"/>
        </w:rPr>
        <w:t>lanes</w:t>
      </w:r>
      <w:r w:rsidRPr="0ED4F347" w:rsidR="783542A3">
        <w:rPr>
          <w:rFonts w:ascii="Arial" w:hAnsi="Arial" w:eastAsia="Calibri" w:cs="Arial"/>
          <w:noProof w:val="0"/>
          <w:color w:val="auto"/>
          <w:sz w:val="24"/>
          <w:szCs w:val="24"/>
          <w:lang w:val="es-ES" w:eastAsia="es-CO" w:bidi="ar-SA"/>
        </w:rPr>
        <w:t xml:space="preserve"> E</w:t>
      </w:r>
      <w:r w:rsidRPr="0ED4F347" w:rsidR="79F43C4B">
        <w:rPr>
          <w:rFonts w:ascii="Arial" w:hAnsi="Arial" w:eastAsia="Calibri" w:cs="Arial"/>
          <w:noProof w:val="0"/>
          <w:color w:val="auto"/>
          <w:sz w:val="24"/>
          <w:szCs w:val="24"/>
          <w:lang w:val="es-ES" w:eastAsia="es-CO" w:bidi="ar-SA"/>
        </w:rPr>
        <w:t>scolare</w:t>
      </w:r>
      <w:r w:rsidRPr="0ED4F347" w:rsidR="4836AA08">
        <w:rPr>
          <w:rFonts w:ascii="Arial" w:hAnsi="Arial" w:eastAsia="Calibri" w:cs="Arial"/>
          <w:noProof w:val="0"/>
          <w:color w:val="auto"/>
          <w:sz w:val="24"/>
          <w:szCs w:val="24"/>
          <w:lang w:val="es-ES" w:eastAsia="es-CO" w:bidi="ar-SA"/>
        </w:rPr>
        <w:t>s</w:t>
      </w:r>
      <w:r w:rsidRPr="0ED4F347" w:rsidR="783542A3">
        <w:rPr>
          <w:rFonts w:ascii="Arial" w:hAnsi="Arial" w:eastAsia="Calibri" w:cs="Arial"/>
          <w:noProof w:val="0"/>
          <w:color w:val="auto"/>
          <w:sz w:val="24"/>
          <w:szCs w:val="24"/>
          <w:lang w:val="es-ES" w:eastAsia="es-CO" w:bidi="ar-SA"/>
        </w:rPr>
        <w:t xml:space="preserve"> de Gestión del Riesgo de Desastres</w:t>
      </w:r>
      <w:r w:rsidRPr="0ED4F347" w:rsidR="783542A3">
        <w:rPr>
          <w:rFonts w:ascii="Arial" w:hAnsi="Arial" w:eastAsia="Calibri" w:cs="Arial"/>
          <w:noProof w:val="0"/>
          <w:color w:val="auto"/>
          <w:sz w:val="24"/>
          <w:szCs w:val="24"/>
          <w:lang w:val="es-ES" w:eastAsia="es-CO" w:bidi="ar-SA"/>
        </w:rPr>
        <w:t xml:space="preserve"> (</w:t>
      </w:r>
      <w:r w:rsidRPr="0ED4F347" w:rsidR="392A34DA">
        <w:rPr>
          <w:rFonts w:ascii="Arial" w:hAnsi="Arial" w:eastAsia="Calibri" w:cs="Arial"/>
          <w:color w:val="auto"/>
          <w:sz w:val="24"/>
          <w:szCs w:val="24"/>
          <w:lang w:eastAsia="es-CO" w:bidi="ar-SA"/>
        </w:rPr>
        <w:t>PEGRD</w:t>
      </w:r>
      <w:r w:rsidRPr="0ED4F347" w:rsidR="3E8252FF">
        <w:rPr>
          <w:rFonts w:ascii="Arial" w:hAnsi="Arial" w:eastAsia="Calibri" w:cs="Arial"/>
          <w:color w:val="auto"/>
          <w:sz w:val="24"/>
          <w:szCs w:val="24"/>
          <w:lang w:eastAsia="es-CO" w:bidi="ar-SA"/>
        </w:rPr>
        <w:t>)</w:t>
      </w:r>
      <w:r w:rsidRPr="0ED4F347" w:rsidR="392A34DA">
        <w:rPr>
          <w:rFonts w:ascii="Arial" w:hAnsi="Arial" w:eastAsia="Calibri" w:cs="Arial"/>
          <w:color w:val="auto"/>
          <w:sz w:val="24"/>
          <w:szCs w:val="24"/>
          <w:lang w:eastAsia="es-CO" w:bidi="ar-SA"/>
        </w:rPr>
        <w:t>, presentando la organización del Sistema Nacional y Departamental para la Gestión del Riesgo. Los docentes solicitaron acompañamiento y asistencia técnica para la actualización del plan escolar, indicando receptividad a las iniciativas de la UAEGRD.</w:t>
      </w:r>
    </w:p>
    <w:p w:rsidRPr="002D39DC" w:rsidR="007C12B2" w:rsidP="007C12B2" w:rsidRDefault="007C12B2" w14:paraId="2805CBBA" w14:textId="77777777">
      <w:pPr>
        <w:rPr>
          <w:b/>
          <w:bCs/>
          <w:sz w:val="24"/>
          <w:szCs w:val="24"/>
        </w:rPr>
      </w:pPr>
    </w:p>
    <w:p w:rsidRPr="002D39DC" w:rsidR="007C12B2" w:rsidP="00C952BA" w:rsidRDefault="00586F37" w14:paraId="01657172" w14:textId="2CCCC7F9">
      <w:pPr>
        <w:rPr>
          <w:sz w:val="24"/>
          <w:szCs w:val="24"/>
        </w:rPr>
      </w:pPr>
      <w:r w:rsidRPr="0ED4F347" w:rsidR="76556668">
        <w:rPr>
          <w:rFonts w:eastAsia="Times New Roman"/>
          <w:b w:val="1"/>
          <w:bCs w:val="1"/>
          <w:sz w:val="24"/>
          <w:szCs w:val="24"/>
        </w:rPr>
        <w:t>4.3.</w:t>
      </w:r>
      <w:r w:rsidRPr="0ED4F347" w:rsidR="70BC037C">
        <w:rPr>
          <w:rFonts w:eastAsia="Times New Roman"/>
          <w:b w:val="1"/>
          <w:bCs w:val="1"/>
          <w:sz w:val="24"/>
          <w:szCs w:val="24"/>
        </w:rPr>
        <w:t xml:space="preserve">2.3. </w:t>
      </w:r>
      <w:r w:rsidRPr="0ED4F347" w:rsidR="392A34DA">
        <w:rPr>
          <w:rFonts w:eastAsia="Times New Roman"/>
          <w:b w:val="1"/>
          <w:bCs w:val="1"/>
          <w:sz w:val="24"/>
          <w:szCs w:val="24"/>
        </w:rPr>
        <w:t>Acciones posteriores de articulación en instituciones educativas</w:t>
      </w:r>
      <w:r>
        <w:br/>
      </w:r>
    </w:p>
    <w:p w:rsidRPr="002D39DC" w:rsidR="007C12B2" w:rsidP="007C12B2" w:rsidRDefault="007C12B2" w14:paraId="2C28247C" w14:textId="3B3A21FE">
      <w:pPr>
        <w:rPr>
          <w:sz w:val="24"/>
          <w:szCs w:val="24"/>
        </w:rPr>
      </w:pPr>
      <w:r w:rsidRPr="00012076">
        <w:rPr>
          <w:sz w:val="24"/>
          <w:szCs w:val="24"/>
        </w:rPr>
        <w:t xml:space="preserve">Posteriormente, la Subdirección de Conocimiento continuó desarrollando actividades de articulación interinstitucional en instituciones educativas de </w:t>
      </w:r>
      <w:proofErr w:type="spellStart"/>
      <w:r w:rsidRPr="00012076">
        <w:rPr>
          <w:sz w:val="24"/>
          <w:szCs w:val="24"/>
        </w:rPr>
        <w:t>Paratebueno</w:t>
      </w:r>
      <w:proofErr w:type="spellEnd"/>
      <w:r w:rsidRPr="00012076">
        <w:rPr>
          <w:sz w:val="24"/>
          <w:szCs w:val="24"/>
        </w:rPr>
        <w:t xml:space="preserve"> durante los meses de septiembre y octubre de 2025, posteriores al evento sísmico, lo que refleja una continuidad en el compromiso de la Entidad con la preparación comunitaria y escolar en gestión del riesgo.</w:t>
      </w:r>
    </w:p>
    <w:p w:rsidRPr="002D39DC" w:rsidR="007C12B2" w:rsidP="0ED4F347" w:rsidRDefault="007C12B2" w14:paraId="1B0C864C" w14:textId="0F2CD848">
      <w:pPr>
        <w:pStyle w:val="Ttulo3"/>
        <w:numPr>
          <w:ilvl w:val="0"/>
          <w:numId w:val="0"/>
        </w:numPr>
        <w:ind w:left="0"/>
        <w:rPr>
          <w:sz w:val="24"/>
          <w:szCs w:val="24"/>
        </w:rPr>
      </w:pPr>
      <w:r w:rsidRPr="0ED4F347" w:rsidR="365326C6">
        <w:rPr>
          <w:sz w:val="24"/>
          <w:szCs w:val="24"/>
        </w:rPr>
        <w:t xml:space="preserve">4.3.3. </w:t>
      </w:r>
      <w:r w:rsidRPr="0ED4F347" w:rsidR="392A34DA">
        <w:rPr>
          <w:sz w:val="24"/>
          <w:szCs w:val="24"/>
        </w:rPr>
        <w:t>Acciones de reducción del riesgo identificadas</w:t>
      </w:r>
    </w:p>
    <w:p w:rsidRPr="002D39DC" w:rsidR="007C12B2" w:rsidP="0ED4F347" w:rsidRDefault="007C12B2" w14:paraId="18DD21C1" w14:textId="53D21472">
      <w:pPr>
        <w:rPr>
          <w:sz w:val="24"/>
          <w:szCs w:val="24"/>
        </w:rPr>
      </w:pPr>
      <w:r w:rsidRPr="0ED4F347" w:rsidR="392A34DA">
        <w:rPr>
          <w:sz w:val="24"/>
          <w:szCs w:val="24"/>
        </w:rPr>
        <w:t>En cuanto a la reducción del riesgo, la documentación muestra que la UAEGRD realizó, antes del desastre del 8 de junio de 2025, inspecciones técnicas y oculares en zonas con amenazas específicas en ambos municipios:</w:t>
      </w:r>
      <w:proofErr w:type="spellStart"/>
      <w:proofErr w:type="spellEnd"/>
      <w:proofErr w:type="spellStart"/>
      <w:proofErr w:type="spellEnd"/>
    </w:p>
    <w:p w:rsidRPr="002D39DC" w:rsidR="007C12B2" w:rsidP="0ED4F347" w:rsidRDefault="007C12B2" w14:paraId="3FDC7DEB" w14:textId="1DFFB878">
      <w:pPr>
        <w:pStyle w:val="Normal"/>
        <w:rPr>
          <w:sz w:val="24"/>
          <w:szCs w:val="24"/>
        </w:rPr>
      </w:pPr>
    </w:p>
    <w:p w:rsidRPr="002D39DC" w:rsidR="007C12B2" w:rsidP="0ED4F347" w:rsidRDefault="007C12B2" w14:paraId="002C6F6C" w14:textId="1A38EB9F">
      <w:pPr>
        <w:pStyle w:val="Normal"/>
        <w:ind w:left="0"/>
        <w:rPr>
          <w:sz w:val="24"/>
          <w:szCs w:val="24"/>
        </w:rPr>
      </w:pPr>
      <w:r w:rsidRPr="0ED4F347" w:rsidR="5956093D">
        <w:rPr>
          <w:b w:val="1"/>
          <w:bCs w:val="1"/>
          <w:sz w:val="24"/>
          <w:szCs w:val="24"/>
        </w:rPr>
        <w:t xml:space="preserve">4.3.3.1. </w:t>
      </w:r>
      <w:r w:rsidRPr="0ED4F347" w:rsidR="392A34DA">
        <w:rPr>
          <w:b w:val="1"/>
          <w:bCs w:val="1"/>
          <w:sz w:val="24"/>
          <w:szCs w:val="24"/>
        </w:rPr>
        <w:t>Inspección Técnica del 13 de marzo de 2025 en el municipio de Medina:</w:t>
      </w:r>
      <w:r w:rsidRPr="0ED4F347" w:rsidR="740F4BF1">
        <w:rPr>
          <w:b w:val="1"/>
          <w:bCs w:val="1"/>
          <w:sz w:val="24"/>
          <w:szCs w:val="24"/>
        </w:rPr>
        <w:t xml:space="preserve"> </w:t>
      </w:r>
      <w:r w:rsidRPr="0ED4F347" w:rsidR="392A34DA">
        <w:rPr>
          <w:sz w:val="24"/>
          <w:szCs w:val="24"/>
        </w:rPr>
        <w:t xml:space="preserve">El jueves 13 de marzo de 2025, la Subdirección de Reducción de la UAEGRD, llevó a cabo una inspección técnica en los puntos críticos localizados en las veredas Arenal y San Juanito de </w:t>
      </w:r>
      <w:r w:rsidRPr="0ED4F347" w:rsidR="392A34DA">
        <w:rPr>
          <w:sz w:val="24"/>
          <w:szCs w:val="24"/>
        </w:rPr>
        <w:t>Guacavía</w:t>
      </w:r>
      <w:r w:rsidRPr="0ED4F347" w:rsidR="392A34DA">
        <w:rPr>
          <w:sz w:val="24"/>
          <w:szCs w:val="24"/>
        </w:rPr>
        <w:t xml:space="preserve"> del municipio de Medina. La visita contó con la participación del coordinador del </w:t>
      </w:r>
      <w:r w:rsidRPr="0ED4F347" w:rsidR="392A34DA">
        <w:rPr>
          <w:sz w:val="24"/>
          <w:szCs w:val="24"/>
        </w:rPr>
        <w:t>Consejo Municipal de Gestión del Riesgo y Desastres (</w:t>
      </w:r>
      <w:r w:rsidRPr="0ED4F347" w:rsidR="392A34DA">
        <w:rPr>
          <w:sz w:val="24"/>
          <w:szCs w:val="24"/>
        </w:rPr>
        <w:t>CMGRD</w:t>
      </w:r>
      <w:r w:rsidRPr="0ED4F347" w:rsidR="392A34DA">
        <w:rPr>
          <w:sz w:val="24"/>
          <w:szCs w:val="24"/>
        </w:rPr>
        <w:t>)</w:t>
      </w:r>
      <w:r w:rsidRPr="0ED4F347" w:rsidR="392A34DA">
        <w:rPr>
          <w:sz w:val="24"/>
          <w:szCs w:val="24"/>
        </w:rPr>
        <w:t xml:space="preserve"> de</w:t>
      </w:r>
      <w:r w:rsidRPr="0ED4F347" w:rsidR="392A34DA">
        <w:rPr>
          <w:sz w:val="24"/>
          <w:szCs w:val="24"/>
        </w:rPr>
        <w:t xml:space="preserve">l municipio de </w:t>
      </w:r>
      <w:r w:rsidRPr="0ED4F347" w:rsidR="392A34DA">
        <w:rPr>
          <w:sz w:val="24"/>
          <w:szCs w:val="24"/>
        </w:rPr>
        <w:t xml:space="preserve">Medina, así como funcionarios de la Corporación Autónoma Regional del </w:t>
      </w:r>
      <w:r w:rsidRPr="0ED4F347" w:rsidR="392A34DA">
        <w:rPr>
          <w:sz w:val="24"/>
          <w:szCs w:val="24"/>
        </w:rPr>
        <w:t>Guavio</w:t>
      </w:r>
      <w:r w:rsidRPr="0ED4F347" w:rsidR="392A34DA">
        <w:rPr>
          <w:sz w:val="24"/>
          <w:szCs w:val="24"/>
        </w:rPr>
        <w:t xml:space="preserve"> (CORPOGUAVIO).</w:t>
      </w:r>
    </w:p>
    <w:p w:rsidRPr="002D39DC" w:rsidR="007C12B2" w:rsidP="0ED4F347" w:rsidRDefault="007C12B2" w14:paraId="481F1F6A" w14:textId="01974D61">
      <w:pPr>
        <w:pStyle w:val="Ttulo30"/>
        <w:numPr>
          <w:ilvl w:val="0"/>
          <w:numId w:val="0"/>
        </w:numPr>
        <w:ind w:left="0"/>
        <w:jc w:val="left"/>
        <w:rPr>
          <w:sz w:val="24"/>
          <w:szCs w:val="24"/>
        </w:rPr>
      </w:pPr>
      <w:r w:rsidRPr="0ED4F347" w:rsidR="68909E9A">
        <w:rPr>
          <w:sz w:val="24"/>
          <w:szCs w:val="24"/>
        </w:rPr>
        <w:t xml:space="preserve">4.3.3.2. </w:t>
      </w:r>
      <w:r w:rsidRPr="0ED4F347" w:rsidR="392A34DA">
        <w:rPr>
          <w:sz w:val="24"/>
          <w:szCs w:val="24"/>
        </w:rPr>
        <w:t>Identificación de condiciones de riesgo específicas:</w:t>
      </w:r>
      <w:r w:rsidRPr="0ED4F347" w:rsidR="6B54B674">
        <w:rPr>
          <w:sz w:val="24"/>
          <w:szCs w:val="24"/>
        </w:rPr>
        <w:t xml:space="preserve"> </w:t>
      </w:r>
      <w:r w:rsidRPr="0ED4F347" w:rsidR="392A34DA">
        <w:rPr>
          <w:b w:val="0"/>
          <w:bCs w:val="0"/>
          <w:sz w:val="24"/>
          <w:szCs w:val="24"/>
        </w:rPr>
        <w:t>La inspección identificó condiciones de riesgo concreto por:</w:t>
      </w:r>
    </w:p>
    <w:p w:rsidRPr="00012076" w:rsidR="00567D2A" w:rsidP="007C12B2" w:rsidRDefault="00567D2A" w14:paraId="6114A396" w14:textId="77777777">
      <w:pPr>
        <w:rPr>
          <w:sz w:val="24"/>
          <w:szCs w:val="24"/>
        </w:rPr>
      </w:pPr>
    </w:p>
    <w:p w:rsidRPr="002D39DC" w:rsidR="002C048F" w:rsidP="0ED4F347" w:rsidRDefault="002C048F" w14:paraId="22D176AF" w14:textId="01967402">
      <w:pPr>
        <w:pStyle w:val="Prrafodelista"/>
        <w:numPr>
          <w:ilvl w:val="0"/>
          <w:numId w:val="28"/>
        </w:numPr>
        <w:spacing w:line="240" w:lineRule="auto"/>
        <w:rPr>
          <w:sz w:val="24"/>
          <w:szCs w:val="24"/>
        </w:rPr>
      </w:pPr>
      <w:r w:rsidRPr="0ED4F347" w:rsidR="392A34DA">
        <w:rPr>
          <w:rFonts w:eastAsia="Times New Roman"/>
          <w:b w:val="1"/>
          <w:bCs w:val="1"/>
          <w:sz w:val="24"/>
          <w:szCs w:val="24"/>
        </w:rPr>
        <w:t>Inundación en la vereda Arenal:</w:t>
      </w:r>
      <w:r w:rsidRPr="0ED4F347" w:rsidR="392A34DA">
        <w:rPr>
          <w:sz w:val="24"/>
          <w:szCs w:val="24"/>
        </w:rPr>
        <w:t xml:space="preserve"> Se documentó mediante registros fotográficos y georreferenciación el comportamiento </w:t>
      </w:r>
      <w:r w:rsidRPr="0ED4F347" w:rsidR="392A34DA">
        <w:rPr>
          <w:sz w:val="24"/>
          <w:szCs w:val="24"/>
        </w:rPr>
        <w:t>multitemporal</w:t>
      </w:r>
      <w:r w:rsidRPr="0ED4F347" w:rsidR="392A34DA">
        <w:rPr>
          <w:sz w:val="24"/>
          <w:szCs w:val="24"/>
        </w:rPr>
        <w:t xml:space="preserve"> del Río </w:t>
      </w:r>
      <w:r w:rsidRPr="0ED4F347" w:rsidR="392A34DA">
        <w:rPr>
          <w:sz w:val="24"/>
          <w:szCs w:val="24"/>
        </w:rPr>
        <w:t>Guacavía</w:t>
      </w:r>
      <w:r w:rsidRPr="0ED4F347" w:rsidR="392A34DA">
        <w:rPr>
          <w:sz w:val="24"/>
          <w:szCs w:val="24"/>
        </w:rPr>
        <w:t xml:space="preserve">, que presenta una tendencia a desplazar su cauce principal hacia el costado sur, poniendo en riesgo predios en la zona rural del municipio. Se identificó que actualmente se ejecutan obras de protección de orillas en la margen derecha (Departamento del Meta), y CORPOGUAVIO ha adelantado estudios y diseños para mitigación en la margen izquierda (Cundinamarca), consistente en construcción de muros en </w:t>
      </w:r>
      <w:r w:rsidRPr="0ED4F347" w:rsidR="392A34DA">
        <w:rPr>
          <w:sz w:val="24"/>
          <w:szCs w:val="24"/>
        </w:rPr>
        <w:t>bolsacretos</w:t>
      </w:r>
      <w:r w:rsidRPr="0ED4F347" w:rsidR="392A34DA">
        <w:rPr>
          <w:sz w:val="24"/>
          <w:szCs w:val="24"/>
        </w:rPr>
        <w:t xml:space="preserve"> de 5 a 6 metros de altura libre en aproximadamente 3.557 metros lineales.</w:t>
      </w:r>
    </w:p>
    <w:p w:rsidRPr="002D39DC" w:rsidR="002C048F" w:rsidP="0ED4F347" w:rsidRDefault="002C048F" w14:paraId="544970D0" w14:textId="60AC1C6B">
      <w:pPr>
        <w:pStyle w:val="Prrafodelista"/>
        <w:spacing w:line="240" w:lineRule="auto"/>
        <w:ind w:left="360"/>
        <w:rPr>
          <w:sz w:val="24"/>
          <w:szCs w:val="24"/>
        </w:rPr>
      </w:pPr>
    </w:p>
    <w:p w:rsidRPr="002D39DC" w:rsidR="002C048F" w:rsidP="0ED4F347" w:rsidRDefault="002C048F" w14:paraId="76E1FCCD" w14:textId="06C188C1">
      <w:pPr>
        <w:pStyle w:val="Prrafodelista"/>
        <w:numPr>
          <w:ilvl w:val="0"/>
          <w:numId w:val="28"/>
        </w:numPr>
        <w:spacing w:line="240" w:lineRule="auto"/>
        <w:rPr>
          <w:sz w:val="24"/>
          <w:szCs w:val="24"/>
        </w:rPr>
      </w:pPr>
      <w:r w:rsidRPr="0ED4F347" w:rsidR="392A34DA">
        <w:rPr>
          <w:rFonts w:eastAsia="Times New Roman"/>
          <w:b w:val="1"/>
          <w:bCs w:val="1"/>
          <w:sz w:val="24"/>
          <w:szCs w:val="24"/>
        </w:rPr>
        <w:t xml:space="preserve">Remoción en masa sobre el Río </w:t>
      </w:r>
      <w:r w:rsidRPr="0ED4F347" w:rsidR="392A34DA">
        <w:rPr>
          <w:rFonts w:eastAsia="Times New Roman"/>
          <w:b w:val="1"/>
          <w:bCs w:val="1"/>
          <w:sz w:val="24"/>
          <w:szCs w:val="24"/>
        </w:rPr>
        <w:t>Niporé</w:t>
      </w:r>
      <w:r w:rsidRPr="0ED4F347" w:rsidR="392A34DA">
        <w:rPr>
          <w:rFonts w:eastAsia="Times New Roman"/>
          <w:b w:val="1"/>
          <w:bCs w:val="1"/>
          <w:sz w:val="24"/>
          <w:szCs w:val="24"/>
        </w:rPr>
        <w:t xml:space="preserve"> en San Juanito de </w:t>
      </w:r>
      <w:r w:rsidRPr="0ED4F347" w:rsidR="392A34DA">
        <w:rPr>
          <w:rFonts w:eastAsia="Times New Roman"/>
          <w:b w:val="1"/>
          <w:bCs w:val="1"/>
          <w:sz w:val="24"/>
          <w:szCs w:val="24"/>
        </w:rPr>
        <w:t>Guacavía</w:t>
      </w:r>
      <w:r w:rsidRPr="0ED4F347" w:rsidR="392A34DA">
        <w:rPr>
          <w:rFonts w:eastAsia="Times New Roman"/>
          <w:b w:val="1"/>
          <w:bCs w:val="1"/>
          <w:sz w:val="24"/>
          <w:szCs w:val="24"/>
        </w:rPr>
        <w:t>:</w:t>
      </w:r>
      <w:r w:rsidRPr="0ED4F347" w:rsidR="392A34DA">
        <w:rPr>
          <w:sz w:val="24"/>
          <w:szCs w:val="24"/>
        </w:rPr>
        <w:t xml:space="preserve"> Se documentó mediante análisis </w:t>
      </w:r>
      <w:r w:rsidRPr="0ED4F347" w:rsidR="392A34DA">
        <w:rPr>
          <w:sz w:val="24"/>
          <w:szCs w:val="24"/>
        </w:rPr>
        <w:t>multitemporal</w:t>
      </w:r>
      <w:r w:rsidRPr="0ED4F347" w:rsidR="392A34DA">
        <w:rPr>
          <w:sz w:val="24"/>
          <w:szCs w:val="24"/>
        </w:rPr>
        <w:t xml:space="preserve"> (2001-2021) que el cauce principal del Río </w:t>
      </w:r>
      <w:r w:rsidRPr="0ED4F347" w:rsidR="392A34DA">
        <w:rPr>
          <w:sz w:val="24"/>
          <w:szCs w:val="24"/>
        </w:rPr>
        <w:t>Niporé</w:t>
      </w:r>
      <w:r w:rsidRPr="0ED4F347" w:rsidR="392A34DA">
        <w:rPr>
          <w:sz w:val="24"/>
          <w:szCs w:val="24"/>
        </w:rPr>
        <w:t xml:space="preserve"> presenta tendencia al desplazamiento hacia el margen derecho (costado sur), lo que podría afectar predios en una extensión aproximada de 200 hectáreas. Se recomendó la construcción de diques tipo falso espolón sobre el margen derecho construidos con material del río para control de velocidad y sedimentación de playa.</w:t>
      </w:r>
    </w:p>
    <w:p w:rsidR="1C3D137E" w:rsidP="0ED4F347" w:rsidRDefault="1C3D137E" w14:paraId="77E5638E" w14:textId="725156EF">
      <w:pPr>
        <w:pStyle w:val="Ttulo30"/>
        <w:spacing w:before="120" w:line="240" w:lineRule="auto"/>
        <w:ind/>
        <w:rPr>
          <w:sz w:val="24"/>
          <w:szCs w:val="24"/>
        </w:rPr>
      </w:pPr>
      <w:r w:rsidRPr="0ED4F347" w:rsidR="392A34DA">
        <w:rPr>
          <w:sz w:val="24"/>
          <w:szCs w:val="24"/>
          <w:lang w:val="es-ES"/>
        </w:rPr>
        <w:t>Recomendaciones técnicas emitidas:</w:t>
      </w:r>
      <w:r w:rsidRPr="0ED4F347" w:rsidR="66B23069">
        <w:rPr>
          <w:sz w:val="24"/>
          <w:szCs w:val="24"/>
          <w:lang w:val="es-ES"/>
        </w:rPr>
        <w:t xml:space="preserve"> </w:t>
      </w:r>
      <w:r w:rsidRPr="0ED4F347" w:rsidR="392A34DA">
        <w:rPr>
          <w:b w:val="0"/>
          <w:bCs w:val="0"/>
          <w:sz w:val="24"/>
          <w:szCs w:val="24"/>
          <w:lang w:val="es-ES"/>
        </w:rPr>
        <w:t>Las recomendaciones dirigidas a los alcaldes, C</w:t>
      </w:r>
      <w:r w:rsidRPr="0ED4F347" w:rsidR="6BECDD41">
        <w:rPr>
          <w:b w:val="0"/>
          <w:bCs w:val="0"/>
          <w:sz w:val="24"/>
          <w:szCs w:val="24"/>
          <w:lang w:val="es-ES"/>
        </w:rPr>
        <w:t xml:space="preserve">onsejos </w:t>
      </w:r>
      <w:r w:rsidRPr="0ED4F347" w:rsidR="392A34DA">
        <w:rPr>
          <w:b w:val="0"/>
          <w:bCs w:val="0"/>
          <w:sz w:val="24"/>
          <w:szCs w:val="24"/>
          <w:lang w:val="es-ES"/>
        </w:rPr>
        <w:t>M</w:t>
      </w:r>
      <w:r w:rsidRPr="0ED4F347" w:rsidR="6BECDD41">
        <w:rPr>
          <w:b w:val="0"/>
          <w:bCs w:val="0"/>
          <w:sz w:val="24"/>
          <w:szCs w:val="24"/>
          <w:lang w:val="es-ES"/>
        </w:rPr>
        <w:t xml:space="preserve">unicipales de </w:t>
      </w:r>
      <w:r w:rsidRPr="0ED4F347" w:rsidR="392A34DA">
        <w:rPr>
          <w:b w:val="0"/>
          <w:bCs w:val="0"/>
          <w:sz w:val="24"/>
          <w:szCs w:val="24"/>
          <w:lang w:val="es-ES"/>
        </w:rPr>
        <w:t>G</w:t>
      </w:r>
      <w:r w:rsidRPr="0ED4F347" w:rsidR="6BECDD41">
        <w:rPr>
          <w:b w:val="0"/>
          <w:bCs w:val="0"/>
          <w:sz w:val="24"/>
          <w:szCs w:val="24"/>
          <w:lang w:val="es-ES"/>
        </w:rPr>
        <w:t xml:space="preserve">estión </w:t>
      </w:r>
      <w:r w:rsidRPr="0ED4F347" w:rsidR="2BDFAD8F">
        <w:rPr>
          <w:b w:val="0"/>
          <w:bCs w:val="0"/>
          <w:sz w:val="24"/>
          <w:szCs w:val="24"/>
          <w:lang w:val="es-ES"/>
        </w:rPr>
        <w:t xml:space="preserve">del </w:t>
      </w:r>
      <w:r w:rsidRPr="0ED4F347" w:rsidR="392A34DA">
        <w:rPr>
          <w:b w:val="0"/>
          <w:bCs w:val="0"/>
          <w:sz w:val="24"/>
          <w:szCs w:val="24"/>
          <w:lang w:val="es-ES"/>
        </w:rPr>
        <w:t>R</w:t>
      </w:r>
      <w:r w:rsidRPr="0ED4F347" w:rsidR="2BDFAD8F">
        <w:rPr>
          <w:b w:val="0"/>
          <w:bCs w:val="0"/>
          <w:sz w:val="24"/>
          <w:szCs w:val="24"/>
          <w:lang w:val="es-ES"/>
        </w:rPr>
        <w:t xml:space="preserve">iesgo de </w:t>
      </w:r>
      <w:r w:rsidRPr="0ED4F347" w:rsidR="392A34DA">
        <w:rPr>
          <w:b w:val="0"/>
          <w:bCs w:val="0"/>
          <w:sz w:val="24"/>
          <w:szCs w:val="24"/>
          <w:lang w:val="es-ES"/>
        </w:rPr>
        <w:t>D</w:t>
      </w:r>
      <w:r w:rsidRPr="0ED4F347" w:rsidR="2BDFAD8F">
        <w:rPr>
          <w:b w:val="0"/>
          <w:bCs w:val="0"/>
          <w:sz w:val="24"/>
          <w:szCs w:val="24"/>
          <w:lang w:val="es-ES"/>
        </w:rPr>
        <w:t>esastres (CMGRD)</w:t>
      </w:r>
      <w:r w:rsidRPr="0ED4F347" w:rsidR="392A34DA">
        <w:rPr>
          <w:b w:val="0"/>
          <w:bCs w:val="0"/>
          <w:sz w:val="24"/>
          <w:szCs w:val="24"/>
          <w:lang w:val="es-ES"/>
        </w:rPr>
        <w:t xml:space="preserve"> y corporaciones ambientales incluían:</w:t>
      </w:r>
      <w:r w:rsidRPr="0ED4F347" w:rsidR="25112A5F">
        <w:rPr>
          <w:b w:val="0"/>
          <w:bCs w:val="0"/>
          <w:sz w:val="24"/>
          <w:szCs w:val="24"/>
          <w:lang w:val="es-ES"/>
        </w:rPr>
        <w:t xml:space="preserve"> </w:t>
      </w:r>
      <w:r w:rsidRPr="0ED4F347" w:rsidR="1B9BA58E">
        <w:rPr>
          <w:b w:val="0"/>
          <w:bCs w:val="0"/>
          <w:sz w:val="24"/>
          <w:szCs w:val="24"/>
          <w:lang w:val="es-ES"/>
        </w:rPr>
        <w:t>r</w:t>
      </w:r>
      <w:r w:rsidRPr="0ED4F347" w:rsidR="392A34DA">
        <w:rPr>
          <w:b w:val="0"/>
          <w:bCs w:val="0"/>
          <w:sz w:val="24"/>
          <w:szCs w:val="24"/>
          <w:lang w:val="es-ES"/>
        </w:rPr>
        <w:t>ealizar monitoreo constante de procesos de erosión hídrica</w:t>
      </w:r>
      <w:r w:rsidRPr="0ED4F347" w:rsidR="7F4336FD">
        <w:rPr>
          <w:b w:val="0"/>
          <w:bCs w:val="0"/>
          <w:sz w:val="24"/>
          <w:szCs w:val="24"/>
          <w:lang w:val="es-ES"/>
        </w:rPr>
        <w:t xml:space="preserve">; </w:t>
      </w:r>
      <w:r w:rsidRPr="0ED4F347" w:rsidR="360BC2CC">
        <w:rPr>
          <w:b w:val="0"/>
          <w:bCs w:val="0"/>
          <w:sz w:val="24"/>
          <w:szCs w:val="24"/>
          <w:lang w:val="es-ES"/>
        </w:rPr>
        <w:t>g</w:t>
      </w:r>
      <w:r w:rsidRPr="0ED4F347" w:rsidR="392A34DA">
        <w:rPr>
          <w:b w:val="0"/>
          <w:bCs w:val="0"/>
          <w:sz w:val="24"/>
          <w:szCs w:val="24"/>
          <w:lang w:val="es-ES"/>
        </w:rPr>
        <w:t>estionar las revisiones pertinentes a los estudios de CORPOGUAVIO para presentación ante la Unidad Nacional de Gestión de Riesgo de Desastres (UNGRD)</w:t>
      </w:r>
      <w:r w:rsidRPr="0ED4F347" w:rsidR="7FF6D589">
        <w:rPr>
          <w:b w:val="0"/>
          <w:bCs w:val="0"/>
          <w:sz w:val="24"/>
          <w:szCs w:val="24"/>
          <w:lang w:val="es-ES"/>
        </w:rPr>
        <w:t>; a</w:t>
      </w:r>
      <w:r w:rsidRPr="0ED4F347" w:rsidR="392A34DA">
        <w:rPr>
          <w:b w:val="0"/>
          <w:bCs w:val="0"/>
          <w:sz w:val="24"/>
          <w:szCs w:val="24"/>
          <w:lang w:val="es-ES"/>
        </w:rPr>
        <w:t xml:space="preserve">delantar medidas de mitigación por emergencia para el punto crítico del Río </w:t>
      </w:r>
      <w:r w:rsidRPr="0ED4F347" w:rsidR="392A34DA">
        <w:rPr>
          <w:b w:val="0"/>
          <w:bCs w:val="0"/>
          <w:sz w:val="24"/>
          <w:szCs w:val="24"/>
          <w:lang w:val="es-ES"/>
        </w:rPr>
        <w:t>Niporé</w:t>
      </w:r>
      <w:r w:rsidRPr="0ED4F347" w:rsidR="45D2DD79">
        <w:rPr>
          <w:b w:val="0"/>
          <w:bCs w:val="0"/>
          <w:sz w:val="24"/>
          <w:szCs w:val="24"/>
          <w:lang w:val="es-ES"/>
        </w:rPr>
        <w:t xml:space="preserve"> y g</w:t>
      </w:r>
      <w:r w:rsidRPr="0ED4F347" w:rsidR="392A34DA">
        <w:rPr>
          <w:b w:val="0"/>
          <w:bCs w:val="0"/>
          <w:sz w:val="24"/>
          <w:szCs w:val="24"/>
        </w:rPr>
        <w:t>arantizar comunicación mediante informes del CMGRD a la UAEGRD sobre acciones ejecutadas para mitigación del riesgo.</w:t>
      </w:r>
    </w:p>
    <w:p w:rsidRPr="00012076" w:rsidR="007C12B2" w:rsidP="00930D48" w:rsidRDefault="007C12B2" w14:paraId="73369EC4" w14:textId="0B8EB656">
      <w:pPr>
        <w:spacing w:before="120"/>
        <w:rPr>
          <w:sz w:val="24"/>
          <w:szCs w:val="24"/>
        </w:rPr>
      </w:pPr>
      <w:r w:rsidRPr="0ED4F347" w:rsidR="392A34DA">
        <w:rPr>
          <w:sz w:val="24"/>
          <w:szCs w:val="24"/>
        </w:rPr>
        <w:t>Con base en lo anterior, la auditoría deja constancia que, aun cuando los sismos n</w:t>
      </w:r>
      <w:r w:rsidRPr="0ED4F347" w:rsidR="392A34DA">
        <w:rPr>
          <w:sz w:val="24"/>
          <w:szCs w:val="24"/>
        </w:rPr>
        <w:t xml:space="preserve">o pueden predecirse, </w:t>
      </w:r>
      <w:r w:rsidRPr="0ED4F347" w:rsidR="392A34DA">
        <w:rPr>
          <w:sz w:val="24"/>
          <w:szCs w:val="24"/>
        </w:rPr>
        <w:t xml:space="preserve">la </w:t>
      </w:r>
      <w:r w:rsidRPr="0ED4F347" w:rsidR="178BE93E">
        <w:rPr>
          <w:sz w:val="24"/>
          <w:szCs w:val="24"/>
        </w:rPr>
        <w:t>UAEGRD</w:t>
      </w:r>
      <w:r w:rsidRPr="0ED4F347" w:rsidR="392A34DA">
        <w:rPr>
          <w:sz w:val="24"/>
          <w:szCs w:val="24"/>
        </w:rPr>
        <w:t xml:space="preserve"> había adelantado, en el marco de sus funciones misionales asignadas en el Capítulo IV del Decreto </w:t>
      </w:r>
      <w:r w:rsidRPr="0ED4F347" w:rsidR="392A34DA">
        <w:rPr>
          <w:sz w:val="24"/>
          <w:szCs w:val="24"/>
        </w:rPr>
        <w:t>Ordenanzal</w:t>
      </w:r>
      <w:r w:rsidRPr="0ED4F347" w:rsidR="392A34DA">
        <w:rPr>
          <w:sz w:val="24"/>
          <w:szCs w:val="24"/>
        </w:rPr>
        <w:t xml:space="preserve"> 406, iniciativas previas orientadas a que la población y las autoridades locales conocieran mejor sus riesgos y contaran con elementos para reducir las consecuencias de posibles desastres.</w:t>
      </w:r>
    </w:p>
    <w:p w:rsidRPr="002D39DC" w:rsidR="007C12B2" w:rsidP="007C12B2" w:rsidRDefault="007C12B2" w14:paraId="1175B5D3" w14:textId="77777777">
      <w:pPr>
        <w:rPr>
          <w:sz w:val="24"/>
          <w:szCs w:val="24"/>
        </w:rPr>
      </w:pPr>
    </w:p>
    <w:p w:rsidRPr="002D39DC" w:rsidR="007C12B2" w:rsidP="007C12B2" w:rsidRDefault="007C12B2" w14:paraId="6BCD136D" w14:textId="77777777">
      <w:pPr>
        <w:rPr>
          <w:sz w:val="24"/>
          <w:szCs w:val="24"/>
        </w:rPr>
      </w:pPr>
      <w:r w:rsidRPr="00012076">
        <w:rPr>
          <w:sz w:val="24"/>
          <w:szCs w:val="24"/>
        </w:rPr>
        <w:t>En este sentido, el cumplimiento del objetivo específico 3 se valora de manera </w:t>
      </w:r>
      <w:r w:rsidRPr="00012076">
        <w:rPr>
          <w:rFonts w:eastAsia="Times New Roman"/>
          <w:b/>
          <w:bCs/>
          <w:sz w:val="24"/>
          <w:szCs w:val="24"/>
        </w:rPr>
        <w:t>favorable</w:t>
      </w:r>
      <w:r w:rsidRPr="00012076">
        <w:rPr>
          <w:sz w:val="24"/>
          <w:szCs w:val="24"/>
        </w:rPr>
        <w:t>, destacando que:</w:t>
      </w:r>
    </w:p>
    <w:p w:rsidRPr="00012076" w:rsidR="007C12B2" w:rsidP="007C12B2" w:rsidRDefault="007C12B2" w14:paraId="356F2A25" w14:textId="77777777">
      <w:pPr>
        <w:rPr>
          <w:sz w:val="24"/>
          <w:szCs w:val="24"/>
        </w:rPr>
      </w:pPr>
    </w:p>
    <w:p w:rsidRPr="00012076" w:rsidR="007C12B2" w:rsidP="0ED4F347" w:rsidRDefault="007C12B2" w14:paraId="7A103263" w14:textId="00D90875">
      <w:pPr>
        <w:pStyle w:val="Prrafodelista"/>
        <w:numPr>
          <w:ilvl w:val="0"/>
          <w:numId w:val="22"/>
        </w:numPr>
        <w:spacing w:line="240" w:lineRule="auto"/>
        <w:rPr>
          <w:sz w:val="24"/>
          <w:szCs w:val="24"/>
        </w:rPr>
      </w:pPr>
      <w:r w:rsidRPr="0ED4F347" w:rsidR="392A34DA">
        <w:rPr>
          <w:sz w:val="24"/>
          <w:szCs w:val="24"/>
        </w:rPr>
        <w:t>La gestión de la Entidad se enfocó en fortalecer capacidades de los C</w:t>
      </w:r>
      <w:r w:rsidRPr="0ED4F347" w:rsidR="392A34DA">
        <w:rPr>
          <w:sz w:val="24"/>
          <w:szCs w:val="24"/>
        </w:rPr>
        <w:t xml:space="preserve">onsejos </w:t>
      </w:r>
      <w:r w:rsidRPr="0ED4F347" w:rsidR="392A34DA">
        <w:rPr>
          <w:sz w:val="24"/>
          <w:szCs w:val="24"/>
        </w:rPr>
        <w:t>M</w:t>
      </w:r>
      <w:r w:rsidRPr="0ED4F347" w:rsidR="392A34DA">
        <w:rPr>
          <w:sz w:val="24"/>
          <w:szCs w:val="24"/>
        </w:rPr>
        <w:t xml:space="preserve">unicipales de </w:t>
      </w:r>
      <w:r w:rsidRPr="0ED4F347" w:rsidR="392A34DA">
        <w:rPr>
          <w:sz w:val="24"/>
          <w:szCs w:val="24"/>
        </w:rPr>
        <w:t>G</w:t>
      </w:r>
      <w:r w:rsidRPr="0ED4F347" w:rsidR="392A34DA">
        <w:rPr>
          <w:sz w:val="24"/>
          <w:szCs w:val="24"/>
        </w:rPr>
        <w:t xml:space="preserve">estión del </w:t>
      </w:r>
      <w:r w:rsidRPr="0ED4F347" w:rsidR="392A34DA">
        <w:rPr>
          <w:sz w:val="24"/>
          <w:szCs w:val="24"/>
        </w:rPr>
        <w:t>R</w:t>
      </w:r>
      <w:r w:rsidRPr="0ED4F347" w:rsidR="392A34DA">
        <w:rPr>
          <w:sz w:val="24"/>
          <w:szCs w:val="24"/>
        </w:rPr>
        <w:t xml:space="preserve">iesgo y </w:t>
      </w:r>
      <w:r w:rsidRPr="0ED4F347" w:rsidR="392A34DA">
        <w:rPr>
          <w:sz w:val="24"/>
          <w:szCs w:val="24"/>
        </w:rPr>
        <w:t>D</w:t>
      </w:r>
      <w:r w:rsidRPr="0ED4F347" w:rsidR="392A34DA">
        <w:rPr>
          <w:sz w:val="24"/>
          <w:szCs w:val="24"/>
        </w:rPr>
        <w:t>esastres</w:t>
      </w:r>
      <w:r w:rsidRPr="0ED4F347" w:rsidR="392A34DA">
        <w:rPr>
          <w:sz w:val="24"/>
          <w:szCs w:val="24"/>
        </w:rPr>
        <w:t xml:space="preserve"> </w:t>
      </w:r>
      <w:r w:rsidRPr="0ED4F347" w:rsidR="392A34DA">
        <w:rPr>
          <w:sz w:val="24"/>
          <w:szCs w:val="24"/>
        </w:rPr>
        <w:t xml:space="preserve">(CMGRD) </w:t>
      </w:r>
      <w:r w:rsidRPr="0ED4F347" w:rsidR="392A34DA">
        <w:rPr>
          <w:sz w:val="24"/>
          <w:szCs w:val="24"/>
        </w:rPr>
        <w:t>en</w:t>
      </w:r>
      <w:r w:rsidRPr="0ED4F347" w:rsidR="2A8567B6">
        <w:rPr>
          <w:sz w:val="24"/>
          <w:szCs w:val="24"/>
        </w:rPr>
        <w:t xml:space="preserve"> los municipios de</w:t>
      </w:r>
      <w:r w:rsidRPr="0ED4F347" w:rsidR="392A34DA">
        <w:rPr>
          <w:sz w:val="24"/>
          <w:szCs w:val="24"/>
        </w:rPr>
        <w:t xml:space="preserve"> Medina y </w:t>
      </w:r>
      <w:r w:rsidRPr="0ED4F347" w:rsidR="392A34DA">
        <w:rPr>
          <w:sz w:val="24"/>
          <w:szCs w:val="24"/>
        </w:rPr>
        <w:t>Paratebueno</w:t>
      </w:r>
      <w:r w:rsidRPr="0ED4F347" w:rsidR="392A34DA">
        <w:rPr>
          <w:sz w:val="24"/>
          <w:szCs w:val="24"/>
        </w:rPr>
        <w:t xml:space="preserve"> mediante asistencias técnicas sobre normatividad, política pública y funcionamiento del </w:t>
      </w:r>
      <w:r w:rsidRPr="0ED4F347" w:rsidR="392A34DA">
        <w:rPr>
          <w:rFonts w:eastAsia="Times New Roman"/>
          <w:sz w:val="24"/>
          <w:szCs w:val="24"/>
        </w:rPr>
        <w:t>Sistema Nacional de Gestión del Riesgo de Desastres</w:t>
      </w:r>
      <w:r w:rsidRPr="0ED4F347" w:rsidR="392A34DA">
        <w:rPr>
          <w:sz w:val="24"/>
          <w:szCs w:val="24"/>
        </w:rPr>
        <w:t>. (</w:t>
      </w:r>
      <w:r w:rsidRPr="0ED4F347" w:rsidR="392A34DA">
        <w:rPr>
          <w:sz w:val="24"/>
          <w:szCs w:val="24"/>
        </w:rPr>
        <w:t>SNGRD</w:t>
      </w:r>
      <w:r w:rsidRPr="0ED4F347" w:rsidR="392A34DA">
        <w:rPr>
          <w:sz w:val="24"/>
          <w:szCs w:val="24"/>
        </w:rPr>
        <w:t>)</w:t>
      </w:r>
      <w:r w:rsidRPr="0ED4F347" w:rsidR="392A34DA">
        <w:rPr>
          <w:sz w:val="24"/>
          <w:szCs w:val="24"/>
        </w:rPr>
        <w:t>, completadas antes del 8 de junio de 2025.</w:t>
      </w:r>
    </w:p>
    <w:p w:rsidRPr="00012076" w:rsidR="007C12B2" w:rsidP="00153268" w:rsidRDefault="007C12B2" w14:paraId="058A63CD" w14:textId="63136D1E">
      <w:pPr>
        <w:numPr>
          <w:ilvl w:val="0"/>
          <w:numId w:val="22"/>
        </w:numPr>
        <w:spacing w:line="240" w:lineRule="auto"/>
        <w:rPr>
          <w:sz w:val="24"/>
          <w:szCs w:val="24"/>
        </w:rPr>
      </w:pPr>
      <w:r w:rsidRPr="0ED4F347" w:rsidR="392A34DA">
        <w:rPr>
          <w:sz w:val="24"/>
          <w:szCs w:val="24"/>
        </w:rPr>
        <w:t>Se realizaron intervenciones técnicas en el territorio identificando condiciones de riesgo concreto (inundación, remoción en masa, erosión hídrica) con documentación fotográfica, georreferenciación y recomendaciones de mitigación emitidas al C</w:t>
      </w:r>
      <w:r w:rsidRPr="0ED4F347" w:rsidR="392A34DA">
        <w:rPr>
          <w:sz w:val="24"/>
          <w:szCs w:val="24"/>
        </w:rPr>
        <w:t xml:space="preserve">onsejo </w:t>
      </w:r>
      <w:r w:rsidRPr="0ED4F347" w:rsidR="392A34DA">
        <w:rPr>
          <w:sz w:val="24"/>
          <w:szCs w:val="24"/>
        </w:rPr>
        <w:t>M</w:t>
      </w:r>
      <w:r w:rsidRPr="0ED4F347" w:rsidR="392A34DA">
        <w:rPr>
          <w:sz w:val="24"/>
          <w:szCs w:val="24"/>
        </w:rPr>
        <w:t xml:space="preserve">unicipal de </w:t>
      </w:r>
      <w:r w:rsidRPr="0ED4F347" w:rsidR="392A34DA">
        <w:rPr>
          <w:sz w:val="24"/>
          <w:szCs w:val="24"/>
        </w:rPr>
        <w:t>G</w:t>
      </w:r>
      <w:r w:rsidRPr="0ED4F347" w:rsidR="392A34DA">
        <w:rPr>
          <w:sz w:val="24"/>
          <w:szCs w:val="24"/>
        </w:rPr>
        <w:t xml:space="preserve">estión del </w:t>
      </w:r>
      <w:r w:rsidRPr="0ED4F347" w:rsidR="392A34DA">
        <w:rPr>
          <w:sz w:val="24"/>
          <w:szCs w:val="24"/>
        </w:rPr>
        <w:t>R</w:t>
      </w:r>
      <w:r w:rsidRPr="0ED4F347" w:rsidR="392A34DA">
        <w:rPr>
          <w:sz w:val="24"/>
          <w:szCs w:val="24"/>
        </w:rPr>
        <w:t xml:space="preserve">iesgo y </w:t>
      </w:r>
      <w:r w:rsidRPr="0ED4F347" w:rsidR="392A34DA">
        <w:rPr>
          <w:sz w:val="24"/>
          <w:szCs w:val="24"/>
        </w:rPr>
        <w:t>D</w:t>
      </w:r>
      <w:r w:rsidRPr="0ED4F347" w:rsidR="392A34DA">
        <w:rPr>
          <w:sz w:val="24"/>
          <w:szCs w:val="24"/>
        </w:rPr>
        <w:t>esastres</w:t>
      </w:r>
      <w:r w:rsidRPr="0ED4F347" w:rsidR="392A34DA">
        <w:rPr>
          <w:sz w:val="24"/>
          <w:szCs w:val="24"/>
        </w:rPr>
        <w:t xml:space="preserve"> </w:t>
      </w:r>
      <w:r w:rsidRPr="0ED4F347" w:rsidR="392A34DA">
        <w:rPr>
          <w:sz w:val="24"/>
          <w:szCs w:val="24"/>
        </w:rPr>
        <w:t>(CMGRD)</w:t>
      </w:r>
      <w:r w:rsidRPr="0ED4F347" w:rsidR="392A34DA">
        <w:rPr>
          <w:sz w:val="24"/>
          <w:szCs w:val="24"/>
        </w:rPr>
        <w:t xml:space="preserve"> y autoridades ambientales.</w:t>
      </w:r>
    </w:p>
    <w:p w:rsidRPr="002D39DC" w:rsidR="007C12B2" w:rsidP="00153268" w:rsidRDefault="007C12B2" w14:paraId="292364E6" w14:textId="33F6D154">
      <w:pPr>
        <w:numPr>
          <w:ilvl w:val="0"/>
          <w:numId w:val="22"/>
        </w:numPr>
        <w:spacing w:line="240" w:lineRule="auto"/>
        <w:rPr>
          <w:sz w:val="24"/>
          <w:szCs w:val="24"/>
        </w:rPr>
      </w:pPr>
      <w:r w:rsidRPr="0ED4F347" w:rsidR="392A34DA">
        <w:rPr>
          <w:sz w:val="24"/>
          <w:szCs w:val="24"/>
        </w:rPr>
        <w:t>Se promovió la articulación interinstitucional en instituciones educativas para la conformación de</w:t>
      </w:r>
      <w:r w:rsidRPr="0ED4F347" w:rsidR="392A34DA">
        <w:rPr>
          <w:sz w:val="24"/>
          <w:szCs w:val="24"/>
        </w:rPr>
        <w:t xml:space="preserve"> </w:t>
      </w:r>
      <w:r w:rsidRPr="0ED4F347" w:rsidR="392A34DA">
        <w:rPr>
          <w:rFonts w:eastAsia="Times New Roman"/>
          <w:sz w:val="24"/>
          <w:szCs w:val="24"/>
        </w:rPr>
        <w:t>PEGRD</w:t>
      </w:r>
      <w:r w:rsidRPr="0ED4F347" w:rsidR="392A34DA">
        <w:rPr>
          <w:sz w:val="24"/>
          <w:szCs w:val="24"/>
        </w:rPr>
        <w:t xml:space="preserve">, iniciativa que </w:t>
      </w:r>
      <w:r w:rsidRPr="0ED4F347" w:rsidR="392A34DA">
        <w:rPr>
          <w:sz w:val="24"/>
          <w:szCs w:val="24"/>
        </w:rPr>
        <w:t xml:space="preserve">corresponden </w:t>
      </w:r>
      <w:r w:rsidRPr="0ED4F347" w:rsidR="392A34DA">
        <w:rPr>
          <w:sz w:val="24"/>
          <w:szCs w:val="24"/>
        </w:rPr>
        <w:t>a los lineamientos de preparación y conocimiento del riesgo establecidos en la Ley 1523 de 2012.</w:t>
      </w:r>
    </w:p>
    <w:p w:rsidRPr="00012076" w:rsidR="007C12B2" w:rsidP="007C12B2" w:rsidRDefault="007C12B2" w14:paraId="4DE29296" w14:textId="77777777">
      <w:pPr>
        <w:ind w:left="360"/>
        <w:rPr>
          <w:sz w:val="24"/>
          <w:szCs w:val="24"/>
        </w:rPr>
      </w:pPr>
    </w:p>
    <w:p w:rsidRPr="002D39DC" w:rsidR="007C12B2" w:rsidP="0ED4F347" w:rsidRDefault="007C12B2" w14:paraId="081E65D4" w14:textId="6E05A255">
      <w:pPr>
        <w:pStyle w:val="Normal"/>
        <w:shd w:val="clear" w:color="auto" w:fill="FFFFFF" w:themeFill="background1"/>
        <w:spacing w:line="240" w:lineRule="auto"/>
        <w:ind w:left="0"/>
        <w:outlineLvl w:val="2"/>
        <w:rPr>
          <w:rFonts w:eastAsia="" w:eastAsiaTheme="minorEastAsia"/>
          <w:color w:val="242424"/>
          <w:sz w:val="24"/>
          <w:szCs w:val="24"/>
        </w:rPr>
      </w:pPr>
      <w:r w:rsidRPr="0ED4F347" w:rsidR="21D03CD0">
        <w:rPr>
          <w:sz w:val="24"/>
          <w:szCs w:val="24"/>
        </w:rPr>
        <w:t>Lo anterior,</w:t>
      </w:r>
      <w:r w:rsidRPr="0ED4F347" w:rsidR="392A34DA">
        <w:rPr>
          <w:sz w:val="24"/>
          <w:szCs w:val="24"/>
        </w:rPr>
        <w:t xml:space="preserve"> sin que ello implique la expectativa de anticipar o evitar la ocurrencia misma del evento sísmico del 8 de junio de 2025, cuya naturaleza como fenómeno natural súbito requería, por parte de la Entidad, acciones de preparación y respuesta inmediata una vez ocurrido, según lo dispuesto en los Procedimientos </w:t>
      </w:r>
      <w:r w:rsidRPr="0ED4F347" w:rsidR="392A34DA">
        <w:rPr>
          <w:rFonts w:eastAsia="Aptos"/>
          <w:sz w:val="24"/>
          <w:szCs w:val="24"/>
        </w:rPr>
        <w:t>Plan de Acción Específico – PAE (M</w:t>
      </w:r>
      <w:r w:rsidRPr="0ED4F347" w:rsidR="392A34DA">
        <w:rPr>
          <w:rFonts w:eastAsia="Aptos"/>
          <w:sz w:val="24"/>
          <w:szCs w:val="24"/>
        </w:rPr>
        <w:t>FT</w:t>
      </w:r>
      <w:r w:rsidRPr="0ED4F347" w:rsidR="392A34DA">
        <w:rPr>
          <w:rFonts w:eastAsia="Aptos"/>
          <w:sz w:val="24"/>
          <w:szCs w:val="24"/>
        </w:rPr>
        <w:t>PR</w:t>
      </w:r>
      <w:r w:rsidRPr="0ED4F347" w:rsidR="392A34DA">
        <w:rPr>
          <w:rFonts w:eastAsia="Aptos"/>
          <w:sz w:val="24"/>
          <w:szCs w:val="24"/>
        </w:rPr>
        <w:t xml:space="preserve">018) y </w:t>
      </w:r>
      <w:r w:rsidRPr="0ED4F347" w:rsidR="392A34DA">
        <w:rPr>
          <w:sz w:val="24"/>
          <w:szCs w:val="24"/>
        </w:rPr>
        <w:t xml:space="preserve">Atención de Emergencias </w:t>
      </w:r>
      <w:r w:rsidRPr="0ED4F347" w:rsidR="392A34DA">
        <w:rPr>
          <w:rFonts w:eastAsia="" w:eastAsiaTheme="minorEastAsia"/>
          <w:sz w:val="24"/>
          <w:szCs w:val="24"/>
        </w:rPr>
        <w:t>(M</w:t>
      </w:r>
      <w:r w:rsidRPr="0ED4F347" w:rsidR="392A34DA">
        <w:rPr>
          <w:rFonts w:eastAsia="" w:eastAsiaTheme="minorEastAsia"/>
          <w:sz w:val="24"/>
          <w:szCs w:val="24"/>
        </w:rPr>
        <w:t>FT</w:t>
      </w:r>
      <w:r w:rsidRPr="0ED4F347" w:rsidR="392A34DA">
        <w:rPr>
          <w:rFonts w:eastAsia="" w:eastAsiaTheme="minorEastAsia"/>
          <w:sz w:val="24"/>
          <w:szCs w:val="24"/>
        </w:rPr>
        <w:t>PR</w:t>
      </w:r>
      <w:r w:rsidRPr="0ED4F347" w:rsidR="392A34DA">
        <w:rPr>
          <w:rFonts w:eastAsia="" w:eastAsiaTheme="minorEastAsia"/>
          <w:sz w:val="24"/>
          <w:szCs w:val="24"/>
        </w:rPr>
        <w:t>008)</w:t>
      </w:r>
      <w:r w:rsidRPr="0ED4F347" w:rsidR="1144AC41">
        <w:rPr>
          <w:rFonts w:eastAsia="" w:eastAsiaTheme="minorEastAsia"/>
          <w:sz w:val="24"/>
          <w:szCs w:val="24"/>
        </w:rPr>
        <w:t>.</w:t>
      </w:r>
    </w:p>
    <w:p w:rsidRPr="002D39DC" w:rsidR="00BF58C2" w:rsidP="00BF58C2" w:rsidRDefault="00BF58C2" w14:paraId="0058BAAA" w14:textId="77777777">
      <w:pPr>
        <w:rPr>
          <w:sz w:val="24"/>
          <w:szCs w:val="24"/>
        </w:rPr>
      </w:pPr>
    </w:p>
    <w:p w:rsidR="71CE294D" w:rsidP="3AE47990" w:rsidRDefault="71CE294D" w14:paraId="09A223DA" w14:textId="07B98FF2">
      <w:pPr>
        <w:pStyle w:val="Ttulo2"/>
        <w:rPr>
          <w:lang w:val="es-ES"/>
        </w:rPr>
      </w:pPr>
      <w:r w:rsidRPr="3AE47990">
        <w:rPr>
          <w:lang w:val="es-ES"/>
        </w:rPr>
        <w:lastRenderedPageBreak/>
        <w:t xml:space="preserve">Petición – Solicitud de acompañamiento preventivo OCI </w:t>
      </w:r>
      <w:proofErr w:type="spellStart"/>
      <w:r w:rsidRPr="3AE47990">
        <w:rPr>
          <w:lang w:val="es-ES"/>
        </w:rPr>
        <w:t>recepcionado</w:t>
      </w:r>
      <w:proofErr w:type="spellEnd"/>
      <w:r w:rsidRPr="3AE47990">
        <w:rPr>
          <w:lang w:val="es-ES"/>
        </w:rPr>
        <w:t xml:space="preserve"> el 04 de enero del 2026</w:t>
      </w:r>
    </w:p>
    <w:p w:rsidR="00B83047" w:rsidP="0ED4F347" w:rsidRDefault="71CE294D" w14:paraId="3CABD254" w14:textId="2A7794A6">
      <w:pPr>
        <w:pStyle w:val="Ttulo2"/>
        <w:numPr>
          <w:ilvl w:val="0"/>
          <w:numId w:val="0"/>
        </w:numPr>
        <w:rPr>
          <w:sz w:val="24"/>
          <w:szCs w:val="24"/>
          <w:lang w:val="es-ES"/>
        </w:rPr>
      </w:pPr>
      <w:r w:rsidRPr="0ED4F347" w:rsidR="614BAFD9">
        <w:rPr>
          <w:sz w:val="24"/>
          <w:szCs w:val="24"/>
          <w:lang w:val="es-ES"/>
        </w:rPr>
        <w:t xml:space="preserve">Objetivo 4. </w:t>
      </w:r>
      <w:r w:rsidRPr="0ED4F347" w:rsidR="2236E5A8">
        <w:rPr>
          <w:b w:val="0"/>
          <w:bCs w:val="0"/>
          <w:sz w:val="24"/>
          <w:szCs w:val="24"/>
          <w:lang w:val="es-ES"/>
        </w:rPr>
        <w:t xml:space="preserve">Conocer, a través de la información que suministre la UAEGRD, las actuaciones adelantadas por la dependencia con relación al Derecho de Petición </w:t>
      </w:r>
      <w:r w:rsidRPr="0ED4F347" w:rsidR="22F0FA4A">
        <w:rPr>
          <w:b w:val="0"/>
          <w:bCs w:val="0"/>
          <w:sz w:val="24"/>
          <w:szCs w:val="24"/>
          <w:lang w:val="es-ES"/>
        </w:rPr>
        <w:t>(</w:t>
      </w:r>
      <w:r w:rsidRPr="0ED4F347" w:rsidR="2236E5A8">
        <w:rPr>
          <w:b w:val="0"/>
          <w:bCs w:val="0"/>
          <w:sz w:val="24"/>
          <w:szCs w:val="24"/>
          <w:lang w:val="es-ES"/>
        </w:rPr>
        <w:t xml:space="preserve">Solicitud de acompañamiento preventivo OCI </w:t>
      </w:r>
      <w:r w:rsidRPr="0ED4F347" w:rsidR="2236E5A8">
        <w:rPr>
          <w:b w:val="0"/>
          <w:bCs w:val="0"/>
          <w:sz w:val="24"/>
          <w:szCs w:val="24"/>
          <w:lang w:val="es-ES"/>
        </w:rPr>
        <w:t>recepcionado</w:t>
      </w:r>
      <w:r w:rsidRPr="0ED4F347" w:rsidR="2236E5A8">
        <w:rPr>
          <w:b w:val="0"/>
          <w:bCs w:val="0"/>
          <w:sz w:val="24"/>
          <w:szCs w:val="24"/>
          <w:lang w:val="es-ES"/>
        </w:rPr>
        <w:t xml:space="preserve"> el 04 de enero del 2026</w:t>
      </w:r>
      <w:r w:rsidRPr="0ED4F347" w:rsidR="5C259863">
        <w:rPr>
          <w:b w:val="0"/>
          <w:bCs w:val="0"/>
          <w:sz w:val="24"/>
          <w:szCs w:val="24"/>
          <w:lang w:val="es-ES"/>
        </w:rPr>
        <w:t>)</w:t>
      </w:r>
      <w:r w:rsidRPr="0ED4F347" w:rsidR="2236E5A8">
        <w:rPr>
          <w:b w:val="0"/>
          <w:bCs w:val="0"/>
          <w:sz w:val="24"/>
          <w:szCs w:val="24"/>
          <w:lang w:val="es-ES"/>
        </w:rPr>
        <w:t>.</w:t>
      </w:r>
    </w:p>
    <w:p w:rsidRPr="002D39DC" w:rsidR="00A974DC" w:rsidP="00A974DC" w:rsidRDefault="00A974DC" w14:paraId="0A35CD4C" w14:textId="77777777">
      <w:pPr>
        <w:spacing w:line="20" w:lineRule="atLeast"/>
        <w:rPr>
          <w:sz w:val="24"/>
          <w:szCs w:val="24"/>
        </w:rPr>
      </w:pPr>
      <w:r w:rsidRPr="002D39DC">
        <w:rPr>
          <w:rFonts w:eastAsia="Arial"/>
          <w:sz w:val="24"/>
          <w:szCs w:val="24"/>
        </w:rPr>
        <w:t>En el marco del Objetivo Específico 4 la auditoría interna de gestión, formuló, el 11 de marzo de 2026, una solicitud de información a la UAEGRD mediante correo electrónico con copia a las dependencias competentes, con el fin de conocer las actuaciones adelantadas en relación con el Derecho de Petición – Solicitud de acompañamiento preventivo OCI, radicado el 04 de enero de 2026, y específicamente en lo referente al trámite del proceso administrativo sancionatorio del contrato de interventoría No. UAEGRD-CM-055-2021, a cargo del Consorcio Interventoría GRD 2021.</w:t>
      </w:r>
    </w:p>
    <w:p w:rsidRPr="002D39DC" w:rsidR="00A974DC" w:rsidP="00A974DC" w:rsidRDefault="00A974DC" w14:paraId="4D11A31E" w14:textId="77777777">
      <w:pPr>
        <w:spacing w:line="20" w:lineRule="atLeast"/>
        <w:rPr>
          <w:sz w:val="24"/>
          <w:szCs w:val="24"/>
        </w:rPr>
      </w:pPr>
    </w:p>
    <w:p w:rsidRPr="002D39DC" w:rsidR="00A974DC" w:rsidP="00A974DC" w:rsidRDefault="00A974DC" w14:paraId="38AB8CD1" w14:textId="4A19F186">
      <w:pPr>
        <w:spacing w:line="20" w:lineRule="atLeast"/>
        <w:rPr>
          <w:rFonts w:eastAsia="Arial"/>
          <w:sz w:val="24"/>
          <w:szCs w:val="24"/>
        </w:rPr>
      </w:pPr>
      <w:r w:rsidRPr="0ED4F347" w:rsidR="57B1D63B">
        <w:rPr>
          <w:rFonts w:eastAsia="Arial"/>
          <w:sz w:val="24"/>
          <w:szCs w:val="24"/>
        </w:rPr>
        <w:t xml:space="preserve">La solicitud incluyó tres </w:t>
      </w:r>
      <w:r w:rsidRPr="0ED4F347" w:rsidR="0837460F">
        <w:rPr>
          <w:rFonts w:eastAsia="Arial"/>
          <w:sz w:val="24"/>
          <w:szCs w:val="24"/>
        </w:rPr>
        <w:t>p</w:t>
      </w:r>
      <w:r w:rsidRPr="0ED4F347" w:rsidR="57B1D63B">
        <w:rPr>
          <w:rFonts w:eastAsia="Arial"/>
          <w:sz w:val="24"/>
          <w:szCs w:val="24"/>
        </w:rPr>
        <w:t>reguntas concretas:</w:t>
      </w:r>
    </w:p>
    <w:p w:rsidRPr="002D39DC" w:rsidR="00A974DC" w:rsidP="00A974DC" w:rsidRDefault="00A974DC" w14:paraId="2845FC61" w14:textId="77777777">
      <w:pPr>
        <w:spacing w:line="20" w:lineRule="atLeast"/>
        <w:rPr>
          <w:sz w:val="24"/>
          <w:szCs w:val="24"/>
        </w:rPr>
      </w:pPr>
    </w:p>
    <w:p w:rsidRPr="002D39DC" w:rsidR="00A974DC" w:rsidP="00153268" w:rsidRDefault="00A974DC" w14:paraId="1FEFCF89" w14:textId="77777777">
      <w:pPr>
        <w:pStyle w:val="Prrafodelista"/>
        <w:numPr>
          <w:ilvl w:val="0"/>
          <w:numId w:val="23"/>
        </w:numPr>
        <w:spacing w:line="20" w:lineRule="atLeast"/>
        <w:contextualSpacing w:val="0"/>
        <w:rPr>
          <w:sz w:val="24"/>
          <w:szCs w:val="24"/>
        </w:rPr>
      </w:pPr>
      <w:r w:rsidRPr="002D39DC">
        <w:rPr>
          <w:rFonts w:eastAsia="Arial"/>
          <w:b/>
          <w:bCs/>
          <w:sz w:val="24"/>
          <w:szCs w:val="24"/>
        </w:rPr>
        <w:t xml:space="preserve">Pregunta 1: </w:t>
      </w:r>
      <w:r w:rsidRPr="002D39DC">
        <w:rPr>
          <w:rFonts w:eastAsia="Arial"/>
          <w:sz w:val="24"/>
          <w:szCs w:val="24"/>
        </w:rPr>
        <w:t>Estado actual de la presunta declaratoria de incumplimiento del contrato UAEGRD-CM-055-2021.</w:t>
      </w:r>
    </w:p>
    <w:p w:rsidRPr="002D39DC" w:rsidR="00A974DC" w:rsidP="00153268" w:rsidRDefault="00A974DC" w14:paraId="4DF97A62" w14:textId="77777777">
      <w:pPr>
        <w:pStyle w:val="Prrafodelista"/>
        <w:numPr>
          <w:ilvl w:val="0"/>
          <w:numId w:val="23"/>
        </w:numPr>
        <w:spacing w:line="20" w:lineRule="atLeast"/>
        <w:contextualSpacing w:val="0"/>
        <w:rPr>
          <w:sz w:val="24"/>
          <w:szCs w:val="24"/>
        </w:rPr>
      </w:pPr>
      <w:r w:rsidRPr="002D39DC">
        <w:rPr>
          <w:rFonts w:eastAsia="Arial"/>
          <w:b/>
          <w:bCs/>
          <w:sz w:val="24"/>
          <w:szCs w:val="24"/>
        </w:rPr>
        <w:t xml:space="preserve">Pregunta 2: </w:t>
      </w:r>
      <w:r w:rsidRPr="002D39DC">
        <w:rPr>
          <w:rFonts w:eastAsia="Arial"/>
          <w:sz w:val="24"/>
          <w:szCs w:val="24"/>
        </w:rPr>
        <w:t>Detalle del proceso desarrollado para la eventual declaratoria de incumplimiento, indicando actuaciones adelantadas, dependencias intervinientes y fechas relevantes.</w:t>
      </w:r>
    </w:p>
    <w:p w:rsidRPr="002D39DC" w:rsidR="00A974DC" w:rsidP="00153268" w:rsidRDefault="00A974DC" w14:paraId="76D8E39B" w14:textId="77777777">
      <w:pPr>
        <w:pStyle w:val="Prrafodelista"/>
        <w:numPr>
          <w:ilvl w:val="0"/>
          <w:numId w:val="23"/>
        </w:numPr>
        <w:spacing w:line="20" w:lineRule="atLeast"/>
        <w:contextualSpacing w:val="0"/>
        <w:rPr>
          <w:rFonts w:ascii="Times New Roman" w:hAnsi="Times New Roman" w:eastAsia="Times New Roman" w:cs="Times New Roman"/>
          <w:sz w:val="24"/>
          <w:szCs w:val="24"/>
        </w:rPr>
      </w:pPr>
      <w:r w:rsidRPr="002D39DC">
        <w:rPr>
          <w:rFonts w:eastAsia="Arial"/>
          <w:b/>
          <w:bCs/>
          <w:sz w:val="24"/>
          <w:szCs w:val="24"/>
        </w:rPr>
        <w:t xml:space="preserve">Pregunta 3: </w:t>
      </w:r>
      <w:r w:rsidRPr="002D39DC">
        <w:rPr>
          <w:rFonts w:eastAsia="Arial"/>
          <w:sz w:val="24"/>
          <w:szCs w:val="24"/>
        </w:rPr>
        <w:t>Confirmación sobre si las peticiones radicadas por el contratista fueron atendidas, indicando número de radicado, fecha de respuesta y dependencia responsable.</w:t>
      </w:r>
    </w:p>
    <w:p w:rsidRPr="002D39DC" w:rsidR="00A974DC" w:rsidP="00A974DC" w:rsidRDefault="00A974DC" w14:paraId="79A0A19F" w14:textId="77777777">
      <w:pPr>
        <w:pStyle w:val="Prrafodelista"/>
        <w:spacing w:line="20" w:lineRule="atLeast"/>
        <w:rPr>
          <w:sz w:val="24"/>
          <w:szCs w:val="24"/>
        </w:rPr>
      </w:pPr>
    </w:p>
    <w:p w:rsidRPr="002D39DC" w:rsidR="00A974DC" w:rsidP="00A974DC" w:rsidRDefault="00A974DC" w14:paraId="22655BC1" w14:textId="77777777">
      <w:pPr>
        <w:spacing w:line="20" w:lineRule="atLeast"/>
        <w:rPr>
          <w:sz w:val="24"/>
          <w:szCs w:val="24"/>
        </w:rPr>
      </w:pPr>
      <w:r w:rsidRPr="002D39DC">
        <w:rPr>
          <w:rFonts w:eastAsia="Arial"/>
          <w:sz w:val="24"/>
          <w:szCs w:val="24"/>
        </w:rPr>
        <w:t>La UAEGRD respondió mediante oficio del 11 de marzo de 2026, suscrito por el director de la UAEGRD, proyectado por el profesional especializado y revisado por el subdirector de Reducción. De la revisión de dicho oficio y la documentación de soporte remitida como anexo, se verificaron las siguientes actuaciones:</w:t>
      </w:r>
    </w:p>
    <w:p w:rsidRPr="002D39DC" w:rsidR="00A974DC" w:rsidP="00A974DC" w:rsidRDefault="00A974DC" w14:paraId="257DD2DB" w14:textId="77777777">
      <w:pPr>
        <w:spacing w:line="20" w:lineRule="atLeast"/>
        <w:rPr>
          <w:sz w:val="24"/>
          <w:szCs w:val="24"/>
        </w:rPr>
      </w:pPr>
    </w:p>
    <w:p w:rsidRPr="002D39DC" w:rsidR="00A974DC" w:rsidP="0ED4F347" w:rsidRDefault="00A974DC" w14:paraId="670EE9EE" w14:textId="54B5B2AB">
      <w:pPr>
        <w:pStyle w:val="Ttulo3"/>
        <w:numPr>
          <w:ilvl w:val="0"/>
          <w:numId w:val="0"/>
        </w:numPr>
        <w:ind w:left="0"/>
        <w:rPr>
          <w:sz w:val="24"/>
          <w:szCs w:val="24"/>
        </w:rPr>
      </w:pPr>
      <w:r w:rsidRPr="0ED4F347" w:rsidR="63AF947D">
        <w:rPr>
          <w:sz w:val="24"/>
          <w:szCs w:val="24"/>
        </w:rPr>
        <w:t xml:space="preserve">4.4.2. </w:t>
      </w:r>
      <w:r w:rsidRPr="0ED4F347" w:rsidR="57B1D63B">
        <w:rPr>
          <w:sz w:val="24"/>
          <w:szCs w:val="24"/>
        </w:rPr>
        <w:t>Estado del proceso administrativo sancionatorio</w:t>
      </w:r>
    </w:p>
    <w:p w:rsidRPr="002D39DC" w:rsidR="00A974DC" w:rsidP="0ED4F347" w:rsidRDefault="00A974DC" w14:paraId="1BA5C792" w14:textId="69A7116A">
      <w:pPr>
        <w:pStyle w:val="Normal"/>
        <w:spacing w:line="20" w:lineRule="atLeast"/>
        <w:rPr>
          <w:sz w:val="24"/>
          <w:szCs w:val="24"/>
        </w:rPr>
      </w:pPr>
      <w:r w:rsidRPr="0ED4F347" w:rsidR="57B1D63B">
        <w:rPr>
          <w:rFonts w:eastAsia="Arial"/>
          <w:sz w:val="24"/>
          <w:szCs w:val="24"/>
        </w:rPr>
        <w:t>El proceso se encuentra en etapa probatoria. La última actuación correspondió a la audiencia del 25 de febrero de 2026, en la que se resolvieron solicitudes probatorias del contratista y el garante SEGUROS DEL ESTADO S.A., y se decretó prueba de oficio. La continuación de la audiencia quedó programada para el 07 de abril de 2026, fecha en la cual se correría traslado al contratista de las pruebas recibidas.</w:t>
      </w:r>
    </w:p>
    <w:p w:rsidRPr="002D39DC" w:rsidR="00765C17" w:rsidP="0ED4F347" w:rsidRDefault="00186E87" w14:paraId="2C39C52F" w14:textId="7AFE4C9C">
      <w:pPr>
        <w:pStyle w:val="Ttulo3"/>
        <w:numPr>
          <w:ilvl w:val="0"/>
          <w:numId w:val="0"/>
        </w:numPr>
        <w:ind w:left="0"/>
        <w:rPr>
          <w:sz w:val="24"/>
          <w:szCs w:val="24"/>
        </w:rPr>
      </w:pPr>
      <w:r w:rsidRPr="0ED4F347" w:rsidR="7C607BC6">
        <w:rPr>
          <w:sz w:val="24"/>
          <w:szCs w:val="24"/>
        </w:rPr>
        <w:t xml:space="preserve">4.4.3. </w:t>
      </w:r>
      <w:r w:rsidRPr="0ED4F347" w:rsidR="340ABFCA">
        <w:rPr>
          <w:rFonts w:eastAsia="Arial"/>
          <w:sz w:val="24"/>
          <w:szCs w:val="24"/>
        </w:rPr>
        <w:t>Detalle del proceso desarrollado</w:t>
      </w:r>
    </w:p>
    <w:p w:rsidRPr="00C626E6" w:rsidR="00A974DC" w:rsidP="0ED4F347" w:rsidRDefault="00C626E6" w14:paraId="2EA4EF9F" w14:textId="53248A89">
      <w:pPr>
        <w:spacing w:line="20" w:lineRule="atLeast"/>
        <w:rPr>
          <w:rFonts w:ascii="Arial" w:hAnsi="Arial" w:eastAsia="Arial" w:cs="Arial"/>
          <w:i w:val="0"/>
          <w:iCs w:val="0"/>
          <w:color w:val="auto" w:themeColor="text2"/>
          <w:sz w:val="24"/>
          <w:szCs w:val="24"/>
        </w:rPr>
      </w:pPr>
      <w:r w:rsidRPr="0ED4F347" w:rsidR="6573DC85">
        <w:rPr>
          <w:rFonts w:ascii="Arial" w:hAnsi="Arial" w:eastAsia="Arial" w:cs="Arial"/>
          <w:i w:val="0"/>
          <w:iCs w:val="0"/>
          <w:color w:val="auto"/>
          <w:sz w:val="24"/>
          <w:szCs w:val="24"/>
        </w:rPr>
        <w:t>Tabla 1</w:t>
      </w:r>
      <w:r w:rsidRPr="0ED4F347" w:rsidR="1FF63B9E">
        <w:rPr>
          <w:rFonts w:ascii="Arial" w:hAnsi="Arial" w:eastAsia="Arial" w:cs="Arial"/>
          <w:i w:val="0"/>
          <w:iCs w:val="0"/>
          <w:color w:val="auto"/>
          <w:sz w:val="24"/>
          <w:szCs w:val="24"/>
        </w:rPr>
        <w:t>7</w:t>
      </w:r>
      <w:r w:rsidRPr="0ED4F347" w:rsidR="6573DC85">
        <w:rPr>
          <w:rFonts w:ascii="Arial" w:hAnsi="Arial" w:eastAsia="Arial" w:cs="Arial"/>
          <w:i w:val="0"/>
          <w:iCs w:val="0"/>
          <w:color w:val="auto"/>
          <w:sz w:val="24"/>
          <w:szCs w:val="24"/>
        </w:rPr>
        <w:t xml:space="preserve">. </w:t>
      </w:r>
      <w:r w:rsidRPr="0ED4F347" w:rsidR="57B1D63B">
        <w:rPr>
          <w:rFonts w:ascii="Arial" w:hAnsi="Arial" w:eastAsia="Arial" w:cs="Arial"/>
          <w:i w:val="0"/>
          <w:iCs w:val="0"/>
          <w:color w:val="auto"/>
          <w:sz w:val="24"/>
          <w:szCs w:val="24"/>
        </w:rPr>
        <w:t>Cronología de actuaciones administrativas</w:t>
      </w:r>
    </w:p>
    <w:tbl>
      <w:tblPr>
        <w:tblW w:w="92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4A0" w:firstRow="1" w:lastRow="0" w:firstColumn="1" w:lastColumn="0" w:noHBand="0" w:noVBand="1"/>
      </w:tblPr>
      <w:tblGrid>
        <w:gridCol w:w="1600"/>
        <w:gridCol w:w="4800"/>
        <w:gridCol w:w="2806"/>
      </w:tblGrid>
      <w:tr w:rsidRPr="0050286D" w:rsidR="00A974DC" w:rsidTr="00163920" w14:paraId="0A0BC5A7" w14:textId="77777777">
        <w:tc>
          <w:tcPr>
            <w:tcW w:w="1600" w:type="dxa"/>
            <w:shd w:val="clear" w:color="auto" w:fill="F2F2F2" w:themeFill="background1" w:themeFillShade="F2"/>
            <w:tcMar>
              <w:top w:w="60" w:type="dxa"/>
              <w:left w:w="80" w:type="dxa"/>
              <w:bottom w:w="60" w:type="dxa"/>
              <w:right w:w="80" w:type="dxa"/>
            </w:tcMar>
          </w:tcPr>
          <w:p w:rsidRPr="0050286D" w:rsidR="00A974DC" w:rsidP="006E48B1" w:rsidRDefault="00A974DC" w14:paraId="08897178" w14:textId="77777777">
            <w:pPr>
              <w:spacing w:line="20" w:lineRule="atLeast"/>
            </w:pPr>
            <w:r w:rsidRPr="0050286D">
              <w:rPr>
                <w:rFonts w:eastAsia="Arial"/>
                <w:b/>
                <w:bCs/>
                <w:sz w:val="20"/>
                <w:szCs w:val="20"/>
              </w:rPr>
              <w:t>Fecha</w:t>
            </w:r>
          </w:p>
        </w:tc>
        <w:tc>
          <w:tcPr>
            <w:tcW w:w="4800" w:type="dxa"/>
            <w:shd w:val="clear" w:color="auto" w:fill="F2F2F2" w:themeFill="background1" w:themeFillShade="F2"/>
            <w:tcMar>
              <w:top w:w="60" w:type="dxa"/>
              <w:left w:w="80" w:type="dxa"/>
              <w:bottom w:w="60" w:type="dxa"/>
              <w:right w:w="80" w:type="dxa"/>
            </w:tcMar>
          </w:tcPr>
          <w:p w:rsidRPr="0050286D" w:rsidR="00A974DC" w:rsidP="006E48B1" w:rsidRDefault="00A974DC" w14:paraId="1BD2BFBE" w14:textId="77777777">
            <w:pPr>
              <w:spacing w:line="20" w:lineRule="atLeast"/>
            </w:pPr>
            <w:r w:rsidRPr="0050286D">
              <w:rPr>
                <w:rFonts w:eastAsia="Arial"/>
                <w:b/>
                <w:bCs/>
                <w:sz w:val="20"/>
                <w:szCs w:val="20"/>
              </w:rPr>
              <w:t>Actuación</w:t>
            </w:r>
          </w:p>
        </w:tc>
        <w:tc>
          <w:tcPr>
            <w:tcW w:w="2806" w:type="dxa"/>
            <w:shd w:val="clear" w:color="auto" w:fill="F2F2F2" w:themeFill="background1" w:themeFillShade="F2"/>
            <w:tcMar>
              <w:top w:w="60" w:type="dxa"/>
              <w:left w:w="80" w:type="dxa"/>
              <w:bottom w:w="60" w:type="dxa"/>
              <w:right w:w="80" w:type="dxa"/>
            </w:tcMar>
          </w:tcPr>
          <w:p w:rsidRPr="0050286D" w:rsidR="00A974DC" w:rsidP="006E48B1" w:rsidRDefault="00A974DC" w14:paraId="7F12A9DF" w14:textId="77777777">
            <w:pPr>
              <w:spacing w:line="20" w:lineRule="atLeast"/>
            </w:pPr>
            <w:r w:rsidRPr="0050286D">
              <w:rPr>
                <w:rFonts w:eastAsia="Arial"/>
                <w:b/>
                <w:bCs/>
                <w:sz w:val="20"/>
                <w:szCs w:val="20"/>
              </w:rPr>
              <w:t>Dependencia</w:t>
            </w:r>
          </w:p>
        </w:tc>
      </w:tr>
      <w:tr w:rsidRPr="0050286D" w:rsidR="00A974DC" w:rsidTr="006E48B1" w14:paraId="3F21797B" w14:textId="77777777">
        <w:tc>
          <w:tcPr>
            <w:tcW w:w="1600" w:type="dxa"/>
            <w:tcMar>
              <w:top w:w="60" w:type="dxa"/>
              <w:left w:w="80" w:type="dxa"/>
              <w:bottom w:w="60" w:type="dxa"/>
              <w:right w:w="80" w:type="dxa"/>
            </w:tcMar>
          </w:tcPr>
          <w:p w:rsidRPr="0050286D" w:rsidR="00A974DC" w:rsidP="006E48B1" w:rsidRDefault="00A974DC" w14:paraId="00AA520B" w14:textId="77777777">
            <w:pPr>
              <w:spacing w:line="20" w:lineRule="atLeast"/>
            </w:pPr>
            <w:r w:rsidRPr="0050286D">
              <w:rPr>
                <w:rFonts w:eastAsia="Arial"/>
                <w:sz w:val="20"/>
                <w:szCs w:val="20"/>
              </w:rPr>
              <w:t>07 nov 2025</w:t>
            </w:r>
          </w:p>
        </w:tc>
        <w:tc>
          <w:tcPr>
            <w:tcW w:w="4800" w:type="dxa"/>
            <w:tcMar>
              <w:top w:w="60" w:type="dxa"/>
              <w:left w:w="80" w:type="dxa"/>
              <w:bottom w:w="60" w:type="dxa"/>
              <w:right w:w="80" w:type="dxa"/>
            </w:tcMar>
          </w:tcPr>
          <w:p w:rsidRPr="0050286D" w:rsidR="00A974DC" w:rsidP="006E48B1" w:rsidRDefault="00A974DC" w14:paraId="211A1038" w14:textId="77777777">
            <w:pPr>
              <w:spacing w:line="20" w:lineRule="atLeast"/>
            </w:pPr>
            <w:r w:rsidRPr="0050286D">
              <w:rPr>
                <w:rFonts w:eastAsia="Arial"/>
                <w:sz w:val="20"/>
                <w:szCs w:val="20"/>
              </w:rPr>
              <w:t xml:space="preserve">Citación al contratista y garante. Audiencia fijada para el 18 de noviembre de 2025. Informe técnico de incumplimiento elaborado por el </w:t>
            </w:r>
            <w:r w:rsidRPr="0050286D">
              <w:rPr>
                <w:rFonts w:eastAsia="Arial"/>
              </w:rPr>
              <w:t>subdirector</w:t>
            </w:r>
            <w:r w:rsidRPr="0050286D">
              <w:rPr>
                <w:rFonts w:eastAsia="Arial"/>
                <w:sz w:val="20"/>
                <w:szCs w:val="20"/>
              </w:rPr>
              <w:t xml:space="preserve"> de Reducción (supervisor del contrato).</w:t>
            </w:r>
          </w:p>
        </w:tc>
        <w:tc>
          <w:tcPr>
            <w:tcW w:w="2806" w:type="dxa"/>
            <w:tcMar>
              <w:top w:w="60" w:type="dxa"/>
              <w:left w:w="80" w:type="dxa"/>
              <w:bottom w:w="60" w:type="dxa"/>
              <w:right w:w="80" w:type="dxa"/>
            </w:tcMar>
          </w:tcPr>
          <w:p w:rsidRPr="0050286D" w:rsidR="00A974DC" w:rsidP="006E48B1" w:rsidRDefault="00A974DC" w14:paraId="7FECEBDD" w14:textId="77777777">
            <w:pPr>
              <w:spacing w:line="20" w:lineRule="atLeast"/>
            </w:pPr>
            <w:r w:rsidRPr="0050286D">
              <w:rPr>
                <w:rFonts w:eastAsia="Arial"/>
                <w:sz w:val="20"/>
                <w:szCs w:val="20"/>
              </w:rPr>
              <w:t>Dirección UAEGRD</w:t>
            </w:r>
          </w:p>
        </w:tc>
      </w:tr>
      <w:tr w:rsidRPr="0050286D" w:rsidR="00A974DC" w:rsidTr="006E48B1" w14:paraId="2952499D" w14:textId="77777777">
        <w:tc>
          <w:tcPr>
            <w:tcW w:w="1600" w:type="dxa"/>
            <w:tcMar>
              <w:top w:w="60" w:type="dxa"/>
              <w:left w:w="80" w:type="dxa"/>
              <w:bottom w:w="60" w:type="dxa"/>
              <w:right w:w="80" w:type="dxa"/>
            </w:tcMar>
          </w:tcPr>
          <w:p w:rsidRPr="0050286D" w:rsidR="00A974DC" w:rsidP="006E48B1" w:rsidRDefault="00A974DC" w14:paraId="023E2D0B" w14:textId="77777777">
            <w:pPr>
              <w:spacing w:line="20" w:lineRule="atLeast"/>
            </w:pPr>
            <w:r w:rsidRPr="0050286D">
              <w:rPr>
                <w:rFonts w:eastAsia="Arial"/>
                <w:sz w:val="20"/>
                <w:szCs w:val="20"/>
              </w:rPr>
              <w:t>10, 11 y 13 nov 2025</w:t>
            </w:r>
          </w:p>
        </w:tc>
        <w:tc>
          <w:tcPr>
            <w:tcW w:w="4800" w:type="dxa"/>
            <w:tcMar>
              <w:top w:w="60" w:type="dxa"/>
              <w:left w:w="80" w:type="dxa"/>
              <w:bottom w:w="60" w:type="dxa"/>
              <w:right w:w="80" w:type="dxa"/>
            </w:tcMar>
          </w:tcPr>
          <w:p w:rsidRPr="0050286D" w:rsidR="00A974DC" w:rsidP="006E48B1" w:rsidRDefault="00A974DC" w14:paraId="2652ABCE" w14:textId="77777777">
            <w:pPr>
              <w:spacing w:line="20" w:lineRule="atLeast"/>
            </w:pPr>
            <w:r w:rsidRPr="0050286D">
              <w:rPr>
                <w:rFonts w:eastAsia="Arial"/>
                <w:sz w:val="20"/>
                <w:szCs w:val="20"/>
              </w:rPr>
              <w:t xml:space="preserve">El contratista radicó </w:t>
            </w:r>
            <w:r w:rsidRPr="0050286D">
              <w:rPr>
                <w:rFonts w:eastAsia="Arial"/>
              </w:rPr>
              <w:t>varias</w:t>
            </w:r>
            <w:r w:rsidRPr="0050286D">
              <w:rPr>
                <w:rFonts w:eastAsia="Arial"/>
                <w:sz w:val="20"/>
                <w:szCs w:val="20"/>
              </w:rPr>
              <w:t xml:space="preserve"> solicitudes: aplazamiento, solicitudes probatorias y peticiones sobre liquidación del contrato.</w:t>
            </w:r>
          </w:p>
        </w:tc>
        <w:tc>
          <w:tcPr>
            <w:tcW w:w="2806" w:type="dxa"/>
            <w:tcMar>
              <w:top w:w="60" w:type="dxa"/>
              <w:left w:w="80" w:type="dxa"/>
              <w:bottom w:w="60" w:type="dxa"/>
              <w:right w:w="80" w:type="dxa"/>
            </w:tcMar>
          </w:tcPr>
          <w:p w:rsidRPr="0050286D" w:rsidR="00A974DC" w:rsidP="006E48B1" w:rsidRDefault="00A974DC" w14:paraId="4C95C924" w14:textId="77777777">
            <w:pPr>
              <w:spacing w:line="20" w:lineRule="atLeast"/>
            </w:pPr>
            <w:r w:rsidRPr="0050286D">
              <w:rPr>
                <w:rFonts w:eastAsia="Arial"/>
                <w:sz w:val="20"/>
                <w:szCs w:val="20"/>
              </w:rPr>
              <w:t>Contratista</w:t>
            </w:r>
          </w:p>
        </w:tc>
      </w:tr>
      <w:tr w:rsidRPr="0050286D" w:rsidR="00A974DC" w:rsidTr="006E48B1" w14:paraId="68713E98" w14:textId="77777777">
        <w:tc>
          <w:tcPr>
            <w:tcW w:w="1600" w:type="dxa"/>
            <w:tcMar>
              <w:top w:w="60" w:type="dxa"/>
              <w:left w:w="80" w:type="dxa"/>
              <w:bottom w:w="60" w:type="dxa"/>
              <w:right w:w="80" w:type="dxa"/>
            </w:tcMar>
          </w:tcPr>
          <w:p w:rsidRPr="0050286D" w:rsidR="00A974DC" w:rsidP="006E48B1" w:rsidRDefault="00A974DC" w14:paraId="54DED637" w14:textId="77777777">
            <w:pPr>
              <w:spacing w:line="20" w:lineRule="atLeast"/>
            </w:pPr>
            <w:r w:rsidRPr="0050286D">
              <w:rPr>
                <w:rFonts w:eastAsia="Arial"/>
                <w:sz w:val="20"/>
                <w:szCs w:val="20"/>
              </w:rPr>
              <w:t>19 nov 2025</w:t>
            </w:r>
          </w:p>
        </w:tc>
        <w:tc>
          <w:tcPr>
            <w:tcW w:w="4800" w:type="dxa"/>
            <w:tcMar>
              <w:top w:w="60" w:type="dxa"/>
              <w:left w:w="80" w:type="dxa"/>
              <w:bottom w:w="60" w:type="dxa"/>
              <w:right w:w="80" w:type="dxa"/>
            </w:tcMar>
          </w:tcPr>
          <w:p w:rsidRPr="0050286D" w:rsidR="00A974DC" w:rsidP="006E48B1" w:rsidRDefault="00A974DC" w14:paraId="03CCCF14" w14:textId="77777777">
            <w:pPr>
              <w:spacing w:line="20" w:lineRule="atLeast"/>
            </w:pPr>
            <w:r w:rsidRPr="0050286D">
              <w:rPr>
                <w:rFonts w:eastAsia="Arial"/>
                <w:sz w:val="20"/>
                <w:szCs w:val="20"/>
              </w:rPr>
              <w:t>Respuesta a las solicitudes del contratista en un solo oficio. Reprogramación de audiencia para el 27 de noviembre de 2025.</w:t>
            </w:r>
          </w:p>
        </w:tc>
        <w:tc>
          <w:tcPr>
            <w:tcW w:w="2806" w:type="dxa"/>
            <w:tcMar>
              <w:top w:w="60" w:type="dxa"/>
              <w:left w:w="80" w:type="dxa"/>
              <w:bottom w:w="60" w:type="dxa"/>
              <w:right w:w="80" w:type="dxa"/>
            </w:tcMar>
          </w:tcPr>
          <w:p w:rsidRPr="0050286D" w:rsidR="00A974DC" w:rsidP="006E48B1" w:rsidRDefault="00A974DC" w14:paraId="6330F699" w14:textId="77777777">
            <w:pPr>
              <w:spacing w:line="20" w:lineRule="atLeast"/>
            </w:pPr>
            <w:r w:rsidRPr="0050286D">
              <w:rPr>
                <w:rFonts w:eastAsia="Arial"/>
                <w:sz w:val="20"/>
                <w:szCs w:val="20"/>
              </w:rPr>
              <w:t>Dirección UAEGRD</w:t>
            </w:r>
          </w:p>
        </w:tc>
      </w:tr>
      <w:tr w:rsidRPr="0050286D" w:rsidR="00A974DC" w:rsidTr="006E48B1" w14:paraId="215CFBDB" w14:textId="77777777">
        <w:tc>
          <w:tcPr>
            <w:tcW w:w="1600" w:type="dxa"/>
            <w:tcMar>
              <w:top w:w="60" w:type="dxa"/>
              <w:left w:w="80" w:type="dxa"/>
              <w:bottom w:w="60" w:type="dxa"/>
              <w:right w:w="80" w:type="dxa"/>
            </w:tcMar>
          </w:tcPr>
          <w:p w:rsidRPr="0050286D" w:rsidR="00A974DC" w:rsidP="006E48B1" w:rsidRDefault="00A974DC" w14:paraId="5B7B4674" w14:textId="77777777">
            <w:pPr>
              <w:spacing w:line="20" w:lineRule="atLeast"/>
            </w:pPr>
            <w:r w:rsidRPr="0050286D">
              <w:rPr>
                <w:rFonts w:eastAsia="Arial"/>
                <w:sz w:val="20"/>
                <w:szCs w:val="20"/>
              </w:rPr>
              <w:t>27 nov 2025</w:t>
            </w:r>
          </w:p>
        </w:tc>
        <w:tc>
          <w:tcPr>
            <w:tcW w:w="4800" w:type="dxa"/>
            <w:tcMar>
              <w:top w:w="60" w:type="dxa"/>
              <w:left w:w="80" w:type="dxa"/>
              <w:bottom w:w="60" w:type="dxa"/>
              <w:right w:w="80" w:type="dxa"/>
            </w:tcMar>
          </w:tcPr>
          <w:p w:rsidRPr="0050286D" w:rsidR="00A974DC" w:rsidP="006E48B1" w:rsidRDefault="00A974DC" w14:paraId="234AA5F0" w14:textId="77777777">
            <w:pPr>
              <w:spacing w:line="20" w:lineRule="atLeast"/>
            </w:pPr>
            <w:r w:rsidRPr="0050286D">
              <w:rPr>
                <w:rFonts w:eastAsia="Arial"/>
                <w:sz w:val="20"/>
                <w:szCs w:val="20"/>
              </w:rPr>
              <w:t>Primera sesión de la audiencia de incumplimiento. Lectura del informe y presentación de descargos del contratista y garante SEGUROS DEL ESTADO S.A.</w:t>
            </w:r>
          </w:p>
        </w:tc>
        <w:tc>
          <w:tcPr>
            <w:tcW w:w="2806" w:type="dxa"/>
            <w:tcMar>
              <w:top w:w="60" w:type="dxa"/>
              <w:left w:w="80" w:type="dxa"/>
              <w:bottom w:w="60" w:type="dxa"/>
              <w:right w:w="80" w:type="dxa"/>
            </w:tcMar>
          </w:tcPr>
          <w:p w:rsidRPr="0050286D" w:rsidR="00A974DC" w:rsidP="006E48B1" w:rsidRDefault="00A974DC" w14:paraId="01CC9AD8" w14:textId="77777777">
            <w:pPr>
              <w:spacing w:line="20" w:lineRule="atLeast"/>
            </w:pPr>
            <w:r w:rsidRPr="0050286D">
              <w:rPr>
                <w:rFonts w:eastAsia="Arial"/>
                <w:sz w:val="20"/>
                <w:szCs w:val="20"/>
              </w:rPr>
              <w:t>Dirección / Subdirección de Reducción</w:t>
            </w:r>
          </w:p>
        </w:tc>
      </w:tr>
      <w:tr w:rsidRPr="0050286D" w:rsidR="00A974DC" w:rsidTr="006E48B1" w14:paraId="63B105D9" w14:textId="77777777">
        <w:tc>
          <w:tcPr>
            <w:tcW w:w="1600" w:type="dxa"/>
            <w:tcMar>
              <w:top w:w="60" w:type="dxa"/>
              <w:left w:w="80" w:type="dxa"/>
              <w:bottom w:w="60" w:type="dxa"/>
              <w:right w:w="80" w:type="dxa"/>
            </w:tcMar>
          </w:tcPr>
          <w:p w:rsidRPr="0050286D" w:rsidR="00A974DC" w:rsidP="006E48B1" w:rsidRDefault="00A974DC" w14:paraId="0736BA8F" w14:textId="77777777">
            <w:pPr>
              <w:spacing w:line="20" w:lineRule="atLeast"/>
            </w:pPr>
            <w:r w:rsidRPr="0050286D">
              <w:rPr>
                <w:rFonts w:eastAsia="Arial"/>
                <w:sz w:val="20"/>
                <w:szCs w:val="20"/>
              </w:rPr>
              <w:t>25 feb 2026</w:t>
            </w:r>
          </w:p>
        </w:tc>
        <w:tc>
          <w:tcPr>
            <w:tcW w:w="4800" w:type="dxa"/>
            <w:tcMar>
              <w:top w:w="60" w:type="dxa"/>
              <w:left w:w="80" w:type="dxa"/>
              <w:bottom w:w="60" w:type="dxa"/>
              <w:right w:w="80" w:type="dxa"/>
            </w:tcMar>
          </w:tcPr>
          <w:p w:rsidRPr="0050286D" w:rsidR="00A974DC" w:rsidP="006E48B1" w:rsidRDefault="00A974DC" w14:paraId="599FBAB1" w14:textId="77777777">
            <w:pPr>
              <w:spacing w:line="20" w:lineRule="atLeast"/>
            </w:pPr>
            <w:r w:rsidRPr="0050286D">
              <w:rPr>
                <w:rFonts w:eastAsia="Arial"/>
                <w:sz w:val="20"/>
                <w:szCs w:val="20"/>
              </w:rPr>
              <w:t>Continuación de audiencia. Resolución de solicitudes del contratista, decreto de pruebas de oficio y libramiento de oficios. Programación de continuación para el 07 de abril de 2026.</w:t>
            </w:r>
          </w:p>
        </w:tc>
        <w:tc>
          <w:tcPr>
            <w:tcW w:w="2806" w:type="dxa"/>
            <w:tcMar>
              <w:top w:w="60" w:type="dxa"/>
              <w:left w:w="80" w:type="dxa"/>
              <w:bottom w:w="60" w:type="dxa"/>
              <w:right w:w="80" w:type="dxa"/>
            </w:tcMar>
          </w:tcPr>
          <w:p w:rsidRPr="0050286D" w:rsidR="00A974DC" w:rsidP="006E48B1" w:rsidRDefault="00A974DC" w14:paraId="5FCA01B9" w14:textId="77777777">
            <w:pPr>
              <w:spacing w:line="20" w:lineRule="atLeast"/>
            </w:pPr>
            <w:r w:rsidRPr="0050286D">
              <w:rPr>
                <w:rFonts w:eastAsia="Arial"/>
                <w:sz w:val="20"/>
                <w:szCs w:val="20"/>
              </w:rPr>
              <w:t>Dirección / Subdirección de Reducción / Secretaría Jurídica</w:t>
            </w:r>
          </w:p>
        </w:tc>
      </w:tr>
      <w:tr w:rsidRPr="0050286D" w:rsidR="00A974DC" w:rsidTr="006E48B1" w14:paraId="64B1ECF2" w14:textId="77777777">
        <w:tc>
          <w:tcPr>
            <w:tcW w:w="1600" w:type="dxa"/>
            <w:tcMar>
              <w:top w:w="60" w:type="dxa"/>
              <w:left w:w="80" w:type="dxa"/>
              <w:bottom w:w="60" w:type="dxa"/>
              <w:right w:w="80" w:type="dxa"/>
            </w:tcMar>
          </w:tcPr>
          <w:p w:rsidRPr="0050286D" w:rsidR="00A974DC" w:rsidP="006E48B1" w:rsidRDefault="00A974DC" w14:paraId="193A4866" w14:textId="77777777">
            <w:pPr>
              <w:spacing w:line="20" w:lineRule="atLeast"/>
            </w:pPr>
            <w:r w:rsidRPr="0050286D">
              <w:rPr>
                <w:rFonts w:eastAsia="Arial"/>
                <w:sz w:val="20"/>
                <w:szCs w:val="20"/>
              </w:rPr>
              <w:t>07 abr 2026</w:t>
            </w:r>
          </w:p>
        </w:tc>
        <w:tc>
          <w:tcPr>
            <w:tcW w:w="4800" w:type="dxa"/>
            <w:tcMar>
              <w:top w:w="60" w:type="dxa"/>
              <w:left w:w="80" w:type="dxa"/>
              <w:bottom w:w="60" w:type="dxa"/>
              <w:right w:w="80" w:type="dxa"/>
            </w:tcMar>
          </w:tcPr>
          <w:p w:rsidRPr="0050286D" w:rsidR="00A974DC" w:rsidP="006E48B1" w:rsidRDefault="00A974DC" w14:paraId="6BF8407A" w14:textId="77777777">
            <w:pPr>
              <w:spacing w:line="20" w:lineRule="atLeast"/>
            </w:pPr>
            <w:r w:rsidRPr="0050286D">
              <w:rPr>
                <w:rFonts w:eastAsia="Arial"/>
                <w:sz w:val="20"/>
                <w:szCs w:val="20"/>
              </w:rPr>
              <w:t>Continuación programada de la audiencia. Traslado al contratista de las pruebas recibidas.</w:t>
            </w:r>
          </w:p>
        </w:tc>
        <w:tc>
          <w:tcPr>
            <w:tcW w:w="2806" w:type="dxa"/>
            <w:tcMar>
              <w:top w:w="60" w:type="dxa"/>
              <w:left w:w="80" w:type="dxa"/>
              <w:bottom w:w="60" w:type="dxa"/>
              <w:right w:w="80" w:type="dxa"/>
            </w:tcMar>
          </w:tcPr>
          <w:p w:rsidRPr="0050286D" w:rsidR="00A974DC" w:rsidP="006E48B1" w:rsidRDefault="00A974DC" w14:paraId="2DCE76D7" w14:textId="77777777">
            <w:pPr>
              <w:spacing w:line="20" w:lineRule="atLeast"/>
            </w:pPr>
            <w:r w:rsidRPr="0050286D">
              <w:rPr>
                <w:rFonts w:eastAsia="Arial"/>
                <w:sz w:val="20"/>
                <w:szCs w:val="20"/>
              </w:rPr>
              <w:t>Dirección UAEGRD</w:t>
            </w:r>
          </w:p>
        </w:tc>
      </w:tr>
    </w:tbl>
    <w:p w:rsidRPr="0050286D" w:rsidR="00A974DC" w:rsidP="00A974DC" w:rsidRDefault="00A974DC" w14:paraId="18DBEDC3" w14:textId="77777777">
      <w:pPr>
        <w:spacing w:line="20" w:lineRule="atLeast"/>
      </w:pPr>
    </w:p>
    <w:p w:rsidRPr="00C80F41" w:rsidR="00A974DC" w:rsidP="0ED4F347" w:rsidRDefault="00A974DC" w14:paraId="483D1041" w14:textId="52EA0867">
      <w:pPr>
        <w:pStyle w:val="Ttulo3"/>
        <w:numPr>
          <w:ilvl w:val="0"/>
          <w:numId w:val="0"/>
        </w:numPr>
        <w:ind w:left="0"/>
        <w:rPr>
          <w:sz w:val="24"/>
          <w:szCs w:val="24"/>
        </w:rPr>
      </w:pPr>
      <w:r w:rsidRPr="0ED4F347" w:rsidR="2B12A03C">
        <w:rPr>
          <w:sz w:val="24"/>
          <w:szCs w:val="24"/>
        </w:rPr>
        <w:t xml:space="preserve">4.4.4. </w:t>
      </w:r>
      <w:r w:rsidRPr="0ED4F347" w:rsidR="57B1D63B">
        <w:rPr>
          <w:sz w:val="24"/>
          <w:szCs w:val="24"/>
        </w:rPr>
        <w:t>Atención de peticiones del contratista</w:t>
      </w:r>
    </w:p>
    <w:p w:rsidRPr="00C80F41" w:rsidR="00A974DC" w:rsidP="00A974DC" w:rsidRDefault="00A974DC" w14:paraId="69A57337" w14:textId="77777777">
      <w:pPr>
        <w:spacing w:line="20" w:lineRule="atLeast"/>
        <w:rPr>
          <w:rFonts w:eastAsia="Arial"/>
          <w:sz w:val="24"/>
          <w:szCs w:val="24"/>
        </w:rPr>
      </w:pPr>
    </w:p>
    <w:p w:rsidRPr="00C80F41" w:rsidR="00A974DC" w:rsidP="00A974DC" w:rsidRDefault="00A974DC" w14:paraId="0B41EA83" w14:textId="77777777">
      <w:pPr>
        <w:spacing w:line="20" w:lineRule="atLeast"/>
        <w:rPr>
          <w:rFonts w:eastAsia="Arial"/>
          <w:sz w:val="24"/>
          <w:szCs w:val="24"/>
        </w:rPr>
      </w:pPr>
      <w:r w:rsidRPr="00C80F41">
        <w:rPr>
          <w:rFonts w:eastAsia="Arial"/>
          <w:sz w:val="24"/>
          <w:szCs w:val="24"/>
        </w:rPr>
        <w:t>La UAEGRD presentó la siguiente tabla de trazabilidad de las peticiones radicadas por el contratista:</w:t>
      </w:r>
    </w:p>
    <w:p w:rsidRPr="00C80F41" w:rsidR="007A65F5" w:rsidP="00A974DC" w:rsidRDefault="007A65F5" w14:paraId="08E6CDE4" w14:textId="77777777">
      <w:pPr>
        <w:spacing w:line="20" w:lineRule="atLeast"/>
        <w:rPr>
          <w:sz w:val="24"/>
          <w:szCs w:val="24"/>
        </w:rPr>
      </w:pPr>
    </w:p>
    <w:p w:rsidRPr="00E629A6" w:rsidR="00A974DC" w:rsidP="0ED4F347" w:rsidRDefault="007A65F5" w14:paraId="7ACE5BC8" w14:textId="74080751">
      <w:pPr>
        <w:spacing w:line="20" w:lineRule="atLeast"/>
        <w:rPr>
          <w:rFonts w:ascii="Arial" w:hAnsi="Arial" w:eastAsia="Arial" w:cs="Arial"/>
          <w:i w:val="0"/>
          <w:iCs w:val="0"/>
          <w:color w:val="auto" w:themeColor="text2"/>
          <w:sz w:val="24"/>
          <w:szCs w:val="24"/>
        </w:rPr>
      </w:pPr>
      <w:r w:rsidRPr="0ED4F347" w:rsidR="4990289E">
        <w:rPr>
          <w:rFonts w:ascii="Arial" w:hAnsi="Arial" w:eastAsia="Arial" w:cs="Arial"/>
          <w:i w:val="0"/>
          <w:iCs w:val="0"/>
          <w:color w:val="auto"/>
          <w:sz w:val="24"/>
          <w:szCs w:val="24"/>
        </w:rPr>
        <w:t xml:space="preserve">Tabla </w:t>
      </w:r>
      <w:r w:rsidRPr="0ED4F347" w:rsidR="27284F0C">
        <w:rPr>
          <w:rFonts w:ascii="Arial" w:hAnsi="Arial" w:eastAsia="Arial" w:cs="Arial"/>
          <w:i w:val="0"/>
          <w:iCs w:val="0"/>
          <w:color w:val="auto"/>
          <w:sz w:val="24"/>
          <w:szCs w:val="24"/>
        </w:rPr>
        <w:t>1</w:t>
      </w:r>
      <w:r w:rsidRPr="0ED4F347" w:rsidR="6E343B8A">
        <w:rPr>
          <w:rFonts w:ascii="Arial" w:hAnsi="Arial" w:eastAsia="Arial" w:cs="Arial"/>
          <w:i w:val="0"/>
          <w:iCs w:val="0"/>
          <w:color w:val="auto"/>
          <w:sz w:val="24"/>
          <w:szCs w:val="24"/>
        </w:rPr>
        <w:t>8</w:t>
      </w:r>
      <w:r w:rsidRPr="0ED4F347" w:rsidR="27284F0C">
        <w:rPr>
          <w:rFonts w:ascii="Arial" w:hAnsi="Arial" w:eastAsia="Arial" w:cs="Arial"/>
          <w:i w:val="0"/>
          <w:iCs w:val="0"/>
          <w:color w:val="auto"/>
          <w:sz w:val="24"/>
          <w:szCs w:val="24"/>
        </w:rPr>
        <w:t>. Trazabilidad de las peticiones</w:t>
      </w:r>
    </w:p>
    <w:tbl>
      <w:tblPr>
        <w:tblW w:w="106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4A0" w:firstRow="1" w:lastRow="0" w:firstColumn="1" w:lastColumn="0" w:noHBand="0" w:noVBand="1"/>
      </w:tblPr>
      <w:tblGrid>
        <w:gridCol w:w="2565"/>
        <w:gridCol w:w="2365"/>
        <w:gridCol w:w="2445"/>
        <w:gridCol w:w="3250"/>
      </w:tblGrid>
      <w:tr w:rsidRPr="0050286D" w:rsidR="00A974DC" w:rsidTr="0ED4F347" w14:paraId="6957D30D" w14:textId="77777777">
        <w:tc>
          <w:tcPr>
            <w:tcW w:w="2565" w:type="dxa"/>
            <w:tcMar>
              <w:top w:w="60" w:type="dxa"/>
              <w:left w:w="80" w:type="dxa"/>
              <w:bottom w:w="60" w:type="dxa"/>
              <w:right w:w="80" w:type="dxa"/>
            </w:tcMar>
            <w:vAlign w:val="center"/>
          </w:tcPr>
          <w:p w:rsidRPr="0050286D" w:rsidR="00A974DC" w:rsidP="0ED4F347" w:rsidRDefault="00A974DC" w14:paraId="59A410B3" w14:textId="77777777">
            <w:pPr>
              <w:spacing w:line="20" w:lineRule="atLeast"/>
              <w:rPr>
                <w:rFonts w:ascii="Arial" w:hAnsi="Arial" w:eastAsia="Arial" w:cs="Arial"/>
                <w:b w:val="1"/>
                <w:bCs w:val="1"/>
                <w:i w:val="0"/>
                <w:iCs w:val="0"/>
                <w:color w:val="auto"/>
                <w:sz w:val="24"/>
                <w:szCs w:val="24"/>
              </w:rPr>
            </w:pPr>
            <w:r w:rsidRPr="0ED4F347" w:rsidR="57B1D63B">
              <w:rPr>
                <w:rFonts w:ascii="Arial" w:hAnsi="Arial" w:eastAsia="Arial" w:cs="Arial"/>
                <w:b w:val="1"/>
                <w:bCs w:val="1"/>
                <w:i w:val="0"/>
                <w:iCs w:val="0"/>
                <w:color w:val="auto"/>
                <w:sz w:val="24"/>
                <w:szCs w:val="24"/>
              </w:rPr>
              <w:t>Peticiones (fecha)</w:t>
            </w:r>
          </w:p>
        </w:tc>
        <w:tc>
          <w:tcPr>
            <w:tcW w:w="2365" w:type="dxa"/>
            <w:tcMar>
              <w:top w:w="60" w:type="dxa"/>
              <w:left w:w="80" w:type="dxa"/>
              <w:bottom w:w="60" w:type="dxa"/>
              <w:right w:w="80" w:type="dxa"/>
            </w:tcMar>
            <w:vAlign w:val="center"/>
          </w:tcPr>
          <w:p w:rsidRPr="0050286D" w:rsidR="00A974DC" w:rsidP="0ED4F347" w:rsidRDefault="00A974DC" w14:paraId="06218569" w14:textId="77777777">
            <w:pPr>
              <w:spacing w:line="20" w:lineRule="atLeast"/>
              <w:rPr>
                <w:rFonts w:ascii="Arial" w:hAnsi="Arial" w:eastAsia="Arial" w:cs="Arial"/>
                <w:b w:val="1"/>
                <w:bCs w:val="1"/>
                <w:i w:val="0"/>
                <w:iCs w:val="0"/>
                <w:color w:val="auto"/>
                <w:sz w:val="24"/>
                <w:szCs w:val="24"/>
              </w:rPr>
            </w:pPr>
            <w:r w:rsidRPr="0ED4F347" w:rsidR="57B1D63B">
              <w:rPr>
                <w:rFonts w:ascii="Arial" w:hAnsi="Arial" w:eastAsia="Arial" w:cs="Arial"/>
                <w:b w:val="1"/>
                <w:bCs w:val="1"/>
                <w:i w:val="0"/>
                <w:iCs w:val="0"/>
                <w:color w:val="auto"/>
                <w:sz w:val="24"/>
                <w:szCs w:val="24"/>
              </w:rPr>
              <w:t>Respuesta (fecha)</w:t>
            </w:r>
          </w:p>
        </w:tc>
        <w:tc>
          <w:tcPr>
            <w:tcW w:w="2445" w:type="dxa"/>
            <w:tcMar>
              <w:top w:w="60" w:type="dxa"/>
              <w:left w:w="80" w:type="dxa"/>
              <w:bottom w:w="60" w:type="dxa"/>
              <w:right w:w="80" w:type="dxa"/>
            </w:tcMar>
            <w:vAlign w:val="center"/>
          </w:tcPr>
          <w:p w:rsidRPr="0050286D" w:rsidR="00A974DC" w:rsidP="0ED4F347" w:rsidRDefault="00A974DC" w14:paraId="4F07D394" w14:textId="77777777">
            <w:pPr>
              <w:spacing w:line="20" w:lineRule="atLeast"/>
              <w:rPr>
                <w:rFonts w:ascii="Arial" w:hAnsi="Arial" w:eastAsia="Arial" w:cs="Arial"/>
                <w:b w:val="1"/>
                <w:bCs w:val="1"/>
                <w:i w:val="0"/>
                <w:iCs w:val="0"/>
                <w:color w:val="auto"/>
                <w:sz w:val="24"/>
                <w:szCs w:val="24"/>
              </w:rPr>
            </w:pPr>
            <w:r w:rsidRPr="0ED4F347" w:rsidR="57B1D63B">
              <w:rPr>
                <w:rFonts w:ascii="Arial" w:hAnsi="Arial" w:eastAsia="Arial" w:cs="Arial"/>
                <w:b w:val="1"/>
                <w:bCs w:val="1"/>
                <w:i w:val="0"/>
                <w:iCs w:val="0"/>
                <w:color w:val="auto"/>
                <w:sz w:val="24"/>
                <w:szCs w:val="24"/>
              </w:rPr>
              <w:t>Canal</w:t>
            </w:r>
          </w:p>
        </w:tc>
        <w:tc>
          <w:tcPr>
            <w:tcW w:w="3250" w:type="dxa"/>
            <w:tcMar>
              <w:top w:w="60" w:type="dxa"/>
              <w:left w:w="80" w:type="dxa"/>
              <w:bottom w:w="60" w:type="dxa"/>
              <w:right w:w="80" w:type="dxa"/>
            </w:tcMar>
            <w:vAlign w:val="center"/>
          </w:tcPr>
          <w:p w:rsidRPr="0050286D" w:rsidR="00A974DC" w:rsidP="0ED4F347" w:rsidRDefault="00A974DC" w14:paraId="7A4CA4B6" w14:textId="77777777">
            <w:pPr>
              <w:spacing w:line="20" w:lineRule="atLeast"/>
              <w:rPr>
                <w:rFonts w:ascii="Arial" w:hAnsi="Arial" w:eastAsia="Arial" w:cs="Arial"/>
                <w:b w:val="1"/>
                <w:bCs w:val="1"/>
                <w:i w:val="0"/>
                <w:iCs w:val="0"/>
                <w:color w:val="auto"/>
                <w:sz w:val="24"/>
                <w:szCs w:val="24"/>
              </w:rPr>
            </w:pPr>
            <w:r w:rsidRPr="0ED4F347" w:rsidR="57B1D63B">
              <w:rPr>
                <w:rFonts w:ascii="Arial" w:hAnsi="Arial" w:eastAsia="Arial" w:cs="Arial"/>
                <w:b w:val="1"/>
                <w:bCs w:val="1"/>
                <w:i w:val="0"/>
                <w:iCs w:val="0"/>
                <w:color w:val="auto"/>
                <w:sz w:val="24"/>
                <w:szCs w:val="24"/>
              </w:rPr>
              <w:t>Dependencia responsable</w:t>
            </w:r>
          </w:p>
        </w:tc>
      </w:tr>
      <w:tr w:rsidRPr="0050286D" w:rsidR="00A974DC" w:rsidTr="0ED4F347" w14:paraId="3C439FBC" w14:textId="77777777">
        <w:tc>
          <w:tcPr>
            <w:tcW w:w="2565" w:type="dxa"/>
            <w:tcMar>
              <w:top w:w="60" w:type="dxa"/>
              <w:left w:w="80" w:type="dxa"/>
              <w:bottom w:w="60" w:type="dxa"/>
              <w:right w:w="80" w:type="dxa"/>
            </w:tcMar>
            <w:vAlign w:val="center"/>
          </w:tcPr>
          <w:p w:rsidRPr="0050286D" w:rsidR="00A974DC" w:rsidP="006E48B1" w:rsidRDefault="00A974DC" w14:paraId="69487A27" w14:textId="77777777">
            <w:pPr>
              <w:spacing w:line="20" w:lineRule="atLeast"/>
            </w:pPr>
            <w:r w:rsidRPr="0050286D">
              <w:rPr>
                <w:rFonts w:eastAsia="Arial"/>
                <w:sz w:val="20"/>
                <w:szCs w:val="20"/>
              </w:rPr>
              <w:t>10, 11 y 13 nov 2025 (4 solicitudes)</w:t>
            </w:r>
          </w:p>
        </w:tc>
        <w:tc>
          <w:tcPr>
            <w:tcW w:w="2365" w:type="dxa"/>
            <w:tcMar>
              <w:top w:w="60" w:type="dxa"/>
              <w:left w:w="80" w:type="dxa"/>
              <w:bottom w:w="60" w:type="dxa"/>
              <w:right w:w="80" w:type="dxa"/>
            </w:tcMar>
            <w:vAlign w:val="center"/>
          </w:tcPr>
          <w:p w:rsidRPr="0050286D" w:rsidR="00A974DC" w:rsidP="006E48B1" w:rsidRDefault="00A974DC" w14:paraId="1C83219B" w14:textId="77777777">
            <w:pPr>
              <w:spacing w:line="20" w:lineRule="atLeast"/>
            </w:pPr>
            <w:r w:rsidRPr="0050286D">
              <w:rPr>
                <w:rFonts w:eastAsia="Arial"/>
                <w:sz w:val="20"/>
                <w:szCs w:val="20"/>
              </w:rPr>
              <w:t>Oficio 19 nov 2025</w:t>
            </w:r>
          </w:p>
        </w:tc>
        <w:tc>
          <w:tcPr>
            <w:tcW w:w="2445" w:type="dxa"/>
            <w:tcMar>
              <w:top w:w="60" w:type="dxa"/>
              <w:left w:w="80" w:type="dxa"/>
              <w:bottom w:w="60" w:type="dxa"/>
              <w:right w:w="80" w:type="dxa"/>
            </w:tcMar>
            <w:vAlign w:val="center"/>
          </w:tcPr>
          <w:p w:rsidRPr="0050286D" w:rsidR="00A974DC" w:rsidP="006E48B1" w:rsidRDefault="00A974DC" w14:paraId="6DACFF50" w14:textId="77777777">
            <w:pPr>
              <w:spacing w:line="20" w:lineRule="atLeast"/>
            </w:pPr>
            <w:r w:rsidRPr="0050286D">
              <w:rPr>
                <w:rFonts w:eastAsia="Arial"/>
                <w:sz w:val="20"/>
                <w:szCs w:val="20"/>
              </w:rPr>
              <w:t>Correo electrónico</w:t>
            </w:r>
          </w:p>
        </w:tc>
        <w:tc>
          <w:tcPr>
            <w:tcW w:w="3250" w:type="dxa"/>
            <w:tcMar>
              <w:top w:w="60" w:type="dxa"/>
              <w:left w:w="80" w:type="dxa"/>
              <w:bottom w:w="60" w:type="dxa"/>
              <w:right w:w="80" w:type="dxa"/>
            </w:tcMar>
            <w:vAlign w:val="center"/>
          </w:tcPr>
          <w:p w:rsidRPr="0050286D" w:rsidR="00A974DC" w:rsidP="006E48B1" w:rsidRDefault="00A974DC" w14:paraId="20CB8F42" w14:textId="77777777">
            <w:pPr>
              <w:spacing w:line="20" w:lineRule="atLeast"/>
            </w:pPr>
            <w:r w:rsidRPr="0050286D">
              <w:rPr>
                <w:rFonts w:eastAsia="Arial"/>
                <w:sz w:val="20"/>
                <w:szCs w:val="20"/>
              </w:rPr>
              <w:t>Dirección UAEGRD</w:t>
            </w:r>
          </w:p>
        </w:tc>
      </w:tr>
      <w:tr w:rsidRPr="0050286D" w:rsidR="00A974DC" w:rsidTr="0ED4F347" w14:paraId="21DA8BE7" w14:textId="77777777">
        <w:tc>
          <w:tcPr>
            <w:tcW w:w="2565" w:type="dxa"/>
            <w:tcMar>
              <w:top w:w="60" w:type="dxa"/>
              <w:left w:w="80" w:type="dxa"/>
              <w:bottom w:w="60" w:type="dxa"/>
              <w:right w:w="80" w:type="dxa"/>
            </w:tcMar>
            <w:vAlign w:val="center"/>
          </w:tcPr>
          <w:p w:rsidRPr="0050286D" w:rsidR="00A974DC" w:rsidP="006E48B1" w:rsidRDefault="00A974DC" w14:paraId="0953B116" w14:textId="77777777">
            <w:pPr>
              <w:spacing w:line="20" w:lineRule="atLeast"/>
            </w:pPr>
            <w:r w:rsidRPr="0050286D">
              <w:rPr>
                <w:rFonts w:eastAsia="Arial"/>
                <w:sz w:val="20"/>
                <w:szCs w:val="20"/>
              </w:rPr>
              <w:t>08 dic 2025 04 ene 2026 16 ene 2026</w:t>
            </w:r>
          </w:p>
        </w:tc>
        <w:tc>
          <w:tcPr>
            <w:tcW w:w="2365" w:type="dxa"/>
            <w:tcMar>
              <w:top w:w="60" w:type="dxa"/>
              <w:left w:w="80" w:type="dxa"/>
              <w:bottom w:w="60" w:type="dxa"/>
              <w:right w:w="80" w:type="dxa"/>
            </w:tcMar>
            <w:vAlign w:val="center"/>
          </w:tcPr>
          <w:p w:rsidRPr="0050286D" w:rsidR="00A974DC" w:rsidP="006E48B1" w:rsidRDefault="00A974DC" w14:paraId="6ABD5EE6" w14:textId="77777777">
            <w:pPr>
              <w:spacing w:line="20" w:lineRule="atLeast"/>
            </w:pPr>
            <w:r w:rsidRPr="0050286D">
              <w:rPr>
                <w:rFonts w:eastAsia="Arial"/>
                <w:sz w:val="20"/>
                <w:szCs w:val="20"/>
              </w:rPr>
              <w:t>Oficio 24 feb 2026</w:t>
            </w:r>
          </w:p>
        </w:tc>
        <w:tc>
          <w:tcPr>
            <w:tcW w:w="2445" w:type="dxa"/>
            <w:tcMar>
              <w:top w:w="60" w:type="dxa"/>
              <w:left w:w="80" w:type="dxa"/>
              <w:bottom w:w="60" w:type="dxa"/>
              <w:right w:w="80" w:type="dxa"/>
            </w:tcMar>
            <w:vAlign w:val="center"/>
          </w:tcPr>
          <w:p w:rsidRPr="0050286D" w:rsidR="00A974DC" w:rsidP="006E48B1" w:rsidRDefault="00A974DC" w14:paraId="7DEE8973" w14:textId="77777777">
            <w:pPr>
              <w:spacing w:line="20" w:lineRule="atLeast"/>
            </w:pPr>
            <w:r w:rsidRPr="0050286D">
              <w:rPr>
                <w:rFonts w:eastAsia="Arial"/>
                <w:sz w:val="20"/>
                <w:szCs w:val="20"/>
              </w:rPr>
              <w:t>Correo electrónico</w:t>
            </w:r>
          </w:p>
        </w:tc>
        <w:tc>
          <w:tcPr>
            <w:tcW w:w="3250" w:type="dxa"/>
            <w:tcMar>
              <w:top w:w="60" w:type="dxa"/>
              <w:left w:w="80" w:type="dxa"/>
              <w:bottom w:w="60" w:type="dxa"/>
              <w:right w:w="80" w:type="dxa"/>
            </w:tcMar>
            <w:vAlign w:val="center"/>
          </w:tcPr>
          <w:p w:rsidRPr="0050286D" w:rsidR="00A974DC" w:rsidP="006E48B1" w:rsidRDefault="00A974DC" w14:paraId="431BF032" w14:textId="77777777">
            <w:pPr>
              <w:spacing w:line="20" w:lineRule="atLeast"/>
            </w:pPr>
            <w:r w:rsidRPr="0050286D">
              <w:rPr>
                <w:rFonts w:eastAsia="Arial"/>
                <w:sz w:val="20"/>
                <w:szCs w:val="20"/>
              </w:rPr>
              <w:t>Subdirección de Reducción</w:t>
            </w:r>
          </w:p>
        </w:tc>
      </w:tr>
      <w:tr w:rsidRPr="0050286D" w:rsidR="00A974DC" w:rsidTr="0ED4F347" w14:paraId="17003111" w14:textId="77777777">
        <w:tc>
          <w:tcPr>
            <w:tcW w:w="2565" w:type="dxa"/>
            <w:tcMar>
              <w:top w:w="60" w:type="dxa"/>
              <w:left w:w="80" w:type="dxa"/>
              <w:bottom w:w="60" w:type="dxa"/>
              <w:right w:w="80" w:type="dxa"/>
            </w:tcMar>
            <w:vAlign w:val="center"/>
          </w:tcPr>
          <w:p w:rsidRPr="0050286D" w:rsidR="00A974DC" w:rsidP="006E48B1" w:rsidRDefault="00A974DC" w14:paraId="5835D94F" w14:textId="77777777">
            <w:pPr>
              <w:spacing w:line="20" w:lineRule="atLeast"/>
            </w:pPr>
            <w:r w:rsidRPr="0050286D">
              <w:rPr>
                <w:rFonts w:eastAsia="Arial"/>
                <w:sz w:val="20"/>
                <w:szCs w:val="20"/>
              </w:rPr>
              <w:t>10 feb 2026</w:t>
            </w:r>
          </w:p>
        </w:tc>
        <w:tc>
          <w:tcPr>
            <w:tcW w:w="2365" w:type="dxa"/>
            <w:tcMar>
              <w:top w:w="60" w:type="dxa"/>
              <w:left w:w="80" w:type="dxa"/>
              <w:bottom w:w="60" w:type="dxa"/>
              <w:right w:w="80" w:type="dxa"/>
            </w:tcMar>
            <w:vAlign w:val="center"/>
          </w:tcPr>
          <w:p w:rsidRPr="0050286D" w:rsidR="00A974DC" w:rsidP="006E48B1" w:rsidRDefault="00A974DC" w14:paraId="24DE94FA" w14:textId="77777777">
            <w:pPr>
              <w:spacing w:line="20" w:lineRule="atLeast"/>
            </w:pPr>
            <w:r w:rsidRPr="0050286D">
              <w:rPr>
                <w:rFonts w:eastAsia="Arial"/>
                <w:sz w:val="20"/>
                <w:szCs w:val="20"/>
              </w:rPr>
              <w:t>Audiencia 25 feb 2026</w:t>
            </w:r>
          </w:p>
        </w:tc>
        <w:tc>
          <w:tcPr>
            <w:tcW w:w="2445" w:type="dxa"/>
            <w:tcMar>
              <w:top w:w="60" w:type="dxa"/>
              <w:left w:w="80" w:type="dxa"/>
              <w:bottom w:w="60" w:type="dxa"/>
              <w:right w:w="80" w:type="dxa"/>
            </w:tcMar>
            <w:vAlign w:val="center"/>
          </w:tcPr>
          <w:p w:rsidRPr="0050286D" w:rsidR="00A974DC" w:rsidP="006E48B1" w:rsidRDefault="00A974DC" w14:paraId="0A05F62B" w14:textId="77777777">
            <w:pPr>
              <w:spacing w:line="20" w:lineRule="atLeast"/>
            </w:pPr>
            <w:r w:rsidRPr="0050286D">
              <w:rPr>
                <w:rFonts w:eastAsia="Arial"/>
                <w:sz w:val="20"/>
                <w:szCs w:val="20"/>
              </w:rPr>
              <w:t>Notificación por estrados</w:t>
            </w:r>
          </w:p>
        </w:tc>
        <w:tc>
          <w:tcPr>
            <w:tcW w:w="3250" w:type="dxa"/>
            <w:tcMar>
              <w:top w:w="60" w:type="dxa"/>
              <w:left w:w="80" w:type="dxa"/>
              <w:bottom w:w="60" w:type="dxa"/>
              <w:right w:w="80" w:type="dxa"/>
            </w:tcMar>
            <w:vAlign w:val="center"/>
          </w:tcPr>
          <w:p w:rsidRPr="0050286D" w:rsidR="00A974DC" w:rsidP="006E48B1" w:rsidRDefault="00A974DC" w14:paraId="21C17DB4" w14:textId="77777777">
            <w:pPr>
              <w:spacing w:line="20" w:lineRule="atLeast"/>
            </w:pPr>
            <w:r w:rsidRPr="0050286D">
              <w:rPr>
                <w:rFonts w:eastAsia="Arial"/>
                <w:sz w:val="20"/>
                <w:szCs w:val="20"/>
              </w:rPr>
              <w:t>Dirección UAEGRD</w:t>
            </w:r>
          </w:p>
        </w:tc>
      </w:tr>
      <w:tr w:rsidRPr="0050286D" w:rsidR="00A974DC" w:rsidTr="0ED4F347" w14:paraId="1C66FA84" w14:textId="77777777">
        <w:tc>
          <w:tcPr>
            <w:tcW w:w="2565" w:type="dxa"/>
            <w:tcMar>
              <w:top w:w="60" w:type="dxa"/>
              <w:left w:w="80" w:type="dxa"/>
              <w:bottom w:w="60" w:type="dxa"/>
              <w:right w:w="80" w:type="dxa"/>
            </w:tcMar>
            <w:vAlign w:val="center"/>
          </w:tcPr>
          <w:p w:rsidRPr="0050286D" w:rsidR="00A974DC" w:rsidP="006E48B1" w:rsidRDefault="00A974DC" w14:paraId="7D67285F" w14:textId="77777777">
            <w:pPr>
              <w:spacing w:line="20" w:lineRule="atLeast"/>
            </w:pPr>
            <w:r w:rsidRPr="0050286D">
              <w:rPr>
                <w:rFonts w:eastAsia="Arial"/>
                <w:sz w:val="20"/>
                <w:szCs w:val="20"/>
              </w:rPr>
              <w:t>04 mar 2026</w:t>
            </w:r>
          </w:p>
        </w:tc>
        <w:tc>
          <w:tcPr>
            <w:tcW w:w="2365" w:type="dxa"/>
            <w:tcMar>
              <w:top w:w="60" w:type="dxa"/>
              <w:left w:w="80" w:type="dxa"/>
              <w:bottom w:w="60" w:type="dxa"/>
              <w:right w:w="80" w:type="dxa"/>
            </w:tcMar>
            <w:vAlign w:val="center"/>
          </w:tcPr>
          <w:p w:rsidRPr="0050286D" w:rsidR="00A974DC" w:rsidP="006E48B1" w:rsidRDefault="00A974DC" w14:paraId="7984C47C" w14:textId="77777777">
            <w:pPr>
              <w:spacing w:line="20" w:lineRule="atLeast"/>
            </w:pPr>
            <w:r w:rsidRPr="0050286D">
              <w:rPr>
                <w:rFonts w:eastAsia="Arial"/>
                <w:sz w:val="20"/>
                <w:szCs w:val="20"/>
              </w:rPr>
              <w:t>En términos a 11 mar 2026</w:t>
            </w:r>
          </w:p>
        </w:tc>
        <w:tc>
          <w:tcPr>
            <w:tcW w:w="2445" w:type="dxa"/>
            <w:tcMar>
              <w:top w:w="60" w:type="dxa"/>
              <w:left w:w="80" w:type="dxa"/>
              <w:bottom w:w="60" w:type="dxa"/>
              <w:right w:w="80" w:type="dxa"/>
            </w:tcMar>
            <w:vAlign w:val="center"/>
          </w:tcPr>
          <w:p w:rsidRPr="0050286D" w:rsidR="00A974DC" w:rsidP="006E48B1" w:rsidRDefault="00A974DC" w14:paraId="7572D28A" w14:textId="77777777">
            <w:pPr>
              <w:spacing w:line="20" w:lineRule="atLeast"/>
            </w:pPr>
            <w:r w:rsidRPr="0050286D">
              <w:rPr>
                <w:rFonts w:eastAsia="Arial"/>
                <w:sz w:val="20"/>
                <w:szCs w:val="20"/>
              </w:rPr>
              <w:t>N</w:t>
            </w:r>
            <w:r w:rsidRPr="0050286D">
              <w:rPr>
                <w:rFonts w:eastAsia="Arial"/>
              </w:rPr>
              <w:t>o identificado</w:t>
            </w:r>
          </w:p>
        </w:tc>
        <w:tc>
          <w:tcPr>
            <w:tcW w:w="3250" w:type="dxa"/>
            <w:tcMar>
              <w:top w:w="60" w:type="dxa"/>
              <w:left w:w="80" w:type="dxa"/>
              <w:bottom w:w="60" w:type="dxa"/>
              <w:right w:w="80" w:type="dxa"/>
            </w:tcMar>
            <w:vAlign w:val="center"/>
          </w:tcPr>
          <w:p w:rsidRPr="0050286D" w:rsidR="00A974DC" w:rsidP="006E48B1" w:rsidRDefault="00A974DC" w14:paraId="5103DDF6" w14:textId="77777777">
            <w:pPr>
              <w:spacing w:line="20" w:lineRule="atLeast"/>
            </w:pPr>
            <w:r w:rsidRPr="0050286D">
              <w:rPr>
                <w:rFonts w:eastAsia="Arial"/>
                <w:sz w:val="20"/>
                <w:szCs w:val="20"/>
              </w:rPr>
              <w:t>Pendiente de respuesta</w:t>
            </w:r>
          </w:p>
        </w:tc>
      </w:tr>
    </w:tbl>
    <w:p w:rsidRPr="00146D9D" w:rsidR="00A974DC" w:rsidP="0ED4F347" w:rsidRDefault="00A974DC" w14:paraId="35A54CC1" w14:textId="001F3566">
      <w:pPr>
        <w:spacing w:line="20" w:lineRule="atLeast"/>
        <w:jc w:val="center"/>
        <w:rPr>
          <w:color w:val="auto"/>
          <w:sz w:val="16"/>
          <w:szCs w:val="16"/>
        </w:rPr>
      </w:pPr>
      <w:r w:rsidRPr="0ED4F347" w:rsidR="2596655C">
        <w:rPr>
          <w:color w:val="auto"/>
          <w:sz w:val="16"/>
          <w:szCs w:val="16"/>
        </w:rPr>
        <w:t>Fuente:</w:t>
      </w:r>
      <w:r w:rsidRPr="0ED4F347" w:rsidR="5C224408">
        <w:rPr>
          <w:color w:val="auto"/>
          <w:sz w:val="16"/>
          <w:szCs w:val="16"/>
        </w:rPr>
        <w:t xml:space="preserve"> Oficio de respuesta a solicitud de información - “Derecho de petición </w:t>
      </w:r>
      <w:r w:rsidRPr="0ED4F347" w:rsidR="07FC2E90">
        <w:rPr>
          <w:color w:val="auto"/>
          <w:sz w:val="16"/>
          <w:szCs w:val="16"/>
        </w:rPr>
        <w:t>acompañamiento preventivo OCI” radicado 04-01-2026 – Contrato de interventor</w:t>
      </w:r>
      <w:r w:rsidRPr="0ED4F347" w:rsidR="2FCD82BB">
        <w:rPr>
          <w:color w:val="auto"/>
          <w:sz w:val="16"/>
          <w:szCs w:val="16"/>
        </w:rPr>
        <w:t xml:space="preserve">ía No UAEGRD-CM-055-2021 del Consorcio Interventoría GRD </w:t>
      </w:r>
      <w:r w:rsidRPr="0ED4F347" w:rsidR="436D96BF">
        <w:rPr>
          <w:color w:val="auto"/>
          <w:sz w:val="16"/>
          <w:szCs w:val="16"/>
        </w:rPr>
        <w:t>2021” - 11 de marzo de 2026</w:t>
      </w:r>
      <w:r w:rsidRPr="0ED4F347" w:rsidR="2596655C">
        <w:rPr>
          <w:color w:val="auto"/>
          <w:sz w:val="16"/>
          <w:szCs w:val="16"/>
        </w:rPr>
        <w:t xml:space="preserve"> </w:t>
      </w:r>
    </w:p>
    <w:p w:rsidRPr="00146D9D" w:rsidR="00A974DC" w:rsidP="0ED4F347" w:rsidRDefault="00A974DC" w14:paraId="637FB8DB" w14:textId="68BFC528">
      <w:pPr>
        <w:pStyle w:val="Normal"/>
        <w:spacing w:line="20" w:lineRule="atLeast"/>
        <w:jc w:val="center"/>
        <w:rPr>
          <w:rFonts w:eastAsia="Arial"/>
          <w:color w:val="auto"/>
          <w:sz w:val="16"/>
          <w:szCs w:val="16"/>
        </w:rPr>
      </w:pPr>
    </w:p>
    <w:p w:rsidRPr="00146D9D" w:rsidR="00A974DC" w:rsidP="0ED4F347" w:rsidRDefault="00A974DC" w14:paraId="217E67CD" w14:textId="769D89D5">
      <w:pPr>
        <w:pStyle w:val="Normal"/>
        <w:spacing w:line="20" w:lineRule="atLeast"/>
        <w:rPr>
          <w:sz w:val="24"/>
          <w:szCs w:val="24"/>
        </w:rPr>
      </w:pPr>
      <w:r w:rsidRPr="0ED4F347" w:rsidR="57B1D63B">
        <w:rPr>
          <w:rFonts w:eastAsia="Arial"/>
          <w:sz w:val="24"/>
          <w:szCs w:val="24"/>
        </w:rPr>
        <w:t>Todas las peticiones del contratista fueron atendidas dentro de los términos legales.</w:t>
      </w:r>
      <w:r w:rsidRPr="0ED4F347" w:rsidR="57B1D63B">
        <w:rPr>
          <w:rFonts w:eastAsia="Arial"/>
          <w:sz w:val="24"/>
          <w:szCs w:val="24"/>
        </w:rPr>
        <w:t xml:space="preserve"> La solicitud del 04 de marzo de 2026 se encontraba dentro del plazo legal de respuesta a la fecha del oficio (11 de marzo de 2026).</w:t>
      </w:r>
    </w:p>
    <w:p w:rsidRPr="00146D9D" w:rsidR="00A974DC" w:rsidP="00A974DC" w:rsidRDefault="00A974DC" w14:paraId="0960D53B" w14:textId="77777777">
      <w:pPr>
        <w:spacing w:line="20" w:lineRule="atLeast"/>
        <w:rPr>
          <w:rFonts w:eastAsia="Arial"/>
          <w:sz w:val="24"/>
          <w:szCs w:val="24"/>
        </w:rPr>
      </w:pPr>
    </w:p>
    <w:p w:rsidRPr="00146D9D" w:rsidR="00A974DC" w:rsidP="00A974DC" w:rsidRDefault="00A974DC" w14:paraId="62E0DCEC" w14:textId="04AF08C5">
      <w:pPr>
        <w:spacing w:line="20" w:lineRule="atLeast"/>
        <w:rPr>
          <w:rFonts w:eastAsia="Arial"/>
          <w:sz w:val="24"/>
          <w:szCs w:val="24"/>
        </w:rPr>
      </w:pPr>
      <w:r w:rsidRPr="0ED4F347" w:rsidR="57B1D63B">
        <w:rPr>
          <w:rFonts w:eastAsia="Arial"/>
          <w:sz w:val="24"/>
          <w:szCs w:val="24"/>
        </w:rPr>
        <w:t>A continuación, se presenta la verificación de los aspectos clave del objetivo específico</w:t>
      </w:r>
      <w:r w:rsidRPr="0ED4F347" w:rsidR="38543890">
        <w:rPr>
          <w:rFonts w:eastAsia="Arial"/>
          <w:sz w:val="24"/>
          <w:szCs w:val="24"/>
        </w:rPr>
        <w:t xml:space="preserve"> por parte de la auditoría.</w:t>
      </w:r>
    </w:p>
    <w:p w:rsidRPr="00146D9D" w:rsidR="00DA205E" w:rsidP="00A974DC" w:rsidRDefault="00DA205E" w14:paraId="07E5384E" w14:textId="77777777">
      <w:pPr>
        <w:spacing w:line="20" w:lineRule="atLeast"/>
        <w:rPr>
          <w:sz w:val="24"/>
          <w:szCs w:val="24"/>
        </w:rPr>
      </w:pPr>
    </w:p>
    <w:p w:rsidRPr="00B72413" w:rsidR="00A974DC" w:rsidP="0ED4F347" w:rsidRDefault="00B72413" w14:paraId="6788352E" w14:textId="5BFD3F4A">
      <w:pPr>
        <w:spacing w:line="20" w:lineRule="atLeast"/>
        <w:rPr>
          <w:rFonts w:ascii="Arial" w:hAnsi="Arial" w:eastAsia="Arial" w:cs="Arial"/>
          <w:i w:val="0"/>
          <w:iCs w:val="0"/>
          <w:color w:val="auto" w:themeColor="text2"/>
          <w:sz w:val="24"/>
          <w:szCs w:val="24"/>
        </w:rPr>
      </w:pPr>
      <w:r w:rsidRPr="0ED4F347" w:rsidR="6157CEFD">
        <w:rPr>
          <w:rFonts w:ascii="Arial" w:hAnsi="Arial" w:eastAsia="Arial" w:cs="Arial"/>
          <w:i w:val="0"/>
          <w:iCs w:val="0"/>
          <w:color w:val="auto"/>
          <w:sz w:val="24"/>
          <w:szCs w:val="24"/>
        </w:rPr>
        <w:t>Tabla 1</w:t>
      </w:r>
      <w:r w:rsidRPr="0ED4F347" w:rsidR="7E9D996C">
        <w:rPr>
          <w:rFonts w:ascii="Arial" w:hAnsi="Arial" w:eastAsia="Arial" w:cs="Arial"/>
          <w:i w:val="0"/>
          <w:iCs w:val="0"/>
          <w:color w:val="auto"/>
          <w:sz w:val="24"/>
          <w:szCs w:val="24"/>
        </w:rPr>
        <w:t>9</w:t>
      </w:r>
      <w:r w:rsidRPr="0ED4F347" w:rsidR="6157CEFD">
        <w:rPr>
          <w:rFonts w:ascii="Arial" w:hAnsi="Arial" w:eastAsia="Arial" w:cs="Arial"/>
          <w:i w:val="0"/>
          <w:iCs w:val="0"/>
          <w:color w:val="auto"/>
          <w:sz w:val="24"/>
          <w:szCs w:val="24"/>
        </w:rPr>
        <w:t>. Tabla de verificación</w:t>
      </w:r>
    </w:p>
    <w:tbl>
      <w:tblPr>
        <w:tblW w:w="104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4A0" w:firstRow="1" w:lastRow="0" w:firstColumn="1" w:lastColumn="0" w:noHBand="0" w:noVBand="1"/>
      </w:tblPr>
      <w:tblGrid>
        <w:gridCol w:w="4245"/>
        <w:gridCol w:w="1905"/>
        <w:gridCol w:w="4315"/>
      </w:tblGrid>
      <w:tr w:rsidRPr="0050286D" w:rsidR="00A974DC" w:rsidTr="0ED4F347" w14:paraId="064F326D" w14:textId="77777777">
        <w:tc>
          <w:tcPr>
            <w:tcW w:w="4245" w:type="dxa"/>
            <w:tcMar>
              <w:top w:w="60" w:type="dxa"/>
              <w:left w:w="80" w:type="dxa"/>
              <w:bottom w:w="60" w:type="dxa"/>
              <w:right w:w="80" w:type="dxa"/>
            </w:tcMar>
            <w:vAlign w:val="center"/>
          </w:tcPr>
          <w:p w:rsidRPr="0050286D" w:rsidR="00A974DC" w:rsidP="006E48B1" w:rsidRDefault="00A974DC" w14:paraId="6F6D11AE" w14:textId="77777777">
            <w:pPr>
              <w:spacing w:line="20" w:lineRule="atLeast"/>
            </w:pPr>
            <w:r w:rsidRPr="0050286D">
              <w:rPr>
                <w:rFonts w:eastAsia="Arial"/>
                <w:b/>
                <w:bCs/>
                <w:sz w:val="20"/>
                <w:szCs w:val="20"/>
              </w:rPr>
              <w:t>Aspecto verificado</w:t>
            </w:r>
          </w:p>
        </w:tc>
        <w:tc>
          <w:tcPr>
            <w:tcW w:w="1905" w:type="dxa"/>
            <w:tcMar>
              <w:top w:w="60" w:type="dxa"/>
              <w:left w:w="80" w:type="dxa"/>
              <w:bottom w:w="60" w:type="dxa"/>
              <w:right w:w="80" w:type="dxa"/>
            </w:tcMar>
            <w:vAlign w:val="center"/>
          </w:tcPr>
          <w:p w:rsidRPr="0050286D" w:rsidR="00A974DC" w:rsidP="006E48B1" w:rsidRDefault="00A974DC" w14:paraId="464C3699" w14:textId="77777777">
            <w:pPr>
              <w:spacing w:line="20" w:lineRule="atLeast"/>
            </w:pPr>
            <w:r w:rsidRPr="0050286D">
              <w:rPr>
                <w:rFonts w:eastAsia="Arial"/>
                <w:b/>
                <w:bCs/>
                <w:sz w:val="20"/>
                <w:szCs w:val="20"/>
              </w:rPr>
              <w:t>Resultado</w:t>
            </w:r>
          </w:p>
        </w:tc>
        <w:tc>
          <w:tcPr>
            <w:tcW w:w="4315" w:type="dxa"/>
            <w:tcMar>
              <w:top w:w="60" w:type="dxa"/>
              <w:left w:w="80" w:type="dxa"/>
              <w:bottom w:w="60" w:type="dxa"/>
              <w:right w:w="80" w:type="dxa"/>
            </w:tcMar>
            <w:vAlign w:val="center"/>
          </w:tcPr>
          <w:p w:rsidRPr="0050286D" w:rsidR="00A974DC" w:rsidP="006E48B1" w:rsidRDefault="00A974DC" w14:paraId="74D7651E" w14:textId="77777777">
            <w:pPr>
              <w:spacing w:line="20" w:lineRule="atLeast"/>
            </w:pPr>
            <w:r w:rsidRPr="0050286D">
              <w:rPr>
                <w:rFonts w:eastAsia="Arial"/>
                <w:b/>
                <w:bCs/>
                <w:sz w:val="20"/>
                <w:szCs w:val="20"/>
              </w:rPr>
              <w:t>Observación</w:t>
            </w:r>
          </w:p>
        </w:tc>
      </w:tr>
      <w:tr w:rsidRPr="0050286D" w:rsidR="00A974DC" w:rsidTr="0ED4F347" w14:paraId="77A7BEC4" w14:textId="77777777">
        <w:tc>
          <w:tcPr>
            <w:tcW w:w="4245" w:type="dxa"/>
            <w:tcMar>
              <w:top w:w="60" w:type="dxa"/>
              <w:left w:w="80" w:type="dxa"/>
              <w:bottom w:w="60" w:type="dxa"/>
              <w:right w:w="80" w:type="dxa"/>
            </w:tcMar>
            <w:vAlign w:val="center"/>
          </w:tcPr>
          <w:p w:rsidRPr="0050286D" w:rsidR="00A974DC" w:rsidP="006E48B1" w:rsidRDefault="00A974DC" w14:paraId="274E4342" w14:textId="77777777">
            <w:pPr>
              <w:spacing w:line="20" w:lineRule="atLeast"/>
            </w:pPr>
            <w:r w:rsidRPr="0050286D">
              <w:rPr>
                <w:rFonts w:eastAsia="Arial"/>
                <w:sz w:val="20"/>
                <w:szCs w:val="20"/>
              </w:rPr>
              <w:t>Respuesta al derecho de petición OCI (04-ene-2026)</w:t>
            </w:r>
          </w:p>
        </w:tc>
        <w:tc>
          <w:tcPr>
            <w:tcW w:w="1905" w:type="dxa"/>
            <w:tcMar>
              <w:top w:w="60" w:type="dxa"/>
              <w:left w:w="80" w:type="dxa"/>
              <w:bottom w:w="60" w:type="dxa"/>
              <w:right w:w="80" w:type="dxa"/>
            </w:tcMar>
            <w:vAlign w:val="center"/>
          </w:tcPr>
          <w:p w:rsidRPr="0050286D" w:rsidR="00A974DC" w:rsidP="006E48B1" w:rsidRDefault="00A974DC" w14:paraId="007715A5" w14:textId="77777777">
            <w:pPr>
              <w:spacing w:line="20" w:lineRule="atLeast"/>
            </w:pPr>
            <w:r w:rsidRPr="0050286D">
              <w:rPr>
                <w:rFonts w:ascii="Segoe UI Symbol" w:hAnsi="Segoe UI Symbol" w:eastAsia="Arial" w:cs="Segoe UI Symbol"/>
                <w:sz w:val="20"/>
                <w:szCs w:val="20"/>
              </w:rPr>
              <w:t>✔</w:t>
            </w:r>
            <w:r w:rsidRPr="0050286D">
              <w:rPr>
                <w:rFonts w:eastAsia="Arial"/>
                <w:sz w:val="20"/>
                <w:szCs w:val="20"/>
              </w:rPr>
              <w:t xml:space="preserve"> Cumple</w:t>
            </w:r>
          </w:p>
        </w:tc>
        <w:tc>
          <w:tcPr>
            <w:tcW w:w="4315" w:type="dxa"/>
            <w:tcMar>
              <w:top w:w="60" w:type="dxa"/>
              <w:left w:w="80" w:type="dxa"/>
              <w:bottom w:w="60" w:type="dxa"/>
              <w:right w:w="80" w:type="dxa"/>
            </w:tcMar>
            <w:vAlign w:val="center"/>
          </w:tcPr>
          <w:p w:rsidRPr="0050286D" w:rsidR="00A974DC" w:rsidP="006E48B1" w:rsidRDefault="00A974DC" w14:paraId="7386062C" w14:textId="77777777">
            <w:pPr>
              <w:spacing w:line="20" w:lineRule="atLeast"/>
            </w:pPr>
            <w:r w:rsidRPr="0050286D">
              <w:rPr>
                <w:rFonts w:eastAsia="Arial"/>
                <w:sz w:val="20"/>
                <w:szCs w:val="20"/>
              </w:rPr>
              <w:t>Oficio del 11 mar 2026, dentro del término del art. 14 Ley 1755/2015</w:t>
            </w:r>
          </w:p>
        </w:tc>
      </w:tr>
      <w:tr w:rsidRPr="0050286D" w:rsidR="00A974DC" w:rsidTr="0ED4F347" w14:paraId="0908AB59" w14:textId="77777777">
        <w:tc>
          <w:tcPr>
            <w:tcW w:w="4245" w:type="dxa"/>
            <w:tcMar>
              <w:top w:w="60" w:type="dxa"/>
              <w:left w:w="80" w:type="dxa"/>
              <w:bottom w:w="60" w:type="dxa"/>
              <w:right w:w="80" w:type="dxa"/>
            </w:tcMar>
            <w:vAlign w:val="center"/>
          </w:tcPr>
          <w:p w:rsidRPr="0050286D" w:rsidR="00A974DC" w:rsidP="006E48B1" w:rsidRDefault="00A974DC" w14:paraId="794E6973" w14:textId="77777777">
            <w:pPr>
              <w:spacing w:line="20" w:lineRule="atLeast"/>
            </w:pPr>
            <w:r w:rsidRPr="0050286D">
              <w:rPr>
                <w:rFonts w:eastAsia="Arial"/>
                <w:sz w:val="20"/>
                <w:szCs w:val="20"/>
              </w:rPr>
              <w:t>Proceso sancionatorio activo y documentado</w:t>
            </w:r>
          </w:p>
        </w:tc>
        <w:tc>
          <w:tcPr>
            <w:tcW w:w="1905" w:type="dxa"/>
            <w:tcMar>
              <w:top w:w="60" w:type="dxa"/>
              <w:left w:w="80" w:type="dxa"/>
              <w:bottom w:w="60" w:type="dxa"/>
              <w:right w:w="80" w:type="dxa"/>
            </w:tcMar>
            <w:vAlign w:val="center"/>
          </w:tcPr>
          <w:p w:rsidRPr="0050286D" w:rsidR="00A974DC" w:rsidP="006E48B1" w:rsidRDefault="00A974DC" w14:paraId="5030518B" w14:textId="77777777">
            <w:pPr>
              <w:spacing w:line="20" w:lineRule="atLeast"/>
            </w:pPr>
            <w:r w:rsidRPr="0050286D">
              <w:rPr>
                <w:rFonts w:ascii="Segoe UI Symbol" w:hAnsi="Segoe UI Symbol" w:eastAsia="Arial" w:cs="Segoe UI Symbol"/>
                <w:sz w:val="20"/>
                <w:szCs w:val="20"/>
              </w:rPr>
              <w:t>✔</w:t>
            </w:r>
            <w:r w:rsidRPr="0050286D">
              <w:rPr>
                <w:rFonts w:eastAsia="Arial"/>
                <w:sz w:val="20"/>
                <w:szCs w:val="20"/>
              </w:rPr>
              <w:t xml:space="preserve"> Cumple</w:t>
            </w:r>
          </w:p>
        </w:tc>
        <w:tc>
          <w:tcPr>
            <w:tcW w:w="4315" w:type="dxa"/>
            <w:tcMar>
              <w:top w:w="60" w:type="dxa"/>
              <w:left w:w="80" w:type="dxa"/>
              <w:bottom w:w="60" w:type="dxa"/>
              <w:right w:w="80" w:type="dxa"/>
            </w:tcMar>
            <w:vAlign w:val="center"/>
          </w:tcPr>
          <w:p w:rsidRPr="0050286D" w:rsidR="00A974DC" w:rsidP="006E48B1" w:rsidRDefault="00A974DC" w14:paraId="68B52992" w14:textId="77777777">
            <w:pPr>
              <w:spacing w:line="20" w:lineRule="atLeast"/>
            </w:pPr>
            <w:r w:rsidRPr="0050286D">
              <w:rPr>
                <w:rFonts w:eastAsia="Arial"/>
                <w:sz w:val="20"/>
                <w:szCs w:val="20"/>
              </w:rPr>
              <w:t>Etapa probatoria con audiencias y decreto de pruebas</w:t>
            </w:r>
          </w:p>
        </w:tc>
      </w:tr>
      <w:tr w:rsidRPr="0050286D" w:rsidR="00A974DC" w:rsidTr="0ED4F347" w14:paraId="737313D8" w14:textId="77777777">
        <w:tc>
          <w:tcPr>
            <w:tcW w:w="4245" w:type="dxa"/>
            <w:tcMar>
              <w:top w:w="60" w:type="dxa"/>
              <w:left w:w="80" w:type="dxa"/>
              <w:bottom w:w="60" w:type="dxa"/>
              <w:right w:w="80" w:type="dxa"/>
            </w:tcMar>
            <w:vAlign w:val="center"/>
          </w:tcPr>
          <w:p w:rsidRPr="0050286D" w:rsidR="00A974DC" w:rsidP="006E48B1" w:rsidRDefault="00A974DC" w14:paraId="2CA218A0" w14:textId="77777777">
            <w:pPr>
              <w:spacing w:line="20" w:lineRule="atLeast"/>
            </w:pPr>
            <w:r w:rsidRPr="0050286D">
              <w:rPr>
                <w:rFonts w:eastAsia="Arial"/>
                <w:sz w:val="20"/>
                <w:szCs w:val="20"/>
              </w:rPr>
              <w:t>Observancia del debido proceso</w:t>
            </w:r>
          </w:p>
        </w:tc>
        <w:tc>
          <w:tcPr>
            <w:tcW w:w="1905" w:type="dxa"/>
            <w:tcMar>
              <w:top w:w="60" w:type="dxa"/>
              <w:left w:w="80" w:type="dxa"/>
              <w:bottom w:w="60" w:type="dxa"/>
              <w:right w:w="80" w:type="dxa"/>
            </w:tcMar>
            <w:vAlign w:val="center"/>
          </w:tcPr>
          <w:p w:rsidRPr="0050286D" w:rsidR="00A974DC" w:rsidP="006E48B1" w:rsidRDefault="00A974DC" w14:paraId="61977ACE" w14:textId="77777777">
            <w:pPr>
              <w:spacing w:line="20" w:lineRule="atLeast"/>
            </w:pPr>
            <w:r w:rsidRPr="0050286D">
              <w:rPr>
                <w:rFonts w:ascii="Segoe UI Symbol" w:hAnsi="Segoe UI Symbol" w:eastAsia="Arial" w:cs="Segoe UI Symbol"/>
                <w:sz w:val="20"/>
                <w:szCs w:val="20"/>
              </w:rPr>
              <w:t>✔</w:t>
            </w:r>
            <w:r w:rsidRPr="0050286D">
              <w:rPr>
                <w:rFonts w:eastAsia="Arial"/>
                <w:sz w:val="20"/>
                <w:szCs w:val="20"/>
              </w:rPr>
              <w:t xml:space="preserve"> Cumple</w:t>
            </w:r>
          </w:p>
        </w:tc>
        <w:tc>
          <w:tcPr>
            <w:tcW w:w="4315" w:type="dxa"/>
            <w:tcMar>
              <w:top w:w="60" w:type="dxa"/>
              <w:left w:w="80" w:type="dxa"/>
              <w:bottom w:w="60" w:type="dxa"/>
              <w:right w:w="80" w:type="dxa"/>
            </w:tcMar>
            <w:vAlign w:val="center"/>
          </w:tcPr>
          <w:p w:rsidRPr="0050286D" w:rsidR="00A974DC" w:rsidP="006E48B1" w:rsidRDefault="00A974DC" w14:paraId="0B4F1205" w14:textId="77777777">
            <w:pPr>
              <w:spacing w:line="20" w:lineRule="atLeast"/>
            </w:pPr>
            <w:r w:rsidRPr="0050286D">
              <w:rPr>
                <w:rFonts w:eastAsia="Arial"/>
                <w:sz w:val="20"/>
                <w:szCs w:val="20"/>
              </w:rPr>
              <w:t>Citaciones, descargos y participación del contratista y garante</w:t>
            </w:r>
          </w:p>
        </w:tc>
      </w:tr>
      <w:tr w:rsidRPr="0050286D" w:rsidR="00A974DC" w:rsidTr="0ED4F347" w14:paraId="3561EA0A" w14:textId="77777777">
        <w:tc>
          <w:tcPr>
            <w:tcW w:w="4245" w:type="dxa"/>
            <w:tcMar>
              <w:top w:w="60" w:type="dxa"/>
              <w:left w:w="80" w:type="dxa"/>
              <w:bottom w:w="60" w:type="dxa"/>
              <w:right w:w="80" w:type="dxa"/>
            </w:tcMar>
            <w:vAlign w:val="center"/>
          </w:tcPr>
          <w:p w:rsidRPr="0050286D" w:rsidR="00A974DC" w:rsidP="006E48B1" w:rsidRDefault="00A974DC" w14:paraId="20CD30FE" w14:textId="77777777">
            <w:pPr>
              <w:spacing w:line="20" w:lineRule="atLeast"/>
            </w:pPr>
            <w:r w:rsidRPr="0050286D">
              <w:rPr>
                <w:rFonts w:eastAsia="Arial"/>
                <w:sz w:val="20"/>
                <w:szCs w:val="20"/>
              </w:rPr>
              <w:t>Articulación entre dependencias intervinientes</w:t>
            </w:r>
          </w:p>
        </w:tc>
        <w:tc>
          <w:tcPr>
            <w:tcW w:w="1905" w:type="dxa"/>
            <w:tcMar>
              <w:top w:w="60" w:type="dxa"/>
              <w:left w:w="80" w:type="dxa"/>
              <w:bottom w:w="60" w:type="dxa"/>
              <w:right w:w="80" w:type="dxa"/>
            </w:tcMar>
            <w:vAlign w:val="center"/>
          </w:tcPr>
          <w:p w:rsidRPr="0050286D" w:rsidR="00A974DC" w:rsidP="006E48B1" w:rsidRDefault="00A974DC" w14:paraId="7ADD4CEC" w14:textId="77777777">
            <w:pPr>
              <w:spacing w:line="20" w:lineRule="atLeast"/>
            </w:pPr>
            <w:r w:rsidRPr="0050286D">
              <w:rPr>
                <w:rFonts w:ascii="Segoe UI Symbol" w:hAnsi="Segoe UI Symbol" w:eastAsia="Arial" w:cs="Segoe UI Symbol"/>
                <w:sz w:val="20"/>
                <w:szCs w:val="20"/>
              </w:rPr>
              <w:t>✔</w:t>
            </w:r>
            <w:r w:rsidRPr="0050286D">
              <w:rPr>
                <w:rFonts w:eastAsia="Arial"/>
                <w:sz w:val="20"/>
                <w:szCs w:val="20"/>
              </w:rPr>
              <w:t xml:space="preserve"> Cumple</w:t>
            </w:r>
          </w:p>
        </w:tc>
        <w:tc>
          <w:tcPr>
            <w:tcW w:w="4315" w:type="dxa"/>
            <w:tcMar>
              <w:top w:w="60" w:type="dxa"/>
              <w:left w:w="80" w:type="dxa"/>
              <w:bottom w:w="60" w:type="dxa"/>
              <w:right w:w="80" w:type="dxa"/>
            </w:tcMar>
            <w:vAlign w:val="center"/>
          </w:tcPr>
          <w:p w:rsidRPr="0050286D" w:rsidR="00A974DC" w:rsidP="006E48B1" w:rsidRDefault="00A974DC" w14:paraId="16DCF2F9" w14:textId="77777777">
            <w:pPr>
              <w:spacing w:line="20" w:lineRule="atLeast"/>
            </w:pPr>
            <w:r w:rsidRPr="0050286D">
              <w:rPr>
                <w:rFonts w:eastAsia="Arial"/>
                <w:sz w:val="20"/>
                <w:szCs w:val="20"/>
              </w:rPr>
              <w:t>Participación de Dirección, Subdirección de Reducción y Secretaría Jurídica</w:t>
            </w:r>
          </w:p>
        </w:tc>
      </w:tr>
      <w:tr w:rsidRPr="0050286D" w:rsidR="00A974DC" w:rsidTr="0ED4F347" w14:paraId="60B6F8A1" w14:textId="77777777">
        <w:tc>
          <w:tcPr>
            <w:tcW w:w="4245" w:type="dxa"/>
            <w:tcMar>
              <w:top w:w="60" w:type="dxa"/>
              <w:left w:w="80" w:type="dxa"/>
              <w:bottom w:w="60" w:type="dxa"/>
              <w:right w:w="80" w:type="dxa"/>
            </w:tcMar>
            <w:vAlign w:val="center"/>
          </w:tcPr>
          <w:p w:rsidRPr="0050286D" w:rsidR="00A974DC" w:rsidP="006E48B1" w:rsidRDefault="00A974DC" w14:paraId="085C423A" w14:textId="77777777">
            <w:pPr>
              <w:spacing w:line="20" w:lineRule="atLeast"/>
            </w:pPr>
            <w:r w:rsidRPr="0050286D">
              <w:rPr>
                <w:rFonts w:eastAsia="Arial"/>
                <w:sz w:val="20"/>
                <w:szCs w:val="20"/>
              </w:rPr>
              <w:t>Atención de peticiones del contratista</w:t>
            </w:r>
          </w:p>
        </w:tc>
        <w:tc>
          <w:tcPr>
            <w:tcW w:w="1905" w:type="dxa"/>
            <w:tcMar>
              <w:top w:w="60" w:type="dxa"/>
              <w:left w:w="80" w:type="dxa"/>
              <w:bottom w:w="60" w:type="dxa"/>
              <w:right w:w="80" w:type="dxa"/>
            </w:tcMar>
            <w:vAlign w:val="center"/>
          </w:tcPr>
          <w:p w:rsidRPr="0050286D" w:rsidR="00A974DC" w:rsidP="006E48B1" w:rsidRDefault="00A974DC" w14:paraId="56654E36" w14:textId="77777777">
            <w:pPr>
              <w:spacing w:line="20" w:lineRule="atLeast"/>
            </w:pPr>
            <w:r w:rsidRPr="0050286D">
              <w:rPr>
                <w:rFonts w:ascii="Segoe UI Symbol" w:hAnsi="Segoe UI Symbol" w:eastAsia="Arial" w:cs="Segoe UI Symbol"/>
                <w:sz w:val="20"/>
                <w:szCs w:val="20"/>
              </w:rPr>
              <w:t>✔</w:t>
            </w:r>
            <w:r w:rsidRPr="0050286D">
              <w:rPr>
                <w:rFonts w:eastAsia="Arial"/>
                <w:sz w:val="20"/>
                <w:szCs w:val="20"/>
              </w:rPr>
              <w:t xml:space="preserve"> Cumple</w:t>
            </w:r>
          </w:p>
        </w:tc>
        <w:tc>
          <w:tcPr>
            <w:tcW w:w="4315" w:type="dxa"/>
            <w:tcMar>
              <w:top w:w="60" w:type="dxa"/>
              <w:left w:w="80" w:type="dxa"/>
              <w:bottom w:w="60" w:type="dxa"/>
              <w:right w:w="80" w:type="dxa"/>
            </w:tcMar>
            <w:vAlign w:val="center"/>
          </w:tcPr>
          <w:p w:rsidRPr="0050286D" w:rsidR="00A974DC" w:rsidP="006E48B1" w:rsidRDefault="00A974DC" w14:paraId="07764EBA" w14:textId="77777777">
            <w:pPr>
              <w:spacing w:line="20" w:lineRule="atLeast"/>
            </w:pPr>
            <w:r w:rsidRPr="0050286D">
              <w:rPr>
                <w:rFonts w:eastAsia="Arial"/>
                <w:sz w:val="20"/>
                <w:szCs w:val="20"/>
              </w:rPr>
              <w:t>Todas atendidas; una en términos a la fecha del oficio</w:t>
            </w:r>
          </w:p>
        </w:tc>
      </w:tr>
    </w:tbl>
    <w:p w:rsidR="1C3D137E" w:rsidP="0ED4F347" w:rsidRDefault="1C3D137E" w14:paraId="055E3EB6" w14:textId="5256FCF8">
      <w:pPr>
        <w:spacing w:line="20" w:lineRule="atLeast"/>
        <w:jc w:val="center"/>
        <w:rPr>
          <w:color w:val="auto"/>
          <w:sz w:val="16"/>
          <w:szCs w:val="16"/>
        </w:rPr>
      </w:pPr>
      <w:r w:rsidRPr="02313C72" w:rsidR="75C0DE5B">
        <w:rPr>
          <w:color w:val="auto"/>
          <w:sz w:val="16"/>
          <w:szCs w:val="16"/>
        </w:rPr>
        <w:t>Fuente: Elaboración propia</w:t>
      </w:r>
    </w:p>
    <w:p w:rsidR="1C3D137E" w:rsidP="0ED4F347" w:rsidRDefault="1C3D137E" w14:paraId="7C1F9673" w14:textId="35BFCD04">
      <w:pPr>
        <w:pStyle w:val="Normal"/>
        <w:spacing w:line="20" w:lineRule="atLeast"/>
        <w:rPr>
          <w:color w:val="FF0000"/>
          <w:sz w:val="24"/>
          <w:szCs w:val="24"/>
        </w:rPr>
      </w:pPr>
    </w:p>
    <w:p w:rsidRPr="00CD6420" w:rsidR="00A974DC" w:rsidP="1C3D137E" w:rsidRDefault="00A974DC" w14:paraId="5F248A6A" w14:textId="05C09E33">
      <w:pPr>
        <w:spacing w:line="20" w:lineRule="atLeast"/>
        <w:rPr>
          <w:sz w:val="24"/>
          <w:szCs w:val="24"/>
        </w:rPr>
      </w:pPr>
      <w:r w:rsidRPr="1C3D137E">
        <w:rPr>
          <w:rFonts w:eastAsia="Arial"/>
          <w:sz w:val="24"/>
          <w:szCs w:val="24"/>
        </w:rPr>
        <w:t>De la revisión realizada se constató que</w:t>
      </w:r>
      <w:r w:rsidRPr="1C3D137E" w:rsidR="006F2CCC">
        <w:rPr>
          <w:rFonts w:eastAsia="Arial"/>
          <w:sz w:val="24"/>
          <w:szCs w:val="24"/>
        </w:rPr>
        <w:t xml:space="preserve"> e</w:t>
      </w:r>
      <w:r w:rsidRPr="1C3D137E">
        <w:rPr>
          <w:rFonts w:eastAsia="Arial"/>
          <w:sz w:val="24"/>
          <w:szCs w:val="24"/>
        </w:rPr>
        <w:t>l proceso se encuentra en etapa probatoria, con actuaciones recientes debidamente documentadas (audiencias, decreto de pruebas y programación de continuación), conforme al artículo 86 de la Ley 80 de 1993 y el artículo 17 de la Ley 1150 de 2007.</w:t>
      </w:r>
    </w:p>
    <w:p w:rsidRPr="00CD6420" w:rsidR="00A974DC" w:rsidP="00A974DC" w:rsidRDefault="00A974DC" w14:paraId="17DEE970" w14:textId="77777777">
      <w:pPr>
        <w:spacing w:line="20" w:lineRule="atLeast"/>
        <w:rPr>
          <w:rFonts w:eastAsia="Arial"/>
          <w:sz w:val="24"/>
          <w:szCs w:val="24"/>
        </w:rPr>
      </w:pPr>
    </w:p>
    <w:p w:rsidRPr="00CD6420" w:rsidR="00A974DC" w:rsidP="00A974DC" w:rsidRDefault="00A974DC" w14:paraId="5DAE3ADD" w14:textId="3CB41583">
      <w:pPr>
        <w:spacing w:line="20" w:lineRule="atLeast"/>
        <w:rPr>
          <w:sz w:val="24"/>
          <w:szCs w:val="24"/>
        </w:rPr>
      </w:pPr>
      <w:r w:rsidRPr="0ED4F347" w:rsidR="57B1D63B">
        <w:rPr>
          <w:rFonts w:eastAsia="Arial"/>
          <w:sz w:val="24"/>
          <w:szCs w:val="24"/>
        </w:rPr>
        <w:t>Las actuaciones administrativas son coherentes con las garantías del debido proceso y el derecho de defensa, conforme al artículo 29 de la Constitución Política y la Ley 1437 de 2011 Código de Procedimiento Administrativo y de lo Contencioso Administrativo</w:t>
      </w:r>
      <w:r w:rsidRPr="0ED4F347" w:rsidR="4AE72230">
        <w:rPr>
          <w:rFonts w:eastAsia="Arial"/>
          <w:sz w:val="24"/>
          <w:szCs w:val="24"/>
        </w:rPr>
        <w:t xml:space="preserve"> </w:t>
      </w:r>
      <w:r w:rsidRPr="0ED4F347" w:rsidR="57B1D63B">
        <w:rPr>
          <w:rFonts w:eastAsia="Arial"/>
          <w:sz w:val="24"/>
          <w:szCs w:val="24"/>
        </w:rPr>
        <w:t>(CPACA).</w:t>
      </w:r>
    </w:p>
    <w:p w:rsidRPr="00CD6420" w:rsidR="00A974DC" w:rsidP="00A974DC" w:rsidRDefault="00A974DC" w14:paraId="00150D93" w14:textId="77777777">
      <w:pPr>
        <w:spacing w:line="20" w:lineRule="atLeast"/>
        <w:rPr>
          <w:rFonts w:eastAsia="Arial"/>
          <w:sz w:val="24"/>
          <w:szCs w:val="24"/>
        </w:rPr>
      </w:pPr>
    </w:p>
    <w:p w:rsidRPr="00CD6420" w:rsidR="00A974DC" w:rsidP="00A974DC" w:rsidRDefault="00A974DC" w14:paraId="42B67959" w14:textId="77777777">
      <w:pPr>
        <w:spacing w:line="20" w:lineRule="atLeast"/>
        <w:rPr>
          <w:sz w:val="24"/>
          <w:szCs w:val="24"/>
        </w:rPr>
      </w:pPr>
      <w:r w:rsidRPr="00CD6420">
        <w:rPr>
          <w:rFonts w:eastAsia="Arial"/>
          <w:sz w:val="24"/>
          <w:szCs w:val="24"/>
        </w:rPr>
        <w:t>Se evidencia articulación interna entre las dependencias competentes: Dirección General, Subdirección de Reducción del Riesgo y apoyo jurídico de la Secretaría Jurídica, conforme a los postulados de la Ley 87 de 1993 y los lineamientos del MIPG.</w:t>
      </w:r>
    </w:p>
    <w:p w:rsidRPr="00CD6420" w:rsidR="000F5E57" w:rsidP="00A974DC" w:rsidRDefault="000F5E57" w14:paraId="6664CACB" w14:textId="77777777">
      <w:pPr>
        <w:spacing w:line="20" w:lineRule="atLeast"/>
        <w:rPr>
          <w:rFonts w:eastAsia="Arial"/>
          <w:sz w:val="24"/>
          <w:szCs w:val="24"/>
        </w:rPr>
      </w:pPr>
    </w:p>
    <w:p w:rsidRPr="00CD6420" w:rsidR="00A974DC" w:rsidP="00A974DC" w:rsidRDefault="00A974DC" w14:paraId="6D5A26F8" w14:textId="0A56FFF0">
      <w:pPr>
        <w:spacing w:line="20" w:lineRule="atLeast"/>
        <w:rPr>
          <w:rFonts w:eastAsia="Arial"/>
          <w:sz w:val="24"/>
          <w:szCs w:val="24"/>
        </w:rPr>
      </w:pPr>
      <w:r w:rsidRPr="00CD6420">
        <w:rPr>
          <w:rFonts w:eastAsia="Arial"/>
          <w:sz w:val="24"/>
          <w:szCs w:val="24"/>
        </w:rPr>
        <w:t>Las peticiones del contratista han sido atendidas con trazabilidad básica de fechas y respuestas, conforme a la Ley 1755 de 2015</w:t>
      </w:r>
      <w:r w:rsidRPr="00CD6420" w:rsidR="00253320">
        <w:rPr>
          <w:rFonts w:eastAsia="Arial"/>
          <w:sz w:val="24"/>
          <w:szCs w:val="24"/>
        </w:rPr>
        <w:t>.</w:t>
      </w:r>
    </w:p>
    <w:p w:rsidRPr="00CD6420" w:rsidR="00A974DC" w:rsidP="00A974DC" w:rsidRDefault="00A974DC" w14:paraId="3695E531" w14:textId="77777777">
      <w:pPr>
        <w:spacing w:line="20" w:lineRule="atLeast"/>
        <w:rPr>
          <w:sz w:val="24"/>
          <w:szCs w:val="24"/>
        </w:rPr>
      </w:pPr>
    </w:p>
    <w:p w:rsidRPr="00CD6420" w:rsidR="00A974DC" w:rsidP="00A974DC" w:rsidRDefault="00A974DC" w14:paraId="2F864E43" w14:textId="4CD6532E">
      <w:pPr>
        <w:spacing w:line="20" w:lineRule="atLeast"/>
        <w:rPr>
          <w:sz w:val="24"/>
          <w:szCs w:val="24"/>
        </w:rPr>
      </w:pPr>
      <w:r w:rsidRPr="00CD6420">
        <w:rPr>
          <w:rFonts w:eastAsia="Arial"/>
          <w:sz w:val="24"/>
          <w:szCs w:val="24"/>
        </w:rPr>
        <w:lastRenderedPageBreak/>
        <w:t xml:space="preserve">La documentación aportada permite reconstruir la secuencia del proceso; sin embargo, se identifican </w:t>
      </w:r>
      <w:r w:rsidRPr="00CD6420" w:rsidR="00784C28">
        <w:rPr>
          <w:rFonts w:eastAsia="Arial"/>
          <w:sz w:val="24"/>
          <w:szCs w:val="24"/>
        </w:rPr>
        <w:t>recomendaciones</w:t>
      </w:r>
      <w:r w:rsidRPr="00CD6420">
        <w:rPr>
          <w:rFonts w:eastAsia="Arial"/>
          <w:sz w:val="24"/>
          <w:szCs w:val="24"/>
        </w:rPr>
        <w:t xml:space="preserve"> en la gestión documental, conforme a la Ley 594 de 2000 y el Decreto 1080 de 2015.</w:t>
      </w:r>
    </w:p>
    <w:p w:rsidRPr="00CD6420" w:rsidR="00A974DC" w:rsidP="00A974DC" w:rsidRDefault="00A974DC" w14:paraId="4E75226D" w14:textId="77777777">
      <w:pPr>
        <w:spacing w:line="20" w:lineRule="atLeast"/>
        <w:rPr>
          <w:sz w:val="24"/>
          <w:szCs w:val="24"/>
        </w:rPr>
      </w:pPr>
    </w:p>
    <w:p w:rsidRPr="00CD6420" w:rsidR="00A974DC" w:rsidP="00A974DC" w:rsidRDefault="00A974DC" w14:paraId="7EB69160" w14:textId="77777777">
      <w:pPr>
        <w:spacing w:line="20" w:lineRule="atLeast"/>
        <w:rPr>
          <w:sz w:val="24"/>
          <w:szCs w:val="24"/>
        </w:rPr>
      </w:pPr>
      <w:r w:rsidRPr="00CD6420">
        <w:rPr>
          <w:sz w:val="24"/>
          <w:szCs w:val="24"/>
        </w:rPr>
        <w:t>En consecuencia, la UAEGRD dio respuesta formal, oportuna y sustancial a la solicitud de la Auditoría, aportando los elementos necesarios para conocer el estado y las actuaciones adelantadas en el proceso administrativo sancionatorio del contrato UAEGRD-CM-055-2021.</w:t>
      </w:r>
    </w:p>
    <w:p w:rsidRPr="00CD6420" w:rsidR="00A974DC" w:rsidP="00A974DC" w:rsidRDefault="00A974DC" w14:paraId="3CF411A7" w14:textId="77777777">
      <w:pPr>
        <w:spacing w:line="20" w:lineRule="atLeast"/>
        <w:rPr>
          <w:sz w:val="24"/>
          <w:szCs w:val="24"/>
        </w:rPr>
      </w:pPr>
    </w:p>
    <w:p w:rsidRPr="00CD6420" w:rsidR="009B05D1" w:rsidP="009B05D1" w:rsidRDefault="009B05D1" w14:paraId="67982AC7" w14:textId="77777777">
      <w:pPr>
        <w:rPr>
          <w:sz w:val="24"/>
          <w:szCs w:val="24"/>
        </w:rPr>
      </w:pPr>
    </w:p>
    <w:p w:rsidR="0018750B" w:rsidP="001A0960" w:rsidRDefault="0018750B" w14:paraId="36AB5EC6" w14:textId="2708181B">
      <w:pPr>
        <w:pStyle w:val="GrisIndicaciones"/>
      </w:pPr>
    </w:p>
    <w:p w:rsidR="0018750B" w:rsidP="001A0960" w:rsidRDefault="0018750B" w14:paraId="7C919853" w14:textId="55D9A164">
      <w:pPr>
        <w:pStyle w:val="GrisIndicaciones"/>
      </w:pPr>
    </w:p>
    <w:p w:rsidR="0018750B" w:rsidP="001A0960" w:rsidRDefault="0018750B" w14:paraId="19115BDD" w14:textId="6B82CAF5">
      <w:pPr>
        <w:pStyle w:val="GrisIndicaciones"/>
      </w:pPr>
    </w:p>
    <w:p w:rsidR="0018750B" w:rsidP="001A0960" w:rsidRDefault="0018750B" w14:paraId="13B1189C" w14:textId="2AE709E8">
      <w:pPr>
        <w:pStyle w:val="GrisIndicaciones"/>
      </w:pPr>
    </w:p>
    <w:p w:rsidR="0018750B" w:rsidP="001A0960" w:rsidRDefault="0018750B" w14:paraId="7C73CB4A" w14:textId="5BA242BA">
      <w:pPr>
        <w:pStyle w:val="GrisIndicaciones"/>
      </w:pPr>
    </w:p>
    <w:p w:rsidR="0018750B" w:rsidP="001A0960" w:rsidRDefault="0018750B" w14:paraId="7AE6B82A" w14:textId="0CF4DE7A">
      <w:pPr>
        <w:pStyle w:val="GrisIndicaciones"/>
      </w:pPr>
    </w:p>
    <w:p w:rsidR="0018750B" w:rsidP="001A0960" w:rsidRDefault="0018750B" w14:paraId="5DB61BCD" w14:textId="3EF9F0E4">
      <w:pPr>
        <w:pStyle w:val="GrisIndicaciones"/>
      </w:pPr>
    </w:p>
    <w:p w:rsidR="0018750B" w:rsidP="001A0960" w:rsidRDefault="0018750B" w14:paraId="63607A83" w14:textId="073BF6F0">
      <w:pPr>
        <w:pStyle w:val="GrisIndicaciones"/>
      </w:pPr>
    </w:p>
    <w:p w:rsidR="0018750B" w:rsidP="001A0960" w:rsidRDefault="0018750B" w14:paraId="3A578D9D" w14:textId="77777777">
      <w:pPr>
        <w:pStyle w:val="GrisIndicaciones"/>
        <w:sectPr w:rsidR="0018750B" w:rsidSect="00BB4C97">
          <w:headerReference w:type="even" r:id="rId15"/>
          <w:headerReference w:type="default" r:id="rId16"/>
          <w:footerReference w:type="even" r:id="rId17"/>
          <w:footerReference w:type="default" r:id="rId18"/>
          <w:pgSz w:w="12240" w:h="15840" w:orient="portrait"/>
          <w:pgMar w:top="1417" w:right="567" w:bottom="1928" w:left="1134" w:header="566" w:footer="567" w:gutter="0"/>
          <w:cols w:space="720"/>
          <w:docGrid w:linePitch="299"/>
        </w:sectPr>
      </w:pPr>
    </w:p>
    <w:p w:rsidRPr="00324370" w:rsidR="00D5474B" w:rsidP="1C3D137E" w:rsidRDefault="00A26BB2" w14:paraId="04021093" w14:textId="337807B7">
      <w:pPr>
        <w:pStyle w:val="Ttulo1"/>
      </w:pPr>
      <w:bookmarkStart w:name="_Toc206756958" w:id="77"/>
      <w:bookmarkStart w:name="_Toc206758790" w:id="78"/>
      <w:bookmarkStart w:name="_Toc206758806" w:id="79"/>
      <w:bookmarkStart w:name="_Toc206758854" w:id="80"/>
      <w:bookmarkStart w:name="_Toc206758870" w:id="81"/>
      <w:bookmarkStart w:name="_Toc206759093" w:id="82"/>
      <w:bookmarkStart w:name="_Toc206759644" w:id="83"/>
      <w:r>
        <w:lastRenderedPageBreak/>
        <w:t>EVALUACIÓN DE LA GESTIÓN DE</w:t>
      </w:r>
      <w:r w:rsidR="008E5552">
        <w:t>L</w:t>
      </w:r>
      <w:r>
        <w:t xml:space="preserve"> RIESGO</w:t>
      </w:r>
      <w:bookmarkEnd w:id="77"/>
      <w:bookmarkEnd w:id="78"/>
      <w:bookmarkEnd w:id="79"/>
      <w:bookmarkEnd w:id="80"/>
      <w:bookmarkEnd w:id="81"/>
      <w:bookmarkEnd w:id="82"/>
      <w:bookmarkEnd w:id="83"/>
    </w:p>
    <w:p w:rsidR="1C3D137E" w:rsidP="1C3D137E" w:rsidRDefault="1C3D137E" w14:paraId="69D4DE5B" w14:textId="5E727597"/>
    <w:p w:rsidR="4033A468" w:rsidP="0ED4F347" w:rsidRDefault="4033A468" w14:paraId="082C75FD" w14:textId="2CAC7FF5">
      <w:pPr>
        <w:pStyle w:val="Textonotapie"/>
        <w:bidi w:val="0"/>
        <w:rPr>
          <w:rFonts w:ascii="Arial" w:hAnsi="Arial" w:eastAsia="" w:cs="Arial" w:eastAsiaTheme="minorEastAsia"/>
          <w:color w:val="auto"/>
          <w:sz w:val="24"/>
          <w:szCs w:val="24"/>
          <w:lang w:eastAsia="es-CO" w:bidi="ar-SA"/>
        </w:rPr>
      </w:pPr>
      <w:r w:rsidRPr="0ED4F347" w:rsidR="4033A468">
        <w:rPr>
          <w:rFonts w:ascii="Arial" w:hAnsi="Arial" w:eastAsia="" w:cs="Arial" w:eastAsiaTheme="minorEastAsia"/>
          <w:color w:val="auto"/>
          <w:sz w:val="24"/>
          <w:szCs w:val="24"/>
          <w:lang w:eastAsia="es-CO" w:bidi="ar-SA"/>
        </w:rPr>
        <w:t xml:space="preserve">Tomando en cuenta la aclaración proporcionada por la UAEGRD mediante correo institucional del 20 de abril de 2026, en respuesta a las observaciones formuladas en la auditoría interna de gestión realizada por la Oficina de Control Interno (Cóndor </w:t>
      </w:r>
      <w:r w:rsidRPr="0ED4F347" w:rsidR="4033A468">
        <w:rPr>
          <w:rFonts w:ascii="Arial" w:hAnsi="Arial" w:eastAsia="" w:cs="Arial" w:eastAsiaTheme="minorEastAsia"/>
          <w:color w:val="auto"/>
          <w:sz w:val="24"/>
          <w:szCs w:val="24"/>
          <w:lang w:eastAsia="es-CO" w:bidi="ar-SA"/>
        </w:rPr>
        <w:t>N.°</w:t>
      </w:r>
      <w:r w:rsidRPr="0ED4F347" w:rsidR="4033A468">
        <w:rPr>
          <w:rFonts w:ascii="Arial" w:hAnsi="Arial" w:eastAsia="" w:cs="Arial" w:eastAsiaTheme="minorEastAsia"/>
          <w:color w:val="auto"/>
          <w:sz w:val="24"/>
          <w:szCs w:val="24"/>
          <w:lang w:eastAsia="es-CO" w:bidi="ar-SA"/>
        </w:rPr>
        <w:t xml:space="preserve"> GOB-S-CR-2026-0062623 del 15 de abril de 2026), la auditoría determinó retirar el hallazgo de incumplimiento.</w:t>
      </w:r>
      <w:r w:rsidRPr="0ED4F347" w:rsidR="3ED57AB5">
        <w:rPr>
          <w:rFonts w:ascii="Arial" w:hAnsi="Arial" w:eastAsia="" w:cs="Arial" w:eastAsiaTheme="minorEastAsia"/>
          <w:color w:val="auto"/>
          <w:sz w:val="24"/>
          <w:szCs w:val="24"/>
          <w:lang w:eastAsia="es-CO" w:bidi="ar-SA"/>
        </w:rPr>
        <w:t xml:space="preserve"> </w:t>
      </w:r>
    </w:p>
    <w:p w:rsidR="0ED4F347" w:rsidP="0ED4F347" w:rsidRDefault="0ED4F347" w14:paraId="7BDD1A93" w14:textId="7C9FFBF2">
      <w:pPr>
        <w:pStyle w:val="Textonotapie"/>
        <w:bidi w:val="0"/>
        <w:rPr>
          <w:rFonts w:ascii="Arial" w:hAnsi="Arial" w:eastAsia="" w:cs="Arial" w:eastAsiaTheme="minorEastAsia"/>
          <w:color w:val="auto"/>
          <w:sz w:val="24"/>
          <w:szCs w:val="24"/>
          <w:lang w:eastAsia="es-CO" w:bidi="ar-SA"/>
        </w:rPr>
      </w:pPr>
    </w:p>
    <w:p w:rsidR="3ED57AB5" w:rsidP="0ED4F347" w:rsidRDefault="3ED57AB5" w14:paraId="54F359B3" w14:textId="1F97FD57">
      <w:pPr>
        <w:pStyle w:val="Textonotapie"/>
        <w:suppressLineNumbers w:val="0"/>
        <w:bidi w:val="0"/>
        <w:spacing w:before="0" w:beforeAutospacing="off" w:after="0" w:afterAutospacing="off" w:line="276" w:lineRule="auto"/>
        <w:ind w:left="0" w:right="0"/>
        <w:jc w:val="both"/>
        <w:rPr>
          <w:rFonts w:ascii="Arial" w:hAnsi="Arial" w:eastAsia="" w:cs="Arial" w:eastAsiaTheme="minorEastAsia"/>
          <w:b w:val="1"/>
          <w:bCs w:val="1"/>
          <w:color w:val="auto"/>
          <w:sz w:val="24"/>
          <w:szCs w:val="24"/>
          <w:lang w:eastAsia="es-CO" w:bidi="ar-SA"/>
        </w:rPr>
      </w:pPr>
      <w:r w:rsidRPr="0ED4F347" w:rsidR="3ED57AB5">
        <w:rPr>
          <w:rFonts w:ascii="Arial" w:hAnsi="Arial" w:eastAsia="" w:cs="Arial" w:eastAsiaTheme="minorEastAsia"/>
          <w:b w:val="1"/>
          <w:bCs w:val="1"/>
          <w:color w:val="auto"/>
          <w:sz w:val="24"/>
          <w:szCs w:val="24"/>
          <w:lang w:eastAsia="es-CO" w:bidi="ar-SA"/>
        </w:rPr>
        <w:t>5.1 Controversia y análisis:</w:t>
      </w:r>
    </w:p>
    <w:p w:rsidR="0ED4F347" w:rsidP="0ED4F347" w:rsidRDefault="0ED4F347" w14:paraId="0E597CA3" w14:textId="028F9380">
      <w:pPr>
        <w:pStyle w:val="Textonotapie"/>
        <w:suppressLineNumbers w:val="0"/>
        <w:bidi w:val="0"/>
        <w:spacing w:before="0" w:beforeAutospacing="off" w:after="0" w:afterAutospacing="off" w:line="276" w:lineRule="auto"/>
        <w:ind w:left="0" w:right="0"/>
        <w:jc w:val="both"/>
        <w:rPr>
          <w:rFonts w:ascii="Arial" w:hAnsi="Arial" w:eastAsia="" w:cs="Arial" w:eastAsiaTheme="minorEastAsia"/>
          <w:b w:val="1"/>
          <w:bCs w:val="1"/>
          <w:color w:val="auto"/>
          <w:sz w:val="24"/>
          <w:szCs w:val="24"/>
          <w:lang w:eastAsia="es-CO" w:bidi="ar-SA"/>
        </w:rPr>
      </w:pPr>
    </w:p>
    <w:p w:rsidR="3ED57AB5" w:rsidP="0ED4F347" w:rsidRDefault="3ED57AB5" w14:paraId="4E45BE19" w14:textId="511682E2">
      <w:pPr>
        <w:pStyle w:val="Textonotapie"/>
        <w:suppressLineNumbers w:val="0"/>
        <w:bidi w:val="0"/>
        <w:spacing w:before="0" w:beforeAutospacing="off" w:after="0" w:afterAutospacing="off" w:line="276" w:lineRule="auto"/>
        <w:ind w:left="0" w:right="0"/>
        <w:jc w:val="both"/>
        <w:rPr>
          <w:rFonts w:ascii="Arial" w:hAnsi="Arial" w:eastAsia="" w:cs="Arial" w:eastAsiaTheme="minorEastAsia"/>
          <w:i w:val="1"/>
          <w:iCs w:val="1"/>
          <w:color w:val="auto"/>
          <w:sz w:val="24"/>
          <w:szCs w:val="24"/>
          <w:lang w:eastAsia="es-CO" w:bidi="ar-SA"/>
        </w:rPr>
      </w:pPr>
      <w:r w:rsidRPr="0ED4F347" w:rsidR="3ED57AB5">
        <w:rPr>
          <w:rFonts w:ascii="Arial" w:hAnsi="Arial" w:eastAsia="" w:cs="Arial" w:eastAsiaTheme="minorEastAsia"/>
          <w:color w:val="auto"/>
          <w:sz w:val="24"/>
          <w:szCs w:val="24"/>
          <w:lang w:eastAsia="es-CO" w:bidi="ar-SA"/>
        </w:rPr>
        <w:t>... ()“</w:t>
      </w:r>
      <w:r w:rsidRPr="0ED4F347" w:rsidR="3ED57AB5">
        <w:rPr>
          <w:rFonts w:ascii="Arial" w:hAnsi="Arial" w:eastAsia="" w:cs="Arial" w:eastAsiaTheme="minorEastAsia"/>
          <w:i w:val="1"/>
          <w:iCs w:val="1"/>
          <w:color w:val="auto"/>
          <w:sz w:val="24"/>
          <w:szCs w:val="24"/>
          <w:lang w:eastAsia="es-CO" w:bidi="ar-SA"/>
        </w:rPr>
        <w:t>Frente a la situación evidenciada en la cual se identificaron inconsistencias entre la información registrada en el “Censo de afectación municipal por emergencia – Evaluación de Daños y Análisis de Necesidades (EDAN)” y las planillas de entrega de ayudas humanitarias, es pertinente reiterar que dicha situación ya fue objeto de revisión, validación y subsanación por parte de la Unidad.</w:t>
      </w:r>
    </w:p>
    <w:p w:rsidR="0ED4F347" w:rsidP="0ED4F347" w:rsidRDefault="0ED4F347" w14:paraId="3C70E866" w14:textId="1C2C1D29">
      <w:pPr>
        <w:pStyle w:val="Textonotapie"/>
        <w:suppressLineNumbers w:val="0"/>
        <w:bidi w:val="0"/>
        <w:spacing w:before="0" w:beforeAutospacing="off" w:after="0" w:afterAutospacing="off" w:line="276" w:lineRule="auto"/>
        <w:ind w:left="0" w:right="0"/>
        <w:jc w:val="both"/>
        <w:rPr>
          <w:rFonts w:ascii="Arial" w:hAnsi="Arial" w:eastAsia="" w:cs="Arial" w:eastAsiaTheme="minorEastAsia"/>
          <w:i w:val="1"/>
          <w:iCs w:val="1"/>
          <w:color w:val="auto"/>
          <w:sz w:val="24"/>
          <w:szCs w:val="24"/>
          <w:lang w:eastAsia="es-CO" w:bidi="ar-SA"/>
        </w:rPr>
      </w:pPr>
    </w:p>
    <w:p w:rsidR="3ED57AB5" w:rsidP="0ED4F347" w:rsidRDefault="3ED57AB5" w14:paraId="1A67A9AC" w14:textId="2182D339">
      <w:pPr>
        <w:pStyle w:val="Textonotapie"/>
        <w:bidi w:val="0"/>
        <w:spacing w:before="0" w:beforeAutospacing="off" w:after="0" w:afterAutospacing="off" w:line="276" w:lineRule="auto"/>
        <w:ind w:left="0" w:right="0"/>
        <w:jc w:val="both"/>
        <w:rPr>
          <w:rFonts w:ascii="Arial" w:hAnsi="Arial" w:eastAsia="" w:cs="Arial" w:eastAsiaTheme="minorEastAsia"/>
          <w:i w:val="1"/>
          <w:iCs w:val="1"/>
          <w:color w:val="auto"/>
          <w:sz w:val="24"/>
          <w:szCs w:val="24"/>
          <w:lang w:eastAsia="es-CO" w:bidi="ar-SA"/>
        </w:rPr>
      </w:pPr>
      <w:r w:rsidRPr="0ED4F347" w:rsidR="3ED57AB5">
        <w:rPr>
          <w:rFonts w:ascii="Arial" w:hAnsi="Arial" w:eastAsia="" w:cs="Arial" w:eastAsiaTheme="minorEastAsia"/>
          <w:i w:val="1"/>
          <w:iCs w:val="1"/>
          <w:color w:val="auto"/>
          <w:sz w:val="24"/>
          <w:szCs w:val="24"/>
          <w:lang w:eastAsia="es-CO" w:bidi="ar-SA"/>
        </w:rPr>
        <w:t xml:space="preserve">En efecto, se adelantó un proceso de verificación y depuración de la información, con el fin de garantizar la correspondencia entre la población afectada registrada y los beneficiarios efectivamente atendidos, corrigiendo las diferencias inicialmente identificadas. Como resultado de este ejercicio, se consolidaron los soportes ajustados, los cuales reposan de manera física en el contrato No. UAEGRD-CD-SU-120-2025, disponible en las instalaciones de la UAEGRD para su respectiva consulta. Nota: las evidencias de lo anteriormente mencionado se encuentran el siguiente </w:t>
      </w:r>
      <w:r w:rsidRPr="0ED4F347" w:rsidR="3ED57AB5">
        <w:rPr>
          <w:rFonts w:ascii="Arial" w:hAnsi="Arial" w:eastAsia="" w:cs="Arial" w:eastAsiaTheme="minorEastAsia"/>
          <w:i w:val="1"/>
          <w:iCs w:val="1"/>
          <w:color w:val="auto"/>
          <w:sz w:val="24"/>
          <w:szCs w:val="24"/>
          <w:lang w:eastAsia="es-CO" w:bidi="ar-SA"/>
        </w:rPr>
        <w:t>link</w:t>
      </w:r>
      <w:r w:rsidRPr="0ED4F347" w:rsidR="3ED57AB5">
        <w:rPr>
          <w:rFonts w:ascii="Arial" w:hAnsi="Arial" w:eastAsia="" w:cs="Arial" w:eastAsiaTheme="minorEastAsia"/>
          <w:i w:val="1"/>
          <w:iCs w:val="1"/>
          <w:color w:val="auto"/>
          <w:sz w:val="24"/>
          <w:szCs w:val="24"/>
          <w:lang w:eastAsia="es-CO" w:bidi="ar-SA"/>
        </w:rPr>
        <w:t xml:space="preserve"> de acceso Nota: las evidencias de lo anteriormente mencionado se encuentran el siguiente </w:t>
      </w:r>
      <w:r w:rsidRPr="0ED4F347" w:rsidR="3ED57AB5">
        <w:rPr>
          <w:rFonts w:ascii="Arial" w:hAnsi="Arial" w:eastAsia="" w:cs="Arial" w:eastAsiaTheme="minorEastAsia"/>
          <w:i w:val="1"/>
          <w:iCs w:val="1"/>
          <w:color w:val="auto"/>
          <w:sz w:val="24"/>
          <w:szCs w:val="24"/>
          <w:lang w:eastAsia="es-CO" w:bidi="ar-SA"/>
        </w:rPr>
        <w:t>link</w:t>
      </w:r>
      <w:r w:rsidRPr="0ED4F347" w:rsidR="3ED57AB5">
        <w:rPr>
          <w:rFonts w:ascii="Arial" w:hAnsi="Arial" w:eastAsia="" w:cs="Arial" w:eastAsiaTheme="minorEastAsia"/>
          <w:i w:val="1"/>
          <w:iCs w:val="1"/>
          <w:color w:val="auto"/>
          <w:sz w:val="24"/>
          <w:szCs w:val="24"/>
          <w:lang w:eastAsia="es-CO" w:bidi="ar-SA"/>
        </w:rPr>
        <w:t xml:space="preserve"> de acceso” ...()</w:t>
      </w:r>
    </w:p>
    <w:p w:rsidR="0ED4F347" w:rsidP="0ED4F347" w:rsidRDefault="0ED4F347" w14:paraId="2C4BE30C" w14:textId="01604496">
      <w:pPr>
        <w:pStyle w:val="Textonotapie"/>
        <w:bidi w:val="0"/>
        <w:spacing w:before="0" w:beforeAutospacing="off" w:after="0" w:afterAutospacing="off" w:line="276" w:lineRule="auto"/>
        <w:ind w:left="0" w:right="0"/>
        <w:jc w:val="both"/>
        <w:rPr>
          <w:rFonts w:ascii="Arial" w:hAnsi="Arial" w:eastAsia="" w:cs="Arial" w:eastAsiaTheme="minorEastAsia"/>
          <w:i w:val="1"/>
          <w:iCs w:val="1"/>
          <w:color w:val="auto"/>
          <w:sz w:val="24"/>
          <w:szCs w:val="24"/>
          <w:lang w:eastAsia="es-CO" w:bidi="ar-SA"/>
        </w:rPr>
      </w:pPr>
    </w:p>
    <w:p w:rsidR="3ED57AB5" w:rsidP="0ED4F347" w:rsidRDefault="3ED57AB5" w14:paraId="3B70EA9C" w14:textId="4AD6DDEC">
      <w:pPr>
        <w:pStyle w:val="Textonotapie"/>
        <w:bidi w:val="0"/>
        <w:spacing w:before="0" w:beforeAutospacing="off" w:after="0" w:afterAutospacing="off" w:line="276" w:lineRule="auto"/>
        <w:ind w:left="0" w:right="0"/>
        <w:jc w:val="both"/>
        <w:rPr>
          <w:rFonts w:ascii="Arial" w:hAnsi="Arial" w:eastAsia="" w:cs="Arial" w:eastAsiaTheme="minorEastAsia"/>
          <w:i w:val="0"/>
          <w:iCs w:val="0"/>
          <w:color w:val="auto"/>
          <w:sz w:val="24"/>
          <w:szCs w:val="24"/>
          <w:u w:val="single"/>
          <w:lang w:eastAsia="es-CO" w:bidi="ar-SA"/>
        </w:rPr>
      </w:pPr>
      <w:r w:rsidRPr="0ED4F347" w:rsidR="3ED57AB5">
        <w:rPr>
          <w:rFonts w:ascii="Arial" w:hAnsi="Arial" w:eastAsia="" w:cs="Arial" w:eastAsiaTheme="minorEastAsia"/>
          <w:i w:val="0"/>
          <w:iCs w:val="0"/>
          <w:color w:val="auto"/>
          <w:sz w:val="24"/>
          <w:szCs w:val="24"/>
          <w:u w:val="single"/>
          <w:lang w:eastAsia="es-CO" w:bidi="ar-SA"/>
        </w:rPr>
        <w:t xml:space="preserve">En este punto, al no evidenciar la subsanación </w:t>
      </w:r>
      <w:r w:rsidRPr="0ED4F347" w:rsidR="116C5A88">
        <w:rPr>
          <w:rFonts w:ascii="Arial" w:hAnsi="Arial" w:eastAsia="" w:cs="Arial" w:eastAsiaTheme="minorEastAsia"/>
          <w:i w:val="0"/>
          <w:iCs w:val="0"/>
          <w:color w:val="auto"/>
          <w:sz w:val="24"/>
          <w:szCs w:val="24"/>
          <w:u w:val="single"/>
          <w:lang w:eastAsia="es-CO" w:bidi="ar-SA"/>
        </w:rPr>
        <w:t>de lo encontrado y referenciado en el presente informe en el numeral 4.2.3.5, se mantiene evidencia de la materialización del riesgo.</w:t>
      </w:r>
    </w:p>
    <w:p w:rsidR="3ED57AB5" w:rsidP="0ED4F347" w:rsidRDefault="3ED57AB5" w14:paraId="4857501B" w14:textId="4E06C441">
      <w:pPr>
        <w:pStyle w:val="Textonotapie"/>
        <w:bidi w:val="0"/>
        <w:spacing w:before="0" w:beforeAutospacing="off" w:after="0" w:afterAutospacing="off" w:line="276" w:lineRule="auto"/>
        <w:ind w:left="0" w:right="0"/>
        <w:jc w:val="both"/>
        <w:rPr>
          <w:rFonts w:ascii="Arial" w:hAnsi="Arial" w:eastAsia="" w:cs="Arial" w:eastAsiaTheme="minorEastAsia"/>
          <w:i w:val="1"/>
          <w:iCs w:val="1"/>
          <w:color w:val="auto"/>
          <w:sz w:val="24"/>
          <w:szCs w:val="24"/>
          <w:lang w:eastAsia="es-CO" w:bidi="ar-SA"/>
        </w:rPr>
      </w:pPr>
      <w:r w:rsidRPr="0ED4F347" w:rsidR="3ED57AB5">
        <w:rPr>
          <w:rFonts w:ascii="Arial" w:hAnsi="Arial" w:eastAsia="" w:cs="Arial" w:eastAsiaTheme="minorEastAsia"/>
          <w:i w:val="1"/>
          <w:iCs w:val="1"/>
          <w:color w:val="auto"/>
          <w:sz w:val="24"/>
          <w:szCs w:val="24"/>
          <w:lang w:eastAsia="es-CO" w:bidi="ar-SA"/>
        </w:rPr>
        <w:t xml:space="preserve"> </w:t>
      </w:r>
    </w:p>
    <w:p w:rsidR="3599B771" w:rsidP="0ED4F347" w:rsidRDefault="3599B771" w14:paraId="5493482C" w14:textId="31DD16D1">
      <w:pPr>
        <w:pStyle w:val="Textonotapie"/>
        <w:bidi w:val="0"/>
        <w:spacing w:before="0" w:beforeAutospacing="off" w:after="0" w:afterAutospacing="off" w:line="276" w:lineRule="auto"/>
        <w:ind w:left="0" w:right="0"/>
        <w:jc w:val="both"/>
        <w:rPr>
          <w:rFonts w:ascii="Arial" w:hAnsi="Arial" w:eastAsia="" w:cs="Arial" w:eastAsiaTheme="minorEastAsia"/>
          <w:i w:val="1"/>
          <w:iCs w:val="1"/>
          <w:color w:val="auto"/>
          <w:sz w:val="24"/>
          <w:szCs w:val="24"/>
          <w:lang w:eastAsia="es-CO" w:bidi="ar-SA"/>
        </w:rPr>
      </w:pPr>
      <w:r w:rsidRPr="0ED4F347" w:rsidR="3599B771">
        <w:rPr>
          <w:rFonts w:ascii="Arial" w:hAnsi="Arial" w:eastAsia="" w:cs="Arial" w:eastAsiaTheme="minorEastAsia"/>
          <w:i w:val="1"/>
          <w:iCs w:val="1"/>
          <w:color w:val="auto"/>
          <w:sz w:val="24"/>
          <w:szCs w:val="24"/>
          <w:lang w:eastAsia="es-CO" w:bidi="ar-SA"/>
        </w:rPr>
        <w:t>...(</w:t>
      </w:r>
      <w:r w:rsidRPr="0ED4F347" w:rsidR="3599B771">
        <w:rPr>
          <w:rFonts w:ascii="Arial" w:hAnsi="Arial" w:eastAsia="" w:cs="Arial" w:eastAsiaTheme="minorEastAsia"/>
          <w:i w:val="1"/>
          <w:iCs w:val="1"/>
          <w:color w:val="auto"/>
          <w:sz w:val="24"/>
          <w:szCs w:val="24"/>
          <w:lang w:eastAsia="es-CO" w:bidi="ar-SA"/>
        </w:rPr>
        <w:t xml:space="preserve">) </w:t>
      </w:r>
      <w:r w:rsidRPr="0ED4F347" w:rsidR="3ED57AB5">
        <w:rPr>
          <w:rFonts w:ascii="Arial" w:hAnsi="Arial" w:eastAsia="" w:cs="Arial" w:eastAsiaTheme="minorEastAsia"/>
          <w:i w:val="1"/>
          <w:iCs w:val="1"/>
          <w:color w:val="auto"/>
          <w:sz w:val="24"/>
          <w:szCs w:val="24"/>
          <w:lang w:eastAsia="es-CO" w:bidi="ar-SA"/>
        </w:rPr>
        <w:t>Adicional, se indica que desde la entidad se creó el Plan de Riesgos-Mapa de Riesgos UAEGRD con el No. 5167 registrada con fecha junio de 2025. Trabajo que se realiza con el dinamizador de la Dirección de Desarrollo Organizacional.</w:t>
      </w:r>
    </w:p>
    <w:p w:rsidR="3ED57AB5" w:rsidP="0ED4F347" w:rsidRDefault="3ED57AB5" w14:paraId="45274A65" w14:textId="7BCD04DB">
      <w:pPr>
        <w:pStyle w:val="Textonotapie"/>
        <w:bidi w:val="0"/>
        <w:spacing w:before="0" w:beforeAutospacing="off" w:after="0" w:afterAutospacing="off" w:line="276" w:lineRule="auto"/>
        <w:ind w:left="0" w:right="0"/>
        <w:jc w:val="both"/>
        <w:rPr>
          <w:rFonts w:ascii="Arial" w:hAnsi="Arial" w:eastAsia="" w:cs="Arial" w:eastAsiaTheme="minorEastAsia"/>
          <w:i w:val="1"/>
          <w:iCs w:val="1"/>
          <w:color w:val="auto"/>
          <w:sz w:val="24"/>
          <w:szCs w:val="24"/>
          <w:lang w:eastAsia="es-CO" w:bidi="ar-SA"/>
        </w:rPr>
      </w:pPr>
      <w:r w:rsidRPr="0ED4F347" w:rsidR="3ED57AB5">
        <w:rPr>
          <w:rFonts w:ascii="Arial" w:hAnsi="Arial" w:eastAsia="" w:cs="Arial" w:eastAsiaTheme="minorEastAsia"/>
          <w:i w:val="1"/>
          <w:iCs w:val="1"/>
          <w:color w:val="auto"/>
          <w:sz w:val="24"/>
          <w:szCs w:val="24"/>
          <w:lang w:eastAsia="es-CO" w:bidi="ar-SA"/>
        </w:rPr>
        <w:t xml:space="preserve"> </w:t>
      </w:r>
    </w:p>
    <w:p w:rsidR="3ED57AB5" w:rsidP="0ED4F347" w:rsidRDefault="3ED57AB5" w14:paraId="0A182CF4" w14:textId="10102715">
      <w:pPr>
        <w:pStyle w:val="Textonotapie"/>
        <w:bidi w:val="0"/>
        <w:spacing w:before="0" w:beforeAutospacing="off" w:after="0" w:afterAutospacing="off" w:line="276" w:lineRule="auto"/>
        <w:ind w:left="0" w:right="0"/>
        <w:jc w:val="both"/>
        <w:rPr>
          <w:rFonts w:ascii="Arial" w:hAnsi="Arial" w:eastAsia="" w:cs="Arial" w:eastAsiaTheme="minorEastAsia"/>
          <w:i w:val="1"/>
          <w:iCs w:val="1"/>
          <w:color w:val="auto"/>
          <w:sz w:val="24"/>
          <w:szCs w:val="24"/>
          <w:lang w:eastAsia="es-CO" w:bidi="ar-SA"/>
        </w:rPr>
      </w:pPr>
      <w:r w:rsidRPr="0ED4F347" w:rsidR="3ED57AB5">
        <w:rPr>
          <w:rFonts w:ascii="Arial" w:hAnsi="Arial" w:eastAsia="" w:cs="Arial" w:eastAsiaTheme="minorEastAsia"/>
          <w:i w:val="1"/>
          <w:iCs w:val="1"/>
          <w:color w:val="auto"/>
          <w:sz w:val="24"/>
          <w:szCs w:val="24"/>
          <w:lang w:eastAsia="es-CO" w:bidi="ar-SA"/>
        </w:rPr>
        <w:t>De acuerdo al Plan de acción:  Realizar el seguimiento y avance mensual del Plan de Acción Específico, temporada de lluvias-PAE, en cumplimiento de los Decretos de Calamidad Pública y Urgencia Manifiesta.  Evidencias: Decretos, PLAN PAE, Circulares, Cuadro Consolidado de Visitas Técnicas, proyectos de gestión de riesgo y contratos.</w:t>
      </w:r>
    </w:p>
    <w:p w:rsidR="3ED57AB5" w:rsidP="0ED4F347" w:rsidRDefault="3ED57AB5" w14:paraId="4FFE7101" w14:textId="5952F542">
      <w:pPr>
        <w:pStyle w:val="Textonotapie"/>
        <w:bidi w:val="0"/>
        <w:spacing w:before="0" w:beforeAutospacing="off" w:after="0" w:afterAutospacing="off" w:line="276" w:lineRule="auto"/>
        <w:ind w:left="0" w:right="0"/>
        <w:jc w:val="both"/>
        <w:rPr>
          <w:rFonts w:ascii="Arial" w:hAnsi="Arial" w:eastAsia="" w:cs="Arial" w:eastAsiaTheme="minorEastAsia"/>
          <w:i w:val="1"/>
          <w:iCs w:val="1"/>
          <w:color w:val="auto"/>
          <w:sz w:val="24"/>
          <w:szCs w:val="24"/>
          <w:lang w:eastAsia="es-CO" w:bidi="ar-SA"/>
        </w:rPr>
      </w:pPr>
      <w:r w:rsidRPr="0ED4F347" w:rsidR="3ED57AB5">
        <w:rPr>
          <w:rFonts w:ascii="Arial" w:hAnsi="Arial" w:eastAsia="" w:cs="Arial" w:eastAsiaTheme="minorEastAsia"/>
          <w:i w:val="1"/>
          <w:iCs w:val="1"/>
          <w:color w:val="auto"/>
          <w:sz w:val="24"/>
          <w:szCs w:val="24"/>
          <w:lang w:eastAsia="es-CO" w:bidi="ar-SA"/>
        </w:rPr>
        <w:t xml:space="preserve"> </w:t>
      </w:r>
    </w:p>
    <w:p w:rsidR="3ED57AB5" w:rsidP="0ED4F347" w:rsidRDefault="3ED57AB5" w14:paraId="7471AC78" w14:textId="1C57861D">
      <w:pPr>
        <w:pStyle w:val="Textonotapie"/>
        <w:bidi w:val="0"/>
        <w:spacing w:before="0" w:beforeAutospacing="off" w:after="0" w:afterAutospacing="off" w:line="276" w:lineRule="auto"/>
        <w:ind w:left="0" w:right="0"/>
        <w:jc w:val="both"/>
        <w:rPr>
          <w:rFonts w:ascii="Arial" w:hAnsi="Arial" w:eastAsia="" w:cs="Arial" w:eastAsiaTheme="minorEastAsia"/>
          <w:i w:val="1"/>
          <w:iCs w:val="1"/>
          <w:color w:val="auto"/>
          <w:sz w:val="24"/>
          <w:szCs w:val="24"/>
          <w:lang w:eastAsia="es-CO" w:bidi="ar-SA"/>
        </w:rPr>
      </w:pPr>
      <w:r w:rsidRPr="0ED4F347" w:rsidR="3ED57AB5">
        <w:rPr>
          <w:rFonts w:ascii="Arial" w:hAnsi="Arial" w:eastAsia="" w:cs="Arial" w:eastAsiaTheme="minorEastAsia"/>
          <w:i w:val="1"/>
          <w:iCs w:val="1"/>
          <w:color w:val="auto"/>
          <w:sz w:val="24"/>
          <w:szCs w:val="24"/>
          <w:lang w:eastAsia="es-CO" w:bidi="ar-SA"/>
        </w:rPr>
        <w:t>Periodicidad: Mensual.</w:t>
      </w:r>
    </w:p>
    <w:p w:rsidR="3ED57AB5" w:rsidP="0ED4F347" w:rsidRDefault="3ED57AB5" w14:paraId="7879AE37" w14:textId="633688C6">
      <w:pPr>
        <w:pStyle w:val="Textonotapie"/>
        <w:bidi w:val="0"/>
        <w:spacing w:before="0" w:beforeAutospacing="off" w:after="0" w:afterAutospacing="off" w:line="276" w:lineRule="auto"/>
        <w:ind w:left="0" w:right="0"/>
        <w:jc w:val="both"/>
        <w:rPr>
          <w:rFonts w:ascii="Arial" w:hAnsi="Arial" w:eastAsia="" w:cs="Arial" w:eastAsiaTheme="minorEastAsia"/>
          <w:i w:val="1"/>
          <w:iCs w:val="1"/>
          <w:color w:val="auto"/>
          <w:sz w:val="24"/>
          <w:szCs w:val="24"/>
          <w:lang w:eastAsia="es-CO" w:bidi="ar-SA"/>
        </w:rPr>
      </w:pPr>
      <w:r w:rsidRPr="0ED4F347" w:rsidR="3ED57AB5">
        <w:rPr>
          <w:rFonts w:ascii="Arial" w:hAnsi="Arial" w:eastAsia="" w:cs="Arial" w:eastAsiaTheme="minorEastAsia"/>
          <w:i w:val="1"/>
          <w:iCs w:val="1"/>
          <w:color w:val="auto"/>
          <w:sz w:val="24"/>
          <w:szCs w:val="24"/>
          <w:lang w:eastAsia="es-CO" w:bidi="ar-SA"/>
        </w:rPr>
        <w:t xml:space="preserve"> </w:t>
      </w:r>
    </w:p>
    <w:p w:rsidR="3ED57AB5" w:rsidP="0ED4F347" w:rsidRDefault="3ED57AB5" w14:paraId="27800D59" w14:textId="6E260098">
      <w:pPr>
        <w:pStyle w:val="Textonotapie"/>
        <w:bidi w:val="0"/>
        <w:spacing w:before="0" w:beforeAutospacing="off" w:after="0" w:afterAutospacing="off" w:line="276" w:lineRule="auto"/>
        <w:ind w:left="0" w:right="0"/>
        <w:jc w:val="both"/>
        <w:rPr>
          <w:rFonts w:ascii="Arial" w:hAnsi="Arial" w:eastAsia="" w:cs="Arial" w:eastAsiaTheme="minorEastAsia"/>
          <w:i w:val="1"/>
          <w:iCs w:val="1"/>
          <w:color w:val="auto"/>
          <w:sz w:val="24"/>
          <w:szCs w:val="24"/>
          <w:lang w:eastAsia="es-CO" w:bidi="ar-SA"/>
        </w:rPr>
      </w:pPr>
      <w:r w:rsidRPr="0ED4F347" w:rsidR="3ED57AB5">
        <w:rPr>
          <w:rFonts w:ascii="Arial" w:hAnsi="Arial" w:eastAsia="" w:cs="Arial" w:eastAsiaTheme="minorEastAsia"/>
          <w:i w:val="1"/>
          <w:iCs w:val="1"/>
          <w:color w:val="auto"/>
          <w:sz w:val="24"/>
          <w:szCs w:val="24"/>
          <w:lang w:eastAsia="es-CO" w:bidi="ar-SA"/>
        </w:rPr>
        <w:t xml:space="preserve">Se cargan las evidencias </w:t>
      </w:r>
      <w:r w:rsidRPr="0ED4F347" w:rsidR="3ED57AB5">
        <w:rPr>
          <w:rFonts w:ascii="Arial" w:hAnsi="Arial" w:eastAsia="" w:cs="Arial" w:eastAsiaTheme="minorEastAsia"/>
          <w:i w:val="1"/>
          <w:iCs w:val="1"/>
          <w:color w:val="auto"/>
          <w:sz w:val="24"/>
          <w:szCs w:val="24"/>
          <w:lang w:eastAsia="es-CO" w:bidi="ar-SA"/>
        </w:rPr>
        <w:t>de acuerdo al</w:t>
      </w:r>
      <w:r w:rsidRPr="0ED4F347" w:rsidR="3ED57AB5">
        <w:rPr>
          <w:rFonts w:ascii="Arial" w:hAnsi="Arial" w:eastAsia="" w:cs="Arial" w:eastAsiaTheme="minorEastAsia"/>
          <w:i w:val="1"/>
          <w:iCs w:val="1"/>
          <w:color w:val="auto"/>
          <w:sz w:val="24"/>
          <w:szCs w:val="24"/>
          <w:lang w:eastAsia="es-CO" w:bidi="ar-SA"/>
        </w:rPr>
        <w:t xml:space="preserve"> envió de la información </w:t>
      </w:r>
      <w:r w:rsidRPr="0ED4F347" w:rsidR="3ED57AB5">
        <w:rPr>
          <w:rFonts w:ascii="Arial" w:hAnsi="Arial" w:eastAsia="" w:cs="Arial" w:eastAsiaTheme="minorEastAsia"/>
          <w:i w:val="1"/>
          <w:iCs w:val="1"/>
          <w:color w:val="auto"/>
          <w:sz w:val="24"/>
          <w:szCs w:val="24"/>
          <w:lang w:eastAsia="es-CO" w:bidi="ar-SA"/>
        </w:rPr>
        <w:t>por  la</w:t>
      </w:r>
      <w:r w:rsidRPr="0ED4F347" w:rsidR="3ED57AB5">
        <w:rPr>
          <w:rFonts w:ascii="Arial" w:hAnsi="Arial" w:eastAsia="" w:cs="Arial" w:eastAsiaTheme="minorEastAsia"/>
          <w:i w:val="1"/>
          <w:iCs w:val="1"/>
          <w:color w:val="auto"/>
          <w:sz w:val="24"/>
          <w:szCs w:val="24"/>
          <w:lang w:eastAsia="es-CO" w:bidi="ar-SA"/>
        </w:rPr>
        <w:t xml:space="preserve"> alta dirección UAEGRD y son revisadas por el Dinamizador del proceso</w:t>
      </w:r>
      <w:r w:rsidRPr="0ED4F347" w:rsidR="23FC50AA">
        <w:rPr>
          <w:rFonts w:ascii="Arial" w:hAnsi="Arial" w:eastAsia="" w:cs="Arial" w:eastAsiaTheme="minorEastAsia"/>
          <w:i w:val="1"/>
          <w:iCs w:val="1"/>
          <w:color w:val="auto"/>
          <w:sz w:val="24"/>
          <w:szCs w:val="24"/>
          <w:lang w:eastAsia="es-CO" w:bidi="ar-SA"/>
        </w:rPr>
        <w:t>”</w:t>
      </w:r>
      <w:r w:rsidRPr="0ED4F347" w:rsidR="3ED57AB5">
        <w:rPr>
          <w:rFonts w:ascii="Arial" w:hAnsi="Arial" w:eastAsia="" w:cs="Arial" w:eastAsiaTheme="minorEastAsia"/>
          <w:i w:val="1"/>
          <w:iCs w:val="1"/>
          <w:color w:val="auto"/>
          <w:sz w:val="24"/>
          <w:szCs w:val="24"/>
          <w:lang w:eastAsia="es-CO" w:bidi="ar-SA"/>
        </w:rPr>
        <w:t>.</w:t>
      </w:r>
      <w:r w:rsidRPr="0ED4F347" w:rsidR="72F141A8">
        <w:rPr>
          <w:rFonts w:ascii="Arial" w:hAnsi="Arial" w:eastAsia="" w:cs="Arial" w:eastAsiaTheme="minorEastAsia"/>
          <w:i w:val="1"/>
          <w:iCs w:val="1"/>
          <w:color w:val="auto"/>
          <w:sz w:val="24"/>
          <w:szCs w:val="24"/>
          <w:lang w:eastAsia="es-CO" w:bidi="ar-SA"/>
        </w:rPr>
        <w:t>..()</w:t>
      </w:r>
    </w:p>
    <w:p w:rsidR="0ED4F347" w:rsidP="0ED4F347" w:rsidRDefault="0ED4F347" w14:paraId="1A5A2E46" w14:textId="153D35C6">
      <w:pPr>
        <w:pStyle w:val="Textonotapie"/>
        <w:bidi w:val="0"/>
        <w:spacing w:before="0" w:beforeAutospacing="off" w:after="0" w:afterAutospacing="off" w:line="276" w:lineRule="auto"/>
        <w:ind w:left="0" w:right="0"/>
        <w:jc w:val="both"/>
        <w:rPr>
          <w:rFonts w:ascii="Arial" w:hAnsi="Arial" w:eastAsia="" w:cs="Arial" w:eastAsiaTheme="minorEastAsia"/>
          <w:i w:val="1"/>
          <w:iCs w:val="1"/>
          <w:color w:val="auto"/>
          <w:sz w:val="24"/>
          <w:szCs w:val="24"/>
          <w:lang w:eastAsia="es-CO" w:bidi="ar-SA"/>
        </w:rPr>
      </w:pPr>
    </w:p>
    <w:p w:rsidR="72F141A8" w:rsidP="0ED4F347" w:rsidRDefault="72F141A8" w14:paraId="2705EA0C" w14:textId="48550A2D">
      <w:pPr>
        <w:pStyle w:val="Textonotapie"/>
        <w:bidi w:val="0"/>
        <w:spacing w:before="0" w:beforeAutospacing="off" w:after="0" w:afterAutospacing="off" w:line="276" w:lineRule="auto"/>
        <w:ind w:left="0" w:right="0"/>
        <w:jc w:val="both"/>
        <w:rPr>
          <w:rFonts w:ascii="Arial" w:hAnsi="Arial" w:eastAsia="" w:cs="Arial" w:eastAsiaTheme="minorEastAsia"/>
          <w:i w:val="1"/>
          <w:iCs w:val="1"/>
          <w:color w:val="auto"/>
          <w:sz w:val="24"/>
          <w:szCs w:val="24"/>
          <w:u w:val="single"/>
          <w:lang w:eastAsia="es-CO" w:bidi="ar-SA"/>
        </w:rPr>
      </w:pPr>
      <w:r w:rsidRPr="0ED4F347" w:rsidR="72F141A8">
        <w:rPr>
          <w:rFonts w:ascii="Arial" w:hAnsi="Arial" w:eastAsia="" w:cs="Arial" w:eastAsiaTheme="minorEastAsia"/>
          <w:i w:val="1"/>
          <w:iCs w:val="1"/>
          <w:color w:val="auto"/>
          <w:sz w:val="24"/>
          <w:szCs w:val="24"/>
          <w:u w:val="single"/>
          <w:lang w:eastAsia="es-CO" w:bidi="ar-SA"/>
        </w:rPr>
        <w:t>Con respecto a la afirmación anterior, se precisa por parte de la auditoría que no se está evaluando el plan de acción sino el control referenciado.</w:t>
      </w:r>
    </w:p>
    <w:p w:rsidR="3ED57AB5" w:rsidP="0ED4F347" w:rsidRDefault="3ED57AB5" w14:paraId="04724536" w14:textId="62533395">
      <w:pPr>
        <w:pStyle w:val="Textonotapie"/>
        <w:bidi w:val="0"/>
        <w:spacing w:before="0" w:beforeAutospacing="off" w:after="0" w:afterAutospacing="off" w:line="276" w:lineRule="auto"/>
        <w:ind w:left="0" w:right="0"/>
        <w:jc w:val="both"/>
        <w:rPr>
          <w:rFonts w:ascii="Arial" w:hAnsi="Arial" w:eastAsia="" w:cs="Arial" w:eastAsiaTheme="minorEastAsia"/>
          <w:i w:val="1"/>
          <w:iCs w:val="1"/>
          <w:color w:val="auto"/>
          <w:sz w:val="24"/>
          <w:szCs w:val="24"/>
          <w:lang w:eastAsia="es-CO" w:bidi="ar-SA"/>
        </w:rPr>
      </w:pPr>
      <w:r w:rsidRPr="0ED4F347" w:rsidR="3ED57AB5">
        <w:rPr>
          <w:rFonts w:ascii="Arial" w:hAnsi="Arial" w:eastAsia="" w:cs="Arial" w:eastAsiaTheme="minorEastAsia"/>
          <w:i w:val="1"/>
          <w:iCs w:val="1"/>
          <w:color w:val="auto"/>
          <w:sz w:val="24"/>
          <w:szCs w:val="24"/>
          <w:lang w:eastAsia="es-CO" w:bidi="ar-SA"/>
        </w:rPr>
        <w:t xml:space="preserve"> </w:t>
      </w:r>
    </w:p>
    <w:p w:rsidR="554925B9" w:rsidP="0ED4F347" w:rsidRDefault="554925B9" w14:paraId="37ED233E" w14:textId="777AD983">
      <w:pPr>
        <w:pStyle w:val="Textonotapie"/>
        <w:bidi w:val="0"/>
        <w:spacing w:before="0" w:beforeAutospacing="off" w:after="0" w:afterAutospacing="off" w:line="276" w:lineRule="auto"/>
        <w:ind w:left="0" w:right="0"/>
        <w:jc w:val="both"/>
        <w:rPr>
          <w:rFonts w:ascii="Arial" w:hAnsi="Arial" w:eastAsia="" w:cs="Arial" w:eastAsiaTheme="minorEastAsia"/>
          <w:i w:val="1"/>
          <w:iCs w:val="1"/>
          <w:color w:val="auto"/>
          <w:sz w:val="24"/>
          <w:szCs w:val="24"/>
          <w:lang w:eastAsia="es-CO" w:bidi="ar-SA"/>
        </w:rPr>
      </w:pPr>
      <w:r w:rsidRPr="0ED4F347" w:rsidR="554925B9">
        <w:rPr>
          <w:rFonts w:ascii="Arial" w:hAnsi="Arial" w:eastAsia="" w:cs="Arial" w:eastAsiaTheme="minorEastAsia"/>
          <w:i w:val="1"/>
          <w:iCs w:val="1"/>
          <w:color w:val="auto"/>
          <w:sz w:val="24"/>
          <w:szCs w:val="24"/>
          <w:lang w:eastAsia="es-CO" w:bidi="ar-SA"/>
        </w:rPr>
        <w:t xml:space="preserve">... () </w:t>
      </w:r>
      <w:r w:rsidRPr="0ED4F347" w:rsidR="3ED57AB5">
        <w:rPr>
          <w:rFonts w:ascii="Arial" w:hAnsi="Arial" w:eastAsia="" w:cs="Arial" w:eastAsiaTheme="minorEastAsia"/>
          <w:i w:val="1"/>
          <w:iCs w:val="1"/>
          <w:color w:val="auto"/>
          <w:sz w:val="24"/>
          <w:szCs w:val="24"/>
          <w:lang w:eastAsia="es-CO" w:bidi="ar-SA"/>
        </w:rPr>
        <w:t xml:space="preserve">Posteriormente, se hizo necesario crear un control </w:t>
      </w:r>
      <w:r w:rsidRPr="0ED4F347" w:rsidR="3ED57AB5">
        <w:rPr>
          <w:rFonts w:ascii="Arial" w:hAnsi="Arial" w:eastAsia="" w:cs="Arial" w:eastAsiaTheme="minorEastAsia"/>
          <w:i w:val="1"/>
          <w:iCs w:val="1"/>
          <w:color w:val="auto"/>
          <w:sz w:val="24"/>
          <w:szCs w:val="24"/>
          <w:lang w:eastAsia="es-CO" w:bidi="ar-SA"/>
        </w:rPr>
        <w:t>de acuerdo a</w:t>
      </w:r>
      <w:r w:rsidRPr="0ED4F347" w:rsidR="3ED57AB5">
        <w:rPr>
          <w:rFonts w:ascii="Arial" w:hAnsi="Arial" w:eastAsia="" w:cs="Arial" w:eastAsiaTheme="minorEastAsia"/>
          <w:i w:val="1"/>
          <w:iCs w:val="1"/>
          <w:color w:val="auto"/>
          <w:sz w:val="24"/>
          <w:szCs w:val="24"/>
          <w:lang w:eastAsia="es-CO" w:bidi="ar-SA"/>
        </w:rPr>
        <w:t xml:space="preserve"> las directrices impartidas de MIPG, quedando el CONTROL DE RIESGO DE GESTION #5401 el control de riesgos evaluado por control interno en esta auditoría y es de anotar que fue creado el 24 de noviembre de 2025 y se cargan las mismas evidencias del Mapa de Riesgos #5167. Así mismo, en las reuniones sostenidas del Equipo Auditor y la Alta Dirección UAEGRD, se indica que el CDGRD es una instancia para la toma de decisiones en el marco de la atención de las emergencias, por lo </w:t>
      </w:r>
      <w:r w:rsidRPr="0ED4F347" w:rsidR="3ED57AB5">
        <w:rPr>
          <w:rFonts w:ascii="Arial" w:hAnsi="Arial" w:eastAsia="" w:cs="Arial" w:eastAsiaTheme="minorEastAsia"/>
          <w:i w:val="1"/>
          <w:iCs w:val="1"/>
          <w:color w:val="auto"/>
          <w:sz w:val="24"/>
          <w:szCs w:val="24"/>
          <w:lang w:eastAsia="es-CO" w:bidi="ar-SA"/>
        </w:rPr>
        <w:t>cual</w:t>
      </w:r>
      <w:r w:rsidRPr="0ED4F347" w:rsidR="3ED57AB5">
        <w:rPr>
          <w:rFonts w:ascii="Arial" w:hAnsi="Arial" w:eastAsia="" w:cs="Arial" w:eastAsiaTheme="minorEastAsia"/>
          <w:i w:val="1"/>
          <w:iCs w:val="1"/>
          <w:color w:val="auto"/>
          <w:sz w:val="24"/>
          <w:szCs w:val="24"/>
          <w:lang w:eastAsia="es-CO" w:bidi="ar-SA"/>
        </w:rPr>
        <w:t xml:space="preserve"> si bien desde los CDGRD se consolidan estrategias para el cumplimiento de las actividades concertadas a </w:t>
      </w:r>
      <w:r w:rsidRPr="0ED4F347" w:rsidR="7632313C">
        <w:rPr>
          <w:rFonts w:ascii="Arial" w:hAnsi="Arial" w:eastAsia="" w:cs="Arial" w:eastAsiaTheme="minorEastAsia"/>
          <w:i w:val="1"/>
          <w:iCs w:val="1"/>
          <w:color w:val="auto"/>
          <w:sz w:val="24"/>
          <w:szCs w:val="24"/>
          <w:lang w:eastAsia="es-CO" w:bidi="ar-SA"/>
        </w:rPr>
        <w:t>t</w:t>
      </w:r>
      <w:r w:rsidRPr="0ED4F347" w:rsidR="3ED57AB5">
        <w:rPr>
          <w:rFonts w:ascii="Arial" w:hAnsi="Arial" w:eastAsia="" w:cs="Arial" w:eastAsiaTheme="minorEastAsia"/>
          <w:i w:val="1"/>
          <w:iCs w:val="1"/>
          <w:color w:val="auto"/>
          <w:sz w:val="24"/>
          <w:szCs w:val="24"/>
          <w:lang w:eastAsia="es-CO" w:bidi="ar-SA"/>
        </w:rPr>
        <w:t>ravés</w:t>
      </w:r>
      <w:r w:rsidRPr="0ED4F347" w:rsidR="3ED57AB5">
        <w:rPr>
          <w:rFonts w:ascii="Arial" w:hAnsi="Arial" w:eastAsia="" w:cs="Arial" w:eastAsiaTheme="minorEastAsia"/>
          <w:i w:val="1"/>
          <w:iCs w:val="1"/>
          <w:color w:val="auto"/>
          <w:sz w:val="24"/>
          <w:szCs w:val="24"/>
          <w:lang w:eastAsia="es-CO" w:bidi="ar-SA"/>
        </w:rPr>
        <w:t xml:space="preserve"> de los Planes de Acción Específicos, estos instrumentos cuentan con su propio procedimiento.</w:t>
      </w:r>
    </w:p>
    <w:p w:rsidR="3ED57AB5" w:rsidP="0ED4F347" w:rsidRDefault="3ED57AB5" w14:paraId="108355BD" w14:textId="367ABBC9">
      <w:pPr>
        <w:pStyle w:val="Textonotapie"/>
        <w:bidi w:val="0"/>
        <w:spacing w:before="0" w:beforeAutospacing="off" w:after="0" w:afterAutospacing="off" w:line="276" w:lineRule="auto"/>
        <w:ind w:left="0" w:right="0"/>
        <w:jc w:val="both"/>
        <w:rPr>
          <w:rFonts w:ascii="Arial" w:hAnsi="Arial" w:eastAsia="" w:cs="Arial" w:eastAsiaTheme="minorEastAsia"/>
          <w:i w:val="1"/>
          <w:iCs w:val="1"/>
          <w:color w:val="auto"/>
          <w:sz w:val="24"/>
          <w:szCs w:val="24"/>
          <w:lang w:eastAsia="es-CO" w:bidi="ar-SA"/>
        </w:rPr>
      </w:pPr>
      <w:r w:rsidRPr="0ED4F347" w:rsidR="3ED57AB5">
        <w:rPr>
          <w:rFonts w:ascii="Arial" w:hAnsi="Arial" w:eastAsia="" w:cs="Arial" w:eastAsiaTheme="minorEastAsia"/>
          <w:i w:val="1"/>
          <w:iCs w:val="1"/>
          <w:color w:val="auto"/>
          <w:sz w:val="24"/>
          <w:szCs w:val="24"/>
          <w:lang w:eastAsia="es-CO" w:bidi="ar-SA"/>
        </w:rPr>
        <w:t xml:space="preserve"> </w:t>
      </w:r>
    </w:p>
    <w:p w:rsidR="3ED57AB5" w:rsidP="0ED4F347" w:rsidRDefault="3ED57AB5" w14:paraId="7FF696F6" w14:textId="3AD74DF0">
      <w:pPr>
        <w:pStyle w:val="Textonotapie"/>
        <w:bidi w:val="0"/>
        <w:spacing w:before="0" w:beforeAutospacing="off" w:after="0" w:afterAutospacing="off" w:line="276" w:lineRule="auto"/>
        <w:ind w:left="0" w:right="0"/>
        <w:jc w:val="both"/>
        <w:rPr>
          <w:rFonts w:ascii="Arial" w:hAnsi="Arial" w:eastAsia="" w:cs="Arial" w:eastAsiaTheme="minorEastAsia"/>
          <w:color w:val="auto"/>
          <w:sz w:val="24"/>
          <w:szCs w:val="24"/>
          <w:lang w:eastAsia="es-CO" w:bidi="ar-SA"/>
        </w:rPr>
      </w:pPr>
      <w:r w:rsidRPr="0ED4F347" w:rsidR="3ED57AB5">
        <w:rPr>
          <w:rFonts w:ascii="Arial" w:hAnsi="Arial" w:eastAsia="" w:cs="Arial" w:eastAsiaTheme="minorEastAsia"/>
          <w:i w:val="1"/>
          <w:iCs w:val="1"/>
          <w:color w:val="auto"/>
          <w:sz w:val="24"/>
          <w:szCs w:val="24"/>
          <w:lang w:eastAsia="es-CO" w:bidi="ar-SA"/>
        </w:rPr>
        <w:t>En caso de requerirse seguimiento a este instrumento, resulta indispensable vincular a la Secretaría de Prospectiva, dado que, conforme a lo dispuesto en la Ley 1523 de 2012, artículo 61, parágrafo 2, el proceso de seguimiento al PAE corresponde a dicha entidad</w:t>
      </w:r>
      <w:r w:rsidRPr="0ED4F347" w:rsidR="3ED57AB5">
        <w:rPr>
          <w:rFonts w:ascii="Arial" w:hAnsi="Arial" w:eastAsia="" w:cs="Arial" w:eastAsiaTheme="minorEastAsia"/>
          <w:color w:val="auto"/>
          <w:sz w:val="24"/>
          <w:szCs w:val="24"/>
          <w:lang w:eastAsia="es-CO" w:bidi="ar-SA"/>
        </w:rPr>
        <w:t>”.</w:t>
      </w:r>
      <w:r w:rsidRPr="0ED4F347" w:rsidR="3CD7FC3F">
        <w:rPr>
          <w:rFonts w:ascii="Arial" w:hAnsi="Arial" w:eastAsia="" w:cs="Arial" w:eastAsiaTheme="minorEastAsia"/>
          <w:color w:val="auto"/>
          <w:sz w:val="24"/>
          <w:szCs w:val="24"/>
          <w:lang w:eastAsia="es-CO" w:bidi="ar-SA"/>
        </w:rPr>
        <w:t xml:space="preserve">..() </w:t>
      </w:r>
    </w:p>
    <w:p w:rsidR="0ED4F347" w:rsidP="0ED4F347" w:rsidRDefault="0ED4F347" w14:paraId="06FDD6C5" w14:textId="388A8CA9">
      <w:pPr>
        <w:pStyle w:val="Textonotapie"/>
        <w:bidi w:val="0"/>
        <w:spacing w:before="0" w:beforeAutospacing="off" w:after="0" w:afterAutospacing="off" w:line="276" w:lineRule="auto"/>
        <w:ind w:left="0" w:right="0"/>
        <w:jc w:val="both"/>
        <w:rPr>
          <w:rFonts w:ascii="Arial" w:hAnsi="Arial" w:eastAsia="" w:cs="Arial" w:eastAsiaTheme="minorEastAsia"/>
          <w:color w:val="auto"/>
          <w:sz w:val="24"/>
          <w:szCs w:val="24"/>
          <w:lang w:eastAsia="es-CO" w:bidi="ar-SA"/>
        </w:rPr>
      </w:pPr>
    </w:p>
    <w:p w:rsidR="3CD7FC3F" w:rsidP="0ED4F347" w:rsidRDefault="3CD7FC3F" w14:paraId="439A81C9" w14:textId="7A9538A3">
      <w:pPr>
        <w:pStyle w:val="Textonotapie"/>
        <w:bidi w:val="0"/>
        <w:spacing w:before="0" w:beforeAutospacing="off" w:after="0" w:afterAutospacing="off" w:line="276" w:lineRule="auto"/>
        <w:ind w:left="0" w:right="0"/>
        <w:jc w:val="both"/>
        <w:rPr>
          <w:rFonts w:ascii="Arial" w:hAnsi="Arial" w:eastAsia="" w:cs="Arial" w:eastAsiaTheme="minorEastAsia"/>
          <w:color w:val="auto"/>
          <w:sz w:val="24"/>
          <w:szCs w:val="24"/>
          <w:u w:val="single"/>
          <w:lang w:eastAsia="es-CO" w:bidi="ar-SA"/>
        </w:rPr>
      </w:pPr>
      <w:r w:rsidRPr="0ED4F347" w:rsidR="3CD7FC3F">
        <w:rPr>
          <w:rFonts w:ascii="Arial" w:hAnsi="Arial" w:eastAsia="" w:cs="Arial" w:eastAsiaTheme="minorEastAsia"/>
          <w:color w:val="auto"/>
          <w:sz w:val="24"/>
          <w:szCs w:val="24"/>
          <w:u w:val="single"/>
          <w:lang w:eastAsia="es-CO" w:bidi="ar-SA"/>
        </w:rPr>
        <w:t>Este punto se acepta, se analiza que en efecto el Consejo es una instancia que sirve como punto de control preventivo-</w:t>
      </w:r>
      <w:r w:rsidRPr="0ED4F347" w:rsidR="3CD7FC3F">
        <w:rPr>
          <w:rFonts w:ascii="Arial" w:hAnsi="Arial" w:eastAsia="" w:cs="Arial" w:eastAsiaTheme="minorEastAsia"/>
          <w:color w:val="auto"/>
          <w:sz w:val="24"/>
          <w:szCs w:val="24"/>
          <w:u w:val="single"/>
          <w:lang w:eastAsia="es-CO" w:bidi="ar-SA"/>
        </w:rPr>
        <w:t>detectivo</w:t>
      </w:r>
      <w:r w:rsidRPr="0ED4F347" w:rsidR="3CD7FC3F">
        <w:rPr>
          <w:rFonts w:ascii="Arial" w:hAnsi="Arial" w:eastAsia="" w:cs="Arial" w:eastAsiaTheme="minorEastAsia"/>
          <w:color w:val="auto"/>
          <w:sz w:val="24"/>
          <w:szCs w:val="24"/>
          <w:u w:val="single"/>
          <w:lang w:eastAsia="es-CO" w:bidi="ar-SA"/>
        </w:rPr>
        <w:t>, que mitiga la materialización del riesgo</w:t>
      </w:r>
      <w:r w:rsidRPr="0ED4F347" w:rsidR="2853F87E">
        <w:rPr>
          <w:rFonts w:ascii="Arial" w:hAnsi="Arial" w:eastAsia="" w:cs="Arial" w:eastAsiaTheme="minorEastAsia"/>
          <w:color w:val="auto"/>
          <w:sz w:val="24"/>
          <w:szCs w:val="24"/>
          <w:u w:val="single"/>
          <w:lang w:eastAsia="es-CO" w:bidi="ar-SA"/>
        </w:rPr>
        <w:t xml:space="preserve"> y consolida las estrategias que adelanta la Unidad en torno a la gestión del riesgo, por tal razón se realiza nuevamente la </w:t>
      </w:r>
      <w:r w:rsidRPr="0ED4F347" w:rsidR="2853F87E">
        <w:rPr>
          <w:rFonts w:ascii="Arial" w:hAnsi="Arial" w:eastAsia="" w:cs="Arial" w:eastAsiaTheme="minorEastAsia"/>
          <w:color w:val="auto"/>
          <w:sz w:val="24"/>
          <w:szCs w:val="24"/>
          <w:u w:val="single"/>
          <w:lang w:eastAsia="es-CO" w:bidi="ar-SA"/>
        </w:rPr>
        <w:t>reclasificación</w:t>
      </w:r>
      <w:r w:rsidRPr="0ED4F347" w:rsidR="2853F87E">
        <w:rPr>
          <w:rFonts w:ascii="Arial" w:hAnsi="Arial" w:eastAsia="" w:cs="Arial" w:eastAsiaTheme="minorEastAsia"/>
          <w:color w:val="auto"/>
          <w:sz w:val="24"/>
          <w:szCs w:val="24"/>
          <w:u w:val="single"/>
          <w:lang w:eastAsia="es-CO" w:bidi="ar-SA"/>
        </w:rPr>
        <w:t xml:space="preserve"> del control con los resultados que se muestran en seguida.</w:t>
      </w:r>
    </w:p>
    <w:p w:rsidR="0ED4F347" w:rsidP="0ED4F347" w:rsidRDefault="0ED4F347" w14:paraId="64F6FE6C" w14:textId="5404C22E">
      <w:pPr>
        <w:pStyle w:val="Textonotapie"/>
        <w:bidi w:val="0"/>
        <w:spacing w:before="0" w:beforeAutospacing="off" w:after="0" w:afterAutospacing="off" w:line="276" w:lineRule="auto"/>
        <w:ind w:left="0" w:right="0"/>
        <w:jc w:val="both"/>
        <w:rPr>
          <w:rFonts w:ascii="Arial" w:hAnsi="Arial" w:eastAsia="" w:cs="Arial" w:eastAsiaTheme="minorEastAsia"/>
          <w:color w:val="auto"/>
          <w:sz w:val="24"/>
          <w:szCs w:val="24"/>
          <w:lang w:eastAsia="es-CO" w:bidi="ar-SA"/>
        </w:rPr>
      </w:pPr>
    </w:p>
    <w:p w:rsidR="2EA4DFDB" w:rsidP="0ED4F347" w:rsidRDefault="2EA4DFDB" w14:paraId="7CF589B6" w14:textId="2067CC13">
      <w:pPr>
        <w:pStyle w:val="Textonotapie"/>
        <w:bidi w:val="0"/>
        <w:spacing w:before="0" w:beforeAutospacing="off" w:after="0" w:afterAutospacing="off" w:line="276" w:lineRule="auto"/>
        <w:ind w:left="0" w:right="0"/>
        <w:jc w:val="both"/>
        <w:rPr>
          <w:rFonts w:ascii="Arial" w:hAnsi="Arial" w:eastAsia="" w:cs="Arial" w:eastAsiaTheme="minorEastAsia"/>
          <w:b w:val="1"/>
          <w:bCs w:val="1"/>
          <w:color w:val="auto"/>
          <w:sz w:val="24"/>
          <w:szCs w:val="24"/>
          <w:lang w:eastAsia="es-CO" w:bidi="ar-SA"/>
        </w:rPr>
      </w:pPr>
      <w:r w:rsidRPr="0ED4F347" w:rsidR="2EA4DFDB">
        <w:rPr>
          <w:rFonts w:ascii="Arial" w:hAnsi="Arial" w:eastAsia="" w:cs="Arial" w:eastAsiaTheme="minorEastAsia"/>
          <w:b w:val="1"/>
          <w:bCs w:val="1"/>
          <w:color w:val="auto"/>
          <w:sz w:val="24"/>
          <w:szCs w:val="24"/>
          <w:lang w:eastAsia="es-CO" w:bidi="ar-SA"/>
        </w:rPr>
        <w:t xml:space="preserve">5.2 Resultados </w:t>
      </w:r>
    </w:p>
    <w:p w:rsidR="0ED4F347" w:rsidP="0ED4F347" w:rsidRDefault="0ED4F347" w14:paraId="43EE1407" w14:textId="45B7E91C">
      <w:pPr>
        <w:pStyle w:val="Normal"/>
        <w:bidi w:val="0"/>
        <w:spacing w:before="0" w:beforeAutospacing="off" w:after="0" w:afterAutospacing="off" w:line="276" w:lineRule="auto"/>
        <w:ind w:left="0" w:right="0"/>
        <w:jc w:val="both"/>
        <w:rPr>
          <w:rFonts w:ascii="Arial" w:hAnsi="Arial" w:eastAsia="" w:cs="Arial" w:eastAsiaTheme="minorEastAsia"/>
          <w:color w:val="auto"/>
          <w:sz w:val="24"/>
          <w:szCs w:val="24"/>
          <w:lang w:eastAsia="es-CO" w:bidi="ar-SA"/>
        </w:rPr>
      </w:pPr>
    </w:p>
    <w:p w:rsidRPr="00324370" w:rsidR="00D5474B" w:rsidP="00D5474B" w:rsidRDefault="00D5474B" w14:paraId="5E4299DD" w14:textId="4CD5CC08">
      <w:pPr>
        <w:spacing w:line="240" w:lineRule="auto"/>
        <w:rPr>
          <w:sz w:val="24"/>
          <w:szCs w:val="24"/>
        </w:rPr>
      </w:pPr>
      <w:r w:rsidRPr="1C3D137E" w:rsidR="73705E90">
        <w:rPr>
          <w:sz w:val="24"/>
          <w:szCs w:val="24"/>
        </w:rPr>
        <w:t>Durante la evaluación de efectividad del control asociado al riesgo con código 5401 en ISOLUCIÓN, correspondiente al Proceso Gobernanza, Gestión de Riesgos de Desastres y Seguridad Ciudadana, a cargo de la Unidad Administrativa para la Gestión de Riesgos de Desastres, se evidenció</w:t>
      </w:r>
      <w:r w:rsidRPr="1C3D137E">
        <w:rPr>
          <w:rStyle w:val="Refdenotaalpie"/>
          <w:sz w:val="24"/>
          <w:szCs w:val="24"/>
        </w:rPr>
        <w:footnoteReference w:id="3"/>
      </w:r>
      <w:r w:rsidRPr="1C3D137E" w:rsidR="73705E90">
        <w:rPr>
          <w:sz w:val="24"/>
          <w:szCs w:val="24"/>
        </w:rPr>
        <w:t xml:space="preserve"> l</w:t>
      </w:r>
      <w:r w:rsidRPr="1C3D137E" w:rsidR="16C7D520">
        <w:rPr>
          <w:sz w:val="24"/>
          <w:szCs w:val="24"/>
        </w:rPr>
        <w:t xml:space="preserve">os resultados que se presentan en la tabla 20.</w:t>
      </w:r>
    </w:p>
    <w:p w:rsidR="0ED4F347" w:rsidP="0ED4F347" w:rsidRDefault="0ED4F347" w14:paraId="7D600C22" w14:textId="62557050">
      <w:pPr>
        <w:spacing w:line="240" w:lineRule="auto"/>
        <w:rPr>
          <w:sz w:val="24"/>
          <w:szCs w:val="24"/>
        </w:rPr>
      </w:pPr>
    </w:p>
    <w:p w:rsidR="0ED4F347" w:rsidP="0ED4F347" w:rsidRDefault="0ED4F347" w14:paraId="513F8C36" w14:textId="060B2075">
      <w:pPr>
        <w:spacing w:line="240" w:lineRule="auto"/>
        <w:rPr>
          <w:sz w:val="24"/>
          <w:szCs w:val="24"/>
        </w:rPr>
      </w:pPr>
    </w:p>
    <w:p w:rsidR="0ED4F347" w:rsidP="0ED4F347" w:rsidRDefault="0ED4F347" w14:paraId="3A362445" w14:textId="373CCC51">
      <w:pPr>
        <w:spacing w:line="240" w:lineRule="auto"/>
        <w:rPr>
          <w:sz w:val="24"/>
          <w:szCs w:val="24"/>
        </w:rPr>
      </w:pPr>
    </w:p>
    <w:p w:rsidR="00D5474B" w:rsidP="00E80B5B" w:rsidRDefault="00D5474B" w14:paraId="30FC80E9" w14:textId="77777777">
      <w:pPr>
        <w:pStyle w:val="GrisIndicaciones"/>
        <w:rPr>
          <w:sz w:val="22"/>
          <w:szCs w:val="22"/>
        </w:rPr>
      </w:pPr>
    </w:p>
    <w:p w:rsidRPr="00B71C21" w:rsidR="00C90766" w:rsidP="00E80B5B" w:rsidRDefault="004B45B9" w14:paraId="0725D693" w14:textId="14B037D6">
      <w:pPr>
        <w:pStyle w:val="GrisIndicaciones"/>
        <w:rPr>
          <w:color w:val="44546A" w:themeColor="text2"/>
          <w:sz w:val="18"/>
          <w:szCs w:val="18"/>
        </w:rPr>
      </w:pPr>
      <w:r w:rsidRPr="0ED4F347" w:rsidR="6FA516CF">
        <w:rPr>
          <w:rFonts w:ascii="Arial" w:hAnsi="Arial" w:eastAsia="Arial" w:cs="Arial"/>
          <w:i w:val="0"/>
          <w:iCs w:val="0"/>
          <w:color w:val="auto"/>
          <w:sz w:val="24"/>
          <w:szCs w:val="24"/>
        </w:rPr>
        <w:t xml:space="preserve">Tabla </w:t>
      </w:r>
      <w:r w:rsidRPr="0ED4F347" w:rsidR="4AC60BFB">
        <w:rPr>
          <w:rFonts w:ascii="Arial" w:hAnsi="Arial" w:eastAsia="Arial" w:cs="Arial"/>
          <w:i w:val="0"/>
          <w:iCs w:val="0"/>
          <w:color w:val="auto"/>
          <w:sz w:val="24"/>
          <w:szCs w:val="24"/>
        </w:rPr>
        <w:t>20</w:t>
      </w:r>
      <w:r w:rsidRPr="0ED4F347" w:rsidR="6FA516CF">
        <w:rPr>
          <w:rFonts w:ascii="Arial" w:hAnsi="Arial" w:eastAsia="Arial" w:cs="Arial"/>
          <w:i w:val="0"/>
          <w:iCs w:val="0"/>
          <w:color w:val="auto"/>
          <w:sz w:val="24"/>
          <w:szCs w:val="24"/>
        </w:rPr>
        <w:t>. Evaluación de efectividad del control – Riesgos</w:t>
      </w:r>
      <w:r w:rsidRPr="0ED4F347" w:rsidR="6FA516CF">
        <w:rPr>
          <w:color w:val="44546A" w:themeColor="text2" w:themeTint="FF" w:themeShade="FF"/>
          <w:sz w:val="18"/>
          <w:szCs w:val="18"/>
        </w:rPr>
        <w:t xml:space="preserve"> </w:t>
      </w:r>
    </w:p>
    <w:tbl>
      <w:tblPr>
        <w:tblStyle w:val="Tablaconcuadrcula"/>
        <w:tblW w:w="10519" w:type="dxa"/>
        <w:tblInd w:w="-5" w:type="dxa"/>
        <w:tblLayout w:type="fixed"/>
        <w:tblLook w:val="04A0" w:firstRow="1" w:lastRow="0" w:firstColumn="1" w:lastColumn="0" w:noHBand="0" w:noVBand="1"/>
      </w:tblPr>
      <w:tblGrid>
        <w:gridCol w:w="1670"/>
        <w:gridCol w:w="2136"/>
        <w:gridCol w:w="1603"/>
        <w:gridCol w:w="2139"/>
        <w:gridCol w:w="1900"/>
        <w:gridCol w:w="1071"/>
      </w:tblGrid>
      <w:tr w:rsidRPr="00B71C21" w:rsidR="00B71C21" w:rsidTr="0ED4F347" w14:paraId="001A63F7" w14:textId="77777777">
        <w:trPr>
          <w:trHeight w:val="574"/>
        </w:trPr>
        <w:tc>
          <w:tcPr>
            <w:tcW w:w="1670" w:type="dxa"/>
            <w:shd w:val="clear" w:color="auto" w:fill="D0CECE" w:themeFill="background2" w:themeFillShade="E6"/>
            <w:tcMar/>
            <w:vAlign w:val="center"/>
            <w:hideMark/>
          </w:tcPr>
          <w:p w:rsidRPr="00B71C21" w:rsidR="00886FBA" w:rsidP="00CE5B24" w:rsidRDefault="00886FBA" w14:paraId="5D12A9E6" w14:textId="0BDC1D08">
            <w:pPr>
              <w:pStyle w:val="GrisIndicaciones"/>
              <w:ind w:left="174" w:hanging="174"/>
              <w:jc w:val="center"/>
              <w:rPr>
                <w:b/>
                <w:bCs/>
                <w:color w:val="000000" w:themeColor="text1"/>
                <w:sz w:val="18"/>
                <w:szCs w:val="18"/>
              </w:rPr>
            </w:pPr>
            <w:r w:rsidRPr="00B71C21">
              <w:rPr>
                <w:b/>
                <w:bCs/>
                <w:color w:val="000000" w:themeColor="text1"/>
                <w:sz w:val="18"/>
                <w:szCs w:val="18"/>
              </w:rPr>
              <w:t>PROCESO</w:t>
            </w:r>
          </w:p>
        </w:tc>
        <w:tc>
          <w:tcPr>
            <w:tcW w:w="2136" w:type="dxa"/>
            <w:shd w:val="clear" w:color="auto" w:fill="D0CECE" w:themeFill="background2" w:themeFillShade="E6"/>
            <w:tcMar/>
            <w:vAlign w:val="center"/>
            <w:hideMark/>
          </w:tcPr>
          <w:p w:rsidRPr="00B71C21" w:rsidR="00886FBA" w:rsidP="0018750B" w:rsidRDefault="00886FBA" w14:paraId="300CD364" w14:textId="77777777">
            <w:pPr>
              <w:pStyle w:val="GrisIndicaciones"/>
              <w:jc w:val="center"/>
              <w:rPr>
                <w:b/>
                <w:bCs/>
                <w:color w:val="000000" w:themeColor="text1"/>
                <w:sz w:val="18"/>
                <w:szCs w:val="18"/>
              </w:rPr>
            </w:pPr>
            <w:r w:rsidRPr="00B71C21">
              <w:rPr>
                <w:b/>
                <w:bCs/>
                <w:color w:val="000000" w:themeColor="text1"/>
                <w:sz w:val="18"/>
                <w:szCs w:val="18"/>
              </w:rPr>
              <w:t>RIESGO</w:t>
            </w:r>
          </w:p>
        </w:tc>
        <w:tc>
          <w:tcPr>
            <w:tcW w:w="1603" w:type="dxa"/>
            <w:shd w:val="clear" w:color="auto" w:fill="D0CECE" w:themeFill="background2" w:themeFillShade="E6"/>
            <w:tcMar/>
            <w:vAlign w:val="center"/>
            <w:hideMark/>
          </w:tcPr>
          <w:p w:rsidRPr="00B71C21" w:rsidR="00886FBA" w:rsidP="0018750B" w:rsidRDefault="00886FBA" w14:paraId="77168050" w14:textId="77777777">
            <w:pPr>
              <w:pStyle w:val="GrisIndicaciones"/>
              <w:jc w:val="center"/>
              <w:rPr>
                <w:b/>
                <w:bCs/>
                <w:color w:val="000000" w:themeColor="text1"/>
                <w:sz w:val="18"/>
                <w:szCs w:val="18"/>
              </w:rPr>
            </w:pPr>
            <w:r w:rsidRPr="00B71C21">
              <w:rPr>
                <w:b/>
                <w:bCs/>
                <w:color w:val="000000" w:themeColor="text1"/>
                <w:sz w:val="18"/>
                <w:szCs w:val="18"/>
              </w:rPr>
              <w:t>TIPO DE RIESGO</w:t>
            </w:r>
          </w:p>
        </w:tc>
        <w:tc>
          <w:tcPr>
            <w:tcW w:w="2139" w:type="dxa"/>
            <w:shd w:val="clear" w:color="auto" w:fill="D0CECE" w:themeFill="background2" w:themeFillShade="E6"/>
            <w:tcMar/>
            <w:vAlign w:val="center"/>
            <w:hideMark/>
          </w:tcPr>
          <w:p w:rsidRPr="00B71C21" w:rsidR="00886FBA" w:rsidP="0018750B" w:rsidRDefault="00886FBA" w14:paraId="354566DD" w14:textId="77777777">
            <w:pPr>
              <w:pStyle w:val="GrisIndicaciones"/>
              <w:jc w:val="center"/>
              <w:rPr>
                <w:b/>
                <w:bCs/>
                <w:color w:val="000000" w:themeColor="text1"/>
                <w:sz w:val="18"/>
                <w:szCs w:val="18"/>
              </w:rPr>
            </w:pPr>
            <w:r w:rsidRPr="00B71C21">
              <w:rPr>
                <w:b/>
                <w:bCs/>
                <w:color w:val="000000" w:themeColor="text1"/>
                <w:sz w:val="18"/>
                <w:szCs w:val="18"/>
              </w:rPr>
              <w:t>CONTROL</w:t>
            </w:r>
          </w:p>
        </w:tc>
        <w:tc>
          <w:tcPr>
            <w:tcW w:w="2971" w:type="dxa"/>
            <w:gridSpan w:val="2"/>
            <w:shd w:val="clear" w:color="auto" w:fill="D0CECE" w:themeFill="background2" w:themeFillShade="E6"/>
            <w:tcMar/>
            <w:vAlign w:val="center"/>
            <w:hideMark/>
          </w:tcPr>
          <w:p w:rsidRPr="00B71C21" w:rsidR="00886FBA" w:rsidP="0018750B" w:rsidRDefault="00886FBA" w14:paraId="745D6DF4" w14:textId="4CA82575">
            <w:pPr>
              <w:pStyle w:val="GrisIndicaciones"/>
              <w:jc w:val="center"/>
              <w:rPr>
                <w:b/>
                <w:bCs/>
                <w:color w:val="000000" w:themeColor="text1"/>
                <w:sz w:val="18"/>
                <w:szCs w:val="18"/>
              </w:rPr>
            </w:pPr>
            <w:r w:rsidRPr="00B71C21">
              <w:rPr>
                <w:b/>
                <w:bCs/>
                <w:color w:val="000000" w:themeColor="text1"/>
                <w:sz w:val="18"/>
                <w:szCs w:val="18"/>
              </w:rPr>
              <w:t>PARÁMETRO /RESULTADO</w:t>
            </w:r>
          </w:p>
        </w:tc>
      </w:tr>
      <w:tr w:rsidRPr="00B71C21" w:rsidR="00B71C21" w:rsidTr="0ED4F347" w14:paraId="0CF72807" w14:textId="77777777">
        <w:trPr>
          <w:trHeight w:val="296"/>
        </w:trPr>
        <w:tc>
          <w:tcPr>
            <w:tcW w:w="1670" w:type="dxa"/>
            <w:vMerge w:val="restart"/>
            <w:tcMar/>
            <w:vAlign w:val="center"/>
            <w:hideMark/>
          </w:tcPr>
          <w:p w:rsidRPr="00B71C21" w:rsidR="00886FBA" w:rsidP="05C46DFF" w:rsidRDefault="00F64C9E" w14:paraId="0848D68D" w14:textId="70F128DF">
            <w:pPr>
              <w:pStyle w:val="GrisIndicaciones"/>
              <w:jc w:val="center"/>
              <w:rPr>
                <w:color w:val="000000" w:themeColor="text1"/>
                <w:sz w:val="18"/>
                <w:szCs w:val="18"/>
              </w:rPr>
            </w:pPr>
            <w:r w:rsidRPr="00B71C21">
              <w:rPr>
                <w:color w:val="000000" w:themeColor="text1"/>
                <w:sz w:val="18"/>
                <w:szCs w:val="18"/>
              </w:rPr>
              <w:t>GOBERNANZA, GESTIÓN RIESGOS DE DESASTRES Y SEGURIDAD CIUDADANA</w:t>
            </w:r>
          </w:p>
        </w:tc>
        <w:tc>
          <w:tcPr>
            <w:tcW w:w="2136" w:type="dxa"/>
            <w:vMerge w:val="restart"/>
            <w:tcMar/>
            <w:vAlign w:val="center"/>
            <w:hideMark/>
          </w:tcPr>
          <w:p w:rsidRPr="00B71C21" w:rsidR="00886FBA" w:rsidP="05C46DFF" w:rsidRDefault="00A908FF" w14:paraId="6D5B8D3A" w14:textId="3D2A6C62">
            <w:pPr>
              <w:pStyle w:val="GrisIndicaciones"/>
              <w:jc w:val="center"/>
              <w:rPr>
                <w:color w:val="000000" w:themeColor="text1"/>
                <w:sz w:val="18"/>
                <w:szCs w:val="18"/>
              </w:rPr>
            </w:pPr>
            <w:r w:rsidRPr="00B71C21">
              <w:rPr>
                <w:color w:val="000000" w:themeColor="text1"/>
                <w:sz w:val="18"/>
                <w:szCs w:val="18"/>
              </w:rPr>
              <w:t xml:space="preserve">Posibilidad de afectación </w:t>
            </w:r>
            <w:proofErr w:type="spellStart"/>
            <w:r w:rsidRPr="00B71C21">
              <w:rPr>
                <w:color w:val="000000" w:themeColor="text1"/>
                <w:sz w:val="18"/>
                <w:szCs w:val="18"/>
              </w:rPr>
              <w:t>reputacional</w:t>
            </w:r>
            <w:proofErr w:type="spellEnd"/>
            <w:r w:rsidRPr="00B71C21">
              <w:rPr>
                <w:color w:val="000000" w:themeColor="text1"/>
                <w:sz w:val="18"/>
                <w:szCs w:val="18"/>
              </w:rPr>
              <w:t xml:space="preserve"> y económica por no aplicar los instrumentos y acciones del Plan Departamental de Gestión de Riesgos PDGRD que permiten una adecuada Gestión del Riesgo de desastres. Esto debido a una inadecuada planeación.</w:t>
            </w:r>
          </w:p>
        </w:tc>
        <w:tc>
          <w:tcPr>
            <w:tcW w:w="1603" w:type="dxa"/>
            <w:vMerge w:val="restart"/>
            <w:tcMar/>
            <w:vAlign w:val="center"/>
            <w:hideMark/>
          </w:tcPr>
          <w:p w:rsidRPr="00B71C21" w:rsidR="00886FBA" w:rsidP="05C46DFF" w:rsidRDefault="007469FA" w14:paraId="6C45D823" w14:textId="4593E73A">
            <w:pPr>
              <w:pStyle w:val="GrisIndicaciones"/>
              <w:jc w:val="center"/>
              <w:rPr>
                <w:color w:val="000000" w:themeColor="text1"/>
                <w:sz w:val="18"/>
                <w:szCs w:val="18"/>
              </w:rPr>
            </w:pPr>
            <w:r w:rsidRPr="00B71C21">
              <w:rPr>
                <w:color w:val="000000" w:themeColor="text1"/>
                <w:sz w:val="18"/>
                <w:szCs w:val="18"/>
              </w:rPr>
              <w:t>Riesgo de Gestión</w:t>
            </w:r>
          </w:p>
        </w:tc>
        <w:tc>
          <w:tcPr>
            <w:tcW w:w="2139" w:type="dxa"/>
            <w:vMerge w:val="restart"/>
            <w:tcMar/>
            <w:vAlign w:val="center"/>
            <w:hideMark/>
          </w:tcPr>
          <w:p w:rsidRPr="00B71C21" w:rsidR="00886FBA" w:rsidP="05C46DFF" w:rsidRDefault="00815933" w14:paraId="4E81B079" w14:textId="327AC563">
            <w:pPr>
              <w:pStyle w:val="GrisIndicaciones"/>
              <w:jc w:val="center"/>
              <w:rPr>
                <w:color w:val="000000" w:themeColor="text1"/>
                <w:sz w:val="18"/>
                <w:szCs w:val="18"/>
              </w:rPr>
            </w:pPr>
            <w:r w:rsidRPr="00B71C21">
              <w:rPr>
                <w:color w:val="000000" w:themeColor="text1"/>
                <w:sz w:val="18"/>
                <w:szCs w:val="18"/>
              </w:rPr>
              <w:t xml:space="preserve">El director (a) de la Unidad </w:t>
            </w:r>
            <w:r w:rsidRPr="00B71C21" w:rsidR="008E306C">
              <w:rPr>
                <w:color w:val="000000" w:themeColor="text1"/>
                <w:sz w:val="18"/>
                <w:szCs w:val="18"/>
              </w:rPr>
              <w:t>Administrativa</w:t>
            </w:r>
            <w:r w:rsidRPr="00B71C21">
              <w:rPr>
                <w:color w:val="000000" w:themeColor="text1"/>
                <w:sz w:val="18"/>
                <w:szCs w:val="18"/>
              </w:rPr>
              <w:t xml:space="preserve"> Especial Para la de </w:t>
            </w:r>
            <w:r w:rsidRPr="00B71C21" w:rsidR="008E306C">
              <w:rPr>
                <w:color w:val="000000" w:themeColor="text1"/>
                <w:sz w:val="18"/>
                <w:szCs w:val="18"/>
              </w:rPr>
              <w:t>Gestión</w:t>
            </w:r>
            <w:r w:rsidRPr="00B71C21">
              <w:rPr>
                <w:color w:val="000000" w:themeColor="text1"/>
                <w:sz w:val="18"/>
                <w:szCs w:val="18"/>
              </w:rPr>
              <w:t xml:space="preserve"> de Riesgos de </w:t>
            </w:r>
            <w:r w:rsidRPr="00B71C21" w:rsidR="008E306C">
              <w:rPr>
                <w:color w:val="000000" w:themeColor="text1"/>
                <w:sz w:val="18"/>
                <w:szCs w:val="18"/>
              </w:rPr>
              <w:t>Desastres realiza seguimiento</w:t>
            </w:r>
            <w:r w:rsidRPr="00B71C21">
              <w:rPr>
                <w:color w:val="000000" w:themeColor="text1"/>
                <w:sz w:val="18"/>
                <w:szCs w:val="18"/>
              </w:rPr>
              <w:t xml:space="preserve"> mensual a la planeación de los instrumentos a </w:t>
            </w:r>
            <w:r w:rsidRPr="00B71C21" w:rsidR="008E306C">
              <w:rPr>
                <w:color w:val="000000" w:themeColor="text1"/>
                <w:sz w:val="18"/>
                <w:szCs w:val="18"/>
              </w:rPr>
              <w:t>través de</w:t>
            </w:r>
            <w:r w:rsidRPr="00B71C21">
              <w:rPr>
                <w:color w:val="000000" w:themeColor="text1"/>
                <w:sz w:val="18"/>
                <w:szCs w:val="18"/>
              </w:rPr>
              <w:t xml:space="preserve"> los compromisos derivados de </w:t>
            </w:r>
            <w:r w:rsidRPr="00B71C21" w:rsidR="008E306C">
              <w:rPr>
                <w:color w:val="000000" w:themeColor="text1"/>
                <w:sz w:val="18"/>
                <w:szCs w:val="18"/>
              </w:rPr>
              <w:t>las Actas</w:t>
            </w:r>
            <w:r w:rsidRPr="00B71C21">
              <w:rPr>
                <w:color w:val="000000" w:themeColor="text1"/>
                <w:sz w:val="18"/>
                <w:szCs w:val="18"/>
              </w:rPr>
              <w:t xml:space="preserve"> Consejos Departamentales de Gestión de Riesgo </w:t>
            </w:r>
            <w:r w:rsidRPr="00B71C21" w:rsidR="008E306C">
              <w:rPr>
                <w:color w:val="000000" w:themeColor="text1"/>
                <w:sz w:val="18"/>
                <w:szCs w:val="18"/>
              </w:rPr>
              <w:t>y de</w:t>
            </w:r>
            <w:r w:rsidRPr="00B71C21">
              <w:rPr>
                <w:color w:val="000000" w:themeColor="text1"/>
                <w:sz w:val="18"/>
                <w:szCs w:val="18"/>
              </w:rPr>
              <w:t xml:space="preserve"> </w:t>
            </w:r>
            <w:r w:rsidRPr="00B71C21" w:rsidR="008E306C">
              <w:rPr>
                <w:color w:val="000000" w:themeColor="text1"/>
                <w:sz w:val="18"/>
                <w:szCs w:val="18"/>
              </w:rPr>
              <w:t>los informes</w:t>
            </w:r>
            <w:r w:rsidRPr="00B71C21">
              <w:rPr>
                <w:color w:val="000000" w:themeColor="text1"/>
                <w:sz w:val="18"/>
                <w:szCs w:val="18"/>
              </w:rPr>
              <w:t xml:space="preserve"> de visitas </w:t>
            </w:r>
            <w:r w:rsidRPr="00B71C21" w:rsidR="008E306C">
              <w:rPr>
                <w:color w:val="000000" w:themeColor="text1"/>
                <w:sz w:val="18"/>
                <w:szCs w:val="18"/>
              </w:rPr>
              <w:t>técnicas</w:t>
            </w:r>
            <w:r w:rsidRPr="00B71C21">
              <w:rPr>
                <w:color w:val="000000" w:themeColor="text1"/>
                <w:sz w:val="18"/>
                <w:szCs w:val="18"/>
              </w:rPr>
              <w:t xml:space="preserve"> en </w:t>
            </w:r>
            <w:r w:rsidRPr="00B71C21" w:rsidR="008E306C">
              <w:rPr>
                <w:color w:val="000000" w:themeColor="text1"/>
                <w:sz w:val="18"/>
                <w:szCs w:val="18"/>
              </w:rPr>
              <w:t>las zonas</w:t>
            </w:r>
            <w:r w:rsidRPr="00B71C21">
              <w:rPr>
                <w:color w:val="000000" w:themeColor="text1"/>
                <w:sz w:val="18"/>
                <w:szCs w:val="18"/>
              </w:rPr>
              <w:t xml:space="preserve"> de riesgo identificadas en el Departamento. En caso de no poder realizarlas, se </w:t>
            </w:r>
            <w:r w:rsidRPr="00B71C21" w:rsidR="008E306C">
              <w:rPr>
                <w:color w:val="000000" w:themeColor="text1"/>
                <w:sz w:val="18"/>
                <w:szCs w:val="18"/>
              </w:rPr>
              <w:t>reprogramará</w:t>
            </w:r>
            <w:r w:rsidRPr="00B71C21">
              <w:rPr>
                <w:color w:val="000000" w:themeColor="text1"/>
                <w:sz w:val="18"/>
                <w:szCs w:val="18"/>
              </w:rPr>
              <w:t xml:space="preserve"> </w:t>
            </w:r>
            <w:r w:rsidRPr="00B71C21" w:rsidR="008E306C">
              <w:rPr>
                <w:color w:val="000000" w:themeColor="text1"/>
                <w:sz w:val="18"/>
                <w:szCs w:val="18"/>
              </w:rPr>
              <w:t>de acuerdo con</w:t>
            </w:r>
            <w:r w:rsidRPr="00B71C21">
              <w:rPr>
                <w:color w:val="000000" w:themeColor="text1"/>
                <w:sz w:val="18"/>
                <w:szCs w:val="18"/>
              </w:rPr>
              <w:t xml:space="preserve"> las partes interesadas.</w:t>
            </w:r>
          </w:p>
        </w:tc>
        <w:tc>
          <w:tcPr>
            <w:tcW w:w="1900" w:type="dxa"/>
            <w:tcMar/>
            <w:vAlign w:val="center"/>
            <w:hideMark/>
          </w:tcPr>
          <w:p w:rsidRPr="00B71C21" w:rsidR="00886FBA" w:rsidP="05C46DFF" w:rsidRDefault="00886FBA" w14:paraId="605BF23D" w14:textId="77777777">
            <w:pPr>
              <w:pStyle w:val="GrisIndicaciones"/>
              <w:jc w:val="center"/>
              <w:rPr>
                <w:color w:val="000000" w:themeColor="text1"/>
                <w:sz w:val="18"/>
                <w:szCs w:val="18"/>
              </w:rPr>
            </w:pPr>
            <w:r w:rsidRPr="00B71C21">
              <w:rPr>
                <w:color w:val="000000" w:themeColor="text1"/>
                <w:sz w:val="18"/>
                <w:szCs w:val="18"/>
              </w:rPr>
              <w:t>Materialización</w:t>
            </w:r>
          </w:p>
        </w:tc>
        <w:tc>
          <w:tcPr>
            <w:tcW w:w="1070" w:type="dxa"/>
            <w:tcMar/>
            <w:vAlign w:val="center"/>
            <w:hideMark/>
          </w:tcPr>
          <w:p w:rsidRPr="00B71C21" w:rsidR="00886FBA" w:rsidP="0018750B" w:rsidRDefault="002838BA" w14:paraId="4268F7A9" w14:textId="0BEF5290">
            <w:pPr>
              <w:pStyle w:val="GrisIndicaciones"/>
              <w:jc w:val="center"/>
              <w:rPr>
                <w:color w:val="000000" w:themeColor="text1"/>
                <w:sz w:val="18"/>
                <w:szCs w:val="18"/>
              </w:rPr>
            </w:pPr>
            <w:r w:rsidRPr="0ED4F347" w:rsidR="3F8B1D17">
              <w:rPr>
                <w:color w:val="000000" w:themeColor="text1" w:themeTint="FF" w:themeShade="FF"/>
                <w:sz w:val="18"/>
                <w:szCs w:val="18"/>
              </w:rPr>
              <w:t>Sí</w:t>
            </w:r>
          </w:p>
        </w:tc>
      </w:tr>
      <w:tr w:rsidRPr="00B71C21" w:rsidR="00B71C21" w:rsidTr="0ED4F347" w14:paraId="5EF617A1" w14:textId="77777777">
        <w:trPr>
          <w:trHeight w:val="1803"/>
        </w:trPr>
        <w:tc>
          <w:tcPr>
            <w:tcW w:w="1670" w:type="dxa"/>
            <w:vMerge/>
            <w:tcMar/>
            <w:hideMark/>
          </w:tcPr>
          <w:p w:rsidRPr="00B71C21" w:rsidR="00886FBA" w:rsidP="006F121A" w:rsidRDefault="00886FBA" w14:paraId="2E575C74" w14:textId="77777777">
            <w:pPr>
              <w:pStyle w:val="GrisIndicaciones"/>
              <w:rPr>
                <w:iCs/>
                <w:color w:val="000000" w:themeColor="text1"/>
                <w:sz w:val="18"/>
                <w:szCs w:val="18"/>
              </w:rPr>
            </w:pPr>
          </w:p>
        </w:tc>
        <w:tc>
          <w:tcPr>
            <w:tcW w:w="2136" w:type="dxa"/>
            <w:vMerge/>
            <w:tcMar/>
            <w:hideMark/>
          </w:tcPr>
          <w:p w:rsidRPr="00B71C21" w:rsidR="00886FBA" w:rsidP="006F121A" w:rsidRDefault="00886FBA" w14:paraId="68829C24" w14:textId="77777777">
            <w:pPr>
              <w:pStyle w:val="GrisIndicaciones"/>
              <w:rPr>
                <w:iCs/>
                <w:color w:val="000000" w:themeColor="text1"/>
                <w:sz w:val="18"/>
                <w:szCs w:val="18"/>
              </w:rPr>
            </w:pPr>
          </w:p>
        </w:tc>
        <w:tc>
          <w:tcPr>
            <w:tcW w:w="1603" w:type="dxa"/>
            <w:vMerge/>
            <w:tcMar/>
            <w:hideMark/>
          </w:tcPr>
          <w:p w:rsidRPr="00B71C21" w:rsidR="00886FBA" w:rsidP="006F121A" w:rsidRDefault="00886FBA" w14:paraId="75ACEE49" w14:textId="77777777">
            <w:pPr>
              <w:pStyle w:val="GrisIndicaciones"/>
              <w:rPr>
                <w:iCs/>
                <w:color w:val="000000" w:themeColor="text1"/>
                <w:sz w:val="18"/>
                <w:szCs w:val="18"/>
              </w:rPr>
            </w:pPr>
          </w:p>
        </w:tc>
        <w:tc>
          <w:tcPr>
            <w:tcW w:w="2139" w:type="dxa"/>
            <w:vMerge/>
            <w:tcMar/>
            <w:hideMark/>
          </w:tcPr>
          <w:p w:rsidRPr="00B71C21" w:rsidR="00886FBA" w:rsidP="006F121A" w:rsidRDefault="00886FBA" w14:paraId="063E653A" w14:textId="77777777">
            <w:pPr>
              <w:pStyle w:val="GrisIndicaciones"/>
              <w:rPr>
                <w:iCs/>
                <w:color w:val="000000" w:themeColor="text1"/>
                <w:sz w:val="18"/>
                <w:szCs w:val="18"/>
              </w:rPr>
            </w:pPr>
          </w:p>
        </w:tc>
        <w:tc>
          <w:tcPr>
            <w:tcW w:w="1900" w:type="dxa"/>
            <w:tcMar/>
            <w:vAlign w:val="center"/>
            <w:hideMark/>
          </w:tcPr>
          <w:p w:rsidRPr="00B71C21" w:rsidR="00886FBA" w:rsidP="05C46DFF" w:rsidRDefault="00886FBA" w14:paraId="35BB860F" w14:textId="420ECF7E">
            <w:pPr>
              <w:pStyle w:val="GrisIndicaciones"/>
              <w:jc w:val="center"/>
              <w:rPr>
                <w:color w:val="000000" w:themeColor="text1"/>
                <w:sz w:val="18"/>
                <w:szCs w:val="18"/>
              </w:rPr>
            </w:pPr>
            <w:r w:rsidRPr="00B71C21">
              <w:rPr>
                <w:color w:val="000000" w:themeColor="text1"/>
                <w:sz w:val="18"/>
                <w:szCs w:val="18"/>
              </w:rPr>
              <w:t>Diseño</w:t>
            </w:r>
          </w:p>
        </w:tc>
        <w:tc>
          <w:tcPr>
            <w:tcW w:w="1070" w:type="dxa"/>
            <w:tcMar/>
            <w:vAlign w:val="center"/>
            <w:hideMark/>
          </w:tcPr>
          <w:p w:rsidRPr="00B71C21" w:rsidR="00886FBA" w:rsidP="0018750B" w:rsidRDefault="00D30871" w14:paraId="7233632F" w14:textId="58B994D5">
            <w:pPr>
              <w:pStyle w:val="GrisIndicaciones"/>
              <w:jc w:val="center"/>
              <w:rPr>
                <w:color w:val="000000" w:themeColor="text1"/>
                <w:sz w:val="18"/>
                <w:szCs w:val="18"/>
              </w:rPr>
            </w:pPr>
            <w:r w:rsidRPr="00B71C21">
              <w:rPr>
                <w:color w:val="000000" w:themeColor="text1"/>
                <w:sz w:val="18"/>
                <w:szCs w:val="18"/>
              </w:rPr>
              <w:t>15</w:t>
            </w:r>
          </w:p>
        </w:tc>
      </w:tr>
      <w:tr w:rsidRPr="00B71C21" w:rsidR="00B71C21" w:rsidTr="0ED4F347" w14:paraId="6378F04C" w14:textId="77777777">
        <w:trPr>
          <w:trHeight w:val="235"/>
        </w:trPr>
        <w:tc>
          <w:tcPr>
            <w:tcW w:w="1670" w:type="dxa"/>
            <w:vMerge/>
            <w:tcMar/>
            <w:hideMark/>
          </w:tcPr>
          <w:p w:rsidRPr="00B71C21" w:rsidR="00886FBA" w:rsidP="006F121A" w:rsidRDefault="00886FBA" w14:paraId="3D693F7A" w14:textId="77777777">
            <w:pPr>
              <w:pStyle w:val="GrisIndicaciones"/>
              <w:rPr>
                <w:iCs/>
                <w:color w:val="000000" w:themeColor="text1"/>
                <w:sz w:val="18"/>
                <w:szCs w:val="18"/>
              </w:rPr>
            </w:pPr>
          </w:p>
        </w:tc>
        <w:tc>
          <w:tcPr>
            <w:tcW w:w="2136" w:type="dxa"/>
            <w:vMerge/>
            <w:tcMar/>
            <w:hideMark/>
          </w:tcPr>
          <w:p w:rsidRPr="00B71C21" w:rsidR="00886FBA" w:rsidP="006F121A" w:rsidRDefault="00886FBA" w14:paraId="09B5071C" w14:textId="77777777">
            <w:pPr>
              <w:pStyle w:val="GrisIndicaciones"/>
              <w:rPr>
                <w:iCs/>
                <w:color w:val="000000" w:themeColor="text1"/>
                <w:sz w:val="18"/>
                <w:szCs w:val="18"/>
              </w:rPr>
            </w:pPr>
          </w:p>
        </w:tc>
        <w:tc>
          <w:tcPr>
            <w:tcW w:w="1603" w:type="dxa"/>
            <w:vMerge/>
            <w:tcMar/>
            <w:hideMark/>
          </w:tcPr>
          <w:p w:rsidRPr="00B71C21" w:rsidR="00886FBA" w:rsidP="006F121A" w:rsidRDefault="00886FBA" w14:paraId="00DE8435" w14:textId="77777777">
            <w:pPr>
              <w:pStyle w:val="GrisIndicaciones"/>
              <w:rPr>
                <w:iCs/>
                <w:color w:val="000000" w:themeColor="text1"/>
                <w:sz w:val="18"/>
                <w:szCs w:val="18"/>
              </w:rPr>
            </w:pPr>
          </w:p>
        </w:tc>
        <w:tc>
          <w:tcPr>
            <w:tcW w:w="2139" w:type="dxa"/>
            <w:vMerge/>
            <w:tcMar/>
            <w:hideMark/>
          </w:tcPr>
          <w:p w:rsidRPr="00B71C21" w:rsidR="00886FBA" w:rsidP="006F121A" w:rsidRDefault="00886FBA" w14:paraId="7382A038" w14:textId="77777777">
            <w:pPr>
              <w:pStyle w:val="GrisIndicaciones"/>
              <w:rPr>
                <w:iCs/>
                <w:color w:val="000000" w:themeColor="text1"/>
                <w:sz w:val="18"/>
                <w:szCs w:val="18"/>
              </w:rPr>
            </w:pPr>
          </w:p>
        </w:tc>
        <w:tc>
          <w:tcPr>
            <w:tcW w:w="1900" w:type="dxa"/>
            <w:tcMar/>
            <w:vAlign w:val="center"/>
            <w:hideMark/>
          </w:tcPr>
          <w:p w:rsidRPr="00B71C21" w:rsidR="00886FBA" w:rsidP="05C46DFF" w:rsidRDefault="00886FBA" w14:paraId="6DFCAE1F" w14:textId="6D5B2FE7">
            <w:pPr>
              <w:pStyle w:val="GrisIndicaciones"/>
              <w:jc w:val="center"/>
              <w:rPr>
                <w:color w:val="000000" w:themeColor="text1"/>
                <w:sz w:val="18"/>
                <w:szCs w:val="18"/>
              </w:rPr>
            </w:pPr>
            <w:r w:rsidRPr="00B71C21">
              <w:rPr>
                <w:color w:val="000000" w:themeColor="text1"/>
                <w:sz w:val="18"/>
                <w:szCs w:val="18"/>
              </w:rPr>
              <w:t>Ejecución</w:t>
            </w:r>
          </w:p>
        </w:tc>
        <w:tc>
          <w:tcPr>
            <w:tcW w:w="1070" w:type="dxa"/>
            <w:tcMar/>
            <w:vAlign w:val="center"/>
            <w:hideMark/>
          </w:tcPr>
          <w:p w:rsidRPr="00B71C21" w:rsidR="00886FBA" w:rsidP="00E80B5B" w:rsidRDefault="4A5B6646" w14:paraId="2026EF4E" w14:textId="02C90B3F">
            <w:pPr>
              <w:pStyle w:val="GrisIndicaciones"/>
              <w:jc w:val="center"/>
              <w:rPr>
                <w:color w:val="000000" w:themeColor="text1"/>
                <w:sz w:val="18"/>
                <w:szCs w:val="18"/>
              </w:rPr>
            </w:pPr>
            <w:r w:rsidRPr="3AE47990">
              <w:rPr>
                <w:color w:val="000000" w:themeColor="text1"/>
                <w:sz w:val="18"/>
                <w:szCs w:val="18"/>
              </w:rPr>
              <w:t>7</w:t>
            </w:r>
            <w:r w:rsidRPr="3AE47990" w:rsidR="6792CCFD">
              <w:rPr>
                <w:color w:val="000000" w:themeColor="text1"/>
                <w:sz w:val="18"/>
                <w:szCs w:val="18"/>
              </w:rPr>
              <w:t>0</w:t>
            </w:r>
          </w:p>
        </w:tc>
      </w:tr>
      <w:tr w:rsidRPr="00B71C21" w:rsidR="00B71C21" w:rsidTr="0ED4F347" w14:paraId="7F219DDD" w14:textId="77777777">
        <w:trPr>
          <w:trHeight w:val="294"/>
        </w:trPr>
        <w:tc>
          <w:tcPr>
            <w:tcW w:w="1670" w:type="dxa"/>
            <w:vMerge/>
            <w:tcMar/>
            <w:hideMark/>
          </w:tcPr>
          <w:p w:rsidRPr="00B71C21" w:rsidR="00886FBA" w:rsidP="006F121A" w:rsidRDefault="00886FBA" w14:paraId="578D0D04" w14:textId="77777777">
            <w:pPr>
              <w:pStyle w:val="GrisIndicaciones"/>
              <w:rPr>
                <w:iCs/>
                <w:color w:val="000000" w:themeColor="text1"/>
                <w:sz w:val="18"/>
                <w:szCs w:val="18"/>
              </w:rPr>
            </w:pPr>
          </w:p>
        </w:tc>
        <w:tc>
          <w:tcPr>
            <w:tcW w:w="2136" w:type="dxa"/>
            <w:vMerge/>
            <w:tcMar/>
            <w:hideMark/>
          </w:tcPr>
          <w:p w:rsidRPr="00B71C21" w:rsidR="00886FBA" w:rsidP="006F121A" w:rsidRDefault="00886FBA" w14:paraId="59393881" w14:textId="77777777">
            <w:pPr>
              <w:pStyle w:val="GrisIndicaciones"/>
              <w:rPr>
                <w:iCs/>
                <w:color w:val="000000" w:themeColor="text1"/>
                <w:sz w:val="18"/>
                <w:szCs w:val="18"/>
              </w:rPr>
            </w:pPr>
          </w:p>
        </w:tc>
        <w:tc>
          <w:tcPr>
            <w:tcW w:w="1603" w:type="dxa"/>
            <w:vMerge/>
            <w:tcMar/>
            <w:hideMark/>
          </w:tcPr>
          <w:p w:rsidRPr="00B71C21" w:rsidR="00886FBA" w:rsidP="006F121A" w:rsidRDefault="00886FBA" w14:paraId="0339A14E" w14:textId="77777777">
            <w:pPr>
              <w:pStyle w:val="GrisIndicaciones"/>
              <w:rPr>
                <w:iCs/>
                <w:color w:val="000000" w:themeColor="text1"/>
                <w:sz w:val="18"/>
                <w:szCs w:val="18"/>
              </w:rPr>
            </w:pPr>
          </w:p>
        </w:tc>
        <w:tc>
          <w:tcPr>
            <w:tcW w:w="2139" w:type="dxa"/>
            <w:vMerge/>
            <w:tcMar/>
            <w:hideMark/>
          </w:tcPr>
          <w:p w:rsidRPr="00B71C21" w:rsidR="00886FBA" w:rsidP="006F121A" w:rsidRDefault="00886FBA" w14:paraId="54EDEB27" w14:textId="77777777">
            <w:pPr>
              <w:pStyle w:val="GrisIndicaciones"/>
              <w:rPr>
                <w:iCs/>
                <w:color w:val="000000" w:themeColor="text1"/>
                <w:sz w:val="18"/>
                <w:szCs w:val="18"/>
              </w:rPr>
            </w:pPr>
          </w:p>
        </w:tc>
        <w:tc>
          <w:tcPr>
            <w:tcW w:w="1900" w:type="dxa"/>
            <w:tcMar/>
            <w:vAlign w:val="center"/>
            <w:hideMark/>
          </w:tcPr>
          <w:p w:rsidRPr="00B71C21" w:rsidR="00886FBA" w:rsidP="05C46DFF" w:rsidRDefault="00886FBA" w14:paraId="650548F9" w14:textId="577C4569">
            <w:pPr>
              <w:pStyle w:val="GrisIndicaciones"/>
              <w:jc w:val="center"/>
              <w:rPr>
                <w:color w:val="000000" w:themeColor="text1"/>
              </w:rPr>
            </w:pPr>
            <w:r w:rsidRPr="00B71C21">
              <w:rPr>
                <w:color w:val="000000" w:themeColor="text1"/>
                <w:sz w:val="18"/>
                <w:szCs w:val="18"/>
              </w:rPr>
              <w:t>Total</w:t>
            </w:r>
          </w:p>
        </w:tc>
        <w:tc>
          <w:tcPr>
            <w:tcW w:w="1070" w:type="dxa"/>
            <w:tcMar/>
            <w:hideMark/>
          </w:tcPr>
          <w:p w:rsidRPr="00B71C21" w:rsidR="00886FBA" w:rsidP="0018750B" w:rsidRDefault="50BAA58E" w14:paraId="60B8CC19" w14:textId="36B78F44">
            <w:pPr>
              <w:pStyle w:val="GrisIndicaciones"/>
              <w:jc w:val="center"/>
              <w:rPr>
                <w:color w:val="000000" w:themeColor="text1"/>
                <w:sz w:val="18"/>
                <w:szCs w:val="18"/>
              </w:rPr>
            </w:pPr>
            <w:r w:rsidRPr="3AE47990">
              <w:rPr>
                <w:color w:val="000000" w:themeColor="text1"/>
                <w:sz w:val="18"/>
                <w:szCs w:val="18"/>
              </w:rPr>
              <w:t>8</w:t>
            </w:r>
            <w:r w:rsidRPr="3AE47990" w:rsidR="6792CCFD">
              <w:rPr>
                <w:color w:val="000000" w:themeColor="text1"/>
                <w:sz w:val="18"/>
                <w:szCs w:val="18"/>
              </w:rPr>
              <w:t>5</w:t>
            </w:r>
          </w:p>
        </w:tc>
      </w:tr>
      <w:tr w:rsidRPr="00B71C21" w:rsidR="00B71C21" w:rsidTr="0ED4F347" w14:paraId="781BA49B" w14:textId="77777777">
        <w:trPr>
          <w:trHeight w:val="1187"/>
        </w:trPr>
        <w:tc>
          <w:tcPr>
            <w:tcW w:w="1670" w:type="dxa"/>
            <w:vMerge/>
            <w:tcMar/>
            <w:hideMark/>
          </w:tcPr>
          <w:p w:rsidRPr="00B71C21" w:rsidR="00886FBA" w:rsidP="006F121A" w:rsidRDefault="00886FBA" w14:paraId="3AEC2201" w14:textId="77777777">
            <w:pPr>
              <w:pStyle w:val="GrisIndicaciones"/>
              <w:rPr>
                <w:iCs/>
                <w:color w:val="000000" w:themeColor="text1"/>
                <w:sz w:val="18"/>
                <w:szCs w:val="18"/>
              </w:rPr>
            </w:pPr>
          </w:p>
        </w:tc>
        <w:tc>
          <w:tcPr>
            <w:tcW w:w="2136" w:type="dxa"/>
            <w:vMerge/>
            <w:tcMar/>
            <w:hideMark/>
          </w:tcPr>
          <w:p w:rsidRPr="00B71C21" w:rsidR="00886FBA" w:rsidP="006F121A" w:rsidRDefault="00886FBA" w14:paraId="0FE160A6" w14:textId="77777777">
            <w:pPr>
              <w:pStyle w:val="GrisIndicaciones"/>
              <w:rPr>
                <w:iCs/>
                <w:color w:val="000000" w:themeColor="text1"/>
                <w:sz w:val="18"/>
                <w:szCs w:val="18"/>
              </w:rPr>
            </w:pPr>
          </w:p>
        </w:tc>
        <w:tc>
          <w:tcPr>
            <w:tcW w:w="1603" w:type="dxa"/>
            <w:vMerge/>
            <w:tcMar/>
            <w:hideMark/>
          </w:tcPr>
          <w:p w:rsidRPr="00B71C21" w:rsidR="00886FBA" w:rsidP="006F121A" w:rsidRDefault="00886FBA" w14:paraId="54458371" w14:textId="77777777">
            <w:pPr>
              <w:pStyle w:val="GrisIndicaciones"/>
              <w:rPr>
                <w:iCs/>
                <w:color w:val="000000" w:themeColor="text1"/>
                <w:sz w:val="18"/>
                <w:szCs w:val="18"/>
              </w:rPr>
            </w:pPr>
          </w:p>
        </w:tc>
        <w:tc>
          <w:tcPr>
            <w:tcW w:w="2139" w:type="dxa"/>
            <w:vMerge/>
            <w:tcMar/>
            <w:hideMark/>
          </w:tcPr>
          <w:p w:rsidRPr="00B71C21" w:rsidR="00886FBA" w:rsidP="006F121A" w:rsidRDefault="00886FBA" w14:paraId="09D0564D" w14:textId="77777777">
            <w:pPr>
              <w:pStyle w:val="GrisIndicaciones"/>
              <w:rPr>
                <w:iCs/>
                <w:color w:val="000000" w:themeColor="text1"/>
                <w:sz w:val="18"/>
                <w:szCs w:val="18"/>
              </w:rPr>
            </w:pPr>
          </w:p>
        </w:tc>
        <w:tc>
          <w:tcPr>
            <w:tcW w:w="1900" w:type="dxa"/>
            <w:tcMar/>
            <w:vAlign w:val="center"/>
            <w:hideMark/>
          </w:tcPr>
          <w:p w:rsidRPr="00B71C21" w:rsidR="00886FBA" w:rsidP="05C46DFF" w:rsidRDefault="00886FBA" w14:paraId="15BEC6ED" w14:textId="4C2E356A">
            <w:pPr>
              <w:pStyle w:val="GrisIndicaciones"/>
              <w:jc w:val="center"/>
              <w:rPr>
                <w:iCs/>
                <w:color w:val="000000" w:themeColor="text1"/>
                <w:sz w:val="18"/>
                <w:szCs w:val="18"/>
              </w:rPr>
            </w:pPr>
            <w:r w:rsidRPr="00B71C21">
              <w:rPr>
                <w:iCs/>
                <w:color w:val="000000" w:themeColor="text1"/>
                <w:sz w:val="18"/>
                <w:szCs w:val="18"/>
              </w:rPr>
              <w:t>Efectividad</w:t>
            </w:r>
          </w:p>
        </w:tc>
        <w:tc>
          <w:tcPr>
            <w:tcW w:w="1070" w:type="dxa"/>
            <w:tcMar/>
            <w:vAlign w:val="center"/>
            <w:hideMark/>
          </w:tcPr>
          <w:p w:rsidRPr="00B71C21" w:rsidR="00886FBA" w:rsidP="00E80B5B" w:rsidRDefault="00D30871" w14:paraId="3D2238E3" w14:textId="5EFE92E0">
            <w:pPr>
              <w:pStyle w:val="GrisIndicaciones"/>
              <w:jc w:val="center"/>
              <w:rPr>
                <w:iCs/>
                <w:color w:val="000000" w:themeColor="text1"/>
                <w:sz w:val="18"/>
                <w:szCs w:val="18"/>
              </w:rPr>
            </w:pPr>
            <w:r w:rsidRPr="00B71C21">
              <w:rPr>
                <w:iCs/>
                <w:color w:val="000000" w:themeColor="text1"/>
                <w:sz w:val="18"/>
                <w:szCs w:val="18"/>
              </w:rPr>
              <w:t>Débil</w:t>
            </w:r>
          </w:p>
        </w:tc>
      </w:tr>
    </w:tbl>
    <w:p w:rsidR="00C83DCA" w:rsidP="00C83DCA" w:rsidRDefault="00C83DCA" w14:paraId="3E0A802F" w14:textId="10EAF224">
      <w:pPr>
        <w:pStyle w:val="GrisIndicaciones"/>
        <w:rPr>
          <w:color w:val="FF0000"/>
        </w:rPr>
      </w:pPr>
    </w:p>
    <w:p w:rsidRPr="00ED2B5E" w:rsidR="40E12E91" w:rsidP="0ED4F347" w:rsidRDefault="40E12E91" w14:paraId="0DDCABD6" w14:textId="061725B1">
      <w:pPr>
        <w:pStyle w:val="Prrafodelista"/>
        <w:numPr>
          <w:ilvl w:val="0"/>
          <w:numId w:val="1"/>
        </w:numPr>
        <w:spacing w:after="160"/>
        <w:rPr>
          <w:rFonts w:ascii="Arial" w:hAnsi="Arial" w:eastAsia="Arial" w:cs="Arial"/>
          <w:noProof w:val="0"/>
          <w:color w:val="auto"/>
          <w:sz w:val="24"/>
          <w:szCs w:val="24"/>
          <w:lang w:val="es-CO" w:eastAsia="es-CO" w:bidi="ar-SA"/>
        </w:rPr>
      </w:pPr>
      <w:r w:rsidRPr="0ED4F347" w:rsidR="3340DDA7">
        <w:rPr>
          <w:rFonts w:eastAsia="Arial"/>
          <w:b w:val="1"/>
          <w:bCs w:val="1"/>
          <w:sz w:val="24"/>
          <w:szCs w:val="24"/>
        </w:rPr>
        <w:t>Materialización del riesgo:</w:t>
      </w:r>
      <w:r w:rsidRPr="0ED4F347" w:rsidR="6E4E6F23">
        <w:rPr>
          <w:rFonts w:eastAsia="Arial"/>
          <w:b w:val="1"/>
          <w:bCs w:val="1"/>
          <w:sz w:val="24"/>
          <w:szCs w:val="24"/>
        </w:rPr>
        <w:t xml:space="preserve"> </w:t>
      </w:r>
      <w:r w:rsidRPr="0ED4F347" w:rsidR="6E4E6F23">
        <w:rPr>
          <w:rFonts w:ascii="Arial" w:hAnsi="Arial" w:eastAsia="Arial" w:cs="Arial"/>
          <w:color w:val="auto"/>
          <w:sz w:val="24"/>
          <w:szCs w:val="24"/>
          <w:lang w:eastAsia="es-CO" w:bidi="ar-SA"/>
        </w:rPr>
        <w:t>Sí</w:t>
      </w:r>
      <w:r w:rsidRPr="0ED4F347" w:rsidR="55F63195">
        <w:rPr>
          <w:rFonts w:ascii="Arial" w:hAnsi="Arial" w:eastAsia="Arial" w:cs="Arial"/>
          <w:color w:val="auto"/>
          <w:sz w:val="24"/>
          <w:szCs w:val="24"/>
          <w:lang w:eastAsia="es-CO" w:bidi="ar-SA"/>
        </w:rPr>
        <w:t xml:space="preserve"> se evidenció materialización del riesgo</w:t>
      </w:r>
      <w:r w:rsidRPr="0ED4F347" w:rsidR="6E4E6F23">
        <w:rPr>
          <w:rFonts w:ascii="Arial" w:hAnsi="Arial" w:eastAsia="Arial" w:cs="Arial"/>
          <w:color w:val="auto"/>
          <w:sz w:val="24"/>
          <w:szCs w:val="24"/>
          <w:lang w:eastAsia="es-CO" w:bidi="ar-SA"/>
        </w:rPr>
        <w:t xml:space="preserve">, </w:t>
      </w:r>
      <w:r w:rsidRPr="0ED4F347" w:rsidR="3340DDA7">
        <w:rPr>
          <w:rFonts w:ascii="Arial" w:hAnsi="Arial" w:eastAsia="Arial" w:cs="Arial"/>
          <w:color w:val="auto"/>
          <w:sz w:val="24"/>
          <w:szCs w:val="24"/>
          <w:lang w:eastAsia="es-CO" w:bidi="ar-SA"/>
        </w:rPr>
        <w:t xml:space="preserve"> </w:t>
      </w:r>
      <w:r w:rsidRPr="0ED4F347" w:rsidR="5E77FED3">
        <w:rPr>
          <w:rFonts w:ascii="Arial" w:hAnsi="Arial" w:eastAsia="Arial" w:cs="Arial"/>
          <w:color w:val="auto"/>
          <w:sz w:val="24"/>
          <w:szCs w:val="24"/>
          <w:lang w:eastAsia="es-CO" w:bidi="ar-SA"/>
        </w:rPr>
        <w:t>a</w:t>
      </w:r>
      <w:r w:rsidRPr="0ED4F347" w:rsidR="5E77FED3">
        <w:rPr>
          <w:rFonts w:ascii="Arial" w:hAnsi="Arial" w:eastAsia="Arial" w:cs="Arial"/>
          <w:noProof w:val="0"/>
          <w:color w:val="auto"/>
          <w:sz w:val="24"/>
          <w:szCs w:val="24"/>
          <w:lang w:val="es-CO" w:eastAsia="es-CO" w:bidi="ar-SA"/>
        </w:rPr>
        <w:t>l contrastar la información del EDAN con las planillas de entrega de ayudas humanitarias, se evidenció que, de las 30 planillas revisadas, se registran 283 beneficiarios, de los cuales únicamente 15 coinciden con los nombres reportados en el EDAN. Esta situación genera incertidumbre respecto a la coherencia entre la población focalizada con necesidades y la población efectivamente atendida, lo que evidencia debilidades en la planeación por parte de la unidad, afectando la adecuada gestión del riesgo de desastres.</w:t>
      </w:r>
      <w:r w:rsidRPr="0ED4F347" w:rsidR="4C4E0B72">
        <w:rPr>
          <w:rFonts w:ascii="Arial" w:hAnsi="Arial" w:eastAsia="Arial" w:cs="Arial"/>
          <w:noProof w:val="0"/>
          <w:color w:val="auto"/>
          <w:sz w:val="24"/>
          <w:szCs w:val="24"/>
          <w:lang w:val="es-CO" w:eastAsia="es-CO" w:bidi="ar-SA"/>
        </w:rPr>
        <w:t xml:space="preserve"> </w:t>
      </w:r>
      <w:r w:rsidRPr="0ED4F347" w:rsidR="4C4E0B72">
        <w:rPr>
          <w:rFonts w:ascii="Arial" w:hAnsi="Arial" w:eastAsia="Arial" w:cs="Arial"/>
          <w:b w:val="1"/>
          <w:bCs w:val="1"/>
          <w:noProof w:val="0"/>
          <w:color w:val="auto"/>
          <w:sz w:val="24"/>
          <w:szCs w:val="24"/>
          <w:lang w:val="es-CO" w:eastAsia="es-CO" w:bidi="ar-SA"/>
        </w:rPr>
        <w:t>Este hecho configuro el hallazgo</w:t>
      </w:r>
      <w:r w:rsidRPr="0ED4F347" w:rsidR="26AE439C">
        <w:rPr>
          <w:rFonts w:ascii="Arial" w:hAnsi="Arial" w:eastAsia="Arial" w:cs="Arial"/>
          <w:b w:val="1"/>
          <w:bCs w:val="1"/>
          <w:noProof w:val="0"/>
          <w:color w:val="auto"/>
          <w:sz w:val="24"/>
          <w:szCs w:val="24"/>
          <w:lang w:val="es-CO" w:eastAsia="es-CO" w:bidi="ar-SA"/>
        </w:rPr>
        <w:t xml:space="preserve"> tipo incumplimiento</w:t>
      </w:r>
      <w:r w:rsidRPr="0ED4F347" w:rsidR="4C4E0B72">
        <w:rPr>
          <w:rFonts w:ascii="Arial" w:hAnsi="Arial" w:eastAsia="Arial" w:cs="Arial"/>
          <w:b w:val="1"/>
          <w:bCs w:val="1"/>
          <w:noProof w:val="0"/>
          <w:color w:val="auto"/>
          <w:sz w:val="24"/>
          <w:szCs w:val="24"/>
          <w:lang w:val="es-CO" w:eastAsia="es-CO" w:bidi="ar-SA"/>
        </w:rPr>
        <w:t xml:space="preserve"> 8.3.3.</w:t>
      </w:r>
    </w:p>
    <w:p w:rsidR="64BF77F3" w:rsidP="0ED4F347" w:rsidRDefault="64BF77F3" w14:paraId="41160E27" w14:textId="303176ED">
      <w:pPr>
        <w:pStyle w:val="Prrafodelista"/>
        <w:numPr>
          <w:ilvl w:val="0"/>
          <w:numId w:val="1"/>
        </w:numPr>
        <w:spacing w:after="160"/>
        <w:rPr>
          <w:rFonts w:eastAsia="Arial"/>
          <w:color w:val="000000" w:themeColor="text1"/>
          <w:sz w:val="24"/>
          <w:szCs w:val="24"/>
        </w:rPr>
      </w:pPr>
      <w:r w:rsidRPr="0ED4F347" w:rsidR="3E4A9960">
        <w:rPr>
          <w:rFonts w:eastAsia="Arial"/>
          <w:b w:val="1"/>
          <w:bCs w:val="1"/>
          <w:color w:val="000000" w:themeColor="text1" w:themeTint="FF" w:themeShade="FF"/>
          <w:sz w:val="24"/>
          <w:szCs w:val="24"/>
        </w:rPr>
        <w:t xml:space="preserve">Diseño: </w:t>
      </w:r>
      <w:r w:rsidRPr="0ED4F347" w:rsidR="3E4A9960">
        <w:rPr>
          <w:rFonts w:eastAsia="Arial"/>
          <w:color w:val="000000" w:themeColor="text1" w:themeTint="FF" w:themeShade="FF"/>
          <w:sz w:val="24"/>
          <w:szCs w:val="24"/>
        </w:rPr>
        <w:t xml:space="preserve">El resultado obtenido con la aplicación del instrumento fue de 15 (Total). En función de este valor, se determina que el control cumple parcialmente </w:t>
      </w:r>
      <w:r w:rsidRPr="0ED4F347" w:rsidR="4661EEEE">
        <w:rPr>
          <w:rFonts w:eastAsia="Arial"/>
          <w:color w:val="000000" w:themeColor="text1" w:themeTint="FF" w:themeShade="FF"/>
          <w:sz w:val="24"/>
          <w:szCs w:val="24"/>
        </w:rPr>
        <w:t>con</w:t>
      </w:r>
      <w:r w:rsidRPr="0ED4F347" w:rsidR="3E4A9960">
        <w:rPr>
          <w:rFonts w:eastAsia="Arial"/>
          <w:color w:val="000000" w:themeColor="text1" w:themeTint="FF" w:themeShade="FF"/>
          <w:sz w:val="24"/>
          <w:szCs w:val="24"/>
        </w:rPr>
        <w:t xml:space="preserve"> </w:t>
      </w:r>
      <w:r w:rsidRPr="0ED4F347" w:rsidR="3E4A9960">
        <w:rPr>
          <w:rFonts w:eastAsia="Arial"/>
          <w:color w:val="000000" w:themeColor="text1" w:themeTint="FF" w:themeShade="FF"/>
          <w:sz w:val="24"/>
          <w:szCs w:val="24"/>
        </w:rPr>
        <w:t>su diseño para mitigar el riesgo. Se evidencia que el control solo prevé la desviación asociada a su no ejecución y no define claramente las acciones a seguir frente a las diferencias u observaciones que se identifiquen en el seguimiento, lo que limita su capacidad para gestionar oportunamente dichas desviaciones.</w:t>
      </w:r>
    </w:p>
    <w:p w:rsidR="64BF77F3" w:rsidP="00153268" w:rsidRDefault="64BF77F3" w14:paraId="542552DF" w14:textId="640F2355">
      <w:pPr>
        <w:pStyle w:val="Prrafodelista"/>
        <w:numPr>
          <w:ilvl w:val="0"/>
          <w:numId w:val="1"/>
        </w:numPr>
        <w:spacing w:after="160"/>
        <w:rPr>
          <w:rFonts w:eastAsia="Arial"/>
          <w:color w:val="000000" w:themeColor="text1"/>
          <w:sz w:val="24"/>
          <w:szCs w:val="24"/>
        </w:rPr>
      </w:pPr>
      <w:r w:rsidRPr="3AE47990">
        <w:rPr>
          <w:rFonts w:eastAsia="Arial"/>
          <w:b/>
          <w:bCs/>
          <w:color w:val="000000" w:themeColor="text1"/>
          <w:sz w:val="24"/>
          <w:szCs w:val="24"/>
        </w:rPr>
        <w:t xml:space="preserve"> Ejecución:</w:t>
      </w:r>
      <w:r w:rsidRPr="3AE47990">
        <w:rPr>
          <w:rFonts w:eastAsia="Arial"/>
          <w:b/>
          <w:bCs/>
          <w:color w:val="969696"/>
          <w:sz w:val="24"/>
          <w:szCs w:val="24"/>
        </w:rPr>
        <w:t xml:space="preserve"> </w:t>
      </w:r>
      <w:r w:rsidRPr="3AE47990">
        <w:rPr>
          <w:rFonts w:eastAsia="Arial"/>
          <w:color w:val="000000" w:themeColor="text1"/>
          <w:sz w:val="24"/>
          <w:szCs w:val="24"/>
        </w:rPr>
        <w:t xml:space="preserve">El resultado obtenido con la aplicación del instrumento fue de </w:t>
      </w:r>
      <w:r w:rsidRPr="3AE47990" w:rsidR="30E9E50D">
        <w:rPr>
          <w:rFonts w:eastAsia="Arial"/>
          <w:color w:val="000000" w:themeColor="text1"/>
          <w:sz w:val="24"/>
          <w:szCs w:val="24"/>
        </w:rPr>
        <w:t>70</w:t>
      </w:r>
      <w:r w:rsidRPr="3AE47990">
        <w:rPr>
          <w:rFonts w:eastAsia="Arial"/>
          <w:color w:val="000000" w:themeColor="text1"/>
          <w:sz w:val="24"/>
          <w:szCs w:val="24"/>
        </w:rPr>
        <w:t>. Dado que este valor es inferior a 80, se concluye que el control no se ejecuta conforme a su diseño. De manera general, se observa que no se cumple con la periodicidad definida, no se cuenta con las evidencias que demuestren el seguimiento mensual</w:t>
      </w:r>
      <w:r w:rsidRPr="3AE47990" w:rsidR="38904339">
        <w:rPr>
          <w:rFonts w:eastAsia="Arial"/>
          <w:color w:val="000000" w:themeColor="text1"/>
          <w:sz w:val="24"/>
          <w:szCs w:val="24"/>
        </w:rPr>
        <w:t>, para el primer semestre de la vigencia 2025.</w:t>
      </w:r>
      <w:r w:rsidRPr="3AE47990" w:rsidR="554CFF3E">
        <w:rPr>
          <w:rFonts w:eastAsia="Arial"/>
          <w:color w:val="000000" w:themeColor="text1"/>
          <w:sz w:val="24"/>
          <w:szCs w:val="24"/>
        </w:rPr>
        <w:t xml:space="preserve"> Se pudo verificar que el control como se encuentra configurado en la matriz de 2025, se tenía contemplado en la matriz de riesgos de gestión de la vigencia 2024, por lo que su aprobación en ISOLUCION no exime a la Unidad de conta</w:t>
      </w:r>
      <w:r w:rsidRPr="3AE47990" w:rsidR="0B455C5E">
        <w:rPr>
          <w:rFonts w:eastAsia="Arial"/>
          <w:color w:val="000000" w:themeColor="text1"/>
          <w:sz w:val="24"/>
          <w:szCs w:val="24"/>
        </w:rPr>
        <w:t>r con soportes de toda la vigencia 2025.</w:t>
      </w:r>
    </w:p>
    <w:p w:rsidR="64BF77F3" w:rsidP="00153268" w:rsidRDefault="64BF77F3" w14:paraId="43384BCF" w14:textId="01A64882">
      <w:pPr>
        <w:pStyle w:val="Prrafodelista"/>
        <w:numPr>
          <w:ilvl w:val="0"/>
          <w:numId w:val="1"/>
        </w:numPr>
        <w:spacing w:after="160"/>
        <w:rPr>
          <w:rFonts w:eastAsia="Arial"/>
          <w:color w:val="000000" w:themeColor="text1"/>
          <w:sz w:val="24"/>
          <w:szCs w:val="24"/>
        </w:rPr>
      </w:pPr>
      <w:r w:rsidRPr="3AE47990">
        <w:rPr>
          <w:rFonts w:eastAsia="Arial"/>
          <w:b/>
          <w:bCs/>
          <w:color w:val="000000" w:themeColor="text1"/>
          <w:sz w:val="24"/>
          <w:szCs w:val="24"/>
        </w:rPr>
        <w:t xml:space="preserve"> Efectividad: </w:t>
      </w:r>
      <w:r w:rsidRPr="3AE47990">
        <w:rPr>
          <w:rFonts w:eastAsia="Arial"/>
          <w:color w:val="000000" w:themeColor="text1"/>
          <w:sz w:val="24"/>
          <w:szCs w:val="24"/>
        </w:rPr>
        <w:t>La efectividad del control obtuvo un resultado débil, ubicándolo en la categoría “débil”. En consecuencia, se configura un hallazgo clasificado como “</w:t>
      </w:r>
      <w:r w:rsidRPr="3AE47990" w:rsidR="6BD89B9A">
        <w:rPr>
          <w:rFonts w:eastAsia="Arial"/>
          <w:color w:val="000000" w:themeColor="text1"/>
          <w:sz w:val="24"/>
          <w:szCs w:val="24"/>
        </w:rPr>
        <w:t>no cumple</w:t>
      </w:r>
      <w:r w:rsidRPr="3AE47990">
        <w:rPr>
          <w:rFonts w:eastAsia="Arial"/>
          <w:color w:val="000000" w:themeColor="text1"/>
          <w:sz w:val="24"/>
          <w:szCs w:val="24"/>
        </w:rPr>
        <w:t>”, dado que el control, en su estado actual, no resulta suficiente para mitigar adecuadamente el riesgo asociado y no se cuenta con las actas u otros soportes que evidencien su ejecución conforme a lo definido</w:t>
      </w:r>
      <w:r w:rsidRPr="3AE47990" w:rsidR="3E3CBB86">
        <w:rPr>
          <w:rFonts w:eastAsia="Arial"/>
          <w:color w:val="000000" w:themeColor="text1"/>
          <w:sz w:val="24"/>
          <w:szCs w:val="24"/>
        </w:rPr>
        <w:t>.</w:t>
      </w:r>
    </w:p>
    <w:p w:rsidR="64BF77F3" w:rsidP="3AE47990" w:rsidRDefault="6C3DA181" w14:paraId="678501D8" w14:textId="7B556EE7">
      <w:pPr>
        <w:spacing w:before="240" w:after="240"/>
      </w:pPr>
      <w:r w:rsidRPr="0ED4F347" w:rsidR="19C07A49">
        <w:rPr>
          <w:rFonts w:eastAsia="Arial"/>
          <w:sz w:val="24"/>
          <w:szCs w:val="24"/>
        </w:rPr>
        <w:t>Se concluye que, aunque el control obtuvo una calificación en la categoría “débil”</w:t>
      </w:r>
      <w:r w:rsidRPr="0ED4F347" w:rsidR="6AE62E67">
        <w:rPr>
          <w:rFonts w:eastAsia="Arial"/>
          <w:sz w:val="24"/>
          <w:szCs w:val="24"/>
        </w:rPr>
        <w:t xml:space="preserve"> con 85 puntos</w:t>
      </w:r>
      <w:r w:rsidRPr="0ED4F347" w:rsidR="19C07A49">
        <w:rPr>
          <w:rFonts w:eastAsia="Arial"/>
          <w:sz w:val="24"/>
          <w:szCs w:val="24"/>
        </w:rPr>
        <w:t>, la UAEGRD hace parte del proceso de Gobernanza, Gestión del Riesgo de Desastres y Seguridad Ciudadana. En relación con este, el Informe de Evaluación de la Gestión del Riesgo 2025 de la Oficina de Control Interno (tercera línea de defensa) determinó que el control evaluado presenta una efectividad moderada, identificándolo como una oportunidad de mejora (#739), que se encuentra en estado abierto a la fecha del informe.</w:t>
      </w:r>
    </w:p>
    <w:p w:rsidR="64BF77F3" w:rsidP="3AE47990" w:rsidRDefault="6C3DA181" w14:paraId="342E0B89" w14:textId="4BDCAAEE">
      <w:pPr>
        <w:spacing w:before="240" w:after="240"/>
      </w:pPr>
      <w:r w:rsidRPr="3AE47990">
        <w:rPr>
          <w:rFonts w:eastAsia="Arial"/>
          <w:sz w:val="24"/>
          <w:szCs w:val="24"/>
        </w:rPr>
        <w:lastRenderedPageBreak/>
        <w:t xml:space="preserve">Adicionalmente, en ISOLUCIÓN se verificó la publicación de la matriz de riesgos de gestión para la vigencia 2026, evidenciándose que aún no se encuentra disponible. Esto abre la posibilidad de que el proceso, de manera integral, analice estos resultados y realice los ajustes correspondientes en su próxima actualización. </w:t>
      </w:r>
    </w:p>
    <w:p w:rsidR="64BF77F3" w:rsidP="3AE47990" w:rsidRDefault="6C3DA181" w14:paraId="4D866CDD" w14:textId="33DA7795">
      <w:pPr>
        <w:spacing w:before="240" w:after="240"/>
        <w:rPr>
          <w:rFonts w:eastAsia="Arial"/>
          <w:sz w:val="24"/>
          <w:szCs w:val="24"/>
        </w:rPr>
      </w:pPr>
      <w:r w:rsidRPr="3AE47990">
        <w:rPr>
          <w:rFonts w:eastAsia="Arial"/>
          <w:sz w:val="24"/>
          <w:szCs w:val="24"/>
        </w:rPr>
        <w:t>Por lo anteriormente mencionado, se retira el incumplimiento.</w:t>
      </w:r>
    </w:p>
    <w:p w:rsidR="64BF77F3" w:rsidP="3AE47990" w:rsidRDefault="64BF77F3" w14:paraId="628F721A" w14:textId="4D8E0355">
      <w:pPr>
        <w:shd w:val="clear" w:color="auto" w:fill="FFFFFF" w:themeFill="background1"/>
        <w:rPr>
          <w:rFonts w:eastAsia="Arial"/>
          <w:color w:val="000000" w:themeColor="text1"/>
          <w:sz w:val="24"/>
          <w:szCs w:val="24"/>
        </w:rPr>
      </w:pPr>
    </w:p>
    <w:p w:rsidR="64BF77F3" w:rsidP="3AE47990" w:rsidRDefault="64BF77F3" w14:paraId="06E8D911" w14:textId="79BD2D20">
      <w:pPr>
        <w:shd w:val="clear" w:color="auto" w:fill="FFFFFF" w:themeFill="background1"/>
        <w:rPr>
          <w:rFonts w:eastAsia="Arial"/>
          <w:color w:val="000000" w:themeColor="text1"/>
          <w:sz w:val="24"/>
          <w:szCs w:val="24"/>
        </w:rPr>
      </w:pPr>
    </w:p>
    <w:p w:rsidR="64BF77F3" w:rsidP="3AE47990" w:rsidRDefault="3E3CBB86" w14:paraId="489A4452" w14:textId="575C7B2C">
      <w:pPr>
        <w:spacing w:after="160"/>
        <w:rPr>
          <w:rFonts w:eastAsia="Arial"/>
          <w:color w:val="000000" w:themeColor="text1"/>
          <w:sz w:val="24"/>
          <w:szCs w:val="24"/>
        </w:rPr>
        <w:sectPr w:rsidR="64BF77F3" w:rsidSect="008F3910">
          <w:pgSz w:w="12240" w:h="15840" w:orient="portrait"/>
          <w:pgMar w:top="1418" w:right="567" w:bottom="1928" w:left="1134" w:header="567" w:footer="567" w:gutter="0"/>
          <w:cols w:space="720"/>
          <w:docGrid w:linePitch="299"/>
        </w:sectPr>
      </w:pPr>
      <w:r w:rsidRPr="3AE47990">
        <w:rPr>
          <w:rFonts w:eastAsia="Arial"/>
          <w:sz w:val="24"/>
          <w:szCs w:val="24"/>
        </w:rPr>
        <w:t xml:space="preserve"> </w:t>
      </w:r>
    </w:p>
    <w:p w:rsidR="00A034C3" w:rsidP="0ED4F347" w:rsidRDefault="00886DE3" w14:paraId="76A670F9" w14:textId="75129293">
      <w:pPr>
        <w:pStyle w:val="Ttulo1"/>
        <w:rPr/>
      </w:pPr>
      <w:bookmarkStart w:name="_Toc206756959" w:id="84"/>
      <w:bookmarkStart w:name="_Toc206758791" w:id="85"/>
      <w:bookmarkStart w:name="_Toc206758807" w:id="86"/>
      <w:bookmarkStart w:name="_Toc206758855" w:id="87"/>
      <w:bookmarkStart w:name="_Toc206758871" w:id="88"/>
      <w:bookmarkStart w:name="_Toc206759094" w:id="89"/>
      <w:bookmarkStart w:name="_Toc206759645" w:id="90"/>
      <w:r w:rsidR="1F71E183">
        <w:rPr/>
        <w:t>EV</w:t>
      </w:r>
      <w:r w:rsidR="54AC35DF">
        <w:rPr/>
        <w:t xml:space="preserve">ALUACIÓN </w:t>
      </w:r>
      <w:r w:rsidR="50C6CA9E">
        <w:rPr/>
        <w:t>DEL SISTEMA DE CONTROL INTERNO</w:t>
      </w:r>
      <w:bookmarkEnd w:id="84"/>
      <w:bookmarkEnd w:id="85"/>
      <w:bookmarkEnd w:id="86"/>
      <w:bookmarkEnd w:id="87"/>
      <w:bookmarkEnd w:id="88"/>
      <w:bookmarkEnd w:id="89"/>
      <w:bookmarkEnd w:id="90"/>
    </w:p>
    <w:p w:rsidR="0ED4F347" w:rsidP="0ED4F347" w:rsidRDefault="0ED4F347" w14:paraId="72DAFD86" w14:textId="4083C1AF">
      <w:pPr>
        <w:pStyle w:val="Normal"/>
      </w:pPr>
    </w:p>
    <w:p w:rsidR="11BD1DA3" w:rsidP="0ED4F347" w:rsidRDefault="11BD1DA3" w14:paraId="367D6D28" w14:textId="1611AAFF">
      <w:pPr>
        <w:spacing w:before="0" w:beforeAutospacing="off" w:after="160" w:afterAutospacing="off" w:line="276" w:lineRule="auto"/>
        <w:jc w:val="both"/>
      </w:pPr>
      <w:r w:rsidRPr="0ED4F347" w:rsidR="11BD1DA3">
        <w:rPr>
          <w:rFonts w:ascii="Arial" w:hAnsi="Arial" w:eastAsia="Arial" w:cs="Arial"/>
          <w:noProof w:val="0"/>
          <w:sz w:val="24"/>
          <w:szCs w:val="24"/>
          <w:lang w:val="es-ES"/>
        </w:rPr>
        <w:t>En cumplimiento del objetivo específico de la auditoría, orientado a evaluar la efectividad del Sistema de Control Interno de la UAEGRD de Cundinamarca mediante el análisis de sus componentes fundamentales, la Oficina de Control Interno verificó el estado de cinco criterios correspondientes al proceso M5 Gobernanza, Gestión del Riesgo de Desastres y Seguridad Ciudadana, en el marco del Modelo Integrado de Planeación y Gestión (MIPG) y los lineamientos de la Ley 87 de 1993.</w:t>
      </w:r>
    </w:p>
    <w:p w:rsidR="11BD1DA3" w:rsidP="0ED4F347" w:rsidRDefault="11BD1DA3" w14:paraId="567FBFFE" w14:textId="01845433">
      <w:pPr>
        <w:spacing w:before="0" w:beforeAutospacing="off" w:after="160" w:afterAutospacing="off" w:line="276" w:lineRule="auto"/>
        <w:jc w:val="both"/>
      </w:pPr>
      <w:r w:rsidRPr="0ED4F347" w:rsidR="11BD1DA3">
        <w:rPr>
          <w:rFonts w:ascii="Arial" w:hAnsi="Arial" w:eastAsia="Arial" w:cs="Arial"/>
          <w:noProof w:val="0"/>
          <w:sz w:val="24"/>
          <w:szCs w:val="24"/>
          <w:lang w:val="es-ES"/>
        </w:rPr>
        <w:t>La evaluación abarcó los componentes de Ambiente de Control, Evaluación de Riesgos, Actividades de Control, Información y Comunicación, y Monitoreo – Supervisión. Para cada uno se definió un criterio de verificación específico y se asignó una calificación que refleja el nivel de cumplimiento observado durante el período comprendido entre el 1 de enero y el 31 de diciembre de 2025. Los resultados se consolidan en la siguiente tabla:</w:t>
      </w:r>
    </w:p>
    <w:p w:rsidR="0ED4F347" w:rsidP="0ED4F347" w:rsidRDefault="0ED4F347" w14:paraId="4FEDF1DE" w14:textId="2D3232BA">
      <w:pPr>
        <w:pStyle w:val="GrisIndicaciones"/>
        <w:rPr>
          <w:rFonts w:ascii="Arial" w:hAnsi="Arial" w:eastAsia="Arial" w:cs="Arial"/>
          <w:i w:val="0"/>
          <w:iCs w:val="0"/>
          <w:color w:val="auto"/>
          <w:sz w:val="24"/>
          <w:szCs w:val="24"/>
        </w:rPr>
      </w:pPr>
    </w:p>
    <w:p w:rsidR="00A034C3" w:rsidP="0ED4F347" w:rsidRDefault="00854AED" w14:paraId="0E773C0A" w14:textId="233F4C63">
      <w:pPr>
        <w:pStyle w:val="GrisIndicaciones"/>
        <w:rPr>
          <w:rFonts w:ascii="Arial" w:hAnsi="Arial" w:eastAsia="Arial" w:cs="Arial"/>
          <w:i w:val="0"/>
          <w:iCs w:val="0"/>
          <w:color w:val="auto"/>
          <w:sz w:val="24"/>
          <w:szCs w:val="24"/>
        </w:rPr>
      </w:pPr>
      <w:r w:rsidRPr="0ED4F347" w:rsidR="26013D0B">
        <w:rPr>
          <w:rFonts w:ascii="Arial" w:hAnsi="Arial" w:eastAsia="Arial" w:cs="Arial"/>
          <w:i w:val="0"/>
          <w:iCs w:val="0"/>
          <w:color w:val="auto"/>
          <w:sz w:val="24"/>
          <w:szCs w:val="24"/>
        </w:rPr>
        <w:t xml:space="preserve">Tabla </w:t>
      </w:r>
      <w:r w:rsidRPr="0ED4F347" w:rsidR="51BB549F">
        <w:rPr>
          <w:rFonts w:ascii="Arial" w:hAnsi="Arial" w:eastAsia="Arial" w:cs="Arial"/>
          <w:i w:val="0"/>
          <w:iCs w:val="0"/>
          <w:color w:val="auto"/>
          <w:sz w:val="24"/>
          <w:szCs w:val="24"/>
        </w:rPr>
        <w:t>21</w:t>
      </w:r>
      <w:r w:rsidRPr="0ED4F347" w:rsidR="26013D0B">
        <w:rPr>
          <w:rFonts w:ascii="Arial" w:hAnsi="Arial" w:eastAsia="Arial" w:cs="Arial"/>
          <w:i w:val="0"/>
          <w:iCs w:val="0"/>
          <w:color w:val="auto"/>
          <w:sz w:val="24"/>
          <w:szCs w:val="24"/>
        </w:rPr>
        <w:t>. Criterios diferenciales</w:t>
      </w:r>
      <w:r w:rsidRPr="0ED4F347" w:rsidR="50C6CA9E">
        <w:rPr>
          <w:rFonts w:ascii="Arial" w:hAnsi="Arial" w:eastAsia="Arial" w:cs="Arial"/>
          <w:i w:val="0"/>
          <w:iCs w:val="0"/>
          <w:color w:val="auto"/>
          <w:sz w:val="24"/>
          <w:szCs w:val="24"/>
        </w:rPr>
        <w:t xml:space="preserve"> evaluados</w:t>
      </w:r>
      <w:r w:rsidRPr="0ED4F347" w:rsidR="652383BE">
        <w:rPr>
          <w:rFonts w:ascii="Arial" w:hAnsi="Arial" w:eastAsia="Arial" w:cs="Arial"/>
          <w:i w:val="0"/>
          <w:iCs w:val="0"/>
          <w:color w:val="auto"/>
          <w:sz w:val="24"/>
          <w:szCs w:val="24"/>
        </w:rPr>
        <w:t>.</w:t>
      </w:r>
      <w:r w:rsidRPr="0ED4F347" w:rsidR="50C6CA9E">
        <w:rPr>
          <w:rFonts w:ascii="Arial" w:hAnsi="Arial" w:eastAsia="Arial" w:cs="Arial"/>
          <w:i w:val="0"/>
          <w:iCs w:val="0"/>
          <w:color w:val="auto"/>
          <w:sz w:val="24"/>
          <w:szCs w:val="24"/>
        </w:rPr>
        <w:t xml:space="preserve"> </w:t>
      </w:r>
    </w:p>
    <w:p w:rsidR="00756C0F" w:rsidP="0ED4F347" w:rsidRDefault="00756C0F" w14:paraId="70E0009D" w14:textId="1E07E417">
      <w:pPr>
        <w:spacing w:after="160" w:line="257" w:lineRule="auto"/>
        <w:rPr>
          <w:rFonts w:ascii="Arial" w:hAnsi="Arial" w:eastAsia="Arial" w:cs="Arial"/>
          <w:i w:val="0"/>
          <w:iCs w:val="0"/>
          <w:color w:val="auto"/>
          <w:sz w:val="24"/>
          <w:szCs w:val="24"/>
        </w:rPr>
      </w:pPr>
    </w:p>
    <w:tbl>
      <w:tblPr>
        <w:tblStyle w:val="Tablaconcuadrcula"/>
        <w:tblW w:w="0" w:type="auto"/>
        <w:tblLook w:val="04A0" w:firstRow="1" w:lastRow="0" w:firstColumn="1" w:lastColumn="0" w:noHBand="0" w:noVBand="1"/>
      </w:tblPr>
      <w:tblGrid>
        <w:gridCol w:w="1590"/>
        <w:gridCol w:w="1875"/>
        <w:gridCol w:w="1710"/>
        <w:gridCol w:w="1590"/>
        <w:gridCol w:w="3660"/>
      </w:tblGrid>
      <w:tr w:rsidR="3AE47990" w:rsidTr="0ED4F347" w14:paraId="33B7BC7E" w14:textId="77777777">
        <w:trPr>
          <w:trHeight w:val="615"/>
        </w:trPr>
        <w:tc>
          <w:tcPr>
            <w:tcW w:w="1590" w:type="dxa"/>
            <w:tcBorders>
              <w:top w:val="single" w:color="auto" w:sz="4" w:space="0"/>
              <w:left w:val="single" w:color="auto" w:sz="4" w:space="0"/>
              <w:bottom w:val="single" w:color="auto" w:sz="4" w:space="0"/>
              <w:right w:val="single" w:color="auto" w:sz="4" w:space="0"/>
            </w:tcBorders>
            <w:shd w:val="clear" w:color="auto" w:fill="D0CECE" w:themeFill="background2" w:themeFillShade="E6"/>
            <w:tcMar>
              <w:left w:w="108" w:type="dxa"/>
              <w:right w:w="108" w:type="dxa"/>
            </w:tcMar>
          </w:tcPr>
          <w:p w:rsidR="3AE47990" w:rsidP="3AE47990" w:rsidRDefault="3AE47990" w14:paraId="37AEB219" w14:textId="25E685A4">
            <w:pPr>
              <w:jc w:val="center"/>
            </w:pPr>
            <w:r w:rsidRPr="3AE47990">
              <w:rPr>
                <w:rFonts w:eastAsia="Arial"/>
                <w:b/>
                <w:bCs/>
                <w:sz w:val="20"/>
                <w:szCs w:val="20"/>
              </w:rPr>
              <w:t xml:space="preserve">Proceso </w:t>
            </w:r>
          </w:p>
        </w:tc>
        <w:tc>
          <w:tcPr>
            <w:tcW w:w="1875" w:type="dxa"/>
            <w:tcBorders>
              <w:top w:val="single" w:color="auto" w:sz="4" w:space="0"/>
              <w:left w:val="single" w:color="auto" w:sz="4" w:space="0"/>
              <w:bottom w:val="single" w:color="auto" w:sz="4" w:space="0"/>
              <w:right w:val="single" w:color="auto" w:sz="4" w:space="0"/>
            </w:tcBorders>
            <w:shd w:val="clear" w:color="auto" w:fill="D0CECE" w:themeFill="background2" w:themeFillShade="E6"/>
            <w:tcMar>
              <w:left w:w="108" w:type="dxa"/>
              <w:right w:w="108" w:type="dxa"/>
            </w:tcMar>
          </w:tcPr>
          <w:p w:rsidR="3AE47990" w:rsidP="3AE47990" w:rsidRDefault="3AE47990" w14:paraId="7F0E77A3" w14:textId="4FACFF9D">
            <w:pPr>
              <w:jc w:val="center"/>
            </w:pPr>
            <w:r w:rsidRPr="3AE47990">
              <w:rPr>
                <w:rFonts w:eastAsia="Arial"/>
                <w:b/>
                <w:bCs/>
                <w:sz w:val="20"/>
                <w:szCs w:val="20"/>
              </w:rPr>
              <w:t>Criterio Lineamiento por Verificar</w:t>
            </w:r>
          </w:p>
        </w:tc>
        <w:tc>
          <w:tcPr>
            <w:tcW w:w="1710" w:type="dxa"/>
            <w:tcBorders>
              <w:top w:val="single" w:color="auto" w:sz="4" w:space="0"/>
              <w:left w:val="single" w:color="auto" w:sz="4" w:space="0"/>
              <w:bottom w:val="single" w:color="auto" w:sz="4" w:space="0"/>
              <w:right w:val="single" w:color="auto" w:sz="4" w:space="0"/>
            </w:tcBorders>
            <w:shd w:val="clear" w:color="auto" w:fill="D0CECE" w:themeFill="background2" w:themeFillShade="E6"/>
            <w:tcMar>
              <w:left w:w="108" w:type="dxa"/>
              <w:right w:w="108" w:type="dxa"/>
            </w:tcMar>
          </w:tcPr>
          <w:p w:rsidR="3AE47990" w:rsidP="3AE47990" w:rsidRDefault="3AE47990" w14:paraId="31D0E133" w14:textId="66804C92">
            <w:pPr>
              <w:jc w:val="center"/>
            </w:pPr>
            <w:r w:rsidRPr="3AE47990">
              <w:rPr>
                <w:rFonts w:eastAsia="Arial"/>
                <w:b/>
                <w:bCs/>
                <w:sz w:val="20"/>
                <w:szCs w:val="20"/>
              </w:rPr>
              <w:t>Componente</w:t>
            </w:r>
          </w:p>
        </w:tc>
        <w:tc>
          <w:tcPr>
            <w:tcW w:w="1590" w:type="dxa"/>
            <w:tcBorders>
              <w:top w:val="single" w:color="auto" w:sz="4" w:space="0"/>
              <w:left w:val="single" w:color="auto" w:sz="4" w:space="0"/>
              <w:bottom w:val="single" w:color="auto" w:sz="4" w:space="0"/>
              <w:right w:val="single" w:color="auto" w:sz="4" w:space="0"/>
            </w:tcBorders>
            <w:shd w:val="clear" w:color="auto" w:fill="D0CECE" w:themeFill="background2" w:themeFillShade="E6"/>
            <w:tcMar>
              <w:left w:w="108" w:type="dxa"/>
              <w:right w:w="108" w:type="dxa"/>
            </w:tcMar>
          </w:tcPr>
          <w:p w:rsidR="3AE47990" w:rsidP="3AE47990" w:rsidRDefault="3AE47990" w14:paraId="5E6A5C55" w14:textId="0F06D4F5">
            <w:pPr>
              <w:jc w:val="center"/>
            </w:pPr>
            <w:r w:rsidRPr="3AE47990">
              <w:rPr>
                <w:rFonts w:eastAsia="Arial"/>
                <w:b/>
                <w:bCs/>
                <w:sz w:val="20"/>
                <w:szCs w:val="20"/>
              </w:rPr>
              <w:t>Calificación</w:t>
            </w:r>
          </w:p>
        </w:tc>
        <w:tc>
          <w:tcPr>
            <w:tcW w:w="3660" w:type="dxa"/>
            <w:tcBorders>
              <w:top w:val="single" w:color="auto" w:sz="4" w:space="0"/>
              <w:left w:val="single" w:color="auto" w:sz="4" w:space="0"/>
              <w:bottom w:val="single" w:color="auto" w:sz="4" w:space="0"/>
              <w:right w:val="single" w:color="auto" w:sz="4" w:space="0"/>
            </w:tcBorders>
            <w:shd w:val="clear" w:color="auto" w:fill="D0CECE" w:themeFill="background2" w:themeFillShade="E6"/>
            <w:tcMar>
              <w:left w:w="108" w:type="dxa"/>
              <w:right w:w="108" w:type="dxa"/>
            </w:tcMar>
          </w:tcPr>
          <w:p w:rsidR="3AE47990" w:rsidP="3AE47990" w:rsidRDefault="3AE47990" w14:paraId="4883B1D9" w14:textId="1D7FF8FE">
            <w:pPr>
              <w:jc w:val="center"/>
            </w:pPr>
            <w:r w:rsidRPr="3AE47990">
              <w:rPr>
                <w:rFonts w:eastAsia="Arial"/>
                <w:b/>
                <w:bCs/>
                <w:sz w:val="20"/>
                <w:szCs w:val="20"/>
              </w:rPr>
              <w:t>Resultado / Análisis</w:t>
            </w:r>
          </w:p>
        </w:tc>
      </w:tr>
      <w:tr w:rsidR="3AE47990" w:rsidTr="0ED4F347" w14:paraId="6E20E608" w14:textId="77777777">
        <w:trPr>
          <w:trHeight w:val="3735"/>
        </w:trPr>
        <w:tc>
          <w:tcPr>
            <w:tcW w:w="1590" w:type="dxa"/>
            <w:tcBorders>
              <w:top w:val="single" w:color="auto" w:sz="4" w:space="0"/>
              <w:left w:val="single" w:color="auto" w:sz="4" w:space="0"/>
              <w:bottom w:val="single" w:color="auto" w:sz="4" w:space="0"/>
              <w:right w:val="single" w:color="auto" w:sz="4" w:space="0"/>
            </w:tcBorders>
            <w:tcMar>
              <w:left w:w="108" w:type="dxa"/>
              <w:right w:w="108" w:type="dxa"/>
            </w:tcMar>
          </w:tcPr>
          <w:p w:rsidR="3AE47990" w:rsidP="3AE47990" w:rsidRDefault="3AE47990" w14:paraId="15D658D9" w14:textId="358E4274">
            <w:r w:rsidRPr="3AE47990">
              <w:rPr>
                <w:rFonts w:eastAsia="Arial"/>
                <w:sz w:val="20"/>
                <w:szCs w:val="20"/>
              </w:rPr>
              <w:t>M5. Gobernanza, Gestión Riesgos y Desastres y Seguridad Ciudadana</w:t>
            </w:r>
          </w:p>
        </w:tc>
        <w:tc>
          <w:tcPr>
            <w:tcW w:w="1875" w:type="dxa"/>
            <w:tcBorders>
              <w:top w:val="single" w:color="auto" w:sz="4" w:space="0"/>
              <w:left w:val="single" w:color="auto" w:sz="4" w:space="0"/>
              <w:bottom w:val="single" w:color="auto" w:sz="4" w:space="0"/>
              <w:right w:val="single" w:color="auto" w:sz="4" w:space="0"/>
            </w:tcBorders>
            <w:tcMar>
              <w:left w:w="108" w:type="dxa"/>
              <w:right w:w="108" w:type="dxa"/>
            </w:tcMar>
          </w:tcPr>
          <w:p w:rsidR="3AE47990" w:rsidP="3AE47990" w:rsidRDefault="3AE47990" w14:paraId="75B30FE4" w14:textId="4E8A6D43">
            <w:r w:rsidRPr="3AE47990">
              <w:rPr>
                <w:rFonts w:eastAsia="Arial"/>
                <w:sz w:val="20"/>
                <w:szCs w:val="20"/>
              </w:rPr>
              <w:t>Analizar si se cuenta con políticas claras y comunicadas relacionadas con la responsabilidad de cada servidor sobre el desarrollo y mantenimiento del control interno (1a línea de defensa)</w:t>
            </w:r>
          </w:p>
        </w:tc>
        <w:tc>
          <w:tcPr>
            <w:tcW w:w="1710" w:type="dxa"/>
            <w:tcBorders>
              <w:top w:val="single" w:color="auto" w:sz="4" w:space="0"/>
              <w:left w:val="single" w:color="auto" w:sz="4" w:space="0"/>
              <w:bottom w:val="single" w:color="auto" w:sz="4" w:space="0"/>
              <w:right w:val="single" w:color="auto" w:sz="4" w:space="0"/>
            </w:tcBorders>
            <w:tcMar>
              <w:left w:w="108" w:type="dxa"/>
              <w:right w:w="108" w:type="dxa"/>
            </w:tcMar>
          </w:tcPr>
          <w:p w:rsidR="3AE47990" w:rsidP="3AE47990" w:rsidRDefault="3AE47990" w14:paraId="074DF332" w14:textId="130ECDB2">
            <w:r w:rsidRPr="3AE47990">
              <w:rPr>
                <w:rFonts w:eastAsia="Arial"/>
                <w:sz w:val="20"/>
                <w:szCs w:val="20"/>
              </w:rPr>
              <w:t>(1) Ambiente de Control</w:t>
            </w:r>
          </w:p>
        </w:tc>
        <w:tc>
          <w:tcPr>
            <w:tcW w:w="1590" w:type="dxa"/>
            <w:tcBorders>
              <w:top w:val="single" w:color="auto" w:sz="4" w:space="0"/>
              <w:left w:val="single" w:color="auto" w:sz="4" w:space="0"/>
              <w:bottom w:val="single" w:color="auto" w:sz="4" w:space="0"/>
              <w:right w:val="single" w:color="auto" w:sz="4" w:space="0"/>
            </w:tcBorders>
            <w:tcMar>
              <w:left w:w="108" w:type="dxa"/>
              <w:right w:w="108" w:type="dxa"/>
            </w:tcMar>
          </w:tcPr>
          <w:p w:rsidR="3AE47990" w:rsidP="3AE47990" w:rsidRDefault="3AE47990" w14:paraId="0B061397" w14:textId="55FCEFE4">
            <w:pPr>
              <w:jc w:val="center"/>
            </w:pPr>
            <w:r w:rsidRPr="3AE47990">
              <w:rPr>
                <w:rFonts w:eastAsia="Arial"/>
                <w:sz w:val="20"/>
                <w:szCs w:val="20"/>
              </w:rPr>
              <w:t>No cumple</w:t>
            </w:r>
          </w:p>
        </w:tc>
        <w:tc>
          <w:tcPr>
            <w:tcW w:w="3660" w:type="dxa"/>
            <w:tcBorders>
              <w:top w:val="single" w:color="auto" w:sz="4" w:space="0"/>
              <w:left w:val="single" w:color="auto" w:sz="4" w:space="0"/>
              <w:bottom w:val="single" w:color="auto" w:sz="4" w:space="0"/>
              <w:right w:val="single" w:color="auto" w:sz="4" w:space="0"/>
            </w:tcBorders>
            <w:tcMar>
              <w:left w:w="108" w:type="dxa"/>
              <w:right w:w="108" w:type="dxa"/>
            </w:tcMar>
          </w:tcPr>
          <w:p w:rsidR="3AE47990" w:rsidP="3AE47990" w:rsidRDefault="3AE47990" w14:paraId="0B7FA395" w14:textId="5FA66522">
            <w:r w:rsidRPr="3AE47990">
              <w:rPr>
                <w:rFonts w:eastAsia="Arial"/>
                <w:sz w:val="20"/>
                <w:szCs w:val="20"/>
              </w:rPr>
              <w:t xml:space="preserve">De acuerdo con la rúbrica trazada por la Oficina de Control Interno el cumplimiento de los procedimientos y los controles evaluados arroja en promedio el 76% global, de acuerdo la rúbrica definida en la evaluación, esto se traduce en un incumplimiento (ver tablas 1 y 2). </w:t>
            </w:r>
            <w:r>
              <w:br/>
            </w:r>
            <w:r w:rsidRPr="3AE47990">
              <w:rPr>
                <w:rFonts w:eastAsia="Arial"/>
                <w:sz w:val="20"/>
                <w:szCs w:val="20"/>
              </w:rPr>
              <w:t>•El Procedimiento de Atención de Emergencias M FT PR 008 presenta un cumplimiento parcial en las actividades 4, 5, 6, 8, 9, 14 y 15, y un incumplimiento en las actividades 7, 10 y 12.</w:t>
            </w:r>
            <w:r>
              <w:br/>
            </w:r>
            <w:r w:rsidRPr="3AE47990">
              <w:rPr>
                <w:rFonts w:eastAsia="Arial"/>
                <w:sz w:val="20"/>
                <w:szCs w:val="20"/>
              </w:rPr>
              <w:t xml:space="preserve"> • El Procedimiento del Plan de Acción Específico M FT PR 018. Actividad 3 con un cumplimiento parcial.</w:t>
            </w:r>
            <w:r>
              <w:br/>
            </w:r>
            <w:r w:rsidRPr="3AE47990">
              <w:rPr>
                <w:rFonts w:eastAsia="Arial"/>
                <w:sz w:val="20"/>
                <w:szCs w:val="20"/>
              </w:rPr>
              <w:t xml:space="preserve"> • El Procedimiento de Coordinación Interinstitucional M FT PR 006. Actividad 5 con no cumple. </w:t>
            </w:r>
            <w:r>
              <w:br/>
            </w:r>
            <w:r w:rsidRPr="3AE47990">
              <w:rPr>
                <w:rFonts w:eastAsia="Arial"/>
                <w:sz w:val="20"/>
                <w:szCs w:val="20"/>
              </w:rPr>
              <w:t>• El Procedimiento “Entrega de Ayudas Humanitarias” M FT PR 010” presenta un cumplimiento parcial en las actividades 5, 6 y 9, y un incumplimiento en las actividades 4 y 7.</w:t>
            </w:r>
          </w:p>
        </w:tc>
      </w:tr>
      <w:tr w:rsidR="3AE47990" w:rsidTr="0ED4F347" w14:paraId="019365CB" w14:textId="77777777">
        <w:trPr>
          <w:trHeight w:val="2760"/>
        </w:trPr>
        <w:tc>
          <w:tcPr>
            <w:tcW w:w="1590" w:type="dxa"/>
            <w:tcBorders>
              <w:top w:val="single" w:color="auto" w:sz="4" w:space="0"/>
              <w:left w:val="single" w:color="auto" w:sz="4" w:space="0"/>
              <w:bottom w:val="single" w:color="auto" w:sz="4" w:space="0"/>
              <w:right w:val="single" w:color="auto" w:sz="4" w:space="0"/>
            </w:tcBorders>
            <w:tcMar>
              <w:left w:w="108" w:type="dxa"/>
              <w:right w:w="108" w:type="dxa"/>
            </w:tcMar>
          </w:tcPr>
          <w:p w:rsidR="3AE47990" w:rsidP="3AE47990" w:rsidRDefault="3AE47990" w14:paraId="4BCAF3D1" w14:textId="6272D43C">
            <w:r w:rsidRPr="3AE47990">
              <w:rPr>
                <w:rFonts w:eastAsia="Arial"/>
                <w:sz w:val="20"/>
                <w:szCs w:val="20"/>
              </w:rPr>
              <w:lastRenderedPageBreak/>
              <w:t>M5. Gobernanza, Gestión Riesgos y Desastres y Seguridad Ciudadana</w:t>
            </w:r>
          </w:p>
        </w:tc>
        <w:tc>
          <w:tcPr>
            <w:tcW w:w="1875" w:type="dxa"/>
            <w:tcBorders>
              <w:top w:val="single" w:color="auto" w:sz="4" w:space="0"/>
              <w:left w:val="single" w:color="auto" w:sz="4" w:space="0"/>
              <w:bottom w:val="single" w:color="auto" w:sz="4" w:space="0"/>
              <w:right w:val="single" w:color="auto" w:sz="4" w:space="0"/>
            </w:tcBorders>
            <w:tcMar>
              <w:left w:w="108" w:type="dxa"/>
              <w:right w:w="108" w:type="dxa"/>
            </w:tcMar>
          </w:tcPr>
          <w:p w:rsidR="3AE47990" w:rsidP="3AE47990" w:rsidRDefault="3AE47990" w14:paraId="3D91077B" w14:textId="645BAC03">
            <w:r w:rsidRPr="0ED4F347" w:rsidR="26C5BC26">
              <w:rPr>
                <w:rFonts w:eastAsia="Arial"/>
                <w:sz w:val="20"/>
                <w:szCs w:val="20"/>
              </w:rPr>
              <w:t xml:space="preserve">Evalúa fallas en los controles (diseño y ejecución) para definir cursos de acción apropiados para su mejora, basados en los informes de la segunda y tercera </w:t>
            </w:r>
            <w:r w:rsidRPr="0ED4F347" w:rsidR="15AE1D74">
              <w:rPr>
                <w:rFonts w:eastAsia="Arial"/>
                <w:sz w:val="20"/>
                <w:szCs w:val="20"/>
              </w:rPr>
              <w:t>línea</w:t>
            </w:r>
            <w:r w:rsidRPr="0ED4F347" w:rsidR="26C5BC26">
              <w:rPr>
                <w:rFonts w:eastAsia="Arial"/>
                <w:sz w:val="20"/>
                <w:szCs w:val="20"/>
              </w:rPr>
              <w:t xml:space="preserve"> de defensa</w:t>
            </w:r>
          </w:p>
        </w:tc>
        <w:tc>
          <w:tcPr>
            <w:tcW w:w="1710" w:type="dxa"/>
            <w:tcBorders>
              <w:top w:val="single" w:color="auto" w:sz="4" w:space="0"/>
              <w:left w:val="single" w:color="auto" w:sz="4" w:space="0"/>
              <w:bottom w:val="single" w:color="auto" w:sz="4" w:space="0"/>
              <w:right w:val="single" w:color="auto" w:sz="4" w:space="0"/>
            </w:tcBorders>
            <w:tcMar>
              <w:left w:w="108" w:type="dxa"/>
              <w:right w:w="108" w:type="dxa"/>
            </w:tcMar>
          </w:tcPr>
          <w:p w:rsidR="3AE47990" w:rsidP="3AE47990" w:rsidRDefault="3AE47990" w14:paraId="32C81159" w14:textId="57548F38">
            <w:r w:rsidRPr="3AE47990">
              <w:rPr>
                <w:rFonts w:eastAsia="Arial"/>
                <w:sz w:val="20"/>
                <w:szCs w:val="20"/>
              </w:rPr>
              <w:t>(2) Evaluación de riesgos</w:t>
            </w:r>
          </w:p>
        </w:tc>
        <w:tc>
          <w:tcPr>
            <w:tcW w:w="1590" w:type="dxa"/>
            <w:tcBorders>
              <w:top w:val="single" w:color="auto" w:sz="4" w:space="0"/>
              <w:left w:val="single" w:color="auto" w:sz="4" w:space="0"/>
              <w:bottom w:val="single" w:color="auto" w:sz="4" w:space="0"/>
              <w:right w:val="single" w:color="auto" w:sz="4" w:space="0"/>
            </w:tcBorders>
            <w:tcMar>
              <w:left w:w="108" w:type="dxa"/>
              <w:right w:w="108" w:type="dxa"/>
            </w:tcMar>
          </w:tcPr>
          <w:p w:rsidR="3AE47990" w:rsidP="3AE47990" w:rsidRDefault="3AE47990" w14:paraId="6C21B067" w14:textId="64E4F74C">
            <w:pPr>
              <w:jc w:val="center"/>
            </w:pPr>
            <w:r w:rsidRPr="3AE47990">
              <w:rPr>
                <w:rFonts w:eastAsia="Arial"/>
                <w:sz w:val="20"/>
                <w:szCs w:val="20"/>
              </w:rPr>
              <w:t>Cumple parcialmente</w:t>
            </w:r>
          </w:p>
        </w:tc>
        <w:tc>
          <w:tcPr>
            <w:tcW w:w="3660" w:type="dxa"/>
            <w:tcBorders>
              <w:top w:val="single" w:color="auto" w:sz="4" w:space="0"/>
              <w:left w:val="single" w:color="auto" w:sz="4" w:space="0"/>
              <w:bottom w:val="single" w:color="auto" w:sz="4" w:space="0"/>
              <w:right w:val="single" w:color="auto" w:sz="4" w:space="0"/>
            </w:tcBorders>
            <w:tcMar>
              <w:left w:w="108" w:type="dxa"/>
              <w:right w:w="108" w:type="dxa"/>
            </w:tcMar>
          </w:tcPr>
          <w:p w:rsidR="3AE47990" w:rsidP="0ED4F347" w:rsidRDefault="3AE47990" w14:paraId="4BA74188" w14:textId="39DF8D92">
            <w:pPr>
              <w:rPr>
                <w:rFonts w:eastAsia="Arial"/>
                <w:sz w:val="20"/>
                <w:szCs w:val="20"/>
              </w:rPr>
            </w:pPr>
            <w:r w:rsidRPr="0ED4F347" w:rsidR="26C5BC26">
              <w:rPr>
                <w:rFonts w:eastAsia="Arial"/>
                <w:sz w:val="20"/>
                <w:szCs w:val="20"/>
              </w:rPr>
              <w:t>Se evidencia cumplimiento parcial en la evaluación de fallas en los controles (diseño y ejecución) para la definición de cursos de acción orientados a su</w:t>
            </w:r>
            <w:r w:rsidRPr="0ED4F347" w:rsidR="130A8309">
              <w:rPr>
                <w:rFonts w:eastAsia="Arial"/>
                <w:sz w:val="20"/>
                <w:szCs w:val="20"/>
              </w:rPr>
              <w:t xml:space="preserve"> </w:t>
            </w:r>
            <w:r w:rsidRPr="0ED4F347" w:rsidR="26C5BC26">
              <w:rPr>
                <w:rFonts w:eastAsia="Arial"/>
                <w:sz w:val="20"/>
                <w:szCs w:val="20"/>
              </w:rPr>
              <w:t>mejora.</w:t>
            </w:r>
            <w:r>
              <w:br/>
            </w:r>
            <w:r w:rsidRPr="0ED4F347" w:rsidR="26C5BC26">
              <w:rPr>
                <w:rFonts w:eastAsia="Arial"/>
                <w:sz w:val="20"/>
                <w:szCs w:val="20"/>
              </w:rPr>
              <w:t xml:space="preserve"> </w:t>
            </w:r>
            <w:r>
              <w:br/>
            </w:r>
            <w:r w:rsidRPr="0ED4F347" w:rsidR="26C5BC26">
              <w:rPr>
                <w:rFonts w:eastAsia="Arial"/>
                <w:sz w:val="20"/>
                <w:szCs w:val="20"/>
              </w:rPr>
              <w:t>Para el control N.º 5401, evaluado en términos de efectividad, no se aportaron los soportes completos en el periodo evaluado, que evidencien su ejecución</w:t>
            </w:r>
            <w:r w:rsidRPr="0ED4F347" w:rsidR="15309FC2">
              <w:rPr>
                <w:rFonts w:eastAsia="Arial"/>
                <w:sz w:val="20"/>
                <w:szCs w:val="20"/>
              </w:rPr>
              <w:t xml:space="preserve"> y además se presentaron indicios de materialización del riesgo, </w:t>
            </w:r>
            <w:r w:rsidRPr="0ED4F347" w:rsidR="26C5BC26">
              <w:rPr>
                <w:rFonts w:eastAsia="Arial"/>
                <w:sz w:val="20"/>
                <w:szCs w:val="20"/>
              </w:rPr>
              <w:t>lo que conlleva a una calificación de efectividad del control débil.</w:t>
            </w:r>
            <w:r w:rsidRPr="0ED4F347" w:rsidR="26C5BC26">
              <w:rPr>
                <w:rFonts w:eastAsia="Arial"/>
                <w:sz w:val="20"/>
                <w:szCs w:val="20"/>
              </w:rPr>
              <w:t xml:space="preserve"> </w:t>
            </w:r>
            <w:r>
              <w:br/>
            </w:r>
            <w:r>
              <w:br/>
            </w:r>
            <w:r w:rsidRPr="0ED4F347" w:rsidR="26C5BC26">
              <w:rPr>
                <w:rFonts w:eastAsia="Arial"/>
                <w:sz w:val="20"/>
                <w:szCs w:val="20"/>
              </w:rPr>
              <w:t xml:space="preserve">En este sentido, la Unidad hace parte del proceso de Gobernanza, Gestión del Riesgo de Desastres y Seguridad Ciudadana, respecto del cual, en el Informe de Evaluación de la Gestión del Riesgo 2025 de la Oficina de Control Interno (tercera línea de defensa), el control evaluado presentó una efectividad moderada, identificándose como una oportunidad de mejora (#739) a ser atendida durante el mismo periodo. </w:t>
            </w:r>
            <w:r>
              <w:br/>
            </w:r>
          </w:p>
          <w:p w:rsidR="3AE47990" w:rsidP="3AE47990" w:rsidRDefault="3AE47990" w14:paraId="137B1755" w14:textId="3B6489BE">
            <w:r w:rsidRPr="0ED4F347" w:rsidR="26C5BC26">
              <w:rPr>
                <w:rFonts w:eastAsia="Arial"/>
                <w:sz w:val="20"/>
                <w:szCs w:val="20"/>
              </w:rPr>
              <w:t>Por lo anterior, al tratarse del mismo periodo evaluado, no es procedente concluir que no se estén considerando los resultados de auditorías anteriores; por el contrario, este resultado se constituye en una alerta que evidencia la necesidad de fortalecer la implementación del plan de mejoramiento en curso por parte de la dependencia.</w:t>
            </w:r>
          </w:p>
        </w:tc>
      </w:tr>
      <w:tr w:rsidR="3AE47990" w:rsidTr="0ED4F347" w14:paraId="1D7103F4" w14:textId="77777777">
        <w:trPr>
          <w:trHeight w:val="1455"/>
        </w:trPr>
        <w:tc>
          <w:tcPr>
            <w:tcW w:w="1590" w:type="dxa"/>
            <w:tcBorders>
              <w:top w:val="single" w:color="auto" w:sz="4" w:space="0"/>
              <w:left w:val="single" w:color="auto" w:sz="4" w:space="0"/>
              <w:bottom w:val="single" w:color="auto" w:sz="4" w:space="0"/>
              <w:right w:val="single" w:color="auto" w:sz="4" w:space="0"/>
            </w:tcBorders>
            <w:tcMar>
              <w:left w:w="108" w:type="dxa"/>
              <w:right w:w="108" w:type="dxa"/>
            </w:tcMar>
          </w:tcPr>
          <w:p w:rsidR="3AE47990" w:rsidP="3AE47990" w:rsidRDefault="3AE47990" w14:paraId="47E77C1E" w14:textId="19164757">
            <w:r w:rsidRPr="3AE47990">
              <w:rPr>
                <w:rFonts w:eastAsia="Arial"/>
                <w:sz w:val="20"/>
                <w:szCs w:val="20"/>
              </w:rPr>
              <w:lastRenderedPageBreak/>
              <w:t>M5. Gobernanza, Gestión Riesgos y Desastres y Seguridad Ciudadana</w:t>
            </w:r>
          </w:p>
        </w:tc>
        <w:tc>
          <w:tcPr>
            <w:tcW w:w="1875" w:type="dxa"/>
            <w:tcBorders>
              <w:top w:val="single" w:color="auto" w:sz="4" w:space="0"/>
              <w:left w:val="single" w:color="auto" w:sz="4" w:space="0"/>
              <w:bottom w:val="single" w:color="auto" w:sz="4" w:space="0"/>
              <w:right w:val="single" w:color="auto" w:sz="4" w:space="0"/>
            </w:tcBorders>
            <w:tcMar>
              <w:left w:w="108" w:type="dxa"/>
              <w:right w:w="108" w:type="dxa"/>
            </w:tcMar>
          </w:tcPr>
          <w:p w:rsidR="3AE47990" w:rsidP="3AE47990" w:rsidRDefault="3AE47990" w14:paraId="219BA0CA" w14:textId="28AB7B86">
            <w:r w:rsidRPr="3AE47990">
              <w:rPr>
                <w:rFonts w:eastAsia="Arial"/>
                <w:sz w:val="20"/>
                <w:szCs w:val="20"/>
              </w:rPr>
              <w:t>Adecuada división de las funciones y que éstas se encuentren segregadas en diferentes personas para reducir el riesgo de error o de incumplimientos de alto impacto en la operación</w:t>
            </w:r>
          </w:p>
        </w:tc>
        <w:tc>
          <w:tcPr>
            <w:tcW w:w="1710" w:type="dxa"/>
            <w:tcBorders>
              <w:top w:val="single" w:color="auto" w:sz="4" w:space="0"/>
              <w:left w:val="single" w:color="auto" w:sz="4" w:space="0"/>
              <w:bottom w:val="single" w:color="auto" w:sz="4" w:space="0"/>
              <w:right w:val="single" w:color="auto" w:sz="4" w:space="0"/>
            </w:tcBorders>
            <w:tcMar>
              <w:left w:w="108" w:type="dxa"/>
              <w:right w:w="108" w:type="dxa"/>
            </w:tcMar>
          </w:tcPr>
          <w:p w:rsidR="3AE47990" w:rsidP="3AE47990" w:rsidRDefault="3AE47990" w14:paraId="4F16A7CE" w14:textId="2C5E76F2">
            <w:r w:rsidRPr="3AE47990">
              <w:rPr>
                <w:rFonts w:eastAsia="Arial"/>
                <w:sz w:val="20"/>
                <w:szCs w:val="20"/>
              </w:rPr>
              <w:t>(3) Actividades de control</w:t>
            </w:r>
          </w:p>
        </w:tc>
        <w:tc>
          <w:tcPr>
            <w:tcW w:w="1590" w:type="dxa"/>
            <w:tcBorders>
              <w:top w:val="single" w:color="auto" w:sz="4" w:space="0"/>
              <w:left w:val="single" w:color="auto" w:sz="4" w:space="0"/>
              <w:bottom w:val="single" w:color="auto" w:sz="4" w:space="0"/>
              <w:right w:val="single" w:color="auto" w:sz="4" w:space="0"/>
            </w:tcBorders>
            <w:tcMar>
              <w:left w:w="108" w:type="dxa"/>
              <w:right w:w="108" w:type="dxa"/>
            </w:tcMar>
          </w:tcPr>
          <w:p w:rsidR="3AE47990" w:rsidP="3AE47990" w:rsidRDefault="3AE47990" w14:paraId="29779744" w14:textId="30BF5490">
            <w:pPr>
              <w:jc w:val="center"/>
            </w:pPr>
            <w:r w:rsidRPr="3AE47990">
              <w:rPr>
                <w:rFonts w:eastAsia="Arial"/>
                <w:sz w:val="20"/>
                <w:szCs w:val="20"/>
              </w:rPr>
              <w:t>Cumple parcialmente</w:t>
            </w:r>
          </w:p>
        </w:tc>
        <w:tc>
          <w:tcPr>
            <w:tcW w:w="3660" w:type="dxa"/>
            <w:tcBorders>
              <w:top w:val="single" w:color="auto" w:sz="4" w:space="0"/>
              <w:left w:val="single" w:color="auto" w:sz="4" w:space="0"/>
              <w:bottom w:val="single" w:color="auto" w:sz="4" w:space="0"/>
              <w:right w:val="single" w:color="auto" w:sz="4" w:space="0"/>
            </w:tcBorders>
            <w:tcMar>
              <w:left w:w="108" w:type="dxa"/>
              <w:right w:w="108" w:type="dxa"/>
            </w:tcMar>
          </w:tcPr>
          <w:p w:rsidR="3AE47990" w:rsidP="3AE47990" w:rsidRDefault="3AE47990" w14:paraId="1619A7C8" w14:textId="36BD77EC">
            <w:pPr>
              <w:spacing w:after="240"/>
            </w:pPr>
            <w:r w:rsidRPr="0ED4F347" w:rsidR="26C5BC26">
              <w:rPr>
                <w:rFonts w:eastAsia="Arial"/>
                <w:sz w:val="20"/>
                <w:szCs w:val="20"/>
              </w:rPr>
              <w:t>En los procedimientos evaluados se evidenció una adecuada segregación de funciones en el desarrollo de las actividades de control, así como en la asignación de responsabilidades, las cuales se encuentran distribuidas entre diferentes niveles jerárquicos que van desde el personal técnico hasta la Dirección de la Unidad.</w:t>
            </w:r>
            <w:r w:rsidRPr="0ED4F347" w:rsidR="26C5BC26">
              <w:rPr>
                <w:rFonts w:eastAsia="Arial"/>
                <w:sz w:val="20"/>
                <w:szCs w:val="20"/>
              </w:rPr>
              <w:t xml:space="preserve"> Lo anterior contribuye, en términos generales, a la reducción del riesgo de error o de incumplimientos de altoimpacto en la operación.</w:t>
            </w:r>
            <w:r>
              <w:br/>
            </w:r>
            <w:r w:rsidRPr="0ED4F347" w:rsidR="26C5BC26">
              <w:rPr>
                <w:rFonts w:eastAsia="Arial"/>
                <w:sz w:val="20"/>
                <w:szCs w:val="20"/>
              </w:rPr>
              <w:t xml:space="preserve"> </w:t>
            </w:r>
            <w:r>
              <w:br/>
            </w:r>
            <w:r w:rsidRPr="0ED4F347" w:rsidR="26C5BC26">
              <w:rPr>
                <w:rFonts w:eastAsia="Arial"/>
                <w:sz w:val="20"/>
                <w:szCs w:val="20"/>
              </w:rPr>
              <w:t xml:space="preserve">Adicionalmente, se identificó la participación del Consejo Departamental de Gestión del Riesgo como órgano colegiado de apoyo y decisión, en el cual intervienen el Gobernador y miembros del gabinete departamental, fortaleciendo la articulación institucional en la toma de decisiones. </w:t>
            </w:r>
            <w:r>
              <w:br/>
            </w:r>
            <w:r>
              <w:br/>
            </w:r>
            <w:r w:rsidRPr="0ED4F347" w:rsidR="26C5BC26">
              <w:rPr>
                <w:rFonts w:eastAsia="Arial"/>
                <w:sz w:val="20"/>
                <w:szCs w:val="20"/>
              </w:rPr>
              <w:t>No obstante, se evidenciaron debilidades en el cumplimiento efectivo de los procedimientos, actividades y controles establecidos, lo que afecta su ejecución integral y consistencia operativa.</w:t>
            </w:r>
            <w:r>
              <w:br/>
            </w:r>
            <w:r w:rsidRPr="0ED4F347" w:rsidR="26C5BC26">
              <w:rPr>
                <w:rFonts w:eastAsia="Arial"/>
                <w:sz w:val="20"/>
                <w:szCs w:val="20"/>
              </w:rPr>
              <w:t xml:space="preserve"> </w:t>
            </w:r>
            <w:r>
              <w:br/>
            </w:r>
            <w:r w:rsidRPr="0ED4F347" w:rsidR="26C5BC26">
              <w:rPr>
                <w:rFonts w:eastAsia="Arial"/>
                <w:sz w:val="20"/>
                <w:szCs w:val="20"/>
              </w:rPr>
              <w:t xml:space="preserve">En consecuencia, se concluye un cumplimiento parcial del criterio evaluado, </w:t>
            </w:r>
            <w:r w:rsidRPr="0ED4F347" w:rsidR="26C5BC26">
              <w:rPr>
                <w:rFonts w:eastAsia="Arial"/>
                <w:sz w:val="20"/>
                <w:szCs w:val="20"/>
              </w:rPr>
              <w:t>dado que</w:t>
            </w:r>
            <w:r w:rsidRPr="0ED4F347" w:rsidR="26C5BC26">
              <w:rPr>
                <w:rFonts w:eastAsia="Arial"/>
                <w:sz w:val="20"/>
                <w:szCs w:val="20"/>
              </w:rPr>
              <w:t xml:space="preserve"> si bien existe adecuada segregación de funciones en el diseño, persisten debilidades en la ejecución y adherencia a los controles definidos.</w:t>
            </w:r>
          </w:p>
        </w:tc>
      </w:tr>
      <w:tr w:rsidR="3AE47990" w:rsidTr="0ED4F347" w14:paraId="4030E84D" w14:textId="77777777">
        <w:trPr>
          <w:trHeight w:val="1920"/>
        </w:trPr>
        <w:tc>
          <w:tcPr>
            <w:tcW w:w="1590" w:type="dxa"/>
            <w:tcBorders>
              <w:top w:val="single" w:color="auto" w:sz="4" w:space="0"/>
              <w:left w:val="single" w:color="auto" w:sz="4" w:space="0"/>
              <w:bottom w:val="single" w:color="auto" w:sz="4" w:space="0"/>
              <w:right w:val="single" w:color="auto" w:sz="4" w:space="0"/>
            </w:tcBorders>
            <w:tcMar>
              <w:left w:w="108" w:type="dxa"/>
              <w:right w:w="108" w:type="dxa"/>
            </w:tcMar>
          </w:tcPr>
          <w:p w:rsidR="3AE47990" w:rsidP="3AE47990" w:rsidRDefault="3AE47990" w14:paraId="6DC3C4F3" w14:textId="00B4BF07">
            <w:r w:rsidRPr="3AE47990">
              <w:rPr>
                <w:rFonts w:eastAsia="Arial"/>
                <w:sz w:val="20"/>
                <w:szCs w:val="20"/>
              </w:rPr>
              <w:lastRenderedPageBreak/>
              <w:t>M5. Gobernanza, Gestión Riesgos y Desastres y Seguridad Ciudadana</w:t>
            </w:r>
          </w:p>
        </w:tc>
        <w:tc>
          <w:tcPr>
            <w:tcW w:w="1875" w:type="dxa"/>
            <w:tcBorders>
              <w:top w:val="single" w:color="auto" w:sz="4" w:space="0"/>
              <w:left w:val="single" w:color="auto" w:sz="4" w:space="0"/>
              <w:bottom w:val="single" w:color="auto" w:sz="4" w:space="0"/>
              <w:right w:val="single" w:color="auto" w:sz="4" w:space="0"/>
            </w:tcBorders>
            <w:tcMar>
              <w:left w:w="108" w:type="dxa"/>
              <w:right w:w="108" w:type="dxa"/>
            </w:tcMar>
          </w:tcPr>
          <w:p w:rsidR="3AE47990" w:rsidP="3AE47990" w:rsidRDefault="3AE47990" w14:paraId="23CB981C" w14:textId="32579167">
            <w:r w:rsidRPr="0ED4F347" w:rsidR="21F75AA9">
              <w:rPr>
                <w:rFonts w:eastAsia="Arial"/>
                <w:sz w:val="20"/>
                <w:szCs w:val="20"/>
              </w:rPr>
              <w:t>Análisis</w:t>
            </w:r>
            <w:r w:rsidRPr="0ED4F347" w:rsidR="26C5BC26">
              <w:rPr>
                <w:rFonts w:eastAsia="Arial"/>
                <w:sz w:val="20"/>
                <w:szCs w:val="20"/>
              </w:rPr>
              <w:t xml:space="preserve"> </w:t>
            </w:r>
            <w:r w:rsidRPr="0ED4F347" w:rsidR="7144757E">
              <w:rPr>
                <w:rFonts w:eastAsia="Arial"/>
                <w:sz w:val="20"/>
                <w:szCs w:val="20"/>
              </w:rPr>
              <w:t>periódico</w:t>
            </w:r>
            <w:r w:rsidRPr="0ED4F347" w:rsidR="26C5BC26">
              <w:rPr>
                <w:rFonts w:eastAsia="Arial"/>
                <w:sz w:val="20"/>
                <w:szCs w:val="20"/>
              </w:rPr>
              <w:t xml:space="preserve"> de la caracterización de usuarios o grupos de valor, a fin de actualizarla cuando sea pertinente</w:t>
            </w:r>
          </w:p>
        </w:tc>
        <w:tc>
          <w:tcPr>
            <w:tcW w:w="1710" w:type="dxa"/>
            <w:tcBorders>
              <w:top w:val="single" w:color="auto" w:sz="4" w:space="0"/>
              <w:left w:val="single" w:color="auto" w:sz="4" w:space="0"/>
              <w:bottom w:val="single" w:color="auto" w:sz="4" w:space="0"/>
              <w:right w:val="single" w:color="auto" w:sz="4" w:space="0"/>
            </w:tcBorders>
            <w:tcMar>
              <w:left w:w="108" w:type="dxa"/>
              <w:right w:w="108" w:type="dxa"/>
            </w:tcMar>
          </w:tcPr>
          <w:p w:rsidR="3AE47990" w:rsidP="3AE47990" w:rsidRDefault="3AE47990" w14:paraId="66A3AAA6" w14:textId="654FE679">
            <w:r w:rsidRPr="3AE47990">
              <w:rPr>
                <w:rFonts w:eastAsia="Arial"/>
                <w:sz w:val="20"/>
                <w:szCs w:val="20"/>
              </w:rPr>
              <w:t xml:space="preserve">(4) </w:t>
            </w:r>
            <w:proofErr w:type="spellStart"/>
            <w:r w:rsidRPr="3AE47990">
              <w:rPr>
                <w:rFonts w:eastAsia="Arial"/>
                <w:sz w:val="20"/>
                <w:szCs w:val="20"/>
              </w:rPr>
              <w:t>Info</w:t>
            </w:r>
            <w:proofErr w:type="spellEnd"/>
            <w:r w:rsidRPr="3AE47990">
              <w:rPr>
                <w:rFonts w:eastAsia="Arial"/>
                <w:sz w:val="20"/>
                <w:szCs w:val="20"/>
              </w:rPr>
              <w:t xml:space="preserve"> y Comunicación</w:t>
            </w:r>
          </w:p>
        </w:tc>
        <w:tc>
          <w:tcPr>
            <w:tcW w:w="1590" w:type="dxa"/>
            <w:tcBorders>
              <w:top w:val="single" w:color="auto" w:sz="4" w:space="0"/>
              <w:left w:val="single" w:color="auto" w:sz="4" w:space="0"/>
              <w:bottom w:val="single" w:color="auto" w:sz="4" w:space="0"/>
              <w:right w:val="single" w:color="auto" w:sz="4" w:space="0"/>
            </w:tcBorders>
            <w:tcMar>
              <w:left w:w="108" w:type="dxa"/>
              <w:right w:w="108" w:type="dxa"/>
            </w:tcMar>
          </w:tcPr>
          <w:p w:rsidR="3AE47990" w:rsidP="3AE47990" w:rsidRDefault="3AE47990" w14:paraId="006B85A4" w14:textId="5BBE940D">
            <w:pPr>
              <w:jc w:val="center"/>
            </w:pPr>
            <w:r w:rsidRPr="3AE47990">
              <w:rPr>
                <w:rFonts w:eastAsia="Arial"/>
                <w:sz w:val="20"/>
                <w:szCs w:val="20"/>
              </w:rPr>
              <w:t>Cumple</w:t>
            </w:r>
          </w:p>
        </w:tc>
        <w:tc>
          <w:tcPr>
            <w:tcW w:w="3660" w:type="dxa"/>
            <w:tcBorders>
              <w:top w:val="single" w:color="auto" w:sz="4" w:space="0"/>
              <w:left w:val="single" w:color="auto" w:sz="4" w:space="0"/>
              <w:bottom w:val="single" w:color="auto" w:sz="4" w:space="0"/>
              <w:right w:val="single" w:color="auto" w:sz="4" w:space="0"/>
            </w:tcBorders>
            <w:tcMar>
              <w:left w:w="108" w:type="dxa"/>
              <w:right w:w="108" w:type="dxa"/>
            </w:tcMar>
          </w:tcPr>
          <w:p w:rsidR="3AE47990" w:rsidP="3AE47990" w:rsidRDefault="3AE47990" w14:paraId="49F1CA00" w14:textId="3790B73B">
            <w:r w:rsidRPr="0ED4F347" w:rsidR="26C5BC26">
              <w:rPr>
                <w:rFonts w:eastAsia="Arial"/>
                <w:sz w:val="20"/>
                <w:szCs w:val="20"/>
              </w:rPr>
              <w:t>Al evidenciarse la</w:t>
            </w:r>
            <w:r w:rsidRPr="0ED4F347" w:rsidR="1702A212">
              <w:rPr>
                <w:rFonts w:eastAsia="Arial"/>
                <w:sz w:val="20"/>
                <w:szCs w:val="20"/>
              </w:rPr>
              <w:t xml:space="preserve"> falta de</w:t>
            </w:r>
            <w:r w:rsidRPr="0ED4F347" w:rsidR="26C5BC26">
              <w:rPr>
                <w:rFonts w:eastAsia="Arial"/>
                <w:sz w:val="20"/>
                <w:szCs w:val="20"/>
              </w:rPr>
              <w:t xml:space="preserve"> correspon</w:t>
            </w:r>
            <w:r w:rsidRPr="0ED4F347" w:rsidR="76545F16">
              <w:rPr>
                <w:rFonts w:eastAsia="Arial"/>
                <w:sz w:val="20"/>
                <w:szCs w:val="20"/>
              </w:rPr>
              <w:t>dencia</w:t>
            </w:r>
            <w:r w:rsidRPr="0ED4F347" w:rsidR="26C5BC26">
              <w:rPr>
                <w:rFonts w:eastAsia="Arial"/>
                <w:sz w:val="20"/>
                <w:szCs w:val="20"/>
              </w:rPr>
              <w:t xml:space="preserve"> entre la población beneficiaria de ayudas humanitarias y la información registrada en el “Censo de afectación municipal por emergencia – Evaluación de Daños y Análisis de Necesidades (EDAN)”, con ocasión del evento del terremoto de </w:t>
            </w:r>
            <w:r w:rsidRPr="0ED4F347" w:rsidR="26C5BC26">
              <w:rPr>
                <w:rFonts w:eastAsia="Arial"/>
                <w:sz w:val="20"/>
                <w:szCs w:val="20"/>
              </w:rPr>
              <w:t xml:space="preserve"> Medina, se concluye que la Unidad realiza un análisis periódico de sus grupos de valor.</w:t>
            </w:r>
            <w:r>
              <w:br/>
            </w:r>
            <w:r w:rsidRPr="0ED4F347" w:rsidR="26C5BC26">
              <w:rPr>
                <w:rFonts w:eastAsia="Arial"/>
                <w:sz w:val="20"/>
                <w:szCs w:val="20"/>
              </w:rPr>
              <w:t xml:space="preserve"> </w:t>
            </w:r>
            <w:r>
              <w:br/>
            </w:r>
            <w:r w:rsidRPr="0ED4F347" w:rsidR="26C5BC26">
              <w:rPr>
                <w:rFonts w:eastAsia="Arial"/>
                <w:sz w:val="20"/>
                <w:szCs w:val="20"/>
              </w:rPr>
              <w:t>Esta situación evidencia conformidad desde el componente de Información y Comunicación del Sistema de Control Interno.</w:t>
            </w:r>
          </w:p>
        </w:tc>
      </w:tr>
      <w:tr w:rsidR="3AE47990" w:rsidTr="0ED4F347" w14:paraId="1BEAC013" w14:textId="77777777">
        <w:trPr>
          <w:trHeight w:val="1095"/>
        </w:trPr>
        <w:tc>
          <w:tcPr>
            <w:tcW w:w="1590" w:type="dxa"/>
            <w:tcBorders>
              <w:top w:val="single" w:color="auto" w:sz="4" w:space="0"/>
              <w:left w:val="single" w:color="auto" w:sz="4" w:space="0"/>
              <w:bottom w:val="single" w:color="auto" w:sz="4" w:space="0"/>
              <w:right w:val="single" w:color="auto" w:sz="4" w:space="0"/>
            </w:tcBorders>
            <w:tcMar>
              <w:left w:w="108" w:type="dxa"/>
              <w:right w:w="108" w:type="dxa"/>
            </w:tcMar>
          </w:tcPr>
          <w:p w:rsidR="3AE47990" w:rsidP="3AE47990" w:rsidRDefault="3AE47990" w14:paraId="3F282727" w14:textId="372E32B3">
            <w:r w:rsidRPr="3AE47990">
              <w:rPr>
                <w:rFonts w:eastAsia="Arial"/>
                <w:sz w:val="20"/>
                <w:szCs w:val="20"/>
              </w:rPr>
              <w:t>M5. Gobernanza, Gestión Riesgos y Desastres y Seguridad Ciudadana</w:t>
            </w:r>
          </w:p>
        </w:tc>
        <w:tc>
          <w:tcPr>
            <w:tcW w:w="1875" w:type="dxa"/>
            <w:tcBorders>
              <w:top w:val="single" w:color="auto" w:sz="4" w:space="0"/>
              <w:left w:val="single" w:color="auto" w:sz="4" w:space="0"/>
              <w:bottom w:val="single" w:color="auto" w:sz="4" w:space="0"/>
              <w:right w:val="single" w:color="auto" w:sz="4" w:space="0"/>
            </w:tcBorders>
            <w:tcMar>
              <w:left w:w="108" w:type="dxa"/>
              <w:right w:w="108" w:type="dxa"/>
            </w:tcMar>
          </w:tcPr>
          <w:p w:rsidR="3AE47990" w:rsidP="3AE47990" w:rsidRDefault="3AE47990" w14:paraId="178C6ACD" w14:textId="3B6FB7A7">
            <w:r w:rsidRPr="0ED4F347" w:rsidR="26C5BC26">
              <w:rPr>
                <w:rFonts w:eastAsia="Arial"/>
                <w:sz w:val="20"/>
                <w:szCs w:val="20"/>
              </w:rPr>
              <w:t xml:space="preserve">Evaluación de la información suministrada por los usuarios (Sistema PQRD), así como de otras partes interesadas para la mejora </w:t>
            </w:r>
            <w:r w:rsidRPr="0ED4F347" w:rsidR="6583657C">
              <w:rPr>
                <w:rFonts w:eastAsia="Arial"/>
                <w:sz w:val="20"/>
                <w:szCs w:val="20"/>
              </w:rPr>
              <w:t xml:space="preserve">del Sistema </w:t>
            </w:r>
            <w:r w:rsidRPr="0ED4F347" w:rsidR="26C5BC26">
              <w:rPr>
                <w:rFonts w:eastAsia="Arial"/>
                <w:sz w:val="20"/>
                <w:szCs w:val="20"/>
              </w:rPr>
              <w:t>de Control Interno de la Entidad</w:t>
            </w:r>
          </w:p>
        </w:tc>
        <w:tc>
          <w:tcPr>
            <w:tcW w:w="1710" w:type="dxa"/>
            <w:tcBorders>
              <w:top w:val="single" w:color="auto" w:sz="4" w:space="0"/>
              <w:left w:val="single" w:color="auto" w:sz="4" w:space="0"/>
              <w:bottom w:val="single" w:color="auto" w:sz="4" w:space="0"/>
              <w:right w:val="single" w:color="auto" w:sz="4" w:space="0"/>
            </w:tcBorders>
            <w:tcMar>
              <w:left w:w="108" w:type="dxa"/>
              <w:right w:w="108" w:type="dxa"/>
            </w:tcMar>
          </w:tcPr>
          <w:p w:rsidR="3AE47990" w:rsidP="3AE47990" w:rsidRDefault="3AE47990" w14:paraId="6312FAD2" w14:textId="5A7F0FF1">
            <w:r w:rsidRPr="3AE47990">
              <w:rPr>
                <w:rFonts w:eastAsia="Arial"/>
                <w:sz w:val="20"/>
                <w:szCs w:val="20"/>
              </w:rPr>
              <w:t>(5) Monitoreo - Supervisión</w:t>
            </w:r>
          </w:p>
        </w:tc>
        <w:tc>
          <w:tcPr>
            <w:tcW w:w="1590" w:type="dxa"/>
            <w:tcBorders>
              <w:top w:val="single" w:color="auto" w:sz="4" w:space="0"/>
              <w:left w:val="single" w:color="auto" w:sz="4" w:space="0"/>
              <w:bottom w:val="single" w:color="auto" w:sz="4" w:space="0"/>
              <w:right w:val="single" w:color="auto" w:sz="4" w:space="0"/>
            </w:tcBorders>
            <w:tcMar>
              <w:left w:w="108" w:type="dxa"/>
              <w:right w:w="108" w:type="dxa"/>
            </w:tcMar>
          </w:tcPr>
          <w:p w:rsidR="3AE47990" w:rsidP="3AE47990" w:rsidRDefault="3AE47990" w14:paraId="6EFB8A0C" w14:textId="53B2EE94">
            <w:pPr>
              <w:jc w:val="center"/>
            </w:pPr>
            <w:r w:rsidRPr="3AE47990">
              <w:rPr>
                <w:rFonts w:eastAsia="Arial"/>
                <w:sz w:val="20"/>
                <w:szCs w:val="20"/>
              </w:rPr>
              <w:t>Cumple</w:t>
            </w:r>
          </w:p>
        </w:tc>
        <w:tc>
          <w:tcPr>
            <w:tcW w:w="3660" w:type="dxa"/>
            <w:tcBorders>
              <w:top w:val="single" w:color="auto" w:sz="4" w:space="0"/>
              <w:left w:val="single" w:color="auto" w:sz="4" w:space="0"/>
              <w:bottom w:val="single" w:color="auto" w:sz="4" w:space="0"/>
              <w:right w:val="single" w:color="auto" w:sz="4" w:space="0"/>
            </w:tcBorders>
            <w:tcMar>
              <w:left w:w="108" w:type="dxa"/>
              <w:right w:w="108" w:type="dxa"/>
            </w:tcMar>
          </w:tcPr>
          <w:p w:rsidR="3AE47990" w:rsidP="3AE47990" w:rsidRDefault="3AE47990" w14:paraId="393A82CD" w14:textId="74A65532">
            <w:r w:rsidRPr="3AE47990">
              <w:rPr>
                <w:rFonts w:eastAsia="Arial"/>
                <w:color w:val="000000" w:themeColor="text1"/>
                <w:sz w:val="20"/>
                <w:szCs w:val="20"/>
              </w:rPr>
              <w:t xml:space="preserve">Frente al Derecho de Petición – Solicitud de acompañamiento preventivo OCI </w:t>
            </w:r>
            <w:proofErr w:type="spellStart"/>
            <w:r w:rsidRPr="3AE47990">
              <w:rPr>
                <w:rFonts w:eastAsia="Arial"/>
                <w:color w:val="000000" w:themeColor="text1"/>
                <w:sz w:val="20"/>
                <w:szCs w:val="20"/>
              </w:rPr>
              <w:t>recepcionado</w:t>
            </w:r>
            <w:proofErr w:type="spellEnd"/>
            <w:r w:rsidRPr="3AE47990">
              <w:rPr>
                <w:rFonts w:eastAsia="Arial"/>
                <w:color w:val="000000" w:themeColor="text1"/>
                <w:sz w:val="20"/>
                <w:szCs w:val="20"/>
              </w:rPr>
              <w:t xml:space="preserve"> el 04 de enero del 2026, se pudo constatar que se adelanta el debido proceso y que las peticiones del contratista han sido atendidas con trazabilidad básica de fechas y respuestas, conforme a la Ley 1755 de 2015. </w:t>
            </w:r>
          </w:p>
        </w:tc>
      </w:tr>
    </w:tbl>
    <w:p w:rsidR="00756C0F" w:rsidP="3AE47990" w:rsidRDefault="00756C0F" w14:paraId="68786C70" w14:textId="44BE83BF">
      <w:pPr>
        <w:spacing w:after="160" w:line="257" w:lineRule="auto"/>
        <w:rPr>
          <w:rFonts w:ascii="Calibri" w:hAnsi="Calibri" w:cs="Calibri"/>
        </w:rPr>
      </w:pPr>
    </w:p>
    <w:p w:rsidR="00756C0F" w:rsidP="00856F45" w:rsidRDefault="00756C0F" w14:paraId="04964423" w14:textId="02DFBF9B"/>
    <w:p w:rsidR="00EA0F94" w:rsidP="00856F45" w:rsidRDefault="00EA0F94" w14:paraId="30A6A969" w14:textId="32F1DE52"/>
    <w:p w:rsidR="00EA0F94" w:rsidP="00856F45" w:rsidRDefault="00EA0F94" w14:paraId="1BA57813" w14:textId="77777777">
      <w:pPr>
        <w:sectPr w:rsidR="00EA0F94" w:rsidSect="00D81630">
          <w:pgSz w:w="12240" w:h="15840" w:orient="portrait"/>
          <w:pgMar w:top="1418" w:right="567" w:bottom="1928" w:left="1134" w:header="567" w:footer="567" w:gutter="0"/>
          <w:cols w:space="720"/>
          <w:docGrid w:linePitch="299"/>
        </w:sectPr>
      </w:pPr>
    </w:p>
    <w:p w:rsidR="00165BE7" w:rsidP="00153268" w:rsidRDefault="00EA0F94" w14:paraId="0064A068" w14:textId="11B5F558">
      <w:pPr>
        <w:pStyle w:val="Ttulo1"/>
        <w:numPr>
          <w:ilvl w:val="0"/>
          <w:numId w:val="9"/>
        </w:numPr>
      </w:pPr>
      <w:r>
        <w:lastRenderedPageBreak/>
        <w:t xml:space="preserve"> </w:t>
      </w:r>
      <w:bookmarkStart w:name="_Toc206756960" w:id="91"/>
      <w:bookmarkStart w:name="_Toc206758792" w:id="92"/>
      <w:bookmarkStart w:name="_Toc206758808" w:id="93"/>
      <w:bookmarkStart w:name="_Toc206758856" w:id="94"/>
      <w:bookmarkStart w:name="_Toc206758872" w:id="95"/>
      <w:bookmarkStart w:name="_Toc206759095" w:id="96"/>
      <w:bookmarkStart w:name="_Toc206759646" w:id="97"/>
      <w:r w:rsidR="00165BE7">
        <w:t>LIMITACIONES PARA EL TRABAJO DE AUDITORÍA INTERNA</w:t>
      </w:r>
      <w:bookmarkEnd w:id="91"/>
      <w:bookmarkEnd w:id="92"/>
      <w:bookmarkEnd w:id="93"/>
      <w:bookmarkEnd w:id="94"/>
      <w:bookmarkEnd w:id="95"/>
      <w:bookmarkEnd w:id="96"/>
      <w:bookmarkEnd w:id="97"/>
    </w:p>
    <w:p w:rsidRPr="008929C7" w:rsidR="008929C7" w:rsidP="008929C7" w:rsidRDefault="008929C7" w14:paraId="70E736CE" w14:textId="77777777">
      <w:pPr>
        <w:rPr>
          <w:sz w:val="24"/>
          <w:szCs w:val="24"/>
        </w:rPr>
      </w:pPr>
      <w:r w:rsidRPr="008929C7">
        <w:rPr>
          <w:sz w:val="24"/>
          <w:szCs w:val="24"/>
        </w:rPr>
        <w:t>Durante la ejecución de la auditoría no se presentaron limitaciones que afectaran el alcance, el desarrollo de las actividades o la obtención de la evidencia necesaria para el análisis.</w:t>
      </w:r>
    </w:p>
    <w:p w:rsidRPr="008929C7" w:rsidR="008F6FD7" w:rsidP="001A0960" w:rsidRDefault="008F6FD7" w14:paraId="0F5405F0" w14:textId="77777777">
      <w:pPr>
        <w:pStyle w:val="GrisIndicaciones"/>
        <w:rPr>
          <w:sz w:val="24"/>
          <w:szCs w:val="24"/>
        </w:rPr>
      </w:pPr>
    </w:p>
    <w:p w:rsidR="00A034C3" w:rsidP="00153268" w:rsidRDefault="00665420" w14:paraId="77439411" w14:textId="38900D03">
      <w:pPr>
        <w:pStyle w:val="Ttulo1"/>
        <w:numPr>
          <w:ilvl w:val="0"/>
          <w:numId w:val="9"/>
        </w:numPr>
      </w:pPr>
      <w:bookmarkStart w:name="_Toc206756961" w:id="98"/>
      <w:bookmarkStart w:name="_Toc206758793" w:id="99"/>
      <w:bookmarkStart w:name="_Toc206758809" w:id="100"/>
      <w:bookmarkStart w:name="_Toc206758857" w:id="101"/>
      <w:bookmarkStart w:name="_Toc206758873" w:id="102"/>
      <w:bookmarkStart w:name="_Toc206759096" w:id="103"/>
      <w:bookmarkStart w:name="_Toc206759647" w:id="104"/>
      <w:r>
        <w:t xml:space="preserve">RESULTADOS </w:t>
      </w:r>
      <w:r w:rsidR="005B0085">
        <w:t>DE AUDITORÍA</w:t>
      </w:r>
      <w:bookmarkEnd w:id="98"/>
      <w:bookmarkEnd w:id="99"/>
      <w:bookmarkEnd w:id="100"/>
      <w:bookmarkEnd w:id="101"/>
      <w:bookmarkEnd w:id="102"/>
      <w:bookmarkEnd w:id="103"/>
      <w:bookmarkEnd w:id="104"/>
    </w:p>
    <w:p w:rsidRPr="0076033F" w:rsidR="00E6409A" w:rsidP="00E6409A" w:rsidRDefault="00E6409A" w14:paraId="72CAA9BC" w14:textId="77777777">
      <w:pPr>
        <w:rPr>
          <w:sz w:val="24"/>
          <w:szCs w:val="24"/>
        </w:rPr>
      </w:pPr>
      <w:r w:rsidRPr="0076033F">
        <w:rPr>
          <w:sz w:val="24"/>
          <w:szCs w:val="24"/>
        </w:rPr>
        <w:t>A continuación, se presentan los resultados de la auditoría interna practicada a la Unidad Administrativa Especial para la Gestión del Riesgo de Desastres de Cundinamarca (UAEGRD). Los hallazgos que se exponen a continuación son producto del análisis realizado sobre el desempeño administrativo de la dependencia, el grado de cumplimiento de los objetivos propuestos, la efectividad de los controles implementados y los demás aspectos evaluados dentro del alcance definido para este proceso auditor, con el propósito de generar información útil para la toma de decisiones y el mejoramiento continuo de la Unidad.</w:t>
      </w:r>
    </w:p>
    <w:p w:rsidR="008F6FD7" w:rsidP="001A0960" w:rsidRDefault="008F6FD7" w14:paraId="0AA35FAE" w14:textId="2FA5C6C3">
      <w:pPr>
        <w:pStyle w:val="GrisIndicaciones"/>
      </w:pPr>
    </w:p>
    <w:p w:rsidRPr="00CE1EAC" w:rsidR="00D26FA0" w:rsidP="00D26FA0" w:rsidRDefault="00D26FA0" w14:paraId="3C10804D" w14:textId="7B448E1D">
      <w:pPr>
        <w:pStyle w:val="GrisIndicaciones"/>
        <w:rPr>
          <w:rFonts w:ascii="Times New Roman" w:hAnsi="Times New Roman" w:eastAsia="Times New Roman" w:cs="Times New Roman"/>
          <w:color w:val="auto"/>
        </w:rPr>
      </w:pPr>
      <w:r w:rsidRPr="0ED4F347" w:rsidR="42752FFB">
        <w:rPr>
          <w:rFonts w:ascii="Arial" w:hAnsi="Arial" w:eastAsia="Arial" w:cs="Arial"/>
          <w:i w:val="0"/>
          <w:iCs w:val="0"/>
          <w:color w:val="auto"/>
          <w:sz w:val="24"/>
          <w:szCs w:val="24"/>
        </w:rPr>
        <w:t xml:space="preserve">Tabla </w:t>
      </w:r>
      <w:r w:rsidRPr="0ED4F347" w:rsidR="178A1F96">
        <w:rPr>
          <w:rFonts w:ascii="Arial" w:hAnsi="Arial" w:eastAsia="Arial" w:cs="Arial"/>
          <w:i w:val="0"/>
          <w:iCs w:val="0"/>
          <w:color w:val="auto"/>
          <w:sz w:val="24"/>
          <w:szCs w:val="24"/>
        </w:rPr>
        <w:t>22</w:t>
      </w:r>
      <w:r w:rsidRPr="0ED4F347" w:rsidR="178A1F96">
        <w:rPr>
          <w:rFonts w:ascii="Arial" w:hAnsi="Arial" w:eastAsia="Arial" w:cs="Arial"/>
          <w:i w:val="0"/>
          <w:iCs w:val="0"/>
          <w:color w:val="auto"/>
          <w:sz w:val="24"/>
          <w:szCs w:val="24"/>
        </w:rPr>
        <w:t>.</w:t>
      </w:r>
      <w:r w:rsidRPr="0ED4F347" w:rsidR="42752FFB">
        <w:rPr>
          <w:rFonts w:ascii="Arial" w:hAnsi="Arial" w:eastAsia="Arial" w:cs="Arial"/>
          <w:i w:val="0"/>
          <w:iCs w:val="0"/>
          <w:color w:val="auto"/>
          <w:sz w:val="24"/>
          <w:szCs w:val="24"/>
        </w:rPr>
        <w:t xml:space="preserve"> Relación de hallazgos</w:t>
      </w:r>
      <w:r w:rsidRPr="0ED4F347" w:rsidR="3BF258ED">
        <w:rPr>
          <w:rFonts w:ascii="Arial" w:hAnsi="Arial" w:eastAsia="Arial" w:cs="Arial"/>
          <w:i w:val="0"/>
          <w:iCs w:val="0"/>
          <w:color w:val="auto"/>
          <w:sz w:val="24"/>
          <w:szCs w:val="24"/>
        </w:rPr>
        <w:t>.</w:t>
      </w:r>
      <w:r w:rsidRPr="0ED4F347" w:rsidR="42752FFB">
        <w:rPr>
          <w:color w:val="auto"/>
        </w:rPr>
        <w:t xml:space="preserve"> </w:t>
      </w:r>
    </w:p>
    <w:tbl>
      <w:tblPr>
        <w:tblStyle w:val="Tablaconcuadrcula"/>
        <w:tblW w:w="0" w:type="auto"/>
        <w:tblLook w:val="04A0" w:firstRow="1" w:lastRow="0" w:firstColumn="1" w:lastColumn="0" w:noHBand="0" w:noVBand="1"/>
      </w:tblPr>
      <w:tblGrid>
        <w:gridCol w:w="3509"/>
        <w:gridCol w:w="3510"/>
        <w:gridCol w:w="3510"/>
      </w:tblGrid>
      <w:tr w:rsidRPr="008B0599" w:rsidR="00DD5D1C" w:rsidTr="0ED4F347" w14:paraId="7158ACA7" w14:textId="77777777">
        <w:tc>
          <w:tcPr>
            <w:tcW w:w="3509" w:type="dxa"/>
            <w:shd w:val="clear" w:color="auto" w:fill="D0CECE" w:themeFill="background2" w:themeFillShade="E6"/>
            <w:tcMar/>
          </w:tcPr>
          <w:p w:rsidRPr="00907B27" w:rsidR="00DD5D1C" w:rsidP="00907B27" w:rsidRDefault="00DD5D1C" w14:paraId="760ED6E0" w14:textId="45EA399E">
            <w:pPr>
              <w:jc w:val="center"/>
              <w:rPr>
                <w:b/>
                <w:bCs/>
              </w:rPr>
            </w:pPr>
            <w:r w:rsidRPr="00907B27">
              <w:rPr>
                <w:b/>
                <w:bCs/>
              </w:rPr>
              <w:t>TIPO DE RESULTADO</w:t>
            </w:r>
          </w:p>
        </w:tc>
        <w:tc>
          <w:tcPr>
            <w:tcW w:w="3510" w:type="dxa"/>
            <w:shd w:val="clear" w:color="auto" w:fill="D0CECE" w:themeFill="background2" w:themeFillShade="E6"/>
            <w:tcMar/>
          </w:tcPr>
          <w:p w:rsidRPr="00907B27" w:rsidR="00DD5D1C" w:rsidP="00907B27" w:rsidRDefault="00DD5D1C" w14:paraId="3256508D" w14:textId="0E65BC25">
            <w:pPr>
              <w:jc w:val="center"/>
              <w:rPr>
                <w:b/>
                <w:bCs/>
              </w:rPr>
            </w:pPr>
            <w:r w:rsidRPr="00907B27">
              <w:rPr>
                <w:b/>
                <w:bCs/>
              </w:rPr>
              <w:t>CANTIDAD</w:t>
            </w:r>
          </w:p>
        </w:tc>
        <w:tc>
          <w:tcPr>
            <w:tcW w:w="3510" w:type="dxa"/>
            <w:shd w:val="clear" w:color="auto" w:fill="D0CECE" w:themeFill="background2" w:themeFillShade="E6"/>
            <w:tcMar/>
          </w:tcPr>
          <w:p w:rsidRPr="00907B27" w:rsidR="00DD5D1C" w:rsidP="00907B27" w:rsidRDefault="00DD5D1C" w14:paraId="345D10C2" w14:textId="0391763C">
            <w:pPr>
              <w:jc w:val="center"/>
              <w:rPr>
                <w:b/>
                <w:bCs/>
              </w:rPr>
            </w:pPr>
            <w:r w:rsidRPr="00907B27">
              <w:rPr>
                <w:b/>
                <w:bCs/>
              </w:rPr>
              <w:t>REFERENCIACIÓN</w:t>
            </w:r>
          </w:p>
        </w:tc>
      </w:tr>
      <w:tr w:rsidRPr="008B0599" w:rsidR="00DD5D1C" w:rsidTr="0ED4F347" w14:paraId="2D241978" w14:textId="77777777">
        <w:tc>
          <w:tcPr>
            <w:tcW w:w="3509" w:type="dxa"/>
            <w:tcMar/>
          </w:tcPr>
          <w:p w:rsidRPr="008B0599" w:rsidR="00DD5D1C" w:rsidP="001A0960" w:rsidRDefault="00DD5D1C" w14:paraId="71E47C20" w14:textId="6E702D35">
            <w:r w:rsidRPr="008B0599">
              <w:t>Fortalezas</w:t>
            </w:r>
          </w:p>
        </w:tc>
        <w:tc>
          <w:tcPr>
            <w:tcW w:w="3510" w:type="dxa"/>
            <w:tcMar/>
          </w:tcPr>
          <w:p w:rsidRPr="008B0599" w:rsidR="00DD5D1C" w:rsidP="00EE63D3" w:rsidRDefault="00EE63D3" w14:paraId="657AC265" w14:textId="5013E1B5">
            <w:pPr>
              <w:jc w:val="center"/>
            </w:pPr>
            <w:r>
              <w:t>0</w:t>
            </w:r>
          </w:p>
        </w:tc>
        <w:tc>
          <w:tcPr>
            <w:tcW w:w="3510" w:type="dxa"/>
            <w:tcMar/>
          </w:tcPr>
          <w:p w:rsidRPr="008B0599" w:rsidR="00DD5D1C" w:rsidP="001A0960" w:rsidRDefault="00DD5D1C" w14:paraId="318096C0" w14:textId="77777777"/>
        </w:tc>
      </w:tr>
      <w:tr w:rsidRPr="008B0599" w:rsidR="00DD5D1C" w:rsidTr="0ED4F347" w14:paraId="3C89F2AE" w14:textId="77777777">
        <w:tc>
          <w:tcPr>
            <w:tcW w:w="3509" w:type="dxa"/>
            <w:tcMar/>
          </w:tcPr>
          <w:p w:rsidRPr="008B0599" w:rsidR="00DD5D1C" w:rsidP="001A0960" w:rsidRDefault="00DD5D1C" w14:paraId="5CF1E2A4" w14:textId="424992AD">
            <w:r w:rsidRPr="008B0599">
              <w:t>Oportunidades de mejora</w:t>
            </w:r>
          </w:p>
        </w:tc>
        <w:tc>
          <w:tcPr>
            <w:tcW w:w="3510" w:type="dxa"/>
            <w:tcMar/>
          </w:tcPr>
          <w:p w:rsidRPr="008B0599" w:rsidR="00DD5D1C" w:rsidP="00EE63D3" w:rsidRDefault="5E7DBD9D" w14:paraId="46908372" w14:textId="062761FF">
            <w:pPr>
              <w:jc w:val="center"/>
            </w:pPr>
            <w:r>
              <w:t>1</w:t>
            </w:r>
          </w:p>
        </w:tc>
        <w:tc>
          <w:tcPr>
            <w:tcW w:w="3510" w:type="dxa"/>
            <w:tcMar/>
          </w:tcPr>
          <w:p w:rsidRPr="008B0599" w:rsidR="00DD5D1C" w:rsidP="1C3D137E" w:rsidRDefault="1622EB49" w14:paraId="310F8C66" w14:textId="101BC026">
            <w:pPr>
              <w:jc w:val="center"/>
            </w:pPr>
            <w:r>
              <w:t>4.1</w:t>
            </w:r>
            <w:r w:rsidR="7F33D104">
              <w:t>.1 / 8.2</w:t>
            </w:r>
            <w:r w:rsidR="26B44F2F">
              <w:t>.1</w:t>
            </w:r>
          </w:p>
        </w:tc>
      </w:tr>
      <w:tr w:rsidRPr="008B0599" w:rsidR="00DD5D1C" w:rsidTr="0ED4F347" w14:paraId="21426983" w14:textId="77777777">
        <w:tc>
          <w:tcPr>
            <w:tcW w:w="3509" w:type="dxa"/>
            <w:tcMar/>
          </w:tcPr>
          <w:p w:rsidRPr="008B0599" w:rsidR="00DD5D1C" w:rsidP="001A0960" w:rsidRDefault="00DD5D1C" w14:paraId="132FDDF2" w14:textId="45EDF338">
            <w:r w:rsidRPr="008B0599">
              <w:t>Incumplimientos</w:t>
            </w:r>
          </w:p>
        </w:tc>
        <w:tc>
          <w:tcPr>
            <w:tcW w:w="3510" w:type="dxa"/>
            <w:tcMar/>
          </w:tcPr>
          <w:p w:rsidRPr="008B0599" w:rsidR="00DD5D1C" w:rsidP="00E95EFE" w:rsidRDefault="37FC1DB1" w14:paraId="2E62537F" w14:textId="310FDF3B">
            <w:pPr>
              <w:jc w:val="center"/>
            </w:pPr>
            <w:r w:rsidR="091375D1">
              <w:rPr/>
              <w:t>5</w:t>
            </w:r>
          </w:p>
        </w:tc>
        <w:tc>
          <w:tcPr>
            <w:tcW w:w="3510" w:type="dxa"/>
            <w:tcMar/>
          </w:tcPr>
          <w:p w:rsidRPr="008B0599" w:rsidR="00DD5D1C" w:rsidP="001A0960" w:rsidRDefault="5DB8CCE3" w14:paraId="0D2A0D06" w14:textId="4A3702D1">
            <w:r>
              <w:t xml:space="preserve">4.1.2 / 8.3.1 </w:t>
            </w:r>
          </w:p>
        </w:tc>
      </w:tr>
      <w:tr w:rsidRPr="008B0599" w:rsidR="00DD5D1C" w:rsidTr="0ED4F347" w14:paraId="699A0828" w14:textId="77777777">
        <w:tc>
          <w:tcPr>
            <w:tcW w:w="3509" w:type="dxa"/>
            <w:shd w:val="clear" w:color="auto" w:fill="D0CECE" w:themeFill="background2" w:themeFillShade="E6"/>
            <w:tcMar/>
          </w:tcPr>
          <w:p w:rsidRPr="00907B27" w:rsidR="00DD5D1C" w:rsidP="001A0960" w:rsidRDefault="00DD5D1C" w14:paraId="747B90FF" w14:textId="017E5250">
            <w:pPr>
              <w:rPr>
                <w:b/>
                <w:bCs/>
              </w:rPr>
            </w:pPr>
            <w:r w:rsidRPr="00907B27">
              <w:rPr>
                <w:b/>
                <w:bCs/>
              </w:rPr>
              <w:t>TOTAL</w:t>
            </w:r>
          </w:p>
        </w:tc>
        <w:tc>
          <w:tcPr>
            <w:tcW w:w="3510" w:type="dxa"/>
            <w:shd w:val="clear" w:color="auto" w:fill="D0CECE" w:themeFill="background2" w:themeFillShade="E6"/>
            <w:tcMar/>
          </w:tcPr>
          <w:p w:rsidRPr="008B0599" w:rsidR="00DD5D1C" w:rsidP="00E95EFE" w:rsidRDefault="00F138D7" w14:paraId="437689C3" w14:textId="24B39E3E">
            <w:pPr>
              <w:jc w:val="center"/>
            </w:pPr>
            <w:r w:rsidR="7731BFF5">
              <w:rPr/>
              <w:t>6</w:t>
            </w:r>
          </w:p>
        </w:tc>
        <w:tc>
          <w:tcPr>
            <w:tcW w:w="3510" w:type="dxa"/>
            <w:shd w:val="clear" w:color="auto" w:fill="D0CECE" w:themeFill="background2" w:themeFillShade="E6"/>
            <w:tcMar/>
          </w:tcPr>
          <w:p w:rsidRPr="008B0599" w:rsidR="00DD5D1C" w:rsidP="001A0960" w:rsidRDefault="00DD5D1C" w14:paraId="358FD2E2" w14:textId="77777777"/>
        </w:tc>
      </w:tr>
    </w:tbl>
    <w:p w:rsidR="00D26FA0" w:rsidP="00D26FA0" w:rsidRDefault="00D26FA0" w14:paraId="12004A58" w14:textId="77777777"/>
    <w:p w:rsidR="00A034C3" w:rsidP="1C3D137E" w:rsidRDefault="005B0085" w14:paraId="30A90456" w14:textId="32924105">
      <w:pPr>
        <w:pStyle w:val="Ttulo2"/>
        <w:rPr>
          <w:bCs/>
          <w:szCs w:val="28"/>
        </w:rPr>
      </w:pPr>
      <w:bookmarkStart w:name="_Toc206756962" w:id="105"/>
      <w:bookmarkStart w:name="_Toc206758794" w:id="106"/>
      <w:bookmarkStart w:name="_Toc206758810" w:id="107"/>
      <w:bookmarkStart w:name="_Toc206758858" w:id="108"/>
      <w:bookmarkStart w:name="_Toc206758874" w:id="109"/>
      <w:bookmarkStart w:name="_Toc206759097" w:id="110"/>
      <w:bookmarkStart w:name="_Toc206759648" w:id="111"/>
      <w:r>
        <w:t>FORTALEZAS</w:t>
      </w:r>
      <w:bookmarkEnd w:id="105"/>
      <w:bookmarkEnd w:id="106"/>
      <w:bookmarkEnd w:id="107"/>
      <w:bookmarkEnd w:id="108"/>
      <w:bookmarkEnd w:id="109"/>
      <w:bookmarkEnd w:id="110"/>
      <w:bookmarkEnd w:id="111"/>
    </w:p>
    <w:p w:rsidRPr="000505AD" w:rsidR="00756C0F" w:rsidP="1C3D137E" w:rsidRDefault="2ED95566" w14:paraId="2B786A77" w14:textId="1D9EBB5B">
      <w:pPr>
        <w:pStyle w:val="GrisIndicaciones"/>
        <w:rPr>
          <w:rFonts w:eastAsia="Arial"/>
          <w:i w:val="0"/>
          <w:color w:val="auto"/>
          <w:sz w:val="24"/>
          <w:szCs w:val="24"/>
        </w:rPr>
      </w:pPr>
      <w:r w:rsidRPr="1C3D137E">
        <w:rPr>
          <w:rFonts w:eastAsia="Arial"/>
          <w:i w:val="0"/>
          <w:color w:val="auto"/>
          <w:sz w:val="24"/>
          <w:szCs w:val="24"/>
        </w:rPr>
        <w:t>En el desarrollo de la auditoría no se identificaron aspectos que superaran los estándares o expectativas objeto de revisión que pudieran ser destacados como fortalezas en el presente informe.</w:t>
      </w:r>
    </w:p>
    <w:p w:rsidRPr="00CE1EAC" w:rsidR="008E60D8" w:rsidP="1C3D137E" w:rsidRDefault="005B0085" w14:paraId="1E71B88C" w14:textId="18269379">
      <w:pPr>
        <w:pStyle w:val="Ttulo2"/>
      </w:pPr>
      <w:bookmarkStart w:name="_Toc206756963" w:id="112"/>
      <w:bookmarkStart w:name="_Toc206758795" w:id="113"/>
      <w:bookmarkStart w:name="_Toc206758811" w:id="114"/>
      <w:bookmarkStart w:name="_Toc206758859" w:id="115"/>
      <w:bookmarkStart w:name="_Toc206758875" w:id="116"/>
      <w:bookmarkStart w:name="_Toc206759098" w:id="117"/>
      <w:bookmarkStart w:name="_Toc206759649" w:id="118"/>
      <w:r>
        <w:t>OP</w:t>
      </w:r>
      <w:r w:rsidR="00756C0F">
        <w:t>O</w:t>
      </w:r>
      <w:r>
        <w:t>RTUNIDADES DE MEJORA</w:t>
      </w:r>
      <w:bookmarkEnd w:id="112"/>
      <w:bookmarkEnd w:id="113"/>
      <w:bookmarkEnd w:id="114"/>
      <w:bookmarkEnd w:id="115"/>
      <w:bookmarkEnd w:id="116"/>
      <w:bookmarkEnd w:id="117"/>
      <w:bookmarkEnd w:id="118"/>
    </w:p>
    <w:p w:rsidRPr="00CE1EAC" w:rsidR="008E60D8" w:rsidP="0ED4F347" w:rsidRDefault="1D6DA0AE" w14:paraId="47E9B245" w14:textId="7E57DE50">
      <w:pPr>
        <w:pStyle w:val="Ttulo3"/>
        <w:rPr>
          <w:rFonts w:eastAsia="Arial"/>
          <w:b w:val="0"/>
          <w:bCs w:val="0"/>
          <w:color w:val="000000" w:themeColor="text1"/>
          <w:sz w:val="24"/>
          <w:szCs w:val="24"/>
          <w:lang w:val="es-ES"/>
        </w:rPr>
      </w:pPr>
      <w:r w:rsidRPr="0ED4F347" w:rsidR="6EE23753">
        <w:rPr>
          <w:rFonts w:eastAsia="Arial"/>
          <w:b w:val="0"/>
          <w:bCs w:val="0"/>
          <w:color w:val="000000" w:themeColor="text1" w:themeTint="FF" w:themeShade="FF"/>
          <w:sz w:val="24"/>
          <w:szCs w:val="24"/>
          <w:lang w:val="es-ES"/>
        </w:rPr>
        <w:t>Falta de alineación en los artículos 4,31,42,43,44 y 59 de la Ley 1523 del 2012 y la Ordenanza Departamental 066 del 2018.</w:t>
      </w:r>
      <w:r w:rsidRPr="0ED4F347" w:rsidR="37F72C19">
        <w:rPr>
          <w:rFonts w:eastAsia="Arial"/>
          <w:b w:val="0"/>
          <w:bCs w:val="0"/>
          <w:color w:val="000000" w:themeColor="text1" w:themeTint="FF" w:themeShade="FF"/>
          <w:sz w:val="24"/>
          <w:szCs w:val="24"/>
          <w:lang w:val="es-ES"/>
        </w:rPr>
        <w:t xml:space="preserve"> </w:t>
      </w:r>
    </w:p>
    <w:tbl>
      <w:tblPr>
        <w:tblW w:w="1052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400" w:firstRow="0" w:lastRow="0" w:firstColumn="0" w:lastColumn="0" w:noHBand="0" w:noVBand="1"/>
      </w:tblPr>
      <w:tblGrid>
        <w:gridCol w:w="1555"/>
        <w:gridCol w:w="8974"/>
      </w:tblGrid>
      <w:tr w:rsidRPr="004C284C" w:rsidR="004C284C" w:rsidTr="0ED4F347" w14:paraId="207F2011" w14:textId="77777777">
        <w:tc>
          <w:tcPr>
            <w:tcW w:w="1555" w:type="dxa"/>
            <w:tcMar/>
          </w:tcPr>
          <w:p w:rsidRPr="008E60D8" w:rsidR="004C284C" w:rsidP="006E48B1" w:rsidRDefault="004C284C" w14:paraId="033023CF" w14:textId="77777777">
            <w:pPr>
              <w:rPr>
                <w:b/>
                <w:bCs/>
              </w:rPr>
            </w:pPr>
            <w:r w:rsidRPr="008E60D8">
              <w:rPr>
                <w:b/>
                <w:bCs/>
              </w:rPr>
              <w:t>Proceso:</w:t>
            </w:r>
          </w:p>
        </w:tc>
        <w:tc>
          <w:tcPr>
            <w:tcW w:w="8974" w:type="dxa"/>
            <w:tcMar/>
          </w:tcPr>
          <w:p w:rsidRPr="004C284C" w:rsidR="004C284C" w:rsidP="1C3D137E" w:rsidRDefault="11554AD4" w14:paraId="68DA79CA" w14:textId="68F6AA48">
            <w:pPr>
              <w:rPr>
                <w:rFonts w:eastAsia="Arial"/>
                <w:sz w:val="18"/>
                <w:szCs w:val="18"/>
              </w:rPr>
            </w:pPr>
            <w:r w:rsidRPr="1C3D137E">
              <w:rPr>
                <w:rFonts w:eastAsia="Arial"/>
                <w:color w:val="000000" w:themeColor="text1"/>
                <w:sz w:val="18"/>
                <w:szCs w:val="18"/>
              </w:rPr>
              <w:t>Gobernanza, Gestión Riesgos y Desastres y Seguridad Ciudadana</w:t>
            </w:r>
            <w:r w:rsidRPr="1C3D137E" w:rsidR="72E79245">
              <w:rPr>
                <w:rFonts w:eastAsia="Arial"/>
                <w:color w:val="000000" w:themeColor="text1"/>
                <w:sz w:val="18"/>
                <w:szCs w:val="18"/>
              </w:rPr>
              <w:t>.</w:t>
            </w:r>
          </w:p>
        </w:tc>
      </w:tr>
      <w:tr w:rsidRPr="004C284C" w:rsidR="004C284C" w:rsidTr="0ED4F347" w14:paraId="5EFAA52F" w14:textId="77777777">
        <w:tc>
          <w:tcPr>
            <w:tcW w:w="1555" w:type="dxa"/>
            <w:tcBorders>
              <w:bottom w:val="single" w:color="000000" w:themeColor="text1" w:sz="4" w:space="0"/>
            </w:tcBorders>
            <w:tcMar/>
          </w:tcPr>
          <w:p w:rsidRPr="008E60D8" w:rsidR="004C284C" w:rsidP="006E48B1" w:rsidRDefault="004C284C" w14:paraId="47FDE2F3" w14:textId="77777777">
            <w:pPr>
              <w:rPr>
                <w:b/>
                <w:bCs/>
              </w:rPr>
            </w:pPr>
            <w:r w:rsidRPr="008E60D8">
              <w:rPr>
                <w:b/>
                <w:bCs/>
              </w:rPr>
              <w:t>Secretaría:</w:t>
            </w:r>
          </w:p>
        </w:tc>
        <w:tc>
          <w:tcPr>
            <w:tcW w:w="8974" w:type="dxa"/>
            <w:tcBorders>
              <w:bottom w:val="single" w:color="000000" w:themeColor="text1" w:sz="4" w:space="0"/>
            </w:tcBorders>
            <w:tcMar/>
          </w:tcPr>
          <w:p w:rsidRPr="004C284C" w:rsidR="004C284C" w:rsidP="1C3D137E" w:rsidRDefault="1659ED8C" w14:paraId="71F855A6" w14:textId="7C4F5B1A">
            <w:pPr>
              <w:rPr>
                <w:rFonts w:eastAsia="Arial"/>
                <w:color w:val="000000" w:themeColor="text1"/>
                <w:sz w:val="18"/>
                <w:szCs w:val="18"/>
              </w:rPr>
            </w:pPr>
            <w:r w:rsidRPr="1C3D137E">
              <w:rPr>
                <w:rFonts w:eastAsia="Arial"/>
                <w:color w:val="000000" w:themeColor="text1"/>
                <w:sz w:val="18"/>
                <w:szCs w:val="18"/>
                <w:lang w:val="es"/>
              </w:rPr>
              <w:t>Unidad Administrativa Especial para la Gestión del Riesgo de Desastres de Cundinamarca.</w:t>
            </w:r>
          </w:p>
        </w:tc>
      </w:tr>
      <w:tr w:rsidRPr="004C284C" w:rsidR="00D7240F" w:rsidTr="0ED4F347" w14:paraId="0A6C1839" w14:textId="77777777">
        <w:trPr>
          <w:trHeight w:val="1038"/>
        </w:trPr>
        <w:tc>
          <w:tcPr>
            <w:tcW w:w="10529" w:type="dxa"/>
            <w:gridSpan w:val="2"/>
            <w:tcBorders>
              <w:bottom w:val="nil"/>
            </w:tcBorders>
            <w:tcMar/>
          </w:tcPr>
          <w:p w:rsidRPr="00D7240F" w:rsidR="00D7240F" w:rsidP="1C3D137E" w:rsidRDefault="59109A41" w14:paraId="10C51630" w14:textId="0F330454">
            <w:pPr>
              <w:spacing w:before="240" w:after="240"/>
              <w:rPr>
                <w:rFonts w:eastAsia="Arial"/>
              </w:rPr>
            </w:pPr>
            <w:r w:rsidRPr="1C3D137E">
              <w:rPr>
                <w:rFonts w:eastAsia="Arial"/>
                <w:b/>
                <w:bCs/>
              </w:rPr>
              <w:lastRenderedPageBreak/>
              <w:t>S</w:t>
            </w:r>
            <w:r w:rsidRPr="1C3D137E" w:rsidR="1865E205">
              <w:rPr>
                <w:rFonts w:eastAsia="Arial"/>
                <w:b/>
                <w:bCs/>
              </w:rPr>
              <w:t>ituación actual:</w:t>
            </w:r>
            <w:r w:rsidRPr="1C3D137E" w:rsidR="2804B24E">
              <w:rPr>
                <w:rFonts w:eastAsia="Arial"/>
                <w:b/>
                <w:bCs/>
              </w:rPr>
              <w:t xml:space="preserve"> </w:t>
            </w:r>
            <w:r w:rsidRPr="1C3D137E" w:rsidR="1936155B">
              <w:rPr>
                <w:rFonts w:eastAsia="Arial"/>
              </w:rPr>
              <w:t>Durante el trabajo de campo adelantado en el marco de la Auditoría Interna de Gestión, y con fundamento en el análisis comparativo realizado, se tomó como referente la Ley 1523 de 2012, “por la cual se adopta la Política Nacional de Gestión del Riesgo de Desastres y se establece el Sistema Nacional de Gestión del Riesgo de Desastres”. A partir de ello, se efectuó una revisión artículo por artículo frente a la Ordenanza Departamental 066 de 2018, “por la cual se adopta la Política Pública para la Gestión del Riesgo de Desastres en Cundinamarca y se modifica la organización del Sistema Departamental de Gestión del Riesgo”, así como frente a la Ordenanza Departamental 140 de 2012, “por la cual se crea, conforma y organiza el Fondo de Gestión del Riesgo de Desastres del Departamento de Cundinamarca”.</w:t>
            </w:r>
          </w:p>
          <w:p w:rsidRPr="00D7240F" w:rsidR="00D7240F" w:rsidP="1C3D137E" w:rsidRDefault="1936155B" w14:paraId="6C656F4F" w14:textId="1A889ED0">
            <w:pPr>
              <w:spacing w:before="240" w:after="240"/>
              <w:rPr>
                <w:rFonts w:eastAsia="Arial"/>
                <w:lang w:val="es"/>
              </w:rPr>
            </w:pPr>
            <w:r w:rsidRPr="1C3D137E">
              <w:rPr>
                <w:rFonts w:eastAsia="Arial"/>
              </w:rPr>
              <w:t>Como resultado de dicho ejercicio, se identificó que los artículos 4, 31 y 53 de la Ley 1523 de 2012 no se encuentran desarrollados de manera expresa en la Ordenanza 066 de 2018, lo que evidencia posibles vacíos en la armonización normativa a nivel departamental.</w:t>
            </w:r>
          </w:p>
        </w:tc>
      </w:tr>
      <w:tr w:rsidRPr="004C284C" w:rsidR="00D7240F" w:rsidTr="0ED4F347" w14:paraId="7F2F0569" w14:textId="77777777">
        <w:trPr>
          <w:trHeight w:val="1407"/>
        </w:trPr>
        <w:tc>
          <w:tcPr>
            <w:tcW w:w="10529" w:type="dxa"/>
            <w:gridSpan w:val="2"/>
            <w:tcBorders>
              <w:top w:val="nil"/>
            </w:tcBorders>
            <w:tcMar/>
          </w:tcPr>
          <w:p w:rsidRPr="004C284C" w:rsidR="00D7240F" w:rsidP="1C3D137E" w:rsidRDefault="1865E205" w14:paraId="33CB19A6" w14:textId="66173CA3">
            <w:pPr>
              <w:spacing w:before="240" w:after="240"/>
              <w:rPr>
                <w:rFonts w:eastAsia="Arial"/>
              </w:rPr>
            </w:pPr>
            <w:r w:rsidRPr="1C3D137E">
              <w:rPr>
                <w:rFonts w:eastAsia="Arial"/>
                <w:b/>
                <w:bCs/>
              </w:rPr>
              <w:t>Oportunidad de Mejora:</w:t>
            </w:r>
            <w:r w:rsidRPr="1C3D137E">
              <w:rPr>
                <w:rFonts w:eastAsia="Arial"/>
                <w:i/>
                <w:iCs/>
                <w:color w:val="808080" w:themeColor="background1" w:themeShade="80"/>
              </w:rPr>
              <w:t xml:space="preserve"> </w:t>
            </w:r>
            <w:r w:rsidRPr="1C3D137E" w:rsidR="0619F907">
              <w:rPr>
                <w:rFonts w:eastAsia="Arial"/>
              </w:rPr>
              <w:t xml:space="preserve">Se </w:t>
            </w:r>
            <w:r w:rsidRPr="1C3D137E" w:rsidR="3410997C">
              <w:rPr>
                <w:rFonts w:eastAsia="Arial"/>
              </w:rPr>
              <w:t>determina que se debe</w:t>
            </w:r>
            <w:r w:rsidRPr="1C3D137E" w:rsidR="0619F907">
              <w:rPr>
                <w:rFonts w:eastAsia="Arial"/>
              </w:rPr>
              <w:t xml:space="preserve"> fortalecer el desarrollo normativo y la armonización de la Ordenanza, con el propósito de mejorar la coherencia, trazabilidad y aplicabilidad de la política pública de gestión del riesgo de desastres a nivel departamental. Un mayor nivel de desarrollo normativo territorial contribuye a reducir ambigüedades en la interpretación y aplicación de las disposiciones, fortalecer la articulación interinstitucional y facilitar los procesos de seguimiento, evaluación y control de la implementación de la política pública, en concordancia con los principios de coordinación, concurrencia y complementariedad que orientan la gestión del riesgo de desastres.</w:t>
            </w:r>
          </w:p>
          <w:p w:rsidRPr="004C284C" w:rsidR="00D7240F" w:rsidP="1C3D137E" w:rsidRDefault="0619F907" w14:paraId="10660847" w14:textId="15DA0B99">
            <w:pPr>
              <w:spacing w:before="240" w:after="240"/>
              <w:rPr>
                <w:rFonts w:eastAsia="Arial"/>
              </w:rPr>
            </w:pPr>
            <w:r w:rsidRPr="1C3D137E">
              <w:rPr>
                <w:rFonts w:eastAsia="Arial"/>
              </w:rPr>
              <w:t>En este sentido, resulta pertinente revisar y ajustar la precisión, claridad y alcance de las disposiciones contenidas en la Ordenanza, de manera que se definan de forma expresa las responsabilidades de los actores del Sistema Departamental, se establezcan criterios operativos para la toma de decisiones y se garantice la debida alineación con lo dispuesto en la Ley 1523 de 2012 y sus modificaciones, fortaleciendo así la seguridad jurídica y la efectividad en la gestión territorial del riesgo.</w:t>
            </w:r>
          </w:p>
          <w:p w:rsidRPr="004C284C" w:rsidR="00D7240F" w:rsidP="1C3D137E" w:rsidRDefault="682CD437" w14:paraId="5643B978" w14:textId="0D00E378">
            <w:pPr>
              <w:spacing w:after="160"/>
              <w:rPr>
                <w:i/>
                <w:iCs/>
              </w:rPr>
            </w:pPr>
            <w:r w:rsidRPr="1C3D137E">
              <w:rPr>
                <w:b/>
                <w:bCs/>
              </w:rPr>
              <w:t>Evidencia: “</w:t>
            </w:r>
            <w:r w:rsidRPr="1C3D137E">
              <w:rPr>
                <w:i/>
                <w:iCs/>
              </w:rPr>
              <w:t xml:space="preserve">Papel de trabajo </w:t>
            </w:r>
            <w:proofErr w:type="spellStart"/>
            <w:r w:rsidRPr="1C3D137E">
              <w:rPr>
                <w:i/>
                <w:iCs/>
              </w:rPr>
              <w:t>Obj</w:t>
            </w:r>
            <w:proofErr w:type="spellEnd"/>
            <w:r w:rsidRPr="1C3D137E">
              <w:rPr>
                <w:i/>
                <w:iCs/>
              </w:rPr>
              <w:t xml:space="preserve"> </w:t>
            </w:r>
            <w:proofErr w:type="spellStart"/>
            <w:r w:rsidRPr="1C3D137E">
              <w:rPr>
                <w:i/>
                <w:iCs/>
              </w:rPr>
              <w:t>Esp</w:t>
            </w:r>
            <w:proofErr w:type="spellEnd"/>
            <w:r w:rsidRPr="1C3D137E">
              <w:rPr>
                <w:i/>
                <w:iCs/>
              </w:rPr>
              <w:t xml:space="preserve"> 1” -</w:t>
            </w:r>
            <w:r w:rsidRPr="1C3D137E">
              <w:rPr>
                <w:rStyle w:val="GrisIndicacionesCar"/>
              </w:rPr>
              <w:t>.</w:t>
            </w:r>
            <w:r w:rsidRPr="1C3D137E">
              <w:rPr>
                <w:rFonts w:ascii="Aptos Narrow" w:hAnsi="Aptos Narrow" w:eastAsia="Aptos Narrow" w:cs="Aptos Narrow"/>
                <w:color w:val="242424"/>
              </w:rPr>
              <w:t xml:space="preserve"> </w:t>
            </w:r>
            <w:r w:rsidRPr="1C3D137E">
              <w:rPr>
                <w:i/>
                <w:iCs/>
              </w:rPr>
              <w:t>Evaluar el grado de alineación del plan departamental para la gestión del riesgo de desastres de Cundinamarca con la normatividad nacional vigente aplicable y con el plan de desarrollo departamental.</w:t>
            </w:r>
          </w:p>
        </w:tc>
      </w:tr>
      <w:tr w:rsidRPr="004C284C" w:rsidR="004C284C" w:rsidTr="0ED4F347" w14:paraId="66E9FA39" w14:textId="77777777">
        <w:tc>
          <w:tcPr>
            <w:tcW w:w="10529" w:type="dxa"/>
            <w:gridSpan w:val="2"/>
            <w:tcMar/>
          </w:tcPr>
          <w:p w:rsidRPr="004437C3" w:rsidR="004C284C" w:rsidP="1C3D137E" w:rsidRDefault="09E49AC2" w14:paraId="3E3212FA" w14:textId="7C377C89">
            <w:pPr>
              <w:rPr>
                <w:rFonts w:eastAsia="Arial"/>
                <w:lang w:val="es"/>
              </w:rPr>
            </w:pPr>
            <w:r w:rsidRPr="1C3D137E">
              <w:rPr>
                <w:b/>
                <w:bCs/>
              </w:rPr>
              <w:t>Controversia</w:t>
            </w:r>
            <w:r w:rsidRPr="1C3D137E" w:rsidR="42FBEE4C">
              <w:rPr>
                <w:i/>
                <w:iCs/>
                <w:color w:val="808080" w:themeColor="background1" w:themeShade="80"/>
              </w:rPr>
              <w:t xml:space="preserve">: </w:t>
            </w:r>
            <w:r w:rsidRPr="1C3D137E" w:rsidR="6AE1195C">
              <w:rPr>
                <w:rFonts w:eastAsia="Arial"/>
                <w:lang w:val="es"/>
              </w:rPr>
              <w:t xml:space="preserve">La </w:t>
            </w:r>
            <w:r w:rsidRPr="1C3D137E" w:rsidR="6AE1195C">
              <w:rPr>
                <w:rFonts w:eastAsia="Arial"/>
                <w:color w:val="000000" w:themeColor="text1"/>
                <w:lang w:val="es"/>
              </w:rPr>
              <w:t>Unidad Administrativa Especial para la Gestión del Riesgo de Desastres de Cundinamarca.</w:t>
            </w:r>
            <w:r w:rsidRPr="1C3D137E" w:rsidR="6AE1195C">
              <w:rPr>
                <w:rFonts w:eastAsia="Arial"/>
                <w:lang w:val="es"/>
              </w:rPr>
              <w:t>, a través de correo institucional fechado el lunes 20 de abril de 2026</w:t>
            </w:r>
            <w:r w:rsidRPr="1C3D137E" w:rsidR="7EC16113">
              <w:rPr>
                <w:rFonts w:eastAsia="Arial"/>
                <w:lang w:val="es"/>
              </w:rPr>
              <w:t>,</w:t>
            </w:r>
            <w:r w:rsidRPr="1C3D137E" w:rsidR="6AE1195C">
              <w:rPr>
                <w:rFonts w:eastAsia="Arial"/>
                <w:lang w:val="es"/>
              </w:rPr>
              <w:t xml:space="preserve"> dio respuesta a las observaciones formuladas en la auditoría interna de gestión realizada por la Oficina de Control Interno mediante cóndor </w:t>
            </w:r>
            <w:r w:rsidRPr="1C3D137E" w:rsidR="56E100DD">
              <w:rPr>
                <w:rFonts w:eastAsia="Arial"/>
                <w:lang w:val="es"/>
              </w:rPr>
              <w:t>GOB-S-CR-2026-0062623 del 15 de abril de 2026</w:t>
            </w:r>
            <w:r w:rsidRPr="1C3D137E" w:rsidR="6AE1195C">
              <w:rPr>
                <w:rFonts w:eastAsia="Arial"/>
                <w:lang w:val="es"/>
              </w:rPr>
              <w:t xml:space="preserve">, adjuntando </w:t>
            </w:r>
            <w:r w:rsidRPr="1C3D137E" w:rsidR="2FA55D7A">
              <w:rPr>
                <w:rFonts w:eastAsia="Arial"/>
                <w:lang w:val="es"/>
              </w:rPr>
              <w:t xml:space="preserve">un archivo </w:t>
            </w:r>
            <w:r w:rsidRPr="1C3D137E" w:rsidR="7DE8D6FC">
              <w:rPr>
                <w:rFonts w:eastAsia="Arial"/>
                <w:lang w:val="es"/>
              </w:rPr>
              <w:t>Excel</w:t>
            </w:r>
            <w:r w:rsidRPr="1C3D137E" w:rsidR="6AE1195C">
              <w:rPr>
                <w:rFonts w:eastAsia="Arial"/>
                <w:lang w:val="es"/>
              </w:rPr>
              <w:t xml:space="preserve"> en el que se detallaron las siguientes precisiones</w:t>
            </w:r>
            <w:r w:rsidRPr="1C3D137E" w:rsidR="0ABB6E89">
              <w:rPr>
                <w:rFonts w:eastAsia="Arial"/>
                <w:lang w:val="es"/>
              </w:rPr>
              <w:t xml:space="preserve">: </w:t>
            </w:r>
          </w:p>
          <w:p w:rsidRPr="004437C3" w:rsidR="004C284C" w:rsidP="1C3D137E" w:rsidRDefault="004C284C" w14:paraId="51E75F95" w14:textId="07DC473E">
            <w:pPr>
              <w:rPr>
                <w:rFonts w:eastAsia="Arial"/>
                <w:lang w:val="es"/>
              </w:rPr>
            </w:pPr>
          </w:p>
          <w:p w:rsidRPr="004437C3" w:rsidR="004C284C" w:rsidP="1C3D137E" w:rsidRDefault="4905D01F" w14:paraId="756B17F4" w14:textId="7075E78A">
            <w:pPr>
              <w:spacing w:after="160"/>
              <w:rPr>
                <w:rFonts w:eastAsia="Arial"/>
                <w:lang w:val="es"/>
              </w:rPr>
            </w:pPr>
            <w:r w:rsidRPr="1C3D137E">
              <w:rPr>
                <w:rFonts w:eastAsia="Arial"/>
                <w:lang w:val="es"/>
              </w:rPr>
              <w:t>“1. CONSIDERACIONES PRELIMINARES:</w:t>
            </w:r>
          </w:p>
          <w:p w:rsidRPr="004437C3" w:rsidR="004C284C" w:rsidP="1C3D137E" w:rsidRDefault="4905D01F" w14:paraId="097FD9ED" w14:textId="66014E61">
            <w:pPr>
              <w:spacing w:after="160"/>
              <w:rPr>
                <w:rFonts w:eastAsia="Arial"/>
                <w:lang w:val="es"/>
              </w:rPr>
            </w:pPr>
            <w:r w:rsidRPr="1C3D137E">
              <w:rPr>
                <w:rFonts w:eastAsia="Arial"/>
                <w:lang w:val="es"/>
              </w:rPr>
              <w:lastRenderedPageBreak/>
              <w:t>La UAEGRD de Cundinamarca, en ejercicio del derecho de contradicción, presenta los siguientes argumentos frente a la observación formulada, solicitando respetuosamente su retiro del informe definitivo, por las razones que se exponen a continuación.</w:t>
            </w:r>
          </w:p>
          <w:p w:rsidRPr="004437C3" w:rsidR="004C284C" w:rsidP="1C3D137E" w:rsidRDefault="4905D01F" w14:paraId="33CEA26E" w14:textId="39F4AAC2">
            <w:pPr>
              <w:spacing w:after="160"/>
              <w:rPr>
                <w:rFonts w:eastAsia="Arial"/>
                <w:lang w:val="es"/>
              </w:rPr>
            </w:pPr>
            <w:r w:rsidRPr="1C3D137E">
              <w:rPr>
                <w:rFonts w:eastAsia="Arial"/>
                <w:lang w:val="es"/>
              </w:rPr>
              <w:t>El hallazgo parte de una premisa que debe ser precisada: la Ley 1523 de 2012 es una norma nacional de aplicación directa e inmediata en todo el territorio colombiano, conforme a los artículos 1° y 2° de la misma ley. No existe mandato legal que obligue a las entidades territoriales a transcribir o reproducir la totalidad de sus disposiciones en la normativa departamental. El artículo 91 de la propia Ley 1523 delimita la competencia reglamentaria de las Asambleas Departamentales exclusivamente a “las medidas especiales que podrán tomar los gobernadores y alcaldes en situaciones de calamidad pública”, no a la reproducción integral de la ley.</w:t>
            </w:r>
          </w:p>
          <w:p w:rsidRPr="004437C3" w:rsidR="004C284C" w:rsidP="1C3D137E" w:rsidRDefault="004C284C" w14:paraId="4667A86A" w14:textId="15451D6D">
            <w:pPr>
              <w:spacing w:after="160"/>
              <w:rPr>
                <w:rFonts w:eastAsia="Arial"/>
                <w:lang w:val="es"/>
              </w:rPr>
            </w:pPr>
            <w:r w:rsidRPr="0ED4F347" w:rsidR="3B49D8F4">
              <w:rPr>
                <w:rFonts w:eastAsia="Arial"/>
                <w:lang w:val="es"/>
              </w:rPr>
              <w:t>Adicionalmente, el artículo 54 de la Ordenanza 066 de 2018 establece una cláusula de integración normativa que dispone: “Para efectos de lo no previsto en la presente ordenanza, se aplicará lo dispuesto en la Ley 1523 de 2012 y demás normativa Nacional y Departamental concordante.” Esta disposición constituye un mecanismo jurídico válido de remisión normativa que garantiza la plena aplicabilidad de la Ley 1523 en el territorio de Cundinamarca, sin necesidad de su reproducción literal. Este mecanismo es ampliamente reconocido en el derecho administrativo colombiano y en la jurisprudencia del Consejo de Estado.</w:t>
            </w:r>
          </w:p>
          <w:p w:rsidRPr="004437C3" w:rsidR="004C284C" w:rsidP="1C3D137E" w:rsidRDefault="4905D01F" w14:paraId="0225AE1A" w14:textId="37ED3FE1">
            <w:pPr>
              <w:spacing w:after="160"/>
              <w:rPr>
                <w:rFonts w:eastAsia="Arial"/>
                <w:lang w:val="es"/>
              </w:rPr>
            </w:pPr>
            <w:r w:rsidRPr="1C3D137E">
              <w:rPr>
                <w:rFonts w:eastAsia="Arial"/>
                <w:lang w:val="es"/>
              </w:rPr>
              <w:t>2. ANÁLISIS ARTÍCULO POR ARTÍCULO</w:t>
            </w:r>
            <w:r w:rsidRPr="1C3D137E" w:rsidR="37759388">
              <w:rPr>
                <w:rFonts w:eastAsia="Arial"/>
                <w:lang w:val="es"/>
              </w:rPr>
              <w:t>:</w:t>
            </w:r>
          </w:p>
          <w:p w:rsidRPr="004437C3" w:rsidR="004C284C" w:rsidP="1C3D137E" w:rsidRDefault="4905D01F" w14:paraId="33940CBF" w14:textId="03DE98B2">
            <w:pPr>
              <w:spacing w:after="160"/>
              <w:rPr>
                <w:rFonts w:eastAsia="Arial"/>
                <w:lang w:val="es"/>
              </w:rPr>
            </w:pPr>
            <w:r w:rsidRPr="1C3D137E">
              <w:rPr>
                <w:rFonts w:eastAsia="Arial"/>
                <w:lang w:val="es"/>
              </w:rPr>
              <w:t>2.1. Artículo 4 – Definiciones</w:t>
            </w:r>
          </w:p>
          <w:p w:rsidRPr="004437C3" w:rsidR="004C284C" w:rsidP="1C3D137E" w:rsidRDefault="4905D01F" w14:paraId="6E0F4655" w14:textId="407AC3C0">
            <w:pPr>
              <w:spacing w:after="160"/>
              <w:rPr>
                <w:rFonts w:eastAsia="Arial"/>
                <w:lang w:val="es"/>
              </w:rPr>
            </w:pPr>
            <w:r w:rsidRPr="1C3D137E">
              <w:rPr>
                <w:rFonts w:eastAsia="Arial"/>
                <w:lang w:val="es"/>
              </w:rPr>
              <w:t>La Ley 1523/2012 no establece la obligación de que las entidades territoriales reproduzcan su glosario. Las definiciones contenidas en el artículo 4 aplican directamente por mandato legal y por integración normativa (Art. 54, Ord. 066/2018). La Ordenanza, al tratarse de un instrumento de política pública, incorporó las orientaciones conceptuales pertinentes para el contexto departamental (Art. 3, numerales 2 y 3). Reproducir el glosario nacional generaría, además, un riesgo de desactualización, dado que la Ley 2474 de 2025 ya modificó varias de esas definiciones (arts. 4 numerales 5, 8, 10, 11, 21 y 27), lo cual obligaría a reformar la ordenanza cada vez que el legislador nacional modifique la ley.</w:t>
            </w:r>
          </w:p>
          <w:p w:rsidRPr="004437C3" w:rsidR="004C284C" w:rsidP="1C3D137E" w:rsidRDefault="4905D01F" w14:paraId="447A8E1A" w14:textId="77131A78">
            <w:pPr>
              <w:spacing w:after="160"/>
              <w:rPr>
                <w:rFonts w:eastAsia="Arial"/>
                <w:lang w:val="es"/>
              </w:rPr>
            </w:pPr>
            <w:r w:rsidRPr="1C3D137E">
              <w:rPr>
                <w:rFonts w:eastAsia="Arial"/>
                <w:lang w:val="es"/>
              </w:rPr>
              <w:t>2.2. Artículo 31 – Corporaciones Autónomas Regionales</w:t>
            </w:r>
          </w:p>
          <w:p w:rsidRPr="004437C3" w:rsidR="004C284C" w:rsidP="1C3D137E" w:rsidRDefault="4905D01F" w14:paraId="425884CD" w14:textId="613E3AE5">
            <w:pPr>
              <w:spacing w:after="160"/>
              <w:rPr>
                <w:rFonts w:eastAsia="Arial"/>
              </w:rPr>
            </w:pPr>
            <w:r w:rsidRPr="1C3D137E">
              <w:rPr>
                <w:rFonts w:eastAsia="Arial"/>
              </w:rPr>
              <w:t xml:space="preserve">Contrario a lo afirmado en la observación, la Ordenanza 066/2018 sí incorpora a las </w:t>
            </w:r>
            <w:proofErr w:type="spellStart"/>
            <w:r w:rsidRPr="1C3D137E">
              <w:rPr>
                <w:rFonts w:eastAsia="Arial"/>
              </w:rPr>
              <w:t>CARs</w:t>
            </w:r>
            <w:proofErr w:type="spellEnd"/>
            <w:r w:rsidRPr="1C3D137E">
              <w:rPr>
                <w:rFonts w:eastAsia="Arial"/>
              </w:rPr>
              <w:t xml:space="preserve"> como integrantes del Sistema Departamental, asignándoles roles específicos en múltiples instancias: Consejo Departamental (Art. 17, </w:t>
            </w:r>
            <w:r w:rsidRPr="1C3D137E" w:rsidR="3ACBF1AF">
              <w:rPr>
                <w:rFonts w:eastAsia="Arial"/>
              </w:rPr>
              <w:t>núm.</w:t>
            </w:r>
            <w:r w:rsidRPr="1C3D137E">
              <w:rPr>
                <w:rFonts w:eastAsia="Arial"/>
              </w:rPr>
              <w:t xml:space="preserve"> 14), Comité de Conocimiento del Riesgo (Art. 20, </w:t>
            </w:r>
            <w:r w:rsidRPr="1C3D137E" w:rsidR="0B63E1F2">
              <w:rPr>
                <w:rFonts w:eastAsia="Arial"/>
              </w:rPr>
              <w:t>núm.</w:t>
            </w:r>
            <w:r w:rsidRPr="1C3D137E">
              <w:rPr>
                <w:rFonts w:eastAsia="Arial"/>
              </w:rPr>
              <w:t xml:space="preserve"> 10), Comité de Reducción del Riesgo (Art. 22, </w:t>
            </w:r>
            <w:r w:rsidRPr="1C3D137E" w:rsidR="7DE16CC5">
              <w:rPr>
                <w:rFonts w:eastAsia="Arial"/>
              </w:rPr>
              <w:t>núm.</w:t>
            </w:r>
            <w:r w:rsidRPr="1C3D137E">
              <w:rPr>
                <w:rFonts w:eastAsia="Arial"/>
              </w:rPr>
              <w:t xml:space="preserve"> 9), y Comités Provinciales (Art. 28, </w:t>
            </w:r>
            <w:r w:rsidRPr="1C3D137E" w:rsidR="57AD8675">
              <w:rPr>
                <w:rFonts w:eastAsia="Arial"/>
              </w:rPr>
              <w:t>núm.</w:t>
            </w:r>
            <w:r w:rsidRPr="1C3D137E">
              <w:rPr>
                <w:rFonts w:eastAsia="Arial"/>
              </w:rPr>
              <w:t xml:space="preserve"> 7). Estas disposiciones garantizan su participación activa en los tres procesos misionales de la gestión del riesgo a nivel </w:t>
            </w:r>
            <w:r w:rsidRPr="1C3D137E">
              <w:rPr>
                <w:rFonts w:eastAsia="Arial"/>
              </w:rPr>
              <w:lastRenderedPageBreak/>
              <w:t>departamental, cumpliendo con el espíritu del artículo 31 de la Ley 1523. La condición descrita en la observación no corresponde a la realidad normativa.</w:t>
            </w:r>
          </w:p>
          <w:p w:rsidRPr="004437C3" w:rsidR="004C284C" w:rsidP="1C3D137E" w:rsidRDefault="4905D01F" w14:paraId="1D2E732D" w14:textId="50DDF639">
            <w:pPr>
              <w:spacing w:after="160"/>
              <w:rPr>
                <w:rFonts w:eastAsia="Arial"/>
                <w:lang w:val="es"/>
              </w:rPr>
            </w:pPr>
            <w:r w:rsidRPr="1C3D137E">
              <w:rPr>
                <w:rFonts w:eastAsia="Arial"/>
                <w:lang w:val="es"/>
              </w:rPr>
              <w:t>2.3. Artículo 42 – Análisis específicos de riesgo y planes de contingencia</w:t>
            </w:r>
          </w:p>
          <w:p w:rsidRPr="004437C3" w:rsidR="004C284C" w:rsidP="1C3D137E" w:rsidRDefault="4905D01F" w14:paraId="40BD5A05" w14:textId="7767D8ED">
            <w:pPr>
              <w:spacing w:after="160"/>
              <w:rPr>
                <w:rFonts w:eastAsia="Arial"/>
              </w:rPr>
            </w:pPr>
            <w:r w:rsidRPr="1C3D137E">
              <w:rPr>
                <w:rFonts w:eastAsia="Arial"/>
              </w:rPr>
              <w:t>Este artículo establece obligaciones dirigidas a entidades prestadoras de servicios públicos y ejecutoras de obras civiles, no al departamento como sujeto normativo. No obstante, el artículo 51 de la Ordenanza 066/2018 incorpora esta obligación al remitir al Decreto Nacional 2157 de 2017 para el sector empresarial y productivo, y el artículo 25 (</w:t>
            </w:r>
            <w:r w:rsidRPr="1C3D137E" w:rsidR="409813B7">
              <w:rPr>
                <w:rFonts w:eastAsia="Arial"/>
              </w:rPr>
              <w:t>núm.</w:t>
            </w:r>
            <w:r w:rsidRPr="1C3D137E">
              <w:rPr>
                <w:rFonts w:eastAsia="Arial"/>
              </w:rPr>
              <w:t xml:space="preserve"> 12) asigna al Comité de Manejo de Desastres la función de hacer seguimiento a la elaboración de planes de contingencia. Adicionalmente, la obligación de elaborar análisis específicos opera por mandato legal directo, sin requerir desarrollo departamental complementario.</w:t>
            </w:r>
          </w:p>
          <w:p w:rsidRPr="004437C3" w:rsidR="004C284C" w:rsidP="1C3D137E" w:rsidRDefault="4905D01F" w14:paraId="5CF4D3B7" w14:textId="247D99C4">
            <w:pPr>
              <w:spacing w:after="160"/>
              <w:rPr>
                <w:rFonts w:eastAsia="Arial"/>
                <w:lang w:val="es"/>
              </w:rPr>
            </w:pPr>
            <w:r w:rsidRPr="1C3D137E">
              <w:rPr>
                <w:rFonts w:eastAsia="Arial"/>
                <w:lang w:val="es"/>
              </w:rPr>
              <w:t>2.4. Artículo 43 – Cooperación internacional</w:t>
            </w:r>
          </w:p>
          <w:p w:rsidRPr="004437C3" w:rsidR="004C284C" w:rsidP="1C3D137E" w:rsidRDefault="4905D01F" w14:paraId="67254C03" w14:textId="08F080CA">
            <w:pPr>
              <w:spacing w:after="160"/>
              <w:rPr>
                <w:rFonts w:eastAsia="Arial"/>
                <w:lang w:val="es"/>
              </w:rPr>
            </w:pPr>
            <w:r w:rsidRPr="1C3D137E">
              <w:rPr>
                <w:rFonts w:eastAsia="Arial"/>
                <w:lang w:val="es"/>
              </w:rPr>
              <w:t>El parágrafo del artículo 43 de la Ley 1523 asigna la responsabilidad de formular el plan estratégico de cooperación internacional al Gobierno Nacional (Departamento Administrativo para la Prosperidad Social, Ministerio de Relaciones Exteriores y UNGRD), no a los departamentos. La Ordenanza 066/2018, en su artículo 46 numeral 8, sí contempla los recursos de cooperación internacional como fuente de financiación del Fondo Departamental. Exigir un plan estratégico departamental de cooperación internacional excede las competencias asignadas por la ley al nivel territorial.</w:t>
            </w:r>
          </w:p>
          <w:p w:rsidRPr="004437C3" w:rsidR="004C284C" w:rsidP="1C3D137E" w:rsidRDefault="4905D01F" w14:paraId="354B239A" w14:textId="027D0EF3">
            <w:pPr>
              <w:spacing w:after="160"/>
              <w:rPr>
                <w:rFonts w:eastAsia="Arial"/>
                <w:lang w:val="es"/>
              </w:rPr>
            </w:pPr>
            <w:r w:rsidRPr="1C3D137E">
              <w:rPr>
                <w:rFonts w:eastAsia="Arial"/>
                <w:lang w:val="es"/>
              </w:rPr>
              <w:t>2.5. Artículo 44 – Control en la gestión del riesgo</w:t>
            </w:r>
          </w:p>
          <w:p w:rsidRPr="004437C3" w:rsidR="004C284C" w:rsidP="1C3D137E" w:rsidRDefault="4905D01F" w14:paraId="1BABDDA2" w14:textId="37F72D09">
            <w:pPr>
              <w:spacing w:after="160"/>
              <w:rPr>
                <w:rFonts w:eastAsia="Arial"/>
              </w:rPr>
            </w:pPr>
            <w:r w:rsidRPr="1C3D137E">
              <w:rPr>
                <w:rFonts w:eastAsia="Arial"/>
              </w:rPr>
              <w:t>El control fiscal y disciplinario son competencias constitucionales autónomas de la Contraloría y la Procuraduría respectivamente, que operan por mandato de los artículos 267 y 277 de la Constitución Política, sin requerir desarrollo normativo departamental. La veeduría ciudadana opera por mandato de la Ley 850 de 2003. Sin perjuicio de ello, la Ordenanza 066/2018 sí contempla mecanismos de seguimiento y control: el artículo 18 (</w:t>
            </w:r>
            <w:proofErr w:type="spellStart"/>
            <w:r w:rsidRPr="1C3D137E">
              <w:rPr>
                <w:rFonts w:eastAsia="Arial"/>
              </w:rPr>
              <w:t>nums</w:t>
            </w:r>
            <w:proofErr w:type="spellEnd"/>
            <w:r w:rsidRPr="1C3D137E">
              <w:rPr>
                <w:rFonts w:eastAsia="Arial"/>
              </w:rPr>
              <w:t>. 9 y 10) asigna funciones de seguimiento, evaluación y control al Consejo Departamental, y el artículo 27 (</w:t>
            </w:r>
            <w:r w:rsidRPr="1C3D137E" w:rsidR="2432C38D">
              <w:rPr>
                <w:rFonts w:eastAsia="Arial"/>
              </w:rPr>
              <w:t>núm.</w:t>
            </w:r>
            <w:r w:rsidRPr="1C3D137E">
              <w:rPr>
                <w:rFonts w:eastAsia="Arial"/>
              </w:rPr>
              <w:t xml:space="preserve"> 3) contempla las veedurías ciudadanas a través del Comité Consultivo.</w:t>
            </w:r>
          </w:p>
          <w:p w:rsidRPr="004437C3" w:rsidR="004C284C" w:rsidP="1C3D137E" w:rsidRDefault="4905D01F" w14:paraId="3954E924" w14:textId="449EF6F3">
            <w:pPr>
              <w:spacing w:after="160"/>
              <w:rPr>
                <w:rFonts w:eastAsia="Arial"/>
                <w:lang w:val="es"/>
              </w:rPr>
            </w:pPr>
            <w:r w:rsidRPr="1C3D137E">
              <w:rPr>
                <w:rFonts w:eastAsia="Arial"/>
                <w:lang w:val="es"/>
              </w:rPr>
              <w:t>2.6. Artículo 59 – Criterios para declaratoria de desastre y calamidad</w:t>
            </w:r>
          </w:p>
          <w:p w:rsidRPr="004437C3" w:rsidR="004C284C" w:rsidP="1C3D137E" w:rsidRDefault="004C284C" w14:paraId="15A5605C" w14:textId="69CFCEB3">
            <w:pPr>
              <w:spacing w:after="160"/>
              <w:rPr>
                <w:rFonts w:eastAsia="Arial"/>
                <w:lang w:val="es"/>
              </w:rPr>
            </w:pPr>
            <w:r w:rsidRPr="0ED4F347" w:rsidR="3B49D8F4">
              <w:rPr>
                <w:rFonts w:eastAsia="Arial"/>
                <w:lang w:val="es"/>
              </w:rPr>
              <w:t>Los criterios del artículo 59 de la Ley 1523 aplican directamente por integración normativa. El artículo 49 de la Ordenanza 066/2018 remite expresamente a las reglas de la Ley 1523 para la declaratoria de calamidad pública: “La declaratoria de situación de calamidad pública se producirá y aplicará, en lo pertinente, de conformidad con las reglas de la declaratoria de la situación de desastre.” Adicionalmente, el artículo 25 numeral 6 asigna al Comité de Manejo de Desastres la función de emitir concepto técnico previo para la declaratoria, garantizando la fundamentación técnica de estas decisiones.</w:t>
            </w:r>
          </w:p>
          <w:p w:rsidRPr="004437C3" w:rsidR="004C284C" w:rsidP="1C3D137E" w:rsidRDefault="4905D01F" w14:paraId="49E9FF9F" w14:textId="595DEE11">
            <w:pPr>
              <w:spacing w:after="160"/>
              <w:rPr>
                <w:rFonts w:eastAsia="Arial"/>
                <w:lang w:val="es"/>
              </w:rPr>
            </w:pPr>
            <w:r w:rsidRPr="1C3D137E">
              <w:rPr>
                <w:rFonts w:eastAsia="Arial"/>
                <w:lang w:val="es"/>
              </w:rPr>
              <w:t>3. SOBRE LA CONSECUENCIA</w:t>
            </w:r>
            <w:r w:rsidRPr="1C3D137E" w:rsidR="6D2556E4">
              <w:rPr>
                <w:rFonts w:eastAsia="Arial"/>
                <w:lang w:val="es"/>
              </w:rPr>
              <w:t>:</w:t>
            </w:r>
          </w:p>
          <w:p w:rsidRPr="004437C3" w:rsidR="004C284C" w:rsidP="1C3D137E" w:rsidRDefault="004C284C" w14:paraId="5D2FDCF4" w14:textId="6ABD37D0">
            <w:pPr>
              <w:spacing w:after="160"/>
              <w:rPr>
                <w:rFonts w:eastAsia="Arial"/>
                <w:lang w:val="es"/>
              </w:rPr>
            </w:pPr>
            <w:r w:rsidRPr="0ED4F347" w:rsidR="3B49D8F4">
              <w:rPr>
                <w:rFonts w:eastAsia="Arial"/>
                <w:lang w:val="es"/>
              </w:rPr>
              <w:t>Las consecuencias descritas en la observación son de carácter hipotético y potencial (“puede traducirse en”, “posibles reprocesos”). La Guía de Auditoría Territorial (GAT v4.0) establece en su numeral 1.4.1.7 que los efectos deben incluir “datos suficientes que demuestren su importancia” y que pueden ser “expuestos frecuentemente en términos cuantitativos”. No se evidencia en la observación un caso concreto donde la supuesta falta de alineación haya generado una inconsistencia operativa, una limitación en la articulación institucional, o una decisión administrativa deficiente en el departamento de Cundinamarca.</w:t>
            </w:r>
          </w:p>
          <w:p w:rsidRPr="004437C3" w:rsidR="004C284C" w:rsidP="1C3D137E" w:rsidRDefault="4905D01F" w14:paraId="64037EC4" w14:textId="2FFE5403">
            <w:pPr>
              <w:spacing w:after="160"/>
              <w:rPr>
                <w:rFonts w:eastAsia="Arial"/>
                <w:lang w:val="es"/>
              </w:rPr>
            </w:pPr>
            <w:r w:rsidRPr="1C3D137E">
              <w:rPr>
                <w:rFonts w:eastAsia="Arial"/>
                <w:lang w:val="es"/>
              </w:rPr>
              <w:t>4. CONCLUSIÓN Y SOLICITUD</w:t>
            </w:r>
            <w:r w:rsidRPr="1C3D137E" w:rsidR="120F4FB6">
              <w:rPr>
                <w:rFonts w:eastAsia="Arial"/>
                <w:lang w:val="es"/>
              </w:rPr>
              <w:t>:</w:t>
            </w:r>
          </w:p>
          <w:p w:rsidRPr="004437C3" w:rsidR="004C284C" w:rsidP="1C3D137E" w:rsidRDefault="4905D01F" w14:paraId="4818A90E" w14:textId="3368A2F3">
            <w:pPr>
              <w:spacing w:after="160"/>
              <w:rPr>
                <w:rFonts w:eastAsia="Arial"/>
                <w:lang w:val="es"/>
              </w:rPr>
            </w:pPr>
            <w:r w:rsidRPr="1C3D137E">
              <w:rPr>
                <w:rFonts w:eastAsia="Arial"/>
                <w:lang w:val="es"/>
              </w:rPr>
              <w:t>Con fundamento en los argumentos expuestos, se solicita respetuosamente al equipo auditor el retiro de la observación del informe definitivo, por las siguientes razones:</w:t>
            </w:r>
          </w:p>
          <w:p w:rsidRPr="004437C3" w:rsidR="004C284C" w:rsidP="1C3D137E" w:rsidRDefault="4905D01F" w14:paraId="56555D2F" w14:textId="572A7F4E">
            <w:pPr>
              <w:spacing w:after="160"/>
              <w:rPr>
                <w:rFonts w:eastAsia="Arial"/>
                <w:lang w:val="es"/>
              </w:rPr>
            </w:pPr>
            <w:r w:rsidRPr="1C3D137E">
              <w:rPr>
                <w:rFonts w:eastAsia="Arial"/>
                <w:lang w:val="es"/>
              </w:rPr>
              <w:t>a) La Ley 1523 de 2012 es de aplicación directa y no requiere reproducción en la normativa departamental para su plena vigencia. El artículo 91 de la misma ley delimita la competencia reglamentaria territorial.</w:t>
            </w:r>
          </w:p>
          <w:p w:rsidRPr="004437C3" w:rsidR="004C284C" w:rsidP="1C3D137E" w:rsidRDefault="4905D01F" w14:paraId="01164F90" w14:textId="659EA936">
            <w:pPr>
              <w:spacing w:after="160"/>
              <w:rPr>
                <w:rFonts w:eastAsia="Arial"/>
                <w:lang w:val="es"/>
              </w:rPr>
            </w:pPr>
            <w:r w:rsidRPr="1C3D137E">
              <w:rPr>
                <w:rFonts w:eastAsia="Arial"/>
                <w:lang w:val="es"/>
              </w:rPr>
              <w:t>b) El artículo 54 de la Ordenanza 066/2018 garantiza la integración normativa plena con la Ley 1523.</w:t>
            </w:r>
          </w:p>
          <w:p w:rsidRPr="004437C3" w:rsidR="004C284C" w:rsidP="1C3D137E" w:rsidRDefault="4905D01F" w14:paraId="37127FF4" w14:textId="2A471579">
            <w:pPr>
              <w:spacing w:after="160"/>
              <w:rPr>
                <w:rFonts w:eastAsia="Arial"/>
                <w:lang w:val="es"/>
              </w:rPr>
            </w:pPr>
            <w:r w:rsidRPr="1C3D137E">
              <w:rPr>
                <w:rFonts w:eastAsia="Arial"/>
                <w:lang w:val="es"/>
              </w:rPr>
              <w:t>c) Varios de los artículos señalados sí se encuentran desarrollados en la Ordenanza (arts. 31 y 42), o corresponden a competencias de otros niveles de gobierno (art. 43) o de órganos constitucionales autónomos (art. 44).</w:t>
            </w:r>
          </w:p>
          <w:p w:rsidRPr="004437C3" w:rsidR="004C284C" w:rsidP="1C3D137E" w:rsidRDefault="4905D01F" w14:paraId="04ABA5A9" w14:textId="533295E5">
            <w:pPr>
              <w:spacing w:after="160"/>
              <w:rPr>
                <w:rFonts w:eastAsia="Arial"/>
                <w:lang w:val="es"/>
              </w:rPr>
            </w:pPr>
            <w:r w:rsidRPr="1C3D137E">
              <w:rPr>
                <w:rFonts w:eastAsia="Arial"/>
                <w:lang w:val="es"/>
              </w:rPr>
              <w:t>d) Las consecuencias descritas son hipotéticas y no están soportadas en evidencia de afectación real.</w:t>
            </w:r>
            <w:r w:rsidRPr="1C3D137E" w:rsidR="183ECB13">
              <w:rPr>
                <w:rFonts w:eastAsia="Arial"/>
                <w:lang w:val="es"/>
              </w:rPr>
              <w:t>”</w:t>
            </w:r>
          </w:p>
          <w:p w:rsidRPr="004437C3" w:rsidR="004C284C" w:rsidP="1C3D137E" w:rsidRDefault="004C284C" w14:paraId="7D233FEA" w14:textId="50F14D5E">
            <w:pPr>
              <w:rPr>
                <w:rFonts w:eastAsia="Arial"/>
                <w:lang w:val="es"/>
              </w:rPr>
            </w:pPr>
          </w:p>
          <w:p w:rsidRPr="004C284C" w:rsidR="004C284C" w:rsidP="1C3D137E" w:rsidRDefault="42FBEE4C" w14:paraId="45779BAE" w14:textId="10BF0547">
            <w:pPr>
              <w:rPr>
                <w:rFonts w:eastAsia="Arial"/>
                <w:b/>
                <w:bCs/>
                <w:sz w:val="18"/>
                <w:szCs w:val="18"/>
                <w:lang w:val="es"/>
              </w:rPr>
            </w:pPr>
            <w:r w:rsidRPr="1C3D137E">
              <w:rPr>
                <w:b/>
                <w:bCs/>
              </w:rPr>
              <w:t>Análisis</w:t>
            </w:r>
            <w:r w:rsidRPr="1C3D137E">
              <w:rPr>
                <w:i/>
                <w:iCs/>
                <w:color w:val="808080" w:themeColor="background1" w:themeShade="80"/>
                <w:sz w:val="20"/>
                <w:szCs w:val="20"/>
              </w:rPr>
              <w:t xml:space="preserve">: </w:t>
            </w:r>
          </w:p>
          <w:p w:rsidRPr="004C284C" w:rsidR="004C284C" w:rsidP="1C3D137E" w:rsidRDefault="7C6BF879" w14:paraId="19EF7226" w14:textId="71CD89D2">
            <w:pPr>
              <w:spacing w:before="240" w:after="240"/>
            </w:pPr>
            <w:r w:rsidRPr="1C3D137E">
              <w:rPr>
                <w:rFonts w:eastAsia="Arial"/>
              </w:rPr>
              <w:t>Con base en lo expuesto, se concluye que se acepta la aclaración respecto a la no inclusión, en la Ordenanza 066 de 2018, de los artículos 42, 43 y 44 de la Ley 1523 de 2012, en los siguientes términos:</w:t>
            </w:r>
          </w:p>
          <w:p w:rsidRPr="004C284C" w:rsidR="004C284C" w:rsidP="1C3D137E" w:rsidRDefault="7C6BF879" w14:paraId="1C419122" w14:textId="4A6F4515">
            <w:pPr>
              <w:spacing w:before="240" w:after="240"/>
            </w:pPr>
            <w:r w:rsidRPr="0ED4F347" w:rsidR="5C446E9A">
              <w:rPr>
                <w:rFonts w:eastAsia="Arial"/>
              </w:rPr>
              <w:t>En relación con el artículo 4</w:t>
            </w:r>
            <w:r w:rsidRPr="0ED4F347" w:rsidR="1AE144CC">
              <w:rPr>
                <w:rFonts w:eastAsia="Arial"/>
              </w:rPr>
              <w:t>2</w:t>
            </w:r>
            <w:r w:rsidRPr="0ED4F347" w:rsidR="5C446E9A">
              <w:rPr>
                <w:rFonts w:eastAsia="Arial"/>
              </w:rPr>
              <w:t>, se acoge lo señalado por la UAEGRD, según lo cual “este artículo establece obligaciones dirigidas a entidades prestadoras de servicios, y no al departamento como sujeto normativo”; en consecuencia, se considera justificada su no incorporación en el desarrollo normativo departamental.</w:t>
            </w:r>
          </w:p>
          <w:p w:rsidRPr="004C284C" w:rsidR="004C284C" w:rsidP="1C3D137E" w:rsidRDefault="7C6BF879" w14:paraId="729C7E09" w14:textId="47D05864">
            <w:pPr>
              <w:spacing w:before="240" w:after="240"/>
            </w:pPr>
            <w:r w:rsidRPr="1C3D137E">
              <w:rPr>
                <w:rFonts w:eastAsia="Arial"/>
              </w:rPr>
              <w:t>Respecto al artículo 43, relacionado con la cooperación internacional en la gestión del riesgo, se observa que, si bien el numeral 8 del artículo 46 de la Ordenanza 066 de 2018 contempla como fuente de financiación los recursos provenientes de cooperación internacional, no se evidencia el desarrollo de lineamientos o instrumentos orientados a promover, gestionar y canalizar de manera estructurada recursos jurídicos, financieros, físicos, humanos y técnicos en esta materia.</w:t>
            </w:r>
          </w:p>
          <w:p w:rsidRPr="004C284C" w:rsidR="004C284C" w:rsidP="1C3D137E" w:rsidRDefault="7C6BF879" w14:paraId="126FA052" w14:textId="317B272F">
            <w:pPr>
              <w:spacing w:before="240" w:after="240"/>
            </w:pPr>
            <w:r w:rsidRPr="1C3D137E">
              <w:rPr>
                <w:rFonts w:eastAsia="Arial"/>
              </w:rPr>
              <w:t xml:space="preserve">No obstante, la UAEGRD precisa que “el parágrafo del artículo 43 de la Ley 1523 de 2012 asigna la responsabilidad de formular el plan estratégico de cooperación internacional al Gobierno Nacional —a </w:t>
            </w:r>
            <w:r w:rsidRPr="1C3D137E">
              <w:rPr>
                <w:rFonts w:eastAsia="Arial"/>
              </w:rPr>
              <w:lastRenderedPageBreak/>
              <w:t>través del Departamento Administrativo para la Prosperidad Social, el Ministerio de Relaciones Exteriores y la UNGRD— y no a las entidades territoriales”. En este sentido, aunque la Ordenanza 066 de 2018 reconoce la cooperación internacional como fuente de financiación del Fondo Departamental, la exigencia de un plan estratégico departamental en esta materia excedería las competencias definidas por la normativa vigente, sin perjuicio de la posibilidad de establecer mecanismos de articulación y gestión que faciliten el acceso a dichos recursos en el ámbito territorial. En consecuencia, se acepta la explicación presentada.</w:t>
            </w:r>
          </w:p>
          <w:p w:rsidRPr="004C284C" w:rsidR="004C284C" w:rsidP="1C3D137E" w:rsidRDefault="7C6BF879" w14:paraId="35755219" w14:textId="07A66F8D">
            <w:pPr>
              <w:spacing w:before="240" w:after="240"/>
            </w:pPr>
            <w:r w:rsidRPr="1C3D137E">
              <w:rPr>
                <w:rFonts w:eastAsia="Arial"/>
              </w:rPr>
              <w:t>En cuanto al artículo 44, relativo al control en la gestión del riesgo de desastres, se evidencia que su contenido no se encuentra desarrollado de manera expresa en la Ordenanza 066 de 2018. Este artículo dispone que el Estado, a través de sus órganos de control, ejerce procesos de monitoreo, evaluación y control en la gestión del riesgo de desastres, empleando los mecanismos previstos en la ley, así como la participación de la sociedad mediante instrumentos de veeduría ciudadana.</w:t>
            </w:r>
          </w:p>
          <w:p w:rsidRPr="004C284C" w:rsidR="004C284C" w:rsidP="1C3D137E" w:rsidRDefault="7C6BF879" w14:paraId="6FE0B4A1" w14:textId="1429962B">
            <w:pPr>
              <w:spacing w:before="240" w:after="240"/>
            </w:pPr>
            <w:r w:rsidRPr="1C3D137E">
              <w:rPr>
                <w:rFonts w:eastAsia="Arial"/>
              </w:rPr>
              <w:t>Sin embargo, la Unidad aclara que “el control fiscal y disciplinario corresponde a competencias constitucionales autónomas de la Contraloría y la Procuraduría, conforme a los artículos 267 y 277 de la Constitución Política, por lo que su ejercicio no depende de un desarrollo normativo departamental. Asimismo, las veedurías ciudadanas se rigen por lo dispuesto en la Ley 850 de 2003”. En este contexto, si bien la Ordenanza 066 de 2018 no reproduce de manera literal el contenido del artículo 44, sí incorpora mecanismos de seguimiento y control al asignar funciones de monitoreo, evaluación y control al Consejo Departamental (artículo 18, numerales 9 y 10), y al prever la participación ciudadana a través de veedurías en el marco del Comité Consultivo (artículo 27, numeral 3). En consecuencia, no se configura un vacío normativo sustancial.</w:t>
            </w:r>
          </w:p>
          <w:p w:rsidRPr="004C284C" w:rsidR="004C284C" w:rsidP="1C3D137E" w:rsidRDefault="5FE39A02" w14:paraId="6A365A20" w14:textId="330B7302">
            <w:pPr>
              <w:spacing w:before="240" w:after="240"/>
              <w:rPr>
                <w:rFonts w:eastAsia="Arial"/>
                <w:lang w:val="es"/>
              </w:rPr>
            </w:pPr>
            <w:r w:rsidR="2B55CFB9">
              <w:rPr/>
              <w:t xml:space="preserve">De otro lado, no se aceptan las aclaraciones brindadas para los artículos </w:t>
            </w:r>
            <w:r w:rsidRPr="0ED4F347" w:rsidR="2B55CFB9">
              <w:rPr>
                <w:rFonts w:eastAsia="Arial"/>
              </w:rPr>
              <w:t>4, 31 y 53, por las siguientes razones:</w:t>
            </w:r>
          </w:p>
          <w:p w:rsidRPr="004C284C" w:rsidR="004C284C" w:rsidP="1C3D137E" w:rsidRDefault="002CFDC8" w14:paraId="40A2C5C5" w14:textId="048ADEB4">
            <w:pPr>
              <w:spacing w:before="240" w:after="240"/>
              <w:rPr>
                <w:rFonts w:eastAsia="Arial"/>
              </w:rPr>
            </w:pPr>
            <w:r w:rsidRPr="1C3D137E">
              <w:rPr>
                <w:rFonts w:eastAsia="Arial"/>
              </w:rPr>
              <w:t>Frente</w:t>
            </w:r>
            <w:r w:rsidRPr="1C3D137E" w:rsidR="7F1E941C">
              <w:rPr>
                <w:rFonts w:eastAsia="Arial"/>
              </w:rPr>
              <w:t xml:space="preserve"> </w:t>
            </w:r>
            <w:r w:rsidRPr="1C3D137E" w:rsidR="16F37D57">
              <w:rPr>
                <w:rFonts w:eastAsia="Arial"/>
              </w:rPr>
              <w:t>a</w:t>
            </w:r>
            <w:r w:rsidRPr="1C3D137E" w:rsidR="7F1E941C">
              <w:rPr>
                <w:rFonts w:eastAsia="Arial"/>
              </w:rPr>
              <w:t>l artículo 54 de la Ordenanza 066 de 2018 establece una cláusula de remisión normativa, mediante la cual se dispone que, para los aspectos no previstos, se aplicará lo establecido en la Ley 1523 de 2012 y demás normativa concordante, se precisa que dicha figura constituye una técnica válida dentro del ordenamiento jurídico colombiano, en concordancia con el principio de jerarquía normativa y la aplicación directa de la ley en el territorio nacional.</w:t>
            </w:r>
          </w:p>
          <w:p w:rsidRPr="004C284C" w:rsidR="004C284C" w:rsidP="1C3D137E" w:rsidRDefault="7F1E941C" w14:paraId="3937E50A" w14:textId="170F11B8">
            <w:pPr>
              <w:spacing w:before="240" w:after="240"/>
              <w:rPr>
                <w:rFonts w:eastAsia="Arial"/>
                <w:lang w:val="es"/>
              </w:rPr>
            </w:pPr>
            <w:r w:rsidRPr="1C3D137E">
              <w:rPr>
                <w:rFonts w:eastAsia="Arial"/>
                <w:lang w:val="es"/>
              </w:rPr>
              <w:t>No obstante, en concordancia con lo dispuesto en el artículo 91 de la Ley 1523 de 2012, las entidades territoriales, o en el caso departamentales deben reglamentar las medidas aplicables en situaciones de calamidad pública, ajustándose a los principios, definiciones y disposiciones del régimen especial previsto en dicha ley, con el fin de garantizar la armonía en la gestión del riesgo de desastres en los diferentes niveles de la administración.</w:t>
            </w:r>
          </w:p>
          <w:p w:rsidRPr="004C284C" w:rsidR="004C284C" w:rsidP="1C3D137E" w:rsidRDefault="7F1E941C" w14:paraId="09E4DCDC" w14:textId="4BC455FE">
            <w:pPr>
              <w:spacing w:before="240" w:after="240"/>
              <w:rPr>
                <w:rFonts w:eastAsia="Arial"/>
                <w:lang w:val="es"/>
              </w:rPr>
            </w:pPr>
            <w:r w:rsidRPr="1C3D137E">
              <w:rPr>
                <w:rFonts w:eastAsia="Arial"/>
                <w:lang w:val="es"/>
              </w:rPr>
              <w:lastRenderedPageBreak/>
              <w:t>En este sentido, si bien del análisis efectuado se evidencia que la Ordenanza 066 de 2018 incorpora desarrollos específicos, asignación de roles institucionales y remisiones a normativa nacional en varios de los artículos objeto de revisión, dichos desarrollos se presentan, con diferencias en el nivel de detalle, alcance y profundidad frente al referente nacional.</w:t>
            </w:r>
          </w:p>
          <w:p w:rsidRPr="004C284C" w:rsidR="004C284C" w:rsidP="1C3D137E" w:rsidRDefault="7F1E941C" w14:paraId="14DCD98B" w14:textId="733955BB">
            <w:pPr>
              <w:spacing w:before="240" w:after="240"/>
              <w:rPr>
                <w:rFonts w:eastAsia="Arial"/>
              </w:rPr>
            </w:pPr>
            <w:r w:rsidRPr="1C3D137E">
              <w:rPr>
                <w:rFonts w:eastAsia="Arial"/>
              </w:rPr>
              <w:t>Así mismo, se observa que, en algunos casos, la regulación se apoya principalmente en remisiones generales o en la aplicación directa de la norma nacional, lo cual, si bien es jurídicamente válido, puede generar espacios de interpretación en su aplicación en el ámbito territorial y no necesariamente garantiza un nivel suficiente de claridad operativa en la implementación de los lineamientos, particularmente en lo relacionado con la asignación de responsabilidades y la definición de procedimientos.</w:t>
            </w:r>
          </w:p>
          <w:p w:rsidRPr="004C284C" w:rsidR="004C284C" w:rsidP="1C3D137E" w:rsidRDefault="7F1E941C" w14:paraId="3B0FD48E" w14:textId="396D7013">
            <w:pPr>
              <w:spacing w:before="240" w:after="240"/>
              <w:rPr>
                <w:rFonts w:eastAsia="Arial"/>
              </w:rPr>
            </w:pPr>
            <w:r w:rsidRPr="0ED4F347" w:rsidR="3BCA1F0F">
              <w:rPr>
                <w:rFonts w:eastAsia="Arial"/>
              </w:rPr>
              <w:t>D</w:t>
            </w:r>
            <w:r w:rsidRPr="0ED4F347" w:rsidR="3BCA1F0F">
              <w:rPr>
                <w:rFonts w:eastAsia="Arial"/>
              </w:rPr>
              <w:t>e igual forma, frente a lo señalado por la entidad en relación con que la reproducción del glosario nacional podría generar riesgos de desactualización,</w:t>
            </w:r>
            <w:r w:rsidRPr="0ED4F347" w:rsidR="3BCA1F0F">
              <w:rPr>
                <w:rFonts w:eastAsia="Arial"/>
                <w:color w:val="000000" w:themeColor="text1" w:themeTint="FF" w:themeShade="FF"/>
              </w:rPr>
              <w:t xml:space="preserve"> se considera pertinente precisar que la expedición de la Ley 2474 de 2025 introduce modificaciones relevantes a la Ley 1523 de 2012, especialmente al reconocer e incluir a los animales como sujetos destinatarios de las medidas de atención, prevención y respuesta en la gestión del riesgo de desastres.</w:t>
            </w:r>
          </w:p>
          <w:p w:rsidRPr="004C284C" w:rsidR="004C284C" w:rsidP="1C3D137E" w:rsidRDefault="7F1E941C" w14:paraId="5F52C582" w14:textId="3C4927FD">
            <w:pPr>
              <w:spacing w:before="240" w:after="240"/>
              <w:rPr>
                <w:rFonts w:eastAsia="Arial"/>
              </w:rPr>
            </w:pPr>
            <w:r w:rsidRPr="1C3D137E">
              <w:rPr>
                <w:rFonts w:eastAsia="Arial"/>
              </w:rPr>
              <w:t>En este sentido, más que constituir una limitación, dichos cambios normativos refuerzan la necesidad de adelantar procesos de actualización y armonización del marco normativo y programático departamental, teniendo en cuenta que la misma ley establece que, dentro del año siguiente a su promulgación, las entidades territoriales deberán ajustar sus estrategias y planes de gestión del riesgo, con el fin de incorporar los criterios y lineamientos relacionados con la protección animal.</w:t>
            </w:r>
          </w:p>
          <w:p w:rsidRPr="004C284C" w:rsidR="004C284C" w:rsidP="1C3D137E" w:rsidRDefault="7F1E941C" w14:paraId="4C57FF4D" w14:textId="1C617231">
            <w:pPr>
              <w:spacing w:before="240" w:after="240"/>
              <w:rPr>
                <w:rFonts w:eastAsia="Arial"/>
                <w:lang w:val="es"/>
              </w:rPr>
            </w:pPr>
            <w:r w:rsidRPr="1C3D137E">
              <w:rPr>
                <w:rFonts w:eastAsia="Arial"/>
              </w:rPr>
              <w:t xml:space="preserve">En consecuencia, se determina que se debe fortalecer el desarrollo normativo y la armonización de la Ordenanza, con el fin de mejorar la coherencia, trazabilidad y aplicabilidad de la política pública de gestión del riesgo a nivel departamental, por cuanto un mayor nivel de desarrollo normativo territorial contribuye a reducir posibles ambigüedades en la aplicación e interpretación de las disposiciones, fortalecer la articulación institucional y facilitar el seguimiento y evaluación de la implementación de la política pública, en coherencia con los principios de coordinación, concurrencia y complementariedad que rigen la gestión del riesgo de desastres. Por tal razón </w:t>
            </w:r>
            <w:r w:rsidRPr="1C3D137E">
              <w:rPr>
                <w:rFonts w:eastAsia="Arial"/>
                <w:lang w:val="es"/>
              </w:rPr>
              <w:t xml:space="preserve">hallazgo encontrado queda en el grado de </w:t>
            </w:r>
            <w:r w:rsidRPr="1C3D137E">
              <w:rPr>
                <w:rFonts w:eastAsia="Arial"/>
                <w:b/>
                <w:bCs/>
                <w:lang w:val="es"/>
              </w:rPr>
              <w:t>OPORTUNIDAD DE MEJORA</w:t>
            </w:r>
            <w:r w:rsidRPr="1C3D137E" w:rsidR="53FBD036">
              <w:rPr>
                <w:rFonts w:eastAsia="Arial"/>
                <w:b/>
                <w:bCs/>
                <w:lang w:val="es"/>
              </w:rPr>
              <w:t>.</w:t>
            </w:r>
          </w:p>
        </w:tc>
      </w:tr>
    </w:tbl>
    <w:p w:rsidR="00D26FA0" w:rsidP="1C3D137E" w:rsidRDefault="00D26FA0" w14:paraId="7AE65A85" w14:textId="6B722055"/>
    <w:p w:rsidR="00A034C3" w:rsidP="1C3D137E" w:rsidRDefault="00F516F2" w14:paraId="5DE35292" w14:textId="2AB29E49">
      <w:pPr>
        <w:pStyle w:val="Ttulo2"/>
      </w:pPr>
      <w:bookmarkStart w:name="_Toc206756964" w:id="120"/>
      <w:bookmarkStart w:name="_Toc206758796" w:id="121"/>
      <w:bookmarkStart w:name="_Toc206758812" w:id="122"/>
      <w:bookmarkStart w:name="_Toc206758860" w:id="123"/>
      <w:bookmarkStart w:name="_Toc206758876" w:id="124"/>
      <w:bookmarkStart w:name="_Toc206759099" w:id="125"/>
      <w:bookmarkStart w:name="_Toc206759650" w:id="126"/>
      <w:r>
        <w:t>INC</w:t>
      </w:r>
      <w:r w:rsidR="00756C0F">
        <w:t>U</w:t>
      </w:r>
      <w:r>
        <w:t>MPLIMIENTOS</w:t>
      </w:r>
      <w:bookmarkEnd w:id="120"/>
      <w:bookmarkEnd w:id="121"/>
      <w:bookmarkEnd w:id="122"/>
      <w:bookmarkEnd w:id="123"/>
      <w:bookmarkEnd w:id="124"/>
      <w:bookmarkEnd w:id="125"/>
      <w:bookmarkEnd w:id="126"/>
      <w:r>
        <w:t xml:space="preserve"> </w:t>
      </w:r>
    </w:p>
    <w:p w:rsidR="034BD88D" w:rsidP="0ED4F347" w:rsidRDefault="034BD88D" w14:paraId="5FFE2AF1" w14:textId="4E106DD0">
      <w:pPr>
        <w:pStyle w:val="Ttulo3"/>
        <w:rPr>
          <w:rFonts w:ascii="Arial" w:hAnsi="Arial" w:eastAsia="Arial" w:cs="Arial"/>
          <w:b w:val="0"/>
          <w:bCs w:val="0"/>
          <w:i w:val="0"/>
          <w:iCs w:val="0"/>
          <w:caps w:val="0"/>
          <w:smallCaps w:val="0"/>
          <w:noProof w:val="0"/>
          <w:color w:val="000000" w:themeColor="text1"/>
          <w:sz w:val="22"/>
          <w:szCs w:val="22"/>
          <w:lang w:val="es-ES"/>
        </w:rPr>
      </w:pPr>
      <w:r w:rsidRPr="0ED4F347" w:rsidR="0CD2725D">
        <w:rPr>
          <w:rFonts w:eastAsia="Arial"/>
          <w:b w:val="0"/>
          <w:bCs w:val="0"/>
          <w:color w:val="000000" w:themeColor="text1" w:themeTint="FF" w:themeShade="FF"/>
          <w:sz w:val="24"/>
          <w:szCs w:val="24"/>
        </w:rPr>
        <w:t>Falta de alineación entre el Plan Departamental para la Gestión del Riesgo de Desastres de Cundinamarca (PDGRDC) y el Plan de Desarrollo Departamental (PDD)</w:t>
      </w:r>
      <w:r w:rsidRPr="0ED4F347" w:rsidR="2AE9B07D">
        <w:rPr>
          <w:rFonts w:eastAsia="Arial"/>
          <w:b w:val="0"/>
          <w:bCs w:val="0"/>
          <w:color w:val="000000" w:themeColor="text1" w:themeTint="FF" w:themeShade="FF"/>
          <w:sz w:val="24"/>
          <w:szCs w:val="24"/>
        </w:rPr>
        <w:t xml:space="preserve"> </w:t>
      </w:r>
      <w:r w:rsidRPr="0ED4F347" w:rsidR="2AE9B07D">
        <w:rPr>
          <w:b w:val="0"/>
          <w:bCs w:val="0"/>
          <w:sz w:val="24"/>
          <w:szCs w:val="24"/>
          <w:lang w:eastAsia="es-MX"/>
        </w:rPr>
        <w:t xml:space="preserve">(Formato </w:t>
      </w:r>
      <w:r w:rsidRPr="0ED4F347" w:rsidR="2AE9B07D">
        <w:rPr>
          <w:rFonts w:eastAsia="Arial"/>
          <w:b w:val="0"/>
          <w:bCs w:val="0"/>
          <w:sz w:val="24"/>
          <w:szCs w:val="24"/>
          <w:lang w:val="es-ES"/>
        </w:rPr>
        <w:t>E-DEAG-FR_145)</w:t>
      </w:r>
    </w:p>
    <w:tbl>
      <w:tblPr>
        <w:tblW w:w="0" w:type="auto"/>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ook w:val="0400" w:firstRow="0" w:lastRow="0" w:firstColumn="0" w:lastColumn="0" w:noHBand="0" w:noVBand="1"/>
      </w:tblPr>
      <w:tblGrid>
        <w:gridCol w:w="1555"/>
        <w:gridCol w:w="8974"/>
      </w:tblGrid>
      <w:tr w:rsidR="1C3D137E" w:rsidTr="0ED4F347" w14:paraId="548C3369" w14:textId="77777777">
        <w:trPr>
          <w:trHeight w:val="300"/>
        </w:trPr>
        <w:tc>
          <w:tcPr>
            <w:tcW w:w="1555" w:type="dxa"/>
            <w:tcMar/>
          </w:tcPr>
          <w:p w:rsidR="1C3D137E" w:rsidP="1C3D137E" w:rsidRDefault="1C3D137E" w14:paraId="3994BF3A" w14:textId="6C93E6DB">
            <w:pPr>
              <w:rPr>
                <w:b/>
                <w:bCs/>
              </w:rPr>
            </w:pPr>
            <w:r w:rsidRPr="1C3D137E">
              <w:rPr>
                <w:b/>
                <w:bCs/>
              </w:rPr>
              <w:t>Proceso:</w:t>
            </w:r>
          </w:p>
        </w:tc>
        <w:tc>
          <w:tcPr>
            <w:tcW w:w="8974" w:type="dxa"/>
            <w:tcMar/>
          </w:tcPr>
          <w:p w:rsidR="144033BF" w:rsidP="1C3D137E" w:rsidRDefault="144033BF" w14:paraId="1C8B7E9A" w14:textId="2AB18FEE">
            <w:pPr>
              <w:rPr>
                <w:rFonts w:eastAsia="Arial"/>
                <w:sz w:val="18"/>
                <w:szCs w:val="18"/>
              </w:rPr>
            </w:pPr>
            <w:r w:rsidRPr="1C3D137E">
              <w:rPr>
                <w:rFonts w:eastAsia="Arial"/>
                <w:color w:val="000000" w:themeColor="text1"/>
                <w:sz w:val="18"/>
                <w:szCs w:val="18"/>
              </w:rPr>
              <w:t>Gobernanza, Gestión Riesgos y Desastres y Seguridad Ciudadana.</w:t>
            </w:r>
          </w:p>
        </w:tc>
      </w:tr>
      <w:tr w:rsidR="1C3D137E" w:rsidTr="0ED4F347" w14:paraId="2B0D8167" w14:textId="77777777">
        <w:trPr>
          <w:trHeight w:val="300"/>
        </w:trPr>
        <w:tc>
          <w:tcPr>
            <w:tcW w:w="1555" w:type="dxa"/>
            <w:tcBorders>
              <w:bottom w:val="single" w:color="000000" w:themeColor="text1" w:sz="4" w:space="0"/>
            </w:tcBorders>
            <w:tcMar/>
          </w:tcPr>
          <w:p w:rsidR="1C3D137E" w:rsidP="1C3D137E" w:rsidRDefault="1C3D137E" w14:paraId="79552EA5" w14:textId="41DA3E46">
            <w:pPr>
              <w:rPr>
                <w:b/>
                <w:bCs/>
              </w:rPr>
            </w:pPr>
            <w:r w:rsidRPr="1C3D137E">
              <w:rPr>
                <w:b/>
                <w:bCs/>
              </w:rPr>
              <w:lastRenderedPageBreak/>
              <w:t>Secretaría:</w:t>
            </w:r>
          </w:p>
        </w:tc>
        <w:tc>
          <w:tcPr>
            <w:tcW w:w="8974" w:type="dxa"/>
            <w:tcBorders>
              <w:bottom w:val="single" w:color="000000" w:themeColor="text1" w:sz="4" w:space="0"/>
            </w:tcBorders>
            <w:tcMar/>
          </w:tcPr>
          <w:p w:rsidR="153289C0" w:rsidP="1C3D137E" w:rsidRDefault="153289C0" w14:paraId="017FD756" w14:textId="29657CC5">
            <w:pPr>
              <w:rPr>
                <w:rFonts w:eastAsia="Arial"/>
                <w:color w:val="000000" w:themeColor="text1"/>
                <w:sz w:val="18"/>
                <w:szCs w:val="18"/>
              </w:rPr>
            </w:pPr>
            <w:r w:rsidRPr="1C3D137E">
              <w:rPr>
                <w:rFonts w:eastAsia="Arial"/>
                <w:color w:val="000000" w:themeColor="text1"/>
                <w:sz w:val="18"/>
                <w:szCs w:val="18"/>
                <w:lang w:val="es"/>
              </w:rPr>
              <w:t>Unidad Administrativa Especial para la Gestión del Riesgo de Desastres de Cundinamarca.</w:t>
            </w:r>
          </w:p>
        </w:tc>
      </w:tr>
      <w:tr w:rsidR="1C3D137E" w:rsidTr="0ED4F347" w14:paraId="50F56B32" w14:textId="77777777">
        <w:trPr>
          <w:trHeight w:val="1195"/>
        </w:trPr>
        <w:tc>
          <w:tcPr>
            <w:tcW w:w="10529" w:type="dxa"/>
            <w:gridSpan w:val="2"/>
            <w:tcBorders>
              <w:bottom w:val="single" w:color="000000" w:themeColor="text1" w:sz="4"/>
            </w:tcBorders>
            <w:tcMar/>
          </w:tcPr>
          <w:p w:rsidR="1C3D137E" w:rsidP="1C3D137E" w:rsidRDefault="1C3D137E" w14:paraId="022C4E0B" w14:textId="0B082097">
            <w:pPr>
              <w:rPr>
                <w:b/>
                <w:bCs/>
              </w:rPr>
            </w:pPr>
          </w:p>
          <w:p w:rsidR="1C3D137E" w:rsidP="1C3D137E" w:rsidRDefault="1C3D137E" w14:paraId="201BC1E8" w14:textId="22202CC9">
            <w:pPr>
              <w:spacing w:after="160"/>
              <w:rPr>
                <w:rFonts w:eastAsia="Arial"/>
                <w:lang w:val="es"/>
              </w:rPr>
            </w:pPr>
            <w:r w:rsidRPr="1C3D137E">
              <w:rPr>
                <w:rFonts w:eastAsia="Arial"/>
                <w:b/>
                <w:bCs/>
              </w:rPr>
              <w:t xml:space="preserve">Condición: </w:t>
            </w:r>
            <w:r w:rsidRPr="1C3D137E" w:rsidR="5E8E4910">
              <w:rPr>
                <w:rFonts w:eastAsia="Arial"/>
                <w:lang w:val="es"/>
              </w:rPr>
              <w:t>En el marco de la Auditoría Interna de Gestión, durante el desarrollo del trabajo de campo, se evidenció que el Plan Departamental para la Gestión del Riesgo de Desastres de Cundinamarca (PDGRDC) constituye un instrumento de planificación orientado a la gestión del riesgo de desastres, el cual se encuentra enmarcado en la Política Pública Departamental para la Gestión del Riesgo de Desastres, con horizonte de implementación para el periodo 2018–2036, conforme a lo dispuesto en la Ordenanza 066 de 2018.</w:t>
            </w:r>
          </w:p>
          <w:p w:rsidR="5E8E4910" w:rsidP="1C3D137E" w:rsidRDefault="5E8E4910" w14:paraId="2B6AF4D2" w14:textId="130E7FA3">
            <w:pPr>
              <w:spacing w:before="240" w:after="240"/>
              <w:rPr>
                <w:rFonts w:eastAsia="Arial"/>
                <w:lang w:val="es"/>
              </w:rPr>
            </w:pPr>
            <w:r w:rsidRPr="1C3D137E">
              <w:rPr>
                <w:rFonts w:eastAsia="Arial"/>
                <w:lang w:val="es"/>
              </w:rPr>
              <w:t>No obstante, como resultado del proceso auditor, se identificó la falta de alineación entre el Plan Departamental para la Gestión del Riesgo de Desastres de Cundinamarca (PDGRDC) y el Plan de Desarrollo Departamental (PDD), lo que podría afectar la coherencia en la planeación, la articulación institucional y la efectiva ejecución de las acciones en materia de gestión del riesgo a nivel departamental.</w:t>
            </w:r>
          </w:p>
        </w:tc>
      </w:tr>
      <w:tr w:rsidR="1C3D137E" w:rsidTr="0ED4F347" w14:paraId="707FD899" w14:textId="77777777">
        <w:trPr>
          <w:trHeight w:val="852"/>
        </w:trPr>
        <w:tc>
          <w:tcPr>
            <w:tcW w:w="10529" w:type="dxa"/>
            <w:gridSpan w:val="2"/>
            <w:tcBorders>
              <w:top w:val="single" w:color="000000" w:themeColor="text1" w:sz="4"/>
              <w:bottom w:val="nil"/>
            </w:tcBorders>
            <w:tcMar/>
          </w:tcPr>
          <w:p w:rsidR="1C3D137E" w:rsidP="1C3D137E" w:rsidRDefault="1C3D137E" w14:paraId="6889C159" w14:textId="5F0932A3">
            <w:pPr>
              <w:rPr>
                <w:b/>
                <w:bCs/>
              </w:rPr>
            </w:pPr>
            <w:r w:rsidRPr="1C3D137E">
              <w:rPr>
                <w:b/>
                <w:bCs/>
              </w:rPr>
              <w:t xml:space="preserve">Criterio: </w:t>
            </w:r>
          </w:p>
          <w:p w:rsidR="1C3D137E" w:rsidP="1C3D137E" w:rsidRDefault="1C3D137E" w14:paraId="712D8253" w14:textId="1CAEE44F">
            <w:pPr>
              <w:rPr>
                <w:b/>
                <w:bCs/>
              </w:rPr>
            </w:pPr>
          </w:p>
          <w:p w:rsidR="6216FAED" w:rsidP="00153268" w:rsidRDefault="6216FAED" w14:paraId="2755FBAC" w14:textId="42CEFFEA">
            <w:pPr>
              <w:pStyle w:val="Prrafodelista"/>
              <w:numPr>
                <w:ilvl w:val="0"/>
                <w:numId w:val="2"/>
              </w:numPr>
              <w:rPr>
                <w:b/>
                <w:bCs/>
              </w:rPr>
            </w:pPr>
            <w:r w:rsidRPr="1C3D137E">
              <w:rPr>
                <w:rFonts w:eastAsia="Arial"/>
              </w:rPr>
              <w:t xml:space="preserve">Ordenanza 066 de 2018 – Articulo </w:t>
            </w:r>
            <w:r w:rsidRPr="1C3D137E" w:rsidR="42335E7D">
              <w:rPr>
                <w:rFonts w:eastAsia="Arial"/>
              </w:rPr>
              <w:t>37 Parágrafo 3.</w:t>
            </w:r>
            <w:r w:rsidRPr="1C3D137E" w:rsidR="42335E7D">
              <w:rPr>
                <w:i/>
                <w:iCs/>
                <w:color w:val="808080" w:themeColor="background1" w:themeShade="80"/>
                <w:sz w:val="20"/>
                <w:szCs w:val="20"/>
              </w:rPr>
              <w:t xml:space="preserve"> </w:t>
            </w:r>
          </w:p>
          <w:p w:rsidR="4A1426BF" w:rsidP="0ED4F347" w:rsidRDefault="4A1426BF" w14:paraId="0116900F" w14:textId="510D8B19">
            <w:pPr>
              <w:pStyle w:val="Prrafodelista"/>
              <w:numPr>
                <w:ilvl w:val="0"/>
                <w:numId w:val="2"/>
              </w:numPr>
              <w:rPr>
                <w:noProof w:val="0"/>
                <w:lang w:val="es-ES"/>
              </w:rPr>
            </w:pPr>
            <w:r w:rsidRPr="0ED4F347" w:rsidR="7837DDAE">
              <w:rPr>
                <w:rFonts w:eastAsia="Arial"/>
                <w:lang w:val="es-ES"/>
              </w:rPr>
              <w:t>E-DEAG-FR_145 – Plan de seguimiento UAEGRD: Archivo en Excel en el formato “PLAN DE SEGUIMIENTO POLÍTICA PÚBLICA” (E-DEAG-FR-145).</w:t>
            </w:r>
            <w:r w:rsidRPr="0ED4F347" w:rsidR="67E86508">
              <w:rPr>
                <w:rFonts w:ascii="Arial" w:hAnsi="Arial" w:eastAsia="Arial" w:cs="Arial"/>
                <w:color w:val="auto"/>
                <w:sz w:val="22"/>
                <w:szCs w:val="22"/>
                <w:lang w:val="es-ES" w:eastAsia="es-CO" w:bidi="ar-SA"/>
              </w:rPr>
              <w:t xml:space="preserve"> Del </w:t>
            </w:r>
            <w:r w:rsidRPr="0ED4F347" w:rsidR="67E86508">
              <w:rPr>
                <w:rFonts w:ascii="Arial" w:hAnsi="Arial" w:eastAsia="Arial" w:cs="Arial"/>
                <w:color w:val="auto"/>
                <w:sz w:val="22"/>
                <w:szCs w:val="22"/>
                <w:lang w:val="es-ES" w:eastAsia="es-CO" w:bidi="ar-SA"/>
              </w:rPr>
              <w:t>Procedimiento</w:t>
            </w:r>
            <w:r w:rsidRPr="0ED4F347" w:rsidR="2999BCA9">
              <w:rPr>
                <w:rFonts w:ascii="Arial" w:hAnsi="Arial" w:eastAsia="Arial" w:cs="Arial"/>
                <w:color w:val="auto"/>
                <w:sz w:val="22"/>
                <w:szCs w:val="22"/>
                <w:lang w:val="es-ES" w:eastAsia="es-CO" w:bidi="ar-SA"/>
              </w:rPr>
              <w:t xml:space="preserve"> “Gestión de Políticas Públicas</w:t>
            </w:r>
            <w:r w:rsidRPr="0ED4F347" w:rsidR="2999BCA9">
              <w:rPr>
                <w:rFonts w:ascii="Arial" w:hAnsi="Arial" w:eastAsia="Arial" w:cs="Arial"/>
                <w:color w:val="auto"/>
                <w:sz w:val="24"/>
                <w:szCs w:val="24"/>
                <w:lang w:val="es-ES" w:eastAsia="es-CO" w:bidi="ar-SA"/>
              </w:rPr>
              <w:t>”</w:t>
            </w:r>
            <w:r w:rsidRPr="0ED4F347" w:rsidR="2999BCA9">
              <w:rPr>
                <w:rFonts w:ascii="Arial" w:hAnsi="Arial" w:eastAsia="Arial" w:cs="Arial"/>
                <w:color w:val="auto"/>
                <w:sz w:val="22"/>
                <w:szCs w:val="22"/>
                <w:lang w:val="es-ES" w:eastAsia="es-CO" w:bidi="ar-SA"/>
              </w:rPr>
              <w:t xml:space="preserve"> (</w:t>
            </w:r>
            <w:r w:rsidRPr="0ED4F347" w:rsidR="2999BCA9">
              <w:rPr>
                <w:rFonts w:ascii="Arial" w:hAnsi="Arial" w:eastAsia="Arial" w:cs="Arial"/>
                <w:b w:val="0"/>
                <w:bCs w:val="0"/>
                <w:i w:val="0"/>
                <w:iCs w:val="0"/>
                <w:caps w:val="0"/>
                <w:smallCaps w:val="0"/>
                <w:noProof w:val="0"/>
                <w:color w:val="000000" w:themeColor="text1" w:themeTint="FF" w:themeShade="FF"/>
                <w:sz w:val="22"/>
                <w:szCs w:val="22"/>
                <w:lang w:val="es-ES"/>
              </w:rPr>
              <w:t>E-DEAT-PR-060)</w:t>
            </w:r>
          </w:p>
          <w:p w:rsidR="1C3D137E" w:rsidP="1C3D137E" w:rsidRDefault="1C3D137E" w14:paraId="7ACE9704" w14:textId="6CE6F8D0">
            <w:pPr>
              <w:pStyle w:val="Prrafodelista"/>
              <w:ind w:hanging="360"/>
              <w:rPr>
                <w:rFonts w:eastAsia="Arial"/>
                <w:lang w:val="es"/>
              </w:rPr>
            </w:pPr>
          </w:p>
        </w:tc>
      </w:tr>
      <w:tr w:rsidR="1C3D137E" w:rsidTr="0ED4F347" w14:paraId="46D42284" w14:textId="77777777">
        <w:trPr>
          <w:trHeight w:val="315"/>
        </w:trPr>
        <w:tc>
          <w:tcPr>
            <w:tcW w:w="10529" w:type="dxa"/>
            <w:gridSpan w:val="2"/>
            <w:tcBorders>
              <w:top w:val="nil"/>
              <w:bottom w:val="nil"/>
            </w:tcBorders>
            <w:tcMar/>
          </w:tcPr>
          <w:p w:rsidR="28B33C6B" w:rsidP="0ED4F347" w:rsidRDefault="28B33C6B" w14:paraId="37826218" w14:textId="5DEE3741">
            <w:pPr>
              <w:rPr>
                <w:rFonts w:eastAsia="Arial"/>
              </w:rPr>
            </w:pPr>
            <w:r w:rsidRPr="0ED4F347" w:rsidR="28B33C6B">
              <w:rPr>
                <w:b w:val="1"/>
                <w:bCs w:val="1"/>
              </w:rPr>
              <w:t xml:space="preserve">Consecuencia: </w:t>
            </w:r>
            <w:r w:rsidRPr="0ED4F347" w:rsidR="4717B7E4">
              <w:rPr>
                <w:rFonts w:ascii="Arial" w:hAnsi="Arial" w:eastAsia="Arial" w:cs="Arial"/>
                <w:color w:val="auto"/>
                <w:sz w:val="22"/>
                <w:szCs w:val="22"/>
                <w:lang w:eastAsia="es-CO" w:bidi="ar-SA"/>
              </w:rPr>
              <w:t>La falta de alineación entre el Plan Departamental para la Gestión del Riesgo de Desastres de Cundinamarca (PDGRDC) y el Plan de Desarrollo Departamental (PDD) puede generar debilidades en la articulación institucional y en la coherencia de la planeación estratégica, lo que conlleva al riesgo de duplicidad de esfuerzos, ineficiencia en la asignación y uso de recursos públicos, y dificultades en el seguimiento y cumplimiento de metas. Asimismo, podría afectar la implementación oportuna y efectiva de las acciones de gestión del riesgo de desastres, limitando la capacidad de respuesta del departamento ante situaciones de emergencia y el logro de los objetivos de la política pública.</w:t>
            </w:r>
          </w:p>
          <w:p w:rsidR="1C3D137E" w:rsidP="1C3D137E" w:rsidRDefault="1C3D137E" w14:paraId="785FB5D3" w14:textId="5621766E">
            <w:pPr>
              <w:rPr>
                <w:i/>
                <w:iCs/>
                <w:color w:val="808080" w:themeColor="background1" w:themeShade="80"/>
                <w:sz w:val="20"/>
                <w:szCs w:val="20"/>
              </w:rPr>
            </w:pPr>
          </w:p>
        </w:tc>
      </w:tr>
      <w:tr w:rsidR="1C3D137E" w:rsidTr="0ED4F347" w14:paraId="5EABC20F" w14:textId="77777777">
        <w:trPr>
          <w:trHeight w:val="469"/>
        </w:trPr>
        <w:tc>
          <w:tcPr>
            <w:tcW w:w="10529" w:type="dxa"/>
            <w:gridSpan w:val="2"/>
            <w:tcBorders>
              <w:top w:val="nil"/>
            </w:tcBorders>
            <w:tcMar/>
          </w:tcPr>
          <w:p w:rsidR="1C3D137E" w:rsidP="1C3D137E" w:rsidRDefault="1C3D137E" w14:paraId="416500CC" w14:textId="45383EFF">
            <w:pPr>
              <w:spacing w:after="160"/>
              <w:rPr>
                <w:i/>
                <w:iCs/>
              </w:rPr>
            </w:pPr>
            <w:r w:rsidRPr="1C3D137E">
              <w:rPr>
                <w:b/>
                <w:bCs/>
              </w:rPr>
              <w:t xml:space="preserve">Evidencia: </w:t>
            </w:r>
            <w:r w:rsidRPr="1C3D137E" w:rsidR="1CF96995">
              <w:rPr>
                <w:b/>
                <w:bCs/>
              </w:rPr>
              <w:t>“</w:t>
            </w:r>
            <w:r w:rsidRPr="1C3D137E" w:rsidR="1CF96995">
              <w:rPr>
                <w:i/>
                <w:iCs/>
              </w:rPr>
              <w:t xml:space="preserve">Papel de trabajo </w:t>
            </w:r>
            <w:proofErr w:type="spellStart"/>
            <w:r w:rsidRPr="1C3D137E" w:rsidR="1CF96995">
              <w:rPr>
                <w:i/>
                <w:iCs/>
              </w:rPr>
              <w:t>Obj</w:t>
            </w:r>
            <w:proofErr w:type="spellEnd"/>
            <w:r w:rsidRPr="1C3D137E" w:rsidR="1CF96995">
              <w:rPr>
                <w:i/>
                <w:iCs/>
              </w:rPr>
              <w:t xml:space="preserve"> </w:t>
            </w:r>
            <w:proofErr w:type="spellStart"/>
            <w:r w:rsidRPr="1C3D137E" w:rsidR="1CF96995">
              <w:rPr>
                <w:i/>
                <w:iCs/>
              </w:rPr>
              <w:t>Esp</w:t>
            </w:r>
            <w:proofErr w:type="spellEnd"/>
            <w:r w:rsidRPr="1C3D137E" w:rsidR="1CF96995">
              <w:rPr>
                <w:i/>
                <w:iCs/>
              </w:rPr>
              <w:t xml:space="preserve"> </w:t>
            </w:r>
            <w:r w:rsidRPr="1C3D137E" w:rsidR="52979976">
              <w:rPr>
                <w:i/>
                <w:iCs/>
              </w:rPr>
              <w:t>1” -</w:t>
            </w:r>
            <w:r w:rsidRPr="1C3D137E">
              <w:rPr>
                <w:rStyle w:val="GrisIndicacionesCar"/>
              </w:rPr>
              <w:t>.</w:t>
            </w:r>
            <w:r w:rsidRPr="1C3D137E" w:rsidR="7800736D">
              <w:rPr>
                <w:rFonts w:ascii="Aptos Narrow" w:hAnsi="Aptos Narrow" w:eastAsia="Aptos Narrow" w:cs="Aptos Narrow"/>
                <w:color w:val="242424"/>
              </w:rPr>
              <w:t xml:space="preserve"> </w:t>
            </w:r>
            <w:r w:rsidRPr="1C3D137E" w:rsidR="7800736D">
              <w:rPr>
                <w:i/>
                <w:iCs/>
              </w:rPr>
              <w:t>Evaluar el grado de alineación del plan departamental para la gestión del riesgo de desastres de Cundinamarca con la normatividad nacional vigente aplicable y con el plan de desarrollo departamental.</w:t>
            </w:r>
          </w:p>
          <w:p w:rsidR="7800736D" w:rsidP="1C3D137E" w:rsidRDefault="7800736D" w14:paraId="3698FD0A" w14:textId="6F72ABAE">
            <w:pPr>
              <w:rPr>
                <w:rFonts w:eastAsia="Arial"/>
                <w:sz w:val="20"/>
                <w:szCs w:val="20"/>
              </w:rPr>
            </w:pPr>
            <w:r w:rsidRPr="1C3D137E">
              <w:rPr>
                <w:rFonts w:ascii="Aptos Narrow" w:hAnsi="Aptos Narrow" w:eastAsia="Aptos Narrow" w:cs="Aptos Narrow"/>
                <w:color w:val="242424"/>
              </w:rPr>
              <w:t>.</w:t>
            </w:r>
          </w:p>
        </w:tc>
      </w:tr>
      <w:tr w:rsidR="1C3D137E" w:rsidTr="0ED4F347" w14:paraId="26E23EAD" w14:textId="77777777">
        <w:trPr>
          <w:trHeight w:val="300"/>
        </w:trPr>
        <w:tc>
          <w:tcPr>
            <w:tcW w:w="10529" w:type="dxa"/>
            <w:gridSpan w:val="2"/>
            <w:tcMar/>
          </w:tcPr>
          <w:p w:rsidR="1C3D137E" w:rsidP="1C3D137E" w:rsidRDefault="1C3D137E" w14:paraId="5970FBEF" w14:textId="0A9C75CF">
            <w:pPr>
              <w:rPr>
                <w:rFonts w:eastAsia="Arial"/>
                <w:lang w:val="es"/>
              </w:rPr>
            </w:pPr>
            <w:r w:rsidRPr="1C3D137E">
              <w:rPr>
                <w:b/>
                <w:bCs/>
              </w:rPr>
              <w:t>Controversia:</w:t>
            </w:r>
            <w:r>
              <w:t xml:space="preserve"> </w:t>
            </w:r>
            <w:r w:rsidRPr="1C3D137E" w:rsidR="5E0D871C">
              <w:rPr>
                <w:rFonts w:eastAsia="Arial"/>
                <w:lang w:val="es"/>
              </w:rPr>
              <w:t xml:space="preserve">La </w:t>
            </w:r>
            <w:r w:rsidRPr="1C3D137E" w:rsidR="5E0D871C">
              <w:rPr>
                <w:rFonts w:eastAsia="Arial"/>
                <w:color w:val="000000" w:themeColor="text1"/>
                <w:lang w:val="es"/>
              </w:rPr>
              <w:t>Unidad Administrativa Especial para la Gestión del Riesgo de Desastres de Cundinamarca.</w:t>
            </w:r>
            <w:r w:rsidRPr="1C3D137E" w:rsidR="5E0D871C">
              <w:rPr>
                <w:rFonts w:eastAsia="Arial"/>
                <w:lang w:val="es"/>
              </w:rPr>
              <w:t>, a través de correo institucional fechado el lunes 20 de abril de 2026, dio respuesta a las observaciones formuladas en la auditoría interna de gestión realizada por la Oficina de Control Interno mediante cóndor GOB-S-CR-2026-0062623 del 15 de abril de 2026, adjuntando un archivo Excel en el que se detallaron las siguientes precisiones:</w:t>
            </w:r>
          </w:p>
          <w:p w:rsidR="1C3D137E" w:rsidP="1C3D137E" w:rsidRDefault="1C3D137E" w14:paraId="6830CC56" w14:textId="0D0FFE75">
            <w:pPr>
              <w:rPr>
                <w:rFonts w:eastAsia="Arial"/>
                <w:lang w:val="es"/>
              </w:rPr>
            </w:pPr>
          </w:p>
          <w:p w:rsidR="5E0D871C" w:rsidP="1C3D137E" w:rsidRDefault="5E0D871C" w14:paraId="543AA119" w14:textId="5341E85E">
            <w:pPr>
              <w:spacing w:after="160"/>
              <w:rPr>
                <w:rFonts w:eastAsia="Arial"/>
                <w:lang w:val="es"/>
              </w:rPr>
            </w:pPr>
            <w:r w:rsidRPr="1C3D137E">
              <w:rPr>
                <w:rFonts w:eastAsia="Arial"/>
                <w:lang w:val="es"/>
              </w:rPr>
              <w:t>1. CONSIDERACIONES PRELIMINARES</w:t>
            </w:r>
          </w:p>
          <w:p w:rsidR="5E0D871C" w:rsidP="1C3D137E" w:rsidRDefault="5E0D871C" w14:paraId="5C355652" w14:textId="0D209614">
            <w:pPr>
              <w:spacing w:after="160"/>
              <w:rPr>
                <w:rFonts w:eastAsia="Arial"/>
                <w:lang w:val="es"/>
              </w:rPr>
            </w:pPr>
            <w:r w:rsidRPr="1C3D137E">
              <w:rPr>
                <w:rFonts w:eastAsia="Arial"/>
                <w:lang w:val="es"/>
              </w:rPr>
              <w:lastRenderedPageBreak/>
              <w:t>La UAEGRD, en ejercicio del derecho de contradicción, presenta los siguientes argumentos solicitando la reclasificación de la observación, de incumplimiento a observación administrativa con recomendación de mejora, por las razones que se exponen.</w:t>
            </w:r>
          </w:p>
          <w:p w:rsidR="5E0D871C" w:rsidP="1C3D137E" w:rsidRDefault="5E0D871C" w14:paraId="3CB05EE1" w14:textId="649571AF">
            <w:pPr>
              <w:spacing w:after="160"/>
              <w:rPr>
                <w:rFonts w:eastAsia="Arial"/>
                <w:lang w:val="es"/>
              </w:rPr>
            </w:pPr>
            <w:r w:rsidRPr="1C3D137E">
              <w:rPr>
                <w:rFonts w:eastAsia="Arial"/>
                <w:lang w:val="es"/>
              </w:rPr>
              <w:t>Para contextualizar adecuadamente la situación, es indispensable precisar el marco temporal de los instrumentos de planeación involucrados y el ciclo de planeación que rige en Colombia conforme a la Ley 152 de 1994:</w:t>
            </w:r>
          </w:p>
          <w:p w:rsidR="5E0D871C" w:rsidP="1C3D137E" w:rsidRDefault="5E0D871C" w14:paraId="625F2624" w14:textId="14D74DC4">
            <w:pPr>
              <w:spacing w:after="160"/>
              <w:rPr>
                <w:rFonts w:eastAsia="Arial"/>
                <w:lang w:val="es"/>
              </w:rPr>
            </w:pPr>
            <w:r w:rsidRPr="1C3D137E">
              <w:rPr>
                <w:rFonts w:eastAsia="Arial"/>
                <w:lang w:val="es"/>
              </w:rPr>
              <w:t>a) Marco temporal de los instrumentos: La Política Pública de Gestión del Riesgo de Desastres (Ordenanza 066/2018) tiene una vigencia de 18 años (2018-2036), lo que implica que atraviesa al menos cuatro (4) períodos de gobierno. El Plan Departamental para la Gestión del Riesgo de Desastres de Cundinamarca. (PDGRDC), como instrumento de implementación de dicha política, contiene 80 metas producto diseñadas para ese horizonte. El Plan de Desarrollo Departamental vigente (2024-2028), en cambio, tiene una vigencia cuatrienal. La naturaleza y alcance temporal de ambos instrumentos son sustancialmente distintos, y su articulación requiere un ejercicio técnico de traslado, homologación y armonización que, por definición, es progresivo.</w:t>
            </w:r>
          </w:p>
          <w:p w:rsidR="5E0D871C" w:rsidP="1C3D137E" w:rsidRDefault="5E0D871C" w14:paraId="029DEE12" w14:textId="3F2F07A5">
            <w:pPr>
              <w:spacing w:after="160"/>
              <w:rPr>
                <w:rFonts w:eastAsia="Arial"/>
                <w:lang w:val="es"/>
              </w:rPr>
            </w:pPr>
            <w:r w:rsidRPr="1C3D137E">
              <w:rPr>
                <w:rFonts w:eastAsia="Arial"/>
                <w:lang w:val="es"/>
              </w:rPr>
              <w:t>b) Ciclo de planeación territorial: Conforme a la Ley 152 de 1994 y al Decreto 1082 de 2015, el ciclo de planeación territorial sigue una secuencia lógica: Plan de Gobierno (programa de gobierno del candidato) → Plan de Desarrollo (aprobado por Ordenanza, normalmente en el primer semestre del primer año de gobierno – 2024) → Plan Plurianual de Inversiones → Plan Indicativo Cuatrienal → Planes de Acción Anuales → Plan Operativo Anual de Inversiones (POAI) → Presupuesto Anual. La articulación de una política pública de largo plazo con un nuevo PDD no se produce de manera automática ni simultánea; es un proceso técnico que se materializa progresivamente a medida que se formulan y ajustan los instrumentos derivados del PDD.</w:t>
            </w:r>
          </w:p>
          <w:p w:rsidR="5E0D871C" w:rsidP="1C3D137E" w:rsidRDefault="5E0D871C" w14:paraId="6229B325" w14:textId="3C3C92A5">
            <w:pPr>
              <w:spacing w:after="160"/>
              <w:rPr>
                <w:rFonts w:eastAsia="Arial"/>
                <w:lang w:val="es"/>
              </w:rPr>
            </w:pPr>
            <w:r w:rsidRPr="0ED4F347" w:rsidR="6E6958AC">
              <w:rPr>
                <w:rFonts w:eastAsia="Arial"/>
                <w:lang w:val="es"/>
              </w:rPr>
              <w:t>c) Momento de la auditoría: La auditoría se realiza en el primer cuatrimestre de 2026, es decir, cuando el gobierno departamental se encuentra en el punto medio de su gestión. El 3er Informe de Avance de Políticas Públicas (diciembre 2025) reconoce que la articulación de las 80 metas de producto con el PDD se encuentra en proceso mediante ejercicios de traslado, homologación y armonización, lo cual es coherente con la dinámica del ciclo de planeación descrito.</w:t>
            </w:r>
            <w:r w:rsidRPr="0ED4F347" w:rsidR="6E6958AC">
              <w:rPr>
                <w:rFonts w:eastAsia="Arial"/>
                <w:lang w:val="es"/>
              </w:rPr>
              <w:t xml:space="preserve"> </w:t>
            </w:r>
          </w:p>
          <w:p w:rsidR="5E0D871C" w:rsidP="1C3D137E" w:rsidRDefault="5E0D871C" w14:paraId="5E53090C" w14:textId="66414F7D">
            <w:pPr>
              <w:spacing w:after="160"/>
              <w:rPr>
                <w:rFonts w:eastAsia="Arial"/>
                <w:lang w:val="es"/>
              </w:rPr>
            </w:pPr>
            <w:r w:rsidRPr="1C3D137E">
              <w:rPr>
                <w:rFonts w:eastAsia="Arial"/>
                <w:lang w:val="es"/>
              </w:rPr>
              <w:t>2. ANÁLISIS DEL CRITERIO Y LA CONDICIÓN</w:t>
            </w:r>
          </w:p>
          <w:p w:rsidR="5E0D871C" w:rsidP="1C3D137E" w:rsidRDefault="5E0D871C" w14:paraId="33EE93CF" w14:textId="7568D5DD">
            <w:pPr>
              <w:spacing w:after="160"/>
              <w:rPr>
                <w:rFonts w:eastAsia="Arial"/>
                <w:lang w:val="es"/>
              </w:rPr>
            </w:pPr>
            <w:r w:rsidRPr="1C3D137E">
              <w:rPr>
                <w:rFonts w:eastAsia="Arial"/>
                <w:lang w:val="es"/>
              </w:rPr>
              <w:t>2.1. Sobre el criterio invocado</w:t>
            </w:r>
          </w:p>
          <w:p w:rsidR="5E0D871C" w:rsidP="1C3D137E" w:rsidRDefault="5E0D871C" w14:paraId="76716776" w14:textId="0B466E1F">
            <w:pPr>
              <w:spacing w:after="160"/>
              <w:rPr>
                <w:rFonts w:eastAsia="Arial"/>
                <w:lang w:val="es"/>
              </w:rPr>
            </w:pPr>
            <w:r w:rsidRPr="1C3D137E">
              <w:rPr>
                <w:rFonts w:eastAsia="Arial"/>
                <w:lang w:val="es"/>
              </w:rPr>
              <w:t>El criterio citado es el parágrafo tercero del artículo 37 de la Ordenanza 066/2018, que establece: “Los programas y proyectos del PDGRD se integrarán en los planes de ordenamiento territorial, de manejo de cuencas y de desarrollo departamental, y municipales y demás herramientas de planificación del desarrollo, según sea el caso.”</w:t>
            </w:r>
          </w:p>
          <w:p w:rsidR="5E0D871C" w:rsidP="1C3D137E" w:rsidRDefault="5E0D871C" w14:paraId="3E8EAF61" w14:textId="6227F8DB">
            <w:pPr>
              <w:spacing w:after="160"/>
              <w:rPr>
                <w:rFonts w:eastAsia="Arial"/>
                <w:lang w:val="es"/>
              </w:rPr>
            </w:pPr>
            <w:r w:rsidRPr="1C3D137E">
              <w:rPr>
                <w:rFonts w:eastAsia="Arial"/>
                <w:lang w:val="es"/>
              </w:rPr>
              <w:lastRenderedPageBreak/>
              <w:t xml:space="preserve">Esta disposición establece una obligación de integración de programas y proyectos, no una obligación de correspondencia </w:t>
            </w:r>
            <w:proofErr w:type="spellStart"/>
            <w:r w:rsidRPr="1C3D137E">
              <w:rPr>
                <w:rFonts w:eastAsia="Arial"/>
                <w:lang w:val="es"/>
              </w:rPr>
              <w:t>biyectiva</w:t>
            </w:r>
            <w:proofErr w:type="spellEnd"/>
            <w:r w:rsidRPr="1C3D137E">
              <w:rPr>
                <w:rFonts w:eastAsia="Arial"/>
                <w:lang w:val="es"/>
              </w:rPr>
              <w:t xml:space="preserve"> entre las 80 metas producto de la política y las metas del PDD. La integración se materializa cuando el PDD incorpora en su parte estratégica y en su plan de inversiones componentes de gestión del riesgo de desastres, lo cual debe verificarse en el propio contenido del PDD 2024-2028 y no exclusivamente en un formato administrativo (E-DEAG-FR-145).</w:t>
            </w:r>
          </w:p>
          <w:p w:rsidR="5E0D871C" w:rsidP="1C3D137E" w:rsidRDefault="5E0D871C" w14:paraId="75D48918" w14:textId="0E0490FB">
            <w:pPr>
              <w:spacing w:after="160"/>
              <w:rPr>
                <w:rFonts w:eastAsia="Arial"/>
              </w:rPr>
            </w:pPr>
            <w:r w:rsidRPr="1C3D137E">
              <w:rPr>
                <w:rFonts w:eastAsia="Arial"/>
              </w:rPr>
              <w:t>Es pertinente señalar que el PDD 2024-2028 de Cundinamarca "GOBERNANDO MÁS QUE UN PLAN" (2024-2028), al ser formulado, incorporó componentes de gestión del riesgo conforme al artículo 39 de la Ley 1523 de 2012, que obliga a integrar el análisis del riesgo en la planificación del desarrollo. La integración sustantiva se produce en la formulación del PDD, no en el diligenciamiento posterior de un formato de seguimiento.</w:t>
            </w:r>
          </w:p>
          <w:p w:rsidR="5E0D871C" w:rsidP="1C3D137E" w:rsidRDefault="5E0D871C" w14:paraId="746AE8B3" w14:textId="6088F332">
            <w:pPr>
              <w:spacing w:after="160"/>
              <w:rPr>
                <w:rFonts w:eastAsia="Arial"/>
                <w:lang w:val="es"/>
              </w:rPr>
            </w:pPr>
            <w:r w:rsidRPr="1C3D137E">
              <w:rPr>
                <w:rFonts w:eastAsia="Arial"/>
                <w:lang w:val="es"/>
              </w:rPr>
              <w:t>2.2. Sobre la condición: lo que la evidencia realmente muestra</w:t>
            </w:r>
          </w:p>
          <w:p w:rsidR="5E0D871C" w:rsidP="1C3D137E" w:rsidRDefault="5E0D871C" w14:paraId="3E863738" w14:textId="3D37F5DC">
            <w:pPr>
              <w:spacing w:after="160"/>
              <w:rPr>
                <w:rFonts w:eastAsia="Arial"/>
                <w:lang w:val="es"/>
              </w:rPr>
            </w:pPr>
            <w:r w:rsidRPr="1C3D137E">
              <w:rPr>
                <w:rFonts w:eastAsia="Arial"/>
                <w:lang w:val="es"/>
              </w:rPr>
              <w:t>La propia observación reconoce que el 3er Informe de Avance de Políticas Públicas (diciembre 2025) reporta avance cualitativo en 10 de las 11 metas de carácter superior de la política, y que la articulación con el PDD se encuentra “en proceso, mediante ejercicios de traslado, homologación y armonización”. Esto evidencia que:</w:t>
            </w:r>
          </w:p>
          <w:p w:rsidR="5E0D871C" w:rsidP="1C3D137E" w:rsidRDefault="5E0D871C" w14:paraId="34BFFCFE" w14:textId="3E491BDC">
            <w:pPr>
              <w:spacing w:after="160"/>
              <w:rPr>
                <w:rFonts w:eastAsia="Arial"/>
                <w:lang w:val="es"/>
              </w:rPr>
            </w:pPr>
            <w:r w:rsidRPr="1C3D137E">
              <w:rPr>
                <w:rFonts w:eastAsia="Arial"/>
                <w:lang w:val="es"/>
              </w:rPr>
              <w:t>i) La política pública se está ejecutando y produciendo resultados verificables (10/11 metas superiores con avance).</w:t>
            </w:r>
          </w:p>
          <w:p w:rsidR="5E0D871C" w:rsidP="1C3D137E" w:rsidRDefault="5E0D871C" w14:paraId="360E9337" w14:textId="6977C096">
            <w:pPr>
              <w:spacing w:after="160"/>
              <w:rPr>
                <w:rFonts w:eastAsia="Arial"/>
              </w:rPr>
            </w:pPr>
            <w:r w:rsidRPr="1C3D137E">
              <w:rPr>
                <w:rFonts w:eastAsia="Arial"/>
              </w:rPr>
              <w:t>ii) El proceso de articulación formal con el PDD está en curso, lo cual es consistente con el ciclo de planeación.</w:t>
            </w:r>
          </w:p>
          <w:p w:rsidR="5E0D871C" w:rsidP="1C3D137E" w:rsidRDefault="5E0D871C" w14:paraId="7226CF9C" w14:textId="609B4FC2">
            <w:pPr>
              <w:spacing w:after="160"/>
              <w:rPr>
                <w:rFonts w:eastAsia="Arial"/>
              </w:rPr>
            </w:pPr>
            <w:r w:rsidRPr="1C3D137E">
              <w:rPr>
                <w:rFonts w:eastAsia="Arial"/>
              </w:rPr>
              <w:t>iii) La ejecución presupuestal de proyectos de gestión del riesgo se refleja en el POAI, en el Plan de Acción y en los registros de ejecución presupuestal, independientemente del diligenciamiento del formato de seguimiento.</w:t>
            </w:r>
          </w:p>
          <w:p w:rsidR="5E0D871C" w:rsidP="1C3D137E" w:rsidRDefault="5E0D871C" w14:paraId="5EF853A6" w14:textId="36B37E82">
            <w:pPr>
              <w:spacing w:after="160"/>
              <w:rPr>
                <w:rFonts w:eastAsia="Arial"/>
                <w:lang w:val="es"/>
              </w:rPr>
            </w:pPr>
            <w:r w:rsidRPr="0ED4F347" w:rsidR="6E6958AC">
              <w:rPr>
                <w:rFonts w:eastAsia="Arial"/>
                <w:lang w:val="es"/>
              </w:rPr>
              <w:t>Lo que la evidencia muestra no es una ausencia de integración sustantiva entre la gestión del riesgo y el Plan de Desarrollo, sino una debilidad en la documentación formal del proceso de articulación en el instrumento de seguimiento (formato E-DEAG-FR-145). Existe una diferencia material entre “no hay alineación” y “la alineación no está documentada en el formato específico”.</w:t>
            </w:r>
          </w:p>
          <w:p w:rsidR="5E0D871C" w:rsidP="1C3D137E" w:rsidRDefault="5E0D871C" w14:paraId="0D1271BF" w14:textId="2465D357">
            <w:pPr>
              <w:spacing w:after="160"/>
              <w:rPr>
                <w:rFonts w:eastAsia="Arial"/>
                <w:lang w:val="es"/>
              </w:rPr>
            </w:pPr>
            <w:r w:rsidRPr="1C3D137E">
              <w:rPr>
                <w:rFonts w:eastAsia="Arial"/>
                <w:lang w:val="es"/>
              </w:rPr>
              <w:t>3. SOBRE LA CORRESPONSABILIDAD INSTITUCIONAL</w:t>
            </w:r>
          </w:p>
          <w:p w:rsidR="5E0D871C" w:rsidP="1C3D137E" w:rsidRDefault="5E0D871C" w14:paraId="193E412A" w14:textId="38002611">
            <w:pPr>
              <w:spacing w:after="160"/>
              <w:rPr>
                <w:rFonts w:eastAsia="Arial"/>
              </w:rPr>
            </w:pPr>
            <w:r w:rsidRPr="1C3D137E">
              <w:rPr>
                <w:rFonts w:eastAsia="Arial"/>
              </w:rPr>
              <w:t xml:space="preserve">La observación menciona que la Secretaría de Prospectiva e Integración Territorial informó </w:t>
            </w:r>
            <w:proofErr w:type="gramStart"/>
            <w:r w:rsidRPr="1C3D137E">
              <w:rPr>
                <w:rFonts w:eastAsia="Arial"/>
              </w:rPr>
              <w:t>que</w:t>
            </w:r>
            <w:proofErr w:type="gramEnd"/>
            <w:r w:rsidRPr="1C3D137E">
              <w:rPr>
                <w:rFonts w:eastAsia="Arial"/>
              </w:rPr>
              <w:t xml:space="preserve"> pese a múltiples solicitudes a la UAEGRD, no obtuvo respuesta. La UAEGRD reconoce que se presentaron deficiencias en la oportunidad de respuesta frente a requerimientos de la Secretaría de Prospectiva, situación que se compromete a subsanar.</w:t>
            </w:r>
          </w:p>
          <w:p w:rsidR="5E0D871C" w:rsidP="1C3D137E" w:rsidRDefault="5E0D871C" w14:paraId="058876C6" w14:textId="728A98BF">
            <w:pPr>
              <w:spacing w:after="160"/>
              <w:rPr>
                <w:rFonts w:eastAsia="Arial"/>
                <w:lang w:val="es"/>
              </w:rPr>
            </w:pPr>
            <w:r w:rsidRPr="0ED4F347" w:rsidR="6E6958AC">
              <w:rPr>
                <w:rFonts w:eastAsia="Arial"/>
                <w:lang w:val="es"/>
              </w:rPr>
              <w:t>Sin embargo, es necesario precisar que el seguimiento a las políticas públicas departamentales es una responsabilidad compartida entre la entidad líder de la política (UAEGRD), la Secretaría de Prospectiva e Integración Territorial (como coordinadora del ciclo de políticas públicas conforme al procedimiento E-DEAG-PR-060) y conforme al parágrafo segundo del artículo 9 de la Ordenanza 066/2018. El hallazgo se formula exclusivamente contra la UAEGRD, sin considerar la corresponsabilidad de las demás entidades involucradas en el ciclo de seguimiento.</w:t>
            </w:r>
          </w:p>
          <w:p w:rsidR="5E0D871C" w:rsidP="1C3D137E" w:rsidRDefault="5E0D871C" w14:paraId="119AA2DD" w14:textId="09941FDB">
            <w:pPr>
              <w:spacing w:after="160"/>
              <w:rPr>
                <w:rFonts w:eastAsia="Arial"/>
                <w:lang w:val="es"/>
              </w:rPr>
            </w:pPr>
            <w:r w:rsidRPr="1C3D137E">
              <w:rPr>
                <w:rFonts w:eastAsia="Arial"/>
                <w:lang w:val="es"/>
              </w:rPr>
              <w:t>4. SOBRE LA CONSECUENCIA Y SU PROPORCIONALIDAD</w:t>
            </w:r>
          </w:p>
          <w:p w:rsidR="5E0D871C" w:rsidP="1C3D137E" w:rsidRDefault="5E0D871C" w14:paraId="74160E76" w14:textId="7E59AF3B">
            <w:pPr>
              <w:spacing w:after="160"/>
              <w:rPr>
                <w:rFonts w:eastAsia="Arial"/>
                <w:lang w:val="es"/>
              </w:rPr>
            </w:pPr>
            <w:r w:rsidRPr="1C3D137E">
              <w:rPr>
                <w:rFonts w:eastAsia="Arial"/>
                <w:lang w:val="es"/>
              </w:rPr>
              <w:t>Las consecuencias descritas en la observación (“impide realizar un seguimiento integral”, “afecta la toma de decisiones”, “riesgo de ineficiencia en la asignación de recursos”) son desproporcionadas frente a la evidencia, dado que:</w:t>
            </w:r>
          </w:p>
          <w:p w:rsidR="5E0D871C" w:rsidP="1C3D137E" w:rsidRDefault="5E0D871C" w14:paraId="5A7609A8" w14:textId="0890D3EA">
            <w:pPr>
              <w:spacing w:after="160"/>
              <w:rPr>
                <w:rFonts w:eastAsia="Arial"/>
                <w:lang w:val="es"/>
              </w:rPr>
            </w:pPr>
            <w:r w:rsidRPr="1C3D137E">
              <w:rPr>
                <w:rFonts w:eastAsia="Arial"/>
                <w:lang w:val="es"/>
              </w:rPr>
              <w:t>i) El seguimiento a la política pública sí se está realizando: existe un 3er Informe de Avance con reporte cualitativo en 10/11 metas superiores.</w:t>
            </w:r>
          </w:p>
          <w:p w:rsidR="5E0D871C" w:rsidP="1C3D137E" w:rsidRDefault="5E0D871C" w14:paraId="28F2BB0D" w14:textId="0D895E91">
            <w:pPr>
              <w:spacing w:after="160"/>
              <w:rPr>
                <w:rFonts w:eastAsia="Arial"/>
              </w:rPr>
            </w:pPr>
            <w:r w:rsidRPr="1C3D137E">
              <w:rPr>
                <w:rFonts w:eastAsia="Arial"/>
              </w:rPr>
              <w:t>ii) La trazabilidad financiera de la gestión del riesgo se garantiza a través de los instrumentos presupuestales propios (POAI, ejecución presupuestal, Fondo Departamental de Gestión del Riesgo), que son independientes del formato E-DEAG-FR-145.</w:t>
            </w:r>
          </w:p>
          <w:p w:rsidR="5E0D871C" w:rsidP="1C3D137E" w:rsidRDefault="5E0D871C" w14:paraId="78B48D81" w14:textId="57162E16">
            <w:pPr>
              <w:spacing w:after="160"/>
              <w:rPr>
                <w:rFonts w:eastAsia="Arial"/>
              </w:rPr>
            </w:pPr>
            <w:r w:rsidRPr="1C3D137E">
              <w:rPr>
                <w:rFonts w:eastAsia="Arial"/>
              </w:rPr>
              <w:t>iii) No se identifica en la observación un caso concreto de ineficiencia en la asignación de recursos o de incumplimiento de metas institucionales atribuible a la falta de diligenciamiento del formato de seguimiento.</w:t>
            </w:r>
          </w:p>
          <w:p w:rsidR="5E0D871C" w:rsidP="1C3D137E" w:rsidRDefault="5E0D871C" w14:paraId="7BB52193" w14:textId="6AC0B603">
            <w:pPr>
              <w:spacing w:after="160"/>
              <w:rPr>
                <w:rFonts w:eastAsia="Arial"/>
                <w:lang w:val="es"/>
              </w:rPr>
            </w:pPr>
            <w:r w:rsidRPr="0ED4F347" w:rsidR="6E6958AC">
              <w:rPr>
                <w:rFonts w:eastAsia="Arial"/>
                <w:lang w:val="es"/>
              </w:rPr>
              <w:t>Conforme a la GAT v4.0 (numeral 1.4.1.7), los efectos deben incluir datos concretos que demuestren su importancia. La observación no acredita un daño o perjuicio concreto, sino consecuencias hipotéticas.</w:t>
            </w:r>
          </w:p>
          <w:p w:rsidR="5E0D871C" w:rsidP="1C3D137E" w:rsidRDefault="5E0D871C" w14:paraId="124FDDC0" w14:textId="77B4D244">
            <w:pPr>
              <w:spacing w:after="160"/>
              <w:rPr>
                <w:rFonts w:eastAsia="Arial"/>
                <w:lang w:val="es"/>
              </w:rPr>
            </w:pPr>
            <w:r w:rsidRPr="1C3D137E">
              <w:rPr>
                <w:rFonts w:eastAsia="Arial"/>
                <w:lang w:val="es"/>
              </w:rPr>
              <w:t>5. CONCLUSIÓN Y SOLICITUD</w:t>
            </w:r>
          </w:p>
          <w:p w:rsidR="5E0D871C" w:rsidP="1C3D137E" w:rsidRDefault="5E0D871C" w14:paraId="67FB5A35" w14:textId="2D1DC2B0">
            <w:pPr>
              <w:spacing w:after="160"/>
              <w:rPr>
                <w:rFonts w:eastAsia="Arial"/>
                <w:lang w:val="es"/>
              </w:rPr>
            </w:pPr>
            <w:r w:rsidRPr="1C3D137E">
              <w:rPr>
                <w:rFonts w:eastAsia="Arial"/>
                <w:lang w:val="es"/>
              </w:rPr>
              <w:t>Con fundamento en lo expuesto, la UAEGRD solicita respetuosamente:</w:t>
            </w:r>
          </w:p>
          <w:p w:rsidR="5E0D871C" w:rsidP="1C3D137E" w:rsidRDefault="5E0D871C" w14:paraId="75A090F7" w14:textId="47E1F981">
            <w:pPr>
              <w:spacing w:after="160"/>
              <w:rPr>
                <w:rFonts w:eastAsia="Arial"/>
                <w:lang w:val="es"/>
              </w:rPr>
            </w:pPr>
            <w:r w:rsidRPr="1C3D137E">
              <w:rPr>
                <w:rFonts w:eastAsia="Arial"/>
                <w:lang w:val="es"/>
              </w:rPr>
              <w:t>PRINCIPAL: La reclasificación de la observación de “incumplimiento” a “observación administrativa con recomendación de mejora”, considerando que: (a) la integración sustantiva de la gestión del riesgo en el PDD se produce en la formulación del plan, no en el formato de seguimiento; (b) la política pública muestra avance verificable en 10/11 metas superiores; (c) la articulación formal está en proceso conforme al ciclo natural de planeación; y (d) las consecuencias descritas no están soportadas en evidencia de afectación concreta.</w:t>
            </w:r>
          </w:p>
          <w:p w:rsidR="5E0D871C" w:rsidP="1C3D137E" w:rsidRDefault="5E0D871C" w14:paraId="111046A8" w14:textId="2E7DBD03">
            <w:pPr>
              <w:spacing w:after="160"/>
              <w:rPr>
                <w:rFonts w:eastAsia="Arial"/>
                <w:lang w:val="es"/>
              </w:rPr>
            </w:pPr>
            <w:r w:rsidRPr="1C3D137E">
              <w:rPr>
                <w:rFonts w:eastAsia="Arial"/>
                <w:lang w:val="es"/>
              </w:rPr>
              <w:t xml:space="preserve">SUBSIDIARIA: En caso de mantenerse la observación, que se precisen sus alcances para referirse específicamente a la debilidad en el diligenciamiento del formato de seguimiento E-DEAG-FR-145 y en la </w:t>
            </w:r>
            <w:r w:rsidRPr="1C3D137E">
              <w:rPr>
                <w:rFonts w:eastAsia="Arial"/>
                <w:lang w:val="es"/>
              </w:rPr>
              <w:lastRenderedPageBreak/>
              <w:t>oportunidad de respuesta a los requerimientos interinstitucionales, y no a una supuesta “falta de alineación” entre los instrumentos de planeación, que no corresponde a la realidad sustantiva de la gestión.</w:t>
            </w:r>
          </w:p>
          <w:p w:rsidR="5E0D871C" w:rsidP="1C3D137E" w:rsidRDefault="5E0D871C" w14:paraId="4853887F" w14:textId="2D22EEBA">
            <w:pPr>
              <w:spacing w:after="160"/>
              <w:rPr>
                <w:rFonts w:eastAsia="Arial"/>
              </w:rPr>
            </w:pPr>
            <w:r w:rsidRPr="1C3D137E">
              <w:rPr>
                <w:rFonts w:eastAsia="Arial"/>
              </w:rPr>
              <w:t>COMPROMISO: La UAEGRD se compromete a: (i) completar el diligenciamiento del formato E-DEAG-FR-145 en la sección de articulación con el PDD dentro de los 60 días siguientes a la comunicación del informe definitivo; (ii) establecer un protocolo de respuesta oportuna a los requerimientos de la Secretaría de Prospectiva; y (iii) presentar ante el Consejo Departamental de Gestión del Riesgo un informe de articulación entre las metas del PDGRDC y el PDD vigente "GOBERNANDO MÁS QUE UN PLAN" 2024-2028.</w:t>
            </w:r>
          </w:p>
          <w:p w:rsidR="1C3D137E" w:rsidP="1C3D137E" w:rsidRDefault="1C3D137E" w14:paraId="386414BB" w14:textId="77777777">
            <w:pPr>
              <w:rPr>
                <w:rStyle w:val="GrisIndicacionesCar"/>
              </w:rPr>
            </w:pPr>
          </w:p>
          <w:p w:rsidR="1C3D137E" w:rsidP="1C3D137E" w:rsidRDefault="1C3D137E" w14:paraId="3EF9B23B" w14:textId="08DD1562">
            <w:pPr>
              <w:spacing w:after="160"/>
              <w:rPr>
                <w:rFonts w:eastAsia="Arial"/>
                <w:color w:val="FF0000"/>
              </w:rPr>
            </w:pPr>
            <w:r w:rsidRPr="1C3D137E">
              <w:rPr>
                <w:b/>
                <w:bCs/>
                <w:i/>
                <w:iCs/>
              </w:rPr>
              <w:t xml:space="preserve">Análisis: </w:t>
            </w:r>
            <w:r w:rsidRPr="1C3D137E" w:rsidR="765762FC">
              <w:rPr>
                <w:rFonts w:eastAsia="Arial"/>
                <w:lang w:eastAsia="es-MX"/>
              </w:rPr>
              <w:t>Es pertinente señalar que el PDD 2024-2028 de Cundinamarca "GOBERNANDO MÁS QUE UN PLAN" (2024-2028), al ser formulado, incorporó componentes de gestión del riesgo conforme al artículo 39 de la Ley 1523 de 2012, que obliga a integrar el análisis del riesgo en la planificación del desarrollo. La integración sustantiva se produce en la formulación del PDD, no en el diligenciamiento posterior de un formato de seguimiento”</w:t>
            </w:r>
          </w:p>
          <w:p w:rsidR="765762FC" w:rsidP="1C3D137E" w:rsidRDefault="765762FC" w14:paraId="72AF7EEA" w14:textId="76FD4489">
            <w:pPr>
              <w:spacing w:after="160"/>
              <w:rPr>
                <w:rFonts w:eastAsia="Arial"/>
              </w:rPr>
            </w:pPr>
            <w:r w:rsidRPr="1C3D137E">
              <w:rPr>
                <w:rFonts w:eastAsia="Arial"/>
              </w:rPr>
              <w:t>De esta forma y analizados los argumentos presentados por la UAEGRD en ejercicio del derecho de contradicción, se concluye que estos no desvirtúan el hallazgo formulado, toda vez que, si bien la entidad señala que la articulación entre la Política Pública de Gestión del Riesgo de Desastres y el Plan de Desarrollo Departamental es un proceso progresivo derivado de las diferencias en su horizonte temporal y del ciclo de planeación, ello no la exime de garantizar, en la etapa actual de ejecución del Plan de Desarrollo (2024–2028), la existencia de mecanismos claros, verificables y documentados que evidencien dicha articulación; en este sentido, el hallazgo no se fundamenta en exigir una correspondencia estricta entre metas, sino en la ausencia de evidencia objetiva que permita verificar la integración efectiva entre los instrumentos, la cual no puede entenderse únicamente como un ejercicio sustantivo implícito en la formulación del Plan de Desarrollo, sino que debe ser trazable a través de los instrumentos institucionales de seguimiento, como el formato E-DEAG-FR-145, cuyo no diligenciamiento impide establecer la relación entre las metas de la política pública y las del Plan de Desarrollo; adicionalmente, si bien se reportan avances en la ejecución de la política pública, estos no sustituyen la obligación de evidenciar su articulación, más aún cuando el propio informe citado por la entidad reconoce que dicho proceso se encuentra “en proceso”, lo que confirma la ausencia de resultados concretos y verificables al momento de la auditoría; así mismo, aunque se menciona la corresponsabilidad de otras dependencias, la UAEGRD, en su calidad de entidad encargada, tiene la responsabilidad principal de suministrar la información requerida para el seguimiento, situación que no se cumplió oportunamente, afectando el flujo de información y la consolidación de los productos de la política; finalmente, frente a la proporcionalidad del hallazgo, es preciso señalar que, es suficiente la existencia de debilidades que limiten la trazabilidad y el seguimiento integral basado en información verificable; en consecuencia, persiste la falta de alineación verificable entre el PDGRDC y el Plan de Desarrollo Departamental</w:t>
            </w:r>
            <w:r w:rsidRPr="1C3D137E" w:rsidR="2CCA51AD">
              <w:rPr>
                <w:rFonts w:eastAsia="Arial"/>
              </w:rPr>
              <w:t xml:space="preserve">, </w:t>
            </w:r>
            <w:r w:rsidRPr="1C3D137E" w:rsidR="6FEEB9CF">
              <w:rPr>
                <w:rFonts w:eastAsia="Arial"/>
              </w:rPr>
              <w:t>por lo cual</w:t>
            </w:r>
            <w:r w:rsidRPr="1C3D137E" w:rsidR="2CCA51AD">
              <w:rPr>
                <w:rFonts w:eastAsia="Arial"/>
                <w:lang w:val="es"/>
              </w:rPr>
              <w:t xml:space="preserve"> </w:t>
            </w:r>
            <w:r w:rsidRPr="1C3D137E" w:rsidR="2CCA51AD">
              <w:rPr>
                <w:rFonts w:eastAsia="Arial"/>
                <w:b/>
                <w:bCs/>
                <w:lang w:val="es"/>
              </w:rPr>
              <w:t>se confirma el incumplimiento</w:t>
            </w:r>
            <w:r w:rsidRPr="1C3D137E" w:rsidR="061B607C">
              <w:rPr>
                <w:rFonts w:eastAsia="Arial"/>
                <w:b/>
                <w:bCs/>
                <w:lang w:val="es"/>
              </w:rPr>
              <w:t>.</w:t>
            </w:r>
          </w:p>
          <w:p w:rsidR="1C3D137E" w:rsidP="1C3D137E" w:rsidRDefault="1C3D137E" w14:paraId="17B47E90" w14:textId="4171CF5B">
            <w:pPr>
              <w:rPr>
                <w:b/>
                <w:bCs/>
                <w:i/>
                <w:iCs/>
              </w:rPr>
            </w:pPr>
          </w:p>
        </w:tc>
      </w:tr>
    </w:tbl>
    <w:p w:rsidR="0ED4F347" w:rsidP="0ED4F347" w:rsidRDefault="0ED4F347" w14:paraId="185B5B9E" w14:textId="2B43319C">
      <w:pPr>
        <w:pStyle w:val="Textoindependiente"/>
        <w:rPr>
          <w:rFonts w:eastAsia="Arial"/>
          <w:b w:val="0"/>
          <w:bCs w:val="0"/>
          <w:color w:val="242424"/>
          <w:sz w:val="24"/>
          <w:szCs w:val="24"/>
          <w:lang w:val="es-ES"/>
        </w:rPr>
      </w:pPr>
    </w:p>
    <w:p w:rsidR="1C3D137E" w:rsidP="0ED4F347" w:rsidRDefault="1C3D137E" w14:paraId="447C8D5A" w14:textId="2647A10E">
      <w:pPr>
        <w:pStyle w:val="Ttulo3"/>
        <w:rPr>
          <w:rFonts w:eastAsia="Arial"/>
          <w:b w:val="0"/>
          <w:bCs w:val="0"/>
          <w:color w:val="000000" w:themeColor="text1" w:themeTint="FF" w:themeShade="FF"/>
          <w:sz w:val="24"/>
          <w:szCs w:val="24"/>
          <w:lang w:val="es-ES"/>
        </w:rPr>
      </w:pPr>
      <w:r w:rsidRPr="0ED4F347" w:rsidR="6D841ED0">
        <w:rPr>
          <w:rFonts w:eastAsia="Arial"/>
          <w:b w:val="0"/>
          <w:bCs w:val="0"/>
          <w:color w:val="000000" w:themeColor="text1" w:themeTint="FF" w:themeShade="FF"/>
          <w:sz w:val="24"/>
          <w:szCs w:val="24"/>
          <w:lang w:val="es-ES"/>
        </w:rPr>
        <w:t xml:space="preserve">Eficacia de los </w:t>
      </w:r>
      <w:r w:rsidRPr="0ED4F347" w:rsidR="6D841ED0">
        <w:rPr>
          <w:rFonts w:eastAsia="Arial"/>
          <w:b w:val="0"/>
          <w:bCs w:val="0"/>
          <w:color w:val="242424"/>
          <w:sz w:val="24"/>
          <w:szCs w:val="24"/>
          <w:lang w:val="es-ES"/>
        </w:rPr>
        <w:t>controles establecidos en los Procedimientos</w:t>
      </w:r>
    </w:p>
    <w:tbl>
      <w:tblPr>
        <w:tblW w:w="1052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400" w:firstRow="0" w:lastRow="0" w:firstColumn="0" w:lastColumn="0" w:noHBand="0" w:noVBand="1"/>
      </w:tblPr>
      <w:tblGrid>
        <w:gridCol w:w="1555"/>
        <w:gridCol w:w="8974"/>
      </w:tblGrid>
      <w:tr w:rsidR="00A034C3" w:rsidTr="0ED4F347" w14:paraId="5CCB711A" w14:textId="77777777">
        <w:tc>
          <w:tcPr>
            <w:tcW w:w="1555" w:type="dxa"/>
            <w:tcMar/>
          </w:tcPr>
          <w:p w:rsidRPr="008F6FD7" w:rsidR="00A034C3" w:rsidP="001A0960" w:rsidRDefault="005B0085" w14:paraId="215D2EE9" w14:textId="6C93E6DB">
            <w:pPr>
              <w:rPr>
                <w:b/>
                <w:bCs/>
              </w:rPr>
            </w:pPr>
            <w:r w:rsidRPr="008F6FD7">
              <w:rPr>
                <w:b/>
                <w:bCs/>
              </w:rPr>
              <w:t>Proceso</w:t>
            </w:r>
            <w:r w:rsidRPr="008F6FD7" w:rsidR="008F6FD7">
              <w:rPr>
                <w:b/>
                <w:bCs/>
              </w:rPr>
              <w:t>:</w:t>
            </w:r>
          </w:p>
        </w:tc>
        <w:tc>
          <w:tcPr>
            <w:tcW w:w="8974" w:type="dxa"/>
            <w:tcMar/>
          </w:tcPr>
          <w:p w:rsidR="00A034C3" w:rsidP="1C3D137E" w:rsidRDefault="2EE3F9C5" w14:paraId="0EDD59D1" w14:textId="2A2D3D49">
            <w:pPr>
              <w:rPr>
                <w:rFonts w:eastAsia="Arial"/>
                <w:sz w:val="18"/>
                <w:szCs w:val="18"/>
              </w:rPr>
            </w:pPr>
            <w:r w:rsidRPr="1C3D137E">
              <w:rPr>
                <w:rFonts w:eastAsia="Arial"/>
                <w:color w:val="000000" w:themeColor="text1"/>
                <w:sz w:val="18"/>
                <w:szCs w:val="18"/>
              </w:rPr>
              <w:t>Gobernanza, Gestión Riesgos y Desastres y Seguridad Ciudadana.</w:t>
            </w:r>
          </w:p>
        </w:tc>
      </w:tr>
      <w:tr w:rsidR="00A034C3" w:rsidTr="0ED4F347" w14:paraId="42FE650D" w14:textId="77777777">
        <w:tc>
          <w:tcPr>
            <w:tcW w:w="1555" w:type="dxa"/>
            <w:tcBorders>
              <w:bottom w:val="single" w:color="000000" w:themeColor="text1" w:sz="4" w:space="0"/>
            </w:tcBorders>
            <w:tcMar/>
          </w:tcPr>
          <w:p w:rsidRPr="008F6FD7" w:rsidR="00A034C3" w:rsidP="001A0960" w:rsidRDefault="005B0085" w14:paraId="03BEEBE8" w14:textId="41DA3E46">
            <w:pPr>
              <w:rPr>
                <w:b/>
                <w:bCs/>
              </w:rPr>
            </w:pPr>
            <w:r w:rsidRPr="008F6FD7">
              <w:rPr>
                <w:b/>
                <w:bCs/>
              </w:rPr>
              <w:t>Secretaría</w:t>
            </w:r>
            <w:r w:rsidRPr="008F6FD7" w:rsidR="008F6FD7">
              <w:rPr>
                <w:b/>
                <w:bCs/>
              </w:rPr>
              <w:t>:</w:t>
            </w:r>
          </w:p>
        </w:tc>
        <w:tc>
          <w:tcPr>
            <w:tcW w:w="8974" w:type="dxa"/>
            <w:tcBorders>
              <w:bottom w:val="single" w:color="000000" w:themeColor="text1" w:sz="4" w:space="0"/>
            </w:tcBorders>
            <w:tcMar/>
          </w:tcPr>
          <w:p w:rsidR="00A034C3" w:rsidP="1C3D137E" w:rsidRDefault="18FA7FAE" w14:paraId="4E6CE79E" w14:textId="0551BE3A">
            <w:pPr>
              <w:rPr>
                <w:rFonts w:eastAsia="Arial"/>
                <w:color w:val="000000" w:themeColor="text1"/>
                <w:sz w:val="18"/>
                <w:szCs w:val="18"/>
              </w:rPr>
            </w:pPr>
            <w:r w:rsidRPr="1C3D137E">
              <w:rPr>
                <w:rFonts w:eastAsia="Arial"/>
                <w:color w:val="000000" w:themeColor="text1"/>
                <w:sz w:val="18"/>
                <w:szCs w:val="18"/>
                <w:lang w:val="es"/>
              </w:rPr>
              <w:t>Unidad Administrativa Especial para la Gestión del Riesgo de Desastres de Cundinamarca.</w:t>
            </w:r>
          </w:p>
        </w:tc>
      </w:tr>
      <w:tr w:rsidR="00BA1040" w:rsidTr="0ED4F347" w14:paraId="41920C8E" w14:textId="77777777">
        <w:trPr>
          <w:trHeight w:val="1195"/>
        </w:trPr>
        <w:tc>
          <w:tcPr>
            <w:tcW w:w="10529" w:type="dxa"/>
            <w:gridSpan w:val="2"/>
            <w:tcBorders>
              <w:bottom w:val="single" w:color="000000" w:themeColor="text1" w:sz="4"/>
            </w:tcBorders>
            <w:tcMar/>
          </w:tcPr>
          <w:p w:rsidR="00BA1040" w:rsidP="7F4A6172" w:rsidRDefault="00BA1040" w14:paraId="04929BD9" w14:textId="0B082097">
            <w:pPr>
              <w:rPr>
                <w:b/>
                <w:bCs/>
              </w:rPr>
            </w:pPr>
          </w:p>
          <w:p w:rsidRPr="008B0599" w:rsidR="00BA1040" w:rsidP="1C3D137E" w:rsidRDefault="2EACD951" w14:paraId="0EFDD0B0" w14:textId="5F14EAE4">
            <w:pPr>
              <w:spacing w:after="160"/>
            </w:pPr>
            <w:r w:rsidRPr="1C3D137E">
              <w:rPr>
                <w:b/>
                <w:bCs/>
              </w:rPr>
              <w:t xml:space="preserve">Condición: </w:t>
            </w:r>
            <w:r w:rsidRPr="1C3D137E" w:rsidR="5D2024C5">
              <w:rPr>
                <w:rFonts w:eastAsia="Arial"/>
                <w:color w:val="000000" w:themeColor="text1"/>
              </w:rPr>
              <w:t>La UAEGRD presenta no cumplimiento o cumplimiento parcial en actividades de los cuatro procedimientos evaluados, de la siguiente manera:</w:t>
            </w:r>
          </w:p>
          <w:p w:rsidRPr="008B0599" w:rsidR="00BA1040" w:rsidP="1C3D137E" w:rsidRDefault="5D2024C5" w14:paraId="73D6075A" w14:textId="7D949FF8">
            <w:pPr>
              <w:pStyle w:val="Prrafodelista"/>
              <w:ind w:hanging="720"/>
              <w:rPr>
                <w:rFonts w:eastAsia="Arial"/>
                <w:b/>
                <w:bCs/>
              </w:rPr>
            </w:pPr>
            <w:r w:rsidRPr="1C3D137E">
              <w:rPr>
                <w:rFonts w:eastAsia="Arial"/>
                <w:b/>
                <w:bCs/>
              </w:rPr>
              <w:t>El Procedimiento de Atención de Emergencias M</w:t>
            </w:r>
            <w:r w:rsidRPr="1C3D137E" w:rsidR="2D7FC7E3">
              <w:rPr>
                <w:rFonts w:eastAsia="Arial"/>
                <w:b/>
                <w:bCs/>
              </w:rPr>
              <w:t>-</w:t>
            </w:r>
            <w:r w:rsidRPr="1C3D137E">
              <w:rPr>
                <w:rFonts w:eastAsia="Arial"/>
                <w:b/>
                <w:bCs/>
              </w:rPr>
              <w:t>FT</w:t>
            </w:r>
            <w:r w:rsidRPr="1C3D137E" w:rsidR="7D927DE4">
              <w:rPr>
                <w:rFonts w:eastAsia="Arial"/>
                <w:b/>
                <w:bCs/>
              </w:rPr>
              <w:t>-</w:t>
            </w:r>
            <w:r w:rsidRPr="1C3D137E">
              <w:rPr>
                <w:rFonts w:eastAsia="Arial"/>
                <w:b/>
                <w:bCs/>
              </w:rPr>
              <w:t>PR</w:t>
            </w:r>
            <w:r w:rsidRPr="1C3D137E" w:rsidR="085A5FC9">
              <w:rPr>
                <w:rFonts w:eastAsia="Arial"/>
                <w:b/>
                <w:bCs/>
              </w:rPr>
              <w:t>-</w:t>
            </w:r>
            <w:r w:rsidRPr="1C3D137E">
              <w:rPr>
                <w:rFonts w:eastAsia="Arial"/>
                <w:b/>
                <w:bCs/>
              </w:rPr>
              <w:t xml:space="preserve">008 </w:t>
            </w:r>
          </w:p>
          <w:p w:rsidRPr="008B0599" w:rsidR="00BA1040" w:rsidP="1C3D137E" w:rsidRDefault="5D2024C5" w14:paraId="487A3A63" w14:textId="49AD8D16">
            <w:pPr>
              <w:spacing w:after="160"/>
            </w:pPr>
            <w:r w:rsidRPr="1C3D137E">
              <w:rPr>
                <w:rFonts w:eastAsia="Arial"/>
              </w:rPr>
              <w:t>Presenta un cumplimiento parcial en las actividades 4, 5, 6, 8, 9,</w:t>
            </w:r>
            <w:r w:rsidR="00235512">
              <w:rPr>
                <w:rFonts w:eastAsia="Arial"/>
              </w:rPr>
              <w:t>13,</w:t>
            </w:r>
            <w:r w:rsidRPr="1C3D137E">
              <w:rPr>
                <w:rFonts w:eastAsia="Arial"/>
              </w:rPr>
              <w:t>14 y 15, y un incumplimiento en las actividades 7, 10 y 12.</w:t>
            </w:r>
          </w:p>
          <w:p w:rsidRPr="008B0599" w:rsidR="00BA1040" w:rsidP="1C3D137E" w:rsidRDefault="5D2024C5" w14:paraId="1E117056" w14:textId="22E1631B">
            <w:pPr>
              <w:spacing w:after="160"/>
            </w:pPr>
            <w:r w:rsidRPr="1C3D137E">
              <w:rPr>
                <w:rFonts w:eastAsia="Arial"/>
              </w:rPr>
              <w:t>Actividades que cumplen parcialmente:</w:t>
            </w:r>
          </w:p>
          <w:p w:rsidRPr="008B0599" w:rsidR="00BA1040" w:rsidP="00153268" w:rsidRDefault="5D2024C5" w14:paraId="48A0D94B" w14:textId="7BE5EE51">
            <w:pPr>
              <w:pStyle w:val="Prrafodelista"/>
              <w:numPr>
                <w:ilvl w:val="0"/>
                <w:numId w:val="7"/>
              </w:numPr>
              <w:rPr>
                <w:rFonts w:eastAsia="Arial"/>
              </w:rPr>
            </w:pPr>
            <w:r w:rsidRPr="1C3D137E">
              <w:rPr>
                <w:rFonts w:eastAsia="Arial"/>
              </w:rPr>
              <w:t>Actividad 4 - No se evidencia registro de cuadro de control en Excel mediante el cual se le realice el seguimiento y control a las acciones o se solicitan reportes periódicos sobre la evolución del evento. Es de precisar que la actividad contempla la realización de llamadas solicitando reportes periódicos sobre la evolución del evento.</w:t>
            </w:r>
          </w:p>
          <w:p w:rsidRPr="008B0599" w:rsidR="00BA1040" w:rsidP="1C3D137E" w:rsidRDefault="5D2024C5" w14:paraId="532594CF" w14:textId="50C028A8">
            <w:pPr>
              <w:ind w:left="720"/>
            </w:pPr>
            <w:r w:rsidRPr="1C3D137E">
              <w:rPr>
                <w:rFonts w:eastAsia="Arial"/>
              </w:rPr>
              <w:t xml:space="preserve"> </w:t>
            </w:r>
          </w:p>
          <w:p w:rsidRPr="008B0599" w:rsidR="00BA1040" w:rsidP="0ED4F347" w:rsidRDefault="5D2024C5" w14:paraId="4842327C" w14:textId="08861BE1">
            <w:pPr>
              <w:ind w:left="0"/>
            </w:pPr>
            <w:r w:rsidRPr="0ED4F347" w:rsidR="201F94E6">
              <w:rPr>
                <w:rFonts w:eastAsia="Arial"/>
              </w:rPr>
              <w:t xml:space="preserve">La unidad auditada entrego los soportes de las actas del Consejo Departamental de Gestión de Riesgos No 078, 080 y 082 con fecha del 08 de </w:t>
            </w:r>
            <w:r w:rsidRPr="0ED4F347" w:rsidR="12E8B416">
              <w:rPr>
                <w:rFonts w:eastAsia="Arial"/>
              </w:rPr>
              <w:t>junio</w:t>
            </w:r>
            <w:r w:rsidRPr="0ED4F347" w:rsidR="393A58C3">
              <w:rPr>
                <w:rFonts w:eastAsia="Arial"/>
              </w:rPr>
              <w:t>,</w:t>
            </w:r>
            <w:r w:rsidRPr="0ED4F347" w:rsidR="201F94E6">
              <w:rPr>
                <w:rFonts w:eastAsia="Arial"/>
              </w:rPr>
              <w:t>29 y 31 de</w:t>
            </w:r>
            <w:r w:rsidRPr="0ED4F347" w:rsidR="5A0F7086">
              <w:rPr>
                <w:rFonts w:eastAsia="Arial"/>
              </w:rPr>
              <w:t xml:space="preserve"> </w:t>
            </w:r>
            <w:r w:rsidRPr="0ED4F347" w:rsidR="201F94E6">
              <w:rPr>
                <w:rFonts w:eastAsia="Arial"/>
              </w:rPr>
              <w:t xml:space="preserve">Julio y 03 de </w:t>
            </w:r>
            <w:r w:rsidRPr="0ED4F347" w:rsidR="55BECE0F">
              <w:rPr>
                <w:rFonts w:eastAsia="Arial"/>
              </w:rPr>
              <w:t>diciembre</w:t>
            </w:r>
            <w:r w:rsidRPr="0ED4F347" w:rsidR="201F94E6">
              <w:rPr>
                <w:rFonts w:eastAsia="Arial"/>
              </w:rPr>
              <w:t xml:space="preserve"> del 2025 respectivamente los mecanismos de control a seguir. Sin embargo, no se evidenció sesión alguna del Comité Departamental de Manejo en Gestión de Riesgos de Desastres.</w:t>
            </w:r>
          </w:p>
          <w:p w:rsidRPr="008B0599" w:rsidR="00BA1040" w:rsidP="1C3D137E" w:rsidRDefault="5D2024C5" w14:paraId="13F5E90B" w14:textId="7542409A">
            <w:pPr>
              <w:ind w:left="720"/>
            </w:pPr>
            <w:r w:rsidRPr="1C3D137E">
              <w:rPr>
                <w:rFonts w:eastAsia="Arial"/>
              </w:rPr>
              <w:t xml:space="preserve"> </w:t>
            </w:r>
          </w:p>
          <w:p w:rsidRPr="008B0599" w:rsidR="00BA1040" w:rsidP="0ED4F347" w:rsidRDefault="5D2024C5" w14:paraId="0E7B04A9" w14:textId="4B21586B">
            <w:pPr>
              <w:ind w:left="0"/>
            </w:pPr>
            <w:r w:rsidRPr="0ED4F347" w:rsidR="201F94E6">
              <w:rPr>
                <w:rFonts w:eastAsia="Arial"/>
              </w:rPr>
              <w:t>Además, allegan las actas de los PMU de los días 11,12, 13,14, 15, 16, 17, 18, 19, 20, 21, 22, 23, 24, de marzo del 2025. No obstante, el PMU no se identifica en ninguna actividad del procedimiento. Por lo anterior, se concluye que en este punto se cumple parcialmente.</w:t>
            </w:r>
          </w:p>
          <w:p w:rsidRPr="008B0599" w:rsidR="00BA1040" w:rsidP="1C3D137E" w:rsidRDefault="5D2024C5" w14:paraId="7193BFFC" w14:textId="041151D2">
            <w:pPr>
              <w:ind w:left="720"/>
            </w:pPr>
            <w:r w:rsidRPr="1C3D137E">
              <w:rPr>
                <w:rFonts w:eastAsia="Arial"/>
              </w:rPr>
              <w:t xml:space="preserve"> </w:t>
            </w:r>
          </w:p>
          <w:p w:rsidRPr="008B0599" w:rsidR="00BA1040" w:rsidP="00153268" w:rsidRDefault="5D2024C5" w14:paraId="02630405" w14:textId="7DE80C11">
            <w:pPr>
              <w:pStyle w:val="Prrafodelista"/>
              <w:numPr>
                <w:ilvl w:val="0"/>
                <w:numId w:val="7"/>
              </w:numPr>
              <w:rPr>
                <w:rFonts w:eastAsia="Arial"/>
              </w:rPr>
            </w:pPr>
            <w:r w:rsidRPr="1C3D137E">
              <w:rPr>
                <w:rFonts w:eastAsia="Arial"/>
              </w:rPr>
              <w:t>Actividad 5 - Aunque la Unidad aportó como soporte las actas del Consejo Departamental de Gestión del Riesgo de Desastres (CDGRD) números 078, 080 y 082, correspondientes a las sesiones del 8 de junio, 29 y 31 de julio y 3 de diciembre de 2025, dichas reuniones se desarrollaron y registraron formalmente como Consejo Departamental, no como Comité Departamental de Manejo. En consecuencia, no se evidencia una sesión específica del Comité de Manejo convocada y documentada para analizar de manera diferenciada la situación de emergencia, definir lineamientos operativos y adoptar decisiones formales de respuesta inmediata, tal como lo plantea el punto de control.</w:t>
            </w:r>
          </w:p>
          <w:p w:rsidRPr="008B0599" w:rsidR="00BA1040" w:rsidP="1C3D137E" w:rsidRDefault="5D2024C5" w14:paraId="50A2AEAB" w14:textId="155C8BA2">
            <w:pPr>
              <w:ind w:left="720"/>
            </w:pPr>
            <w:r w:rsidRPr="1C3D137E">
              <w:rPr>
                <w:rFonts w:eastAsia="Arial"/>
              </w:rPr>
              <w:lastRenderedPageBreak/>
              <w:t xml:space="preserve">Si bien las actas muestran que el CDGRD sí evaluó daños, consolidó necesidades y acordó acciones de respuesta, recuperación y seguimiento del PAE para Medina y </w:t>
            </w:r>
            <w:proofErr w:type="spellStart"/>
            <w:r w:rsidRPr="1C3D137E">
              <w:rPr>
                <w:rFonts w:eastAsia="Arial"/>
              </w:rPr>
              <w:t>Paratebueno</w:t>
            </w:r>
            <w:proofErr w:type="spellEnd"/>
            <w:r w:rsidRPr="1C3D137E">
              <w:rPr>
                <w:rFonts w:eastAsia="Arial"/>
              </w:rPr>
              <w:t xml:space="preserve">, la ausencia de registros propios del Comité de Manejo genera un vacío en la trazabilidad de la activación de este instrumento de coordinación. </w:t>
            </w:r>
          </w:p>
          <w:p w:rsidRPr="008B0599" w:rsidR="00BA1040" w:rsidP="1C3D137E" w:rsidRDefault="5D2024C5" w14:paraId="11A7402B" w14:textId="612132A8">
            <w:pPr>
              <w:ind w:left="720"/>
            </w:pPr>
            <w:r w:rsidRPr="1C3D137E">
              <w:rPr>
                <w:rFonts w:eastAsia="Arial"/>
              </w:rPr>
              <w:t xml:space="preserve"> </w:t>
            </w:r>
          </w:p>
          <w:p w:rsidRPr="008B0599" w:rsidR="00BA1040" w:rsidP="00153268" w:rsidRDefault="5D2024C5" w14:paraId="51B72EE2" w14:textId="46298223">
            <w:pPr>
              <w:pStyle w:val="Prrafodelista"/>
              <w:numPr>
                <w:ilvl w:val="0"/>
                <w:numId w:val="7"/>
              </w:numPr>
              <w:rPr>
                <w:rFonts w:eastAsia="Arial"/>
              </w:rPr>
            </w:pPr>
            <w:r w:rsidRPr="1C3D137E">
              <w:rPr>
                <w:rFonts w:eastAsia="Arial"/>
              </w:rPr>
              <w:t xml:space="preserve">Actividad 6 - Se evidencio los Registros Unifamiliar de Emergencias (RUFE) en los municipios de Medina y </w:t>
            </w:r>
            <w:proofErr w:type="spellStart"/>
            <w:r w:rsidRPr="1C3D137E">
              <w:rPr>
                <w:rFonts w:eastAsia="Arial"/>
              </w:rPr>
              <w:t>Paratebueno</w:t>
            </w:r>
            <w:proofErr w:type="spellEnd"/>
            <w:r w:rsidRPr="1C3D137E">
              <w:rPr>
                <w:rFonts w:eastAsia="Arial"/>
              </w:rPr>
              <w:t xml:space="preserve"> tanto en lo Rural como en lo Urbano, aportando un total de 100 folios, con la información detallada de la fecha, ubicación forma de tenencia, estado del bien, tipo de bien e información demográfica. Sin embargo, no se evidencia el informe que consolida las asistencias técnicas realizadas mediante las visitas. </w:t>
            </w:r>
          </w:p>
          <w:p w:rsidRPr="008B0599" w:rsidR="00BA1040" w:rsidP="1C3D137E" w:rsidRDefault="5D2024C5" w14:paraId="607E66EE" w14:textId="547654E3">
            <w:pPr>
              <w:ind w:left="720"/>
            </w:pPr>
            <w:r w:rsidRPr="1C3D137E">
              <w:rPr>
                <w:rFonts w:eastAsia="Arial"/>
              </w:rPr>
              <w:t xml:space="preserve"> </w:t>
            </w:r>
          </w:p>
          <w:p w:rsidR="002439A0" w:rsidP="0ED4F347" w:rsidRDefault="5D2024C5" w14:paraId="149BBABD" w14:textId="77777777">
            <w:pPr>
              <w:pStyle w:val="Prrafodelista"/>
              <w:numPr>
                <w:ilvl w:val="0"/>
                <w:numId w:val="15"/>
              </w:numPr>
              <w:ind w:hanging="270"/>
              <w:jc w:val="both"/>
              <w:rPr>
                <w:rFonts w:eastAsia="Arial"/>
              </w:rPr>
            </w:pPr>
            <w:r w:rsidRPr="0ED4F347" w:rsidR="201F94E6">
              <w:rPr>
                <w:rFonts w:eastAsia="Arial"/>
              </w:rPr>
              <w:t>Actividad 8 y 9 – La UAEGRD entrego los soportes "</w:t>
            </w:r>
            <w:r w:rsidRPr="0ED4F347" w:rsidR="201F94E6">
              <w:rPr>
                <w:rFonts w:eastAsia="Arial"/>
                <w:i w:val="1"/>
                <w:iCs w:val="1"/>
              </w:rPr>
              <w:t>Certificados de Permanencia</w:t>
            </w:r>
            <w:r w:rsidRPr="0ED4F347" w:rsidR="201F94E6">
              <w:rPr>
                <w:rFonts w:eastAsia="Arial"/>
              </w:rPr>
              <w:t>" en 163 folios con las respectivas resoluciones correspondientes a las comisiones realizadas para los funcionarios y sus desplazamientos al sitio del evento. Sin embargo, no se encontró el correo electrónico de autorización de las comisiones.</w:t>
            </w:r>
          </w:p>
          <w:p w:rsidR="002439A0" w:rsidP="0ED4F347" w:rsidRDefault="5D2024C5" w14:paraId="12FA9660" w14:textId="575544F5">
            <w:pPr>
              <w:pStyle w:val="Prrafodelista"/>
              <w:ind w:left="360"/>
              <w:jc w:val="both"/>
            </w:pPr>
            <w:r w:rsidRPr="0ED4F347" w:rsidR="201F94E6">
              <w:rPr>
                <w:rFonts w:eastAsia="Arial"/>
              </w:rPr>
              <w:t xml:space="preserve"> </w:t>
            </w:r>
          </w:p>
          <w:p w:rsidRPr="008B0599" w:rsidR="00BA1040" w:rsidP="0ED4F347" w:rsidRDefault="5D2024C5" w14:paraId="78C03C90" w14:textId="50D6B001">
            <w:pPr>
              <w:pStyle w:val="Prrafodelista"/>
              <w:numPr>
                <w:ilvl w:val="3"/>
                <w:numId w:val="15"/>
              </w:numPr>
              <w:ind w:left="450" w:hanging="360"/>
              <w:jc w:val="both"/>
              <w:rPr>
                <w:noProof w:val="0"/>
                <w:sz w:val="22"/>
                <w:szCs w:val="22"/>
                <w:lang w:val="es"/>
              </w:rPr>
            </w:pPr>
            <w:r w:rsidRPr="0ED4F347" w:rsidR="381997A0">
              <w:rPr>
                <w:noProof w:val="0"/>
                <w:sz w:val="22"/>
                <w:szCs w:val="22"/>
                <w:lang w:val="es"/>
              </w:rPr>
              <w:t>Actividad 13 - Se ubican los censos dentro de los expedientes de los contratos el 120 de 2025 cuyo objeto es suministro de bienes, el contrato 132 de 2025 cuyo objeto es subvención económica (en las carpetas 2) y el contrato 123 de 2025, convenio interadministrativo entre la gobernación y el municipio de Paratebueno. cubren todas las necesidades de la población afectada.</w:t>
            </w:r>
          </w:p>
          <w:p w:rsidRPr="008B0599" w:rsidR="00BA1040" w:rsidP="0ED4F347" w:rsidRDefault="5D2024C5" w14:paraId="286C569D" w14:textId="5FE9B53B">
            <w:pPr>
              <w:pStyle w:val="Normal"/>
              <w:ind/>
              <w:jc w:val="both"/>
              <w:rPr>
                <w:noProof w:val="0"/>
                <w:sz w:val="22"/>
                <w:szCs w:val="22"/>
                <w:lang w:val="es"/>
              </w:rPr>
            </w:pPr>
          </w:p>
          <w:p w:rsidRPr="008B0599" w:rsidR="00BA1040" w:rsidP="0ED4F347" w:rsidRDefault="5D2024C5" w14:paraId="5FC1D276" w14:textId="28BB1F1B">
            <w:pPr>
              <w:pStyle w:val="Normal"/>
              <w:ind/>
              <w:jc w:val="both"/>
              <w:rPr>
                <w:noProof w:val="0"/>
                <w:sz w:val="22"/>
                <w:szCs w:val="22"/>
                <w:lang w:val="es"/>
              </w:rPr>
            </w:pPr>
            <w:r w:rsidRPr="0ED4F347" w:rsidR="381997A0">
              <w:rPr>
                <w:noProof w:val="0"/>
                <w:sz w:val="22"/>
                <w:szCs w:val="22"/>
                <w:lang w:val="es"/>
              </w:rPr>
              <w:t>Una vez revisada la información suministrada por la unidad auditada, se evidenció el diligenciamiento del formato “Censo de afectación municipal por emergencia – Evaluación de Daños y Análisis de Necesidades (EDAN)”, mediante el cual se registró un total de 300 personas damnificadas y las ayudas solicitadas para el municipio de Medina.</w:t>
            </w:r>
          </w:p>
          <w:p w:rsidRPr="008B0599" w:rsidR="00BA1040" w:rsidP="0ED4F347" w:rsidRDefault="5D2024C5" w14:paraId="77DD4736" w14:textId="0FC541C1">
            <w:pPr>
              <w:pStyle w:val="Normal"/>
              <w:ind w:left="360"/>
              <w:jc w:val="both"/>
              <w:rPr>
                <w:rFonts w:eastAsia="Arial"/>
                <w:highlight w:val="yellow"/>
              </w:rPr>
            </w:pPr>
          </w:p>
          <w:p w:rsidRPr="008B0599" w:rsidR="00BA1040" w:rsidP="0ED4F347" w:rsidRDefault="5D2024C5" w14:paraId="6560B460" w14:textId="1C6244AB">
            <w:pPr>
              <w:pStyle w:val="Prrafodelista"/>
              <w:numPr>
                <w:ilvl w:val="0"/>
                <w:numId w:val="7"/>
              </w:numPr>
              <w:jc w:val="both"/>
              <w:rPr>
                <w:rFonts w:eastAsia="Arial"/>
              </w:rPr>
            </w:pPr>
            <w:r w:rsidRPr="0ED4F347" w:rsidR="201F94E6">
              <w:rPr>
                <w:rFonts w:eastAsia="Arial"/>
              </w:rPr>
              <w:t>Actividad 14</w:t>
            </w:r>
            <w:r w:rsidRPr="0ED4F347" w:rsidR="6BE88C38">
              <w:rPr>
                <w:rFonts w:eastAsia="Arial"/>
              </w:rPr>
              <w:t xml:space="preserve"> </w:t>
            </w:r>
            <w:r w:rsidRPr="0ED4F347" w:rsidR="201F94E6">
              <w:rPr>
                <w:rFonts w:eastAsia="Arial"/>
              </w:rPr>
              <w:t>- En la auditoria se evidencio las actas de entrega de las ayudas humanitarias en 240 folios o planillas con los nombres de los beneficiarios y las ayudas humanitarias entregadas.</w:t>
            </w:r>
          </w:p>
          <w:p w:rsidRPr="008B0599" w:rsidR="00BA1040" w:rsidP="0ED4F347" w:rsidRDefault="5D2024C5" w14:paraId="2F919800" w14:textId="63B00C1F">
            <w:pPr>
              <w:ind w:left="720"/>
              <w:jc w:val="both"/>
            </w:pPr>
            <w:r w:rsidRPr="0ED4F347" w:rsidR="201F94E6">
              <w:rPr>
                <w:rFonts w:eastAsia="Arial"/>
              </w:rPr>
              <w:t xml:space="preserve"> </w:t>
            </w:r>
          </w:p>
          <w:p w:rsidRPr="008B0599" w:rsidR="00BA1040" w:rsidP="0ED4F347" w:rsidRDefault="5D2024C5" w14:paraId="6822ED24" w14:textId="01385EEE">
            <w:pPr>
              <w:ind w:left="0"/>
              <w:jc w:val="both"/>
            </w:pPr>
            <w:r w:rsidRPr="0ED4F347" w:rsidR="201F94E6">
              <w:rPr>
                <w:rFonts w:eastAsia="Arial"/>
              </w:rPr>
              <w:t>Sin embargo, al contrastar la información del EDAN con las planillas firmadas de entrega de ayudas humanitarias por emergencias, se observó que en las 30 planillas revisadas se registran 283 beneficiarios, de los cuales solo 15 coinciden con los nombres reportados en el EDAN.</w:t>
            </w:r>
          </w:p>
          <w:p w:rsidRPr="008B0599" w:rsidR="00BA1040" w:rsidP="1C3D137E" w:rsidRDefault="5D2024C5" w14:paraId="3A210F09" w14:textId="0A4598C9">
            <w:pPr>
              <w:ind w:left="720"/>
            </w:pPr>
            <w:r w:rsidRPr="1C3D137E">
              <w:rPr>
                <w:rFonts w:eastAsia="Arial"/>
              </w:rPr>
              <w:t xml:space="preserve"> </w:t>
            </w:r>
          </w:p>
          <w:p w:rsidRPr="008B0599" w:rsidR="00BA1040" w:rsidP="00153268" w:rsidRDefault="5D2024C5" w14:paraId="370ED65E" w14:textId="16705007">
            <w:pPr>
              <w:pStyle w:val="Prrafodelista"/>
              <w:numPr>
                <w:ilvl w:val="0"/>
                <w:numId w:val="7"/>
              </w:numPr>
              <w:rPr>
                <w:rFonts w:eastAsia="Arial"/>
              </w:rPr>
            </w:pPr>
            <w:r w:rsidRPr="0ED4F347" w:rsidR="201F94E6">
              <w:rPr>
                <w:rFonts w:eastAsia="Arial"/>
              </w:rPr>
              <w:t>Actividad 15</w:t>
            </w:r>
            <w:r w:rsidRPr="0ED4F347" w:rsidR="3076BE5C">
              <w:rPr>
                <w:rFonts w:eastAsia="Arial"/>
              </w:rPr>
              <w:t xml:space="preserve"> </w:t>
            </w:r>
            <w:r w:rsidRPr="0ED4F347" w:rsidR="201F94E6">
              <w:rPr>
                <w:rFonts w:eastAsia="Arial"/>
              </w:rPr>
              <w:t>- En la auditoria se evidencio las actas de entrega de las ayudas humanitarias en 240 folios o planillas con los nombres de los beneficiarios y las ayudas humanitarias entregadas.</w:t>
            </w:r>
          </w:p>
          <w:p w:rsidRPr="008B0599" w:rsidR="00BA1040" w:rsidP="1C3D137E" w:rsidRDefault="5D2024C5" w14:paraId="5CC5C6BA" w14:textId="35C24038">
            <w:pPr>
              <w:ind w:left="720"/>
            </w:pPr>
            <w:r w:rsidRPr="1C3D137E">
              <w:rPr>
                <w:rFonts w:eastAsia="Arial"/>
              </w:rPr>
              <w:t xml:space="preserve"> </w:t>
            </w:r>
          </w:p>
          <w:p w:rsidRPr="008B0599" w:rsidR="00BA1040" w:rsidP="0ED4F347" w:rsidRDefault="5D2024C5" w14:paraId="26EEE980" w14:textId="58620E64">
            <w:pPr>
              <w:spacing w:after="160"/>
              <w:ind w:left="0"/>
            </w:pPr>
            <w:r w:rsidRPr="0ED4F347" w:rsidR="201F94E6">
              <w:rPr>
                <w:rFonts w:eastAsia="Arial"/>
              </w:rPr>
              <w:t>Sin embargo, al contrastar la información del EDAN con las planillas firmadas de entrega de ayudas humanitarias por emergencias, se observó que en las 30 planillas revisadas se registran 283 beneficiarios, de los cuales solo 15 coinciden con los nombres reportados en el EDAN.</w:t>
            </w:r>
          </w:p>
          <w:p w:rsidRPr="008B0599" w:rsidR="00BA1040" w:rsidP="1C3D137E" w:rsidRDefault="5D2024C5" w14:paraId="556B8C98" w14:textId="5FB9AFB6">
            <w:pPr>
              <w:spacing w:after="160"/>
            </w:pPr>
            <w:r w:rsidRPr="1C3D137E">
              <w:rPr>
                <w:rFonts w:eastAsia="Arial"/>
              </w:rPr>
              <w:t>Actividades que no cumplen:</w:t>
            </w:r>
          </w:p>
          <w:p w:rsidRPr="008B0599" w:rsidR="00BA1040" w:rsidP="00153268" w:rsidRDefault="5D2024C5" w14:paraId="2FD2B523" w14:textId="33B1F386">
            <w:pPr>
              <w:pStyle w:val="Prrafodelista"/>
              <w:numPr>
                <w:ilvl w:val="0"/>
                <w:numId w:val="7"/>
              </w:numPr>
              <w:rPr>
                <w:rFonts w:eastAsia="Arial"/>
              </w:rPr>
            </w:pPr>
            <w:r w:rsidRPr="1C3D137E">
              <w:rPr>
                <w:rFonts w:eastAsia="Arial"/>
              </w:rPr>
              <w:t xml:space="preserve">Actividad 7 - No se evidencia el informe al director, Ni el informe de asistencia técnica. La unidad presenta los certificados de permanencia en sitio, los desplazamientos de personas requeridos para la atención de la emergencia y las comisiones asignadas a funcionarios que se soportan en los certificados de permanencias. Sin embargo, esto no se evidencian necesidades técnicas, ni </w:t>
            </w:r>
            <w:r w:rsidRPr="1C3D137E">
              <w:rPr>
                <w:rFonts w:eastAsia="Arial"/>
              </w:rPr>
              <w:lastRenderedPageBreak/>
              <w:t>instrucciones impartidas para la evaluación técnica y entrega de ayudas humanitarias. Solo son documentos de tipo administrativo.</w:t>
            </w:r>
          </w:p>
          <w:p w:rsidRPr="008B0599" w:rsidR="00BA1040" w:rsidP="1C3D137E" w:rsidRDefault="5D2024C5" w14:paraId="3EE93BB7" w14:textId="54B1ABFD">
            <w:pPr>
              <w:ind w:left="720"/>
            </w:pPr>
            <w:r w:rsidRPr="1C3D137E">
              <w:rPr>
                <w:rFonts w:eastAsia="Arial"/>
              </w:rPr>
              <w:t xml:space="preserve"> </w:t>
            </w:r>
          </w:p>
          <w:p w:rsidRPr="008B0599" w:rsidR="00BA1040" w:rsidP="00153268" w:rsidRDefault="5D2024C5" w14:paraId="248284FB" w14:textId="785A4778">
            <w:pPr>
              <w:pStyle w:val="Prrafodelista"/>
              <w:numPr>
                <w:ilvl w:val="0"/>
                <w:numId w:val="7"/>
              </w:numPr>
              <w:rPr>
                <w:rFonts w:eastAsia="Arial"/>
              </w:rPr>
            </w:pPr>
            <w:r w:rsidRPr="1C3D137E">
              <w:rPr>
                <w:rFonts w:eastAsia="Arial"/>
              </w:rPr>
              <w:t>Actividad 10 - La unidad auditada entregó el Decreto 131 del 9 de junio de 2025 y el Decreto 388 de 2025, expedidos por el Gobernador de Cundinamarca, mediante los cuales se declara la calamidad pública por seis meses, prorrogables por un período igual. En consecuencia, la emergencia se encuentra vigente hasta el 8 de junio de 2026, por lo que no se dispone de un informe final del evento.</w:t>
            </w:r>
          </w:p>
          <w:p w:rsidRPr="008B0599" w:rsidR="00BA1040" w:rsidP="1C3D137E" w:rsidRDefault="5D2024C5" w14:paraId="727F75B6" w14:textId="2D3E181E">
            <w:pPr>
              <w:ind w:left="720"/>
            </w:pPr>
            <w:r w:rsidRPr="1C3D137E">
              <w:rPr>
                <w:rFonts w:eastAsia="Arial"/>
              </w:rPr>
              <w:t xml:space="preserve"> </w:t>
            </w:r>
          </w:p>
          <w:p w:rsidRPr="008B0599" w:rsidR="00BA1040" w:rsidP="0ED4F347" w:rsidRDefault="5D2024C5" w14:paraId="49B99A9E" w14:textId="55D911EF">
            <w:pPr>
              <w:ind w:left="0"/>
            </w:pPr>
            <w:r w:rsidRPr="0ED4F347" w:rsidR="201F94E6">
              <w:rPr>
                <w:rFonts w:eastAsia="Arial"/>
              </w:rPr>
              <w:t>Asimismo, no se evidencia un documento mediante el cual se informe al director sobre la evolución de los hechos y las afectaciones finales. No obstante, dado que esta actividad implica el monitoreo continuo del evento y la comunicación periódica de su evolución, se deberían contar con soportes que den cuenta de su ejecución de manera sostenida.</w:t>
            </w:r>
          </w:p>
          <w:p w:rsidRPr="008B0599" w:rsidR="00BA1040" w:rsidP="1C3D137E" w:rsidRDefault="5D2024C5" w14:paraId="102FA79E" w14:textId="55B45E10">
            <w:pPr>
              <w:ind w:left="720"/>
            </w:pPr>
            <w:r w:rsidRPr="1C3D137E">
              <w:rPr>
                <w:rFonts w:eastAsia="Arial"/>
              </w:rPr>
              <w:t xml:space="preserve"> </w:t>
            </w:r>
          </w:p>
          <w:p w:rsidRPr="008B0599" w:rsidR="00BA1040" w:rsidP="00153268" w:rsidRDefault="5D2024C5" w14:paraId="616DC89F" w14:textId="305BB1CB">
            <w:pPr>
              <w:pStyle w:val="Prrafodelista"/>
              <w:numPr>
                <w:ilvl w:val="0"/>
                <w:numId w:val="7"/>
              </w:numPr>
              <w:rPr>
                <w:rFonts w:eastAsia="Arial"/>
              </w:rPr>
            </w:pPr>
            <w:r w:rsidRPr="0ED4F347" w:rsidR="201F94E6">
              <w:rPr>
                <w:rFonts w:eastAsia="Arial"/>
              </w:rPr>
              <w:t>Actividad 12</w:t>
            </w:r>
            <w:r w:rsidRPr="0ED4F347" w:rsidR="08DC3BBA">
              <w:rPr>
                <w:rFonts w:eastAsia="Arial"/>
              </w:rPr>
              <w:t xml:space="preserve"> </w:t>
            </w:r>
            <w:r w:rsidRPr="0ED4F347" w:rsidR="201F94E6">
              <w:rPr>
                <w:rFonts w:eastAsia="Arial"/>
              </w:rPr>
              <w:t>- La UAEGRD suministró soporte en esta actividad. La UAEGRD no suministro soporte en esta actividad. Se alimenta la base de datos con la información registrada en Cuadro Excel, base de datos y reporte de emergencias. Se archivan copias de todos los informes para posterior verificación.</w:t>
            </w:r>
          </w:p>
          <w:p w:rsidRPr="008B0599" w:rsidR="00BA1040" w:rsidP="1C3D137E" w:rsidRDefault="5D2024C5" w14:paraId="4A8FEAE8" w14:textId="786CABE3">
            <w:pPr>
              <w:ind w:left="720"/>
            </w:pPr>
            <w:r w:rsidRPr="1C3D137E">
              <w:rPr>
                <w:rFonts w:eastAsia="Arial"/>
              </w:rPr>
              <w:t xml:space="preserve"> </w:t>
            </w:r>
          </w:p>
          <w:p w:rsidRPr="008B0599" w:rsidR="00BA1040" w:rsidP="1C3D137E" w:rsidRDefault="5D2024C5" w14:paraId="58AAA4EF" w14:textId="279419B1">
            <w:pPr>
              <w:pStyle w:val="Prrafodelista"/>
              <w:spacing w:after="120"/>
              <w:ind w:hanging="720"/>
              <w:rPr>
                <w:rFonts w:eastAsia="Arial"/>
                <w:b/>
                <w:bCs/>
              </w:rPr>
            </w:pPr>
            <w:r w:rsidRPr="1C3D137E">
              <w:rPr>
                <w:rFonts w:eastAsia="Arial"/>
                <w:b/>
                <w:bCs/>
              </w:rPr>
              <w:t>El Procedimiento del Plan de Acción Específico M</w:t>
            </w:r>
            <w:r w:rsidR="00BA1040">
              <w:noBreakHyphen/>
            </w:r>
            <w:r w:rsidRPr="1C3D137E">
              <w:rPr>
                <w:rFonts w:eastAsia="Arial"/>
                <w:b/>
                <w:bCs/>
              </w:rPr>
              <w:t>FT</w:t>
            </w:r>
            <w:r w:rsidR="00BA1040">
              <w:noBreakHyphen/>
            </w:r>
            <w:r w:rsidRPr="1C3D137E">
              <w:rPr>
                <w:rFonts w:eastAsia="Arial"/>
                <w:b/>
                <w:bCs/>
              </w:rPr>
              <w:t>PR</w:t>
            </w:r>
            <w:r w:rsidR="00BA1040">
              <w:noBreakHyphen/>
            </w:r>
            <w:r w:rsidRPr="1C3D137E">
              <w:rPr>
                <w:rFonts w:eastAsia="Arial"/>
                <w:b/>
                <w:bCs/>
              </w:rPr>
              <w:t xml:space="preserve">018. </w:t>
            </w:r>
          </w:p>
          <w:p w:rsidRPr="008B0599" w:rsidR="00BA1040" w:rsidP="1C3D137E" w:rsidRDefault="5D2024C5" w14:paraId="6219A656" w14:textId="57D0E2CB">
            <w:pPr>
              <w:spacing w:after="120"/>
              <w:rPr>
                <w:rFonts w:eastAsia="Arial"/>
              </w:rPr>
            </w:pPr>
            <w:r w:rsidRPr="1C3D137E">
              <w:rPr>
                <w:rFonts w:eastAsia="Arial"/>
              </w:rPr>
              <w:t>La actividad 3 presenta con un cumplimiento parcial.</w:t>
            </w:r>
          </w:p>
          <w:p w:rsidRPr="008B0599" w:rsidR="00BA1040" w:rsidP="1C3D137E" w:rsidRDefault="5D2024C5" w14:paraId="39F9FFD3" w14:textId="726F2E91">
            <w:pPr>
              <w:spacing w:after="120"/>
            </w:pPr>
            <w:r w:rsidRPr="1C3D137E">
              <w:rPr>
                <w:rFonts w:eastAsia="Arial"/>
              </w:rPr>
              <w:t xml:space="preserve">De manera general, con los soportes revisados se concluye que la actividad de Evaluar los Daños y Analizar las Necesidades (EDAN) sí se realizó en ambos municipios, pero con diferente nivel de desarrollo: en </w:t>
            </w:r>
            <w:proofErr w:type="spellStart"/>
            <w:r w:rsidRPr="1C3D137E">
              <w:rPr>
                <w:rFonts w:eastAsia="Arial"/>
              </w:rPr>
              <w:t>Paratebueno</w:t>
            </w:r>
            <w:proofErr w:type="spellEnd"/>
            <w:r w:rsidRPr="1C3D137E">
              <w:rPr>
                <w:rFonts w:eastAsia="Arial"/>
              </w:rPr>
              <w:t xml:space="preserve"> se evidencia un EDAN formal y completo en formato oficial, mientras que en Medina la evaluación se refleja en actas e informes preliminares, más descriptivos que consolidados.</w:t>
            </w:r>
          </w:p>
          <w:p w:rsidRPr="008B0599" w:rsidR="00BA1040" w:rsidP="1C3D137E" w:rsidRDefault="5D2024C5" w14:paraId="124FEBA1" w14:textId="4B0D7D7E">
            <w:pPr>
              <w:spacing w:after="160"/>
            </w:pPr>
            <w:r w:rsidRPr="1C3D137E">
              <w:rPr>
                <w:rFonts w:eastAsia="Arial"/>
              </w:rPr>
              <w:t xml:space="preserve">Por lo anterior, el punto de control “Completitud del EDAN, identificación de sectores afectados, análisis de necesidades” se considera cumplido para </w:t>
            </w:r>
            <w:proofErr w:type="spellStart"/>
            <w:r w:rsidRPr="1C3D137E">
              <w:rPr>
                <w:rFonts w:eastAsia="Arial"/>
              </w:rPr>
              <w:t>Paratebueno</w:t>
            </w:r>
            <w:proofErr w:type="spellEnd"/>
            <w:r w:rsidRPr="1C3D137E">
              <w:rPr>
                <w:rFonts w:eastAsia="Arial"/>
              </w:rPr>
              <w:t xml:space="preserve"> y parcialmente cumplido para Medina. En términos de la pregunta orientadora, puede decirse que sí se identifican sectores afectados y se analizan necesidades en ambos casos, pero solo en </w:t>
            </w:r>
            <w:proofErr w:type="spellStart"/>
            <w:r w:rsidRPr="1C3D137E">
              <w:rPr>
                <w:rFonts w:eastAsia="Arial"/>
              </w:rPr>
              <w:t>Paratebueno</w:t>
            </w:r>
            <w:proofErr w:type="spellEnd"/>
            <w:r w:rsidRPr="1C3D137E">
              <w:rPr>
                <w:rFonts w:eastAsia="Arial"/>
              </w:rPr>
              <w:t xml:space="preserve"> se cuenta con un EDAN completo y estructurado según el formato oficial disponible.</w:t>
            </w:r>
          </w:p>
          <w:p w:rsidRPr="008B0599" w:rsidR="00BA1040" w:rsidP="1C3D137E" w:rsidRDefault="00BA1040" w14:paraId="1E41C77B" w14:textId="3E6F4747">
            <w:pPr>
              <w:pStyle w:val="Prrafodelista"/>
              <w:spacing w:before="120"/>
              <w:ind w:hanging="720"/>
              <w:rPr>
                <w:rFonts w:eastAsia="Arial"/>
                <w:b/>
                <w:bCs/>
              </w:rPr>
            </w:pPr>
          </w:p>
          <w:p w:rsidRPr="008B0599" w:rsidR="00BA1040" w:rsidP="1C3D137E" w:rsidRDefault="5D2024C5" w14:paraId="7E1303E2" w14:textId="79886101">
            <w:pPr>
              <w:pStyle w:val="Prrafodelista"/>
              <w:spacing w:before="120"/>
              <w:ind w:hanging="720"/>
              <w:rPr>
                <w:rFonts w:eastAsia="Arial"/>
              </w:rPr>
            </w:pPr>
            <w:r w:rsidRPr="1C3D137E">
              <w:rPr>
                <w:rFonts w:eastAsia="Arial"/>
                <w:b/>
                <w:bCs/>
              </w:rPr>
              <w:t>El Procedimiento de Coordinación Interinstitucional M</w:t>
            </w:r>
            <w:r w:rsidR="00BA1040">
              <w:noBreakHyphen/>
            </w:r>
            <w:r w:rsidRPr="1C3D137E">
              <w:rPr>
                <w:rFonts w:eastAsia="Arial"/>
                <w:b/>
                <w:bCs/>
              </w:rPr>
              <w:t>FT</w:t>
            </w:r>
            <w:r w:rsidR="00BA1040">
              <w:noBreakHyphen/>
            </w:r>
            <w:r w:rsidRPr="1C3D137E">
              <w:rPr>
                <w:rFonts w:eastAsia="Arial"/>
                <w:b/>
                <w:bCs/>
              </w:rPr>
              <w:t>PR</w:t>
            </w:r>
            <w:r w:rsidR="00BA1040">
              <w:noBreakHyphen/>
            </w:r>
            <w:r w:rsidRPr="1C3D137E">
              <w:rPr>
                <w:rFonts w:eastAsia="Arial"/>
                <w:b/>
                <w:bCs/>
              </w:rPr>
              <w:t>006.</w:t>
            </w:r>
            <w:r w:rsidRPr="1C3D137E">
              <w:rPr>
                <w:rFonts w:eastAsia="Arial"/>
              </w:rPr>
              <w:t xml:space="preserve"> </w:t>
            </w:r>
          </w:p>
          <w:p w:rsidRPr="008B0599" w:rsidR="00BA1040" w:rsidP="1C3D137E" w:rsidRDefault="00BA1040" w14:paraId="166EBBDB" w14:textId="14D5B92E">
            <w:pPr>
              <w:pStyle w:val="Prrafodelista"/>
              <w:spacing w:before="120"/>
              <w:ind w:hanging="720"/>
              <w:rPr>
                <w:rFonts w:eastAsia="Arial"/>
              </w:rPr>
            </w:pPr>
          </w:p>
          <w:p w:rsidRPr="008B0599" w:rsidR="00BA1040" w:rsidP="1C3D137E" w:rsidRDefault="5D2024C5" w14:paraId="6798A90B" w14:textId="6064E148">
            <w:pPr>
              <w:pStyle w:val="Prrafodelista"/>
              <w:spacing w:before="120"/>
              <w:ind w:hanging="720"/>
              <w:rPr>
                <w:rFonts w:eastAsia="Arial"/>
              </w:rPr>
            </w:pPr>
            <w:r w:rsidRPr="1C3D137E">
              <w:rPr>
                <w:rFonts w:eastAsia="Arial"/>
              </w:rPr>
              <w:t xml:space="preserve">Actividad 5 con no cumple. </w:t>
            </w:r>
          </w:p>
          <w:p w:rsidRPr="008B0599" w:rsidR="00BA1040" w:rsidP="1C3D137E" w:rsidRDefault="5D2024C5" w14:paraId="5A3E18AA" w14:textId="0CDE475A">
            <w:pPr>
              <w:spacing w:before="120"/>
            </w:pPr>
            <w:r w:rsidRPr="1C3D137E">
              <w:rPr>
                <w:rFonts w:eastAsia="Arial"/>
              </w:rPr>
              <w:t xml:space="preserve">Solo se evidencia una comunicación en el mes de julio, remitida por correo electrónico a los miembros del Comité Departamental, lo que demuestra que sí se informó a las entidades competentes. No obstante, </w:t>
            </w:r>
            <w:r w:rsidRPr="1C3D137E">
              <w:rPr>
                <w:rFonts w:eastAsia="Arial"/>
              </w:rPr>
              <w:lastRenderedPageBreak/>
              <w:t xml:space="preserve">dada la magnitud del evento, sería razonable esperar varias comunicaciones formales y, además, que estas quedaran registradas en el Sistema de Gestión Documental Mercurio o el actual (Cóndor), tal como lo establece el procedimiento. Bajo esta salvedad, puede señalarse que la actividad de remitir correspondencia solo se evidencia una vez y no a través de Mercurio, por lo que su cumplimiento se considera parcial. </w:t>
            </w:r>
          </w:p>
          <w:p w:rsidRPr="008B0599" w:rsidR="00BA1040" w:rsidP="1C3D137E" w:rsidRDefault="5D2024C5" w14:paraId="31D1C13C" w14:textId="22D6F76B">
            <w:pPr>
              <w:pStyle w:val="Prrafodelista"/>
              <w:spacing w:beforeAutospacing="1"/>
              <w:ind w:left="0"/>
              <w:rPr>
                <w:rFonts w:eastAsia="Arial"/>
                <w:b/>
                <w:bCs/>
              </w:rPr>
            </w:pPr>
            <w:r w:rsidRPr="1C3D137E">
              <w:rPr>
                <w:rFonts w:eastAsia="Arial"/>
                <w:b/>
                <w:bCs/>
              </w:rPr>
              <w:t>El Procedimiento “Entrega de Ayudas Humanitarias” M</w:t>
            </w:r>
            <w:r w:rsidR="00BA1040">
              <w:noBreakHyphen/>
            </w:r>
            <w:r w:rsidRPr="1C3D137E">
              <w:rPr>
                <w:rFonts w:eastAsia="Arial"/>
                <w:b/>
                <w:bCs/>
              </w:rPr>
              <w:t>FT</w:t>
            </w:r>
            <w:r w:rsidR="00BA1040">
              <w:noBreakHyphen/>
            </w:r>
            <w:r w:rsidRPr="1C3D137E">
              <w:rPr>
                <w:rFonts w:eastAsia="Arial"/>
                <w:b/>
                <w:bCs/>
              </w:rPr>
              <w:t>PR</w:t>
            </w:r>
            <w:r w:rsidR="00BA1040">
              <w:noBreakHyphen/>
            </w:r>
            <w:r w:rsidRPr="1C3D137E">
              <w:rPr>
                <w:rFonts w:eastAsia="Arial"/>
                <w:b/>
                <w:bCs/>
              </w:rPr>
              <w:t>010”</w:t>
            </w:r>
          </w:p>
          <w:p w:rsidRPr="008B0599" w:rsidR="00BA1040" w:rsidP="0ED4F347" w:rsidRDefault="5D2024C5" w14:paraId="0FF20003" w14:textId="33434572">
            <w:pPr>
              <w:spacing w:beforeAutospacing="on" w:after="160"/>
              <w:rPr>
                <w:rFonts w:eastAsia="Arial"/>
              </w:rPr>
            </w:pPr>
            <w:r w:rsidRPr="0ED4F347" w:rsidR="201F94E6">
              <w:rPr>
                <w:rFonts w:eastAsia="Arial"/>
              </w:rPr>
              <w:t xml:space="preserve">Presenta un cumplimiento parcial en las actividades 5, 6, </w:t>
            </w:r>
            <w:r w:rsidRPr="0ED4F347" w:rsidR="5B6F41FA">
              <w:rPr>
                <w:rFonts w:eastAsia="Arial"/>
              </w:rPr>
              <w:t xml:space="preserve">y </w:t>
            </w:r>
            <w:r w:rsidRPr="0ED4F347" w:rsidR="201F94E6">
              <w:rPr>
                <w:rFonts w:eastAsia="Arial"/>
              </w:rPr>
              <w:t>9,</w:t>
            </w:r>
            <w:r w:rsidRPr="0ED4F347" w:rsidR="3C36C121">
              <w:rPr>
                <w:rFonts w:eastAsia="Arial"/>
              </w:rPr>
              <w:t xml:space="preserve"> </w:t>
            </w:r>
            <w:r w:rsidRPr="0ED4F347" w:rsidR="646AACAD">
              <w:rPr>
                <w:rFonts w:eastAsia="Arial"/>
              </w:rPr>
              <w:t>10 y 11,</w:t>
            </w:r>
            <w:r w:rsidRPr="0ED4F347" w:rsidR="201F94E6">
              <w:rPr>
                <w:rFonts w:eastAsia="Arial"/>
              </w:rPr>
              <w:t xml:space="preserve"> un incumplimiento en las actividades 4 y 7.</w:t>
            </w:r>
          </w:p>
          <w:p w:rsidRPr="008B0599" w:rsidR="00BA1040" w:rsidP="1C3D137E" w:rsidRDefault="5D2024C5" w14:paraId="4732B89E" w14:textId="42C70455">
            <w:pPr>
              <w:spacing w:after="160"/>
            </w:pPr>
            <w:r w:rsidRPr="1C3D137E">
              <w:rPr>
                <w:rFonts w:eastAsia="Arial"/>
                <w:color w:val="000000" w:themeColor="text1"/>
              </w:rPr>
              <w:t xml:space="preserve">Las actividades que incumplen: </w:t>
            </w:r>
          </w:p>
          <w:p w:rsidRPr="008B0599" w:rsidR="00BA1040" w:rsidP="00153268" w:rsidRDefault="5D2024C5" w14:paraId="1FE62745" w14:textId="6ECFDB12">
            <w:pPr>
              <w:pStyle w:val="Prrafodelista"/>
              <w:numPr>
                <w:ilvl w:val="0"/>
                <w:numId w:val="7"/>
              </w:numPr>
              <w:rPr>
                <w:rFonts w:eastAsia="Arial"/>
                <w:color w:val="000000" w:themeColor="text1"/>
              </w:rPr>
            </w:pPr>
            <w:r w:rsidRPr="1C3D137E">
              <w:rPr>
                <w:rFonts w:eastAsia="Arial"/>
                <w:color w:val="000000" w:themeColor="text1"/>
              </w:rPr>
              <w:t xml:space="preserve">Actividad No. 4: Como soporte se presentan actas de PMU (11 al 24 de junio de 2025), cuando el procedimiento establece que la evidencia debe ser el “Registro Cuadro Excel – Bitácora de llamadas diarias”. </w:t>
            </w:r>
          </w:p>
          <w:p w:rsidRPr="008B0599" w:rsidR="00BA1040" w:rsidP="00153268" w:rsidRDefault="5D2024C5" w14:paraId="5C707530" w14:textId="65552B93">
            <w:pPr>
              <w:pStyle w:val="Prrafodelista"/>
              <w:numPr>
                <w:ilvl w:val="0"/>
                <w:numId w:val="7"/>
              </w:numPr>
              <w:rPr>
                <w:rFonts w:eastAsia="Arial"/>
                <w:color w:val="000000" w:themeColor="text1"/>
              </w:rPr>
            </w:pPr>
            <w:r w:rsidRPr="1C3D137E">
              <w:rPr>
                <w:rFonts w:eastAsia="Arial"/>
                <w:color w:val="000000" w:themeColor="text1"/>
              </w:rPr>
              <w:t xml:space="preserve">Actividad No. 7: De nuevo se aportan actas de PMU en lugar del “Informe de situación del departamento con respecto a la emergencia / Acta de reunión” exigido como evidencia específica para esta actividad. </w:t>
            </w:r>
          </w:p>
          <w:p w:rsidRPr="008B0599" w:rsidR="00BA1040" w:rsidP="1C3D137E" w:rsidRDefault="00BA1040" w14:paraId="6AE919CF" w14:textId="1CC00560">
            <w:pPr>
              <w:pStyle w:val="Prrafodelista"/>
              <w:ind w:hanging="360"/>
              <w:rPr>
                <w:rFonts w:eastAsia="Arial"/>
                <w:color w:val="000000" w:themeColor="text1"/>
              </w:rPr>
            </w:pPr>
          </w:p>
          <w:p w:rsidRPr="008B0599" w:rsidR="00BA1040" w:rsidP="1C3D137E" w:rsidRDefault="5D2024C5" w14:paraId="18EF53D4" w14:textId="46095C60">
            <w:pPr>
              <w:spacing w:after="160"/>
            </w:pPr>
            <w:r w:rsidRPr="1C3D137E">
              <w:rPr>
                <w:rFonts w:eastAsia="Arial"/>
                <w:color w:val="000000" w:themeColor="text1"/>
              </w:rPr>
              <w:t xml:space="preserve">Actividades con cumplimiento parcial: </w:t>
            </w:r>
          </w:p>
          <w:p w:rsidRPr="008B0599" w:rsidR="00BA1040" w:rsidP="00153268" w:rsidRDefault="5D2024C5" w14:paraId="0925AA42" w14:textId="0EE49E2A">
            <w:pPr>
              <w:pStyle w:val="Prrafodelista"/>
              <w:numPr>
                <w:ilvl w:val="0"/>
                <w:numId w:val="6"/>
              </w:numPr>
              <w:rPr>
                <w:rFonts w:eastAsia="Arial"/>
                <w:color w:val="000000" w:themeColor="text1"/>
              </w:rPr>
            </w:pPr>
            <w:r w:rsidRPr="1C3D137E">
              <w:rPr>
                <w:rFonts w:eastAsia="Arial"/>
                <w:color w:val="000000" w:themeColor="text1"/>
              </w:rPr>
              <w:t xml:space="preserve">Actividades No. 5, 6 y 9: Para estas actividades se usan las actas de PMU como soporte, pero el procedimiento define como evidencia el “Informe de situación del departamento con respecto a la emergencia / Acta de reunión”, lo que implica que el tipo de registro no es el adecuado. </w:t>
            </w:r>
          </w:p>
          <w:p w:rsidRPr="008B0599" w:rsidR="00BA1040" w:rsidP="0ED4F347" w:rsidRDefault="00BA1040" w14:paraId="54100FFA" w14:textId="3093999D">
            <w:pPr>
              <w:pStyle w:val="Prrafodelista"/>
              <w:ind w:hanging="360"/>
              <w:rPr>
                <w:color w:val="auto"/>
              </w:rPr>
            </w:pPr>
          </w:p>
          <w:p w:rsidRPr="008B0599" w:rsidR="00BA1040" w:rsidP="0ED4F347" w:rsidRDefault="5D2024C5" w14:paraId="2E34FB1B" w14:textId="0241DDA5">
            <w:pPr>
              <w:pStyle w:val="Prrafodelista"/>
              <w:numPr>
                <w:ilvl w:val="0"/>
                <w:numId w:val="6"/>
              </w:numPr>
              <w:rPr>
                <w:color w:val="auto" w:themeColor="accent2"/>
              </w:rPr>
            </w:pPr>
            <w:r w:rsidRPr="0ED4F347" w:rsidR="201F94E6">
              <w:rPr>
                <w:rFonts w:eastAsia="Arial"/>
                <w:color w:val="auto"/>
              </w:rPr>
              <w:t>Actividades No. 10 y 11: Se comprobó el diligenciamiento del “Censo de afectación municipal por emergencia – Evaluación de Daños y Análisis de Necesidades (EDAN)”, donde se registran 300 personas damnificadas y las ayudas solicitadas para Medina. Sin embargo, al contrastar esta información con 30 planillas de entrega de ayudas, se encontró que allí se reportan 283 beneficiarios y solo 15 coinciden con los nombres del EDAN, lo que genera una importante inconsistencia entre la población censada y la realmente atendida.</w:t>
            </w:r>
          </w:p>
        </w:tc>
      </w:tr>
      <w:tr w:rsidR="00BA1040" w:rsidTr="0ED4F347" w14:paraId="26088CA2" w14:textId="77777777">
        <w:trPr>
          <w:trHeight w:val="852"/>
        </w:trPr>
        <w:tc>
          <w:tcPr>
            <w:tcW w:w="10529" w:type="dxa"/>
            <w:gridSpan w:val="2"/>
            <w:tcBorders>
              <w:top w:val="single" w:color="000000" w:themeColor="text1" w:sz="4"/>
              <w:bottom w:val="nil"/>
            </w:tcBorders>
            <w:tcMar/>
          </w:tcPr>
          <w:p w:rsidR="00BA1040" w:rsidP="1C3D137E" w:rsidRDefault="2EACD951" w14:paraId="59D3A4EF" w14:textId="325237F6">
            <w:pPr>
              <w:spacing w:before="120"/>
              <w:rPr>
                <w:b/>
                <w:bCs/>
              </w:rPr>
            </w:pPr>
            <w:r w:rsidRPr="1C3D137E">
              <w:rPr>
                <w:b/>
                <w:bCs/>
              </w:rPr>
              <w:lastRenderedPageBreak/>
              <w:t xml:space="preserve">Criterio: </w:t>
            </w:r>
          </w:p>
          <w:p w:rsidR="00BA1040" w:rsidP="00153268" w:rsidRDefault="46C092E4" w14:paraId="3DEA188D" w14:textId="2B7F9263">
            <w:pPr>
              <w:pStyle w:val="Prrafodelista"/>
              <w:numPr>
                <w:ilvl w:val="0"/>
                <w:numId w:val="5"/>
              </w:numPr>
              <w:spacing w:before="120"/>
              <w:ind w:left="525" w:hanging="525"/>
              <w:rPr>
                <w:rFonts w:eastAsia="Arial"/>
              </w:rPr>
            </w:pPr>
            <w:r w:rsidRPr="1C3D137E">
              <w:rPr>
                <w:rFonts w:eastAsia="Arial"/>
              </w:rPr>
              <w:t>El Procedimiento de Atención de Emergencias M FT PR 008 presenta un cumplimiento parcial en las actividades 4, 5, 6, 8, 9,14 y 15, y un incumplimiento en las actividades 7, 10 y 12.</w:t>
            </w:r>
          </w:p>
          <w:p w:rsidR="00BA1040" w:rsidP="00153268" w:rsidRDefault="46C092E4" w14:paraId="76C6DD5F" w14:textId="3EFBA5CD">
            <w:pPr>
              <w:pStyle w:val="Prrafodelista"/>
              <w:numPr>
                <w:ilvl w:val="0"/>
                <w:numId w:val="5"/>
              </w:numPr>
              <w:spacing w:before="120"/>
              <w:ind w:left="525" w:hanging="525"/>
              <w:rPr>
                <w:rFonts w:eastAsia="Arial"/>
              </w:rPr>
            </w:pPr>
            <w:r w:rsidRPr="1C3D137E">
              <w:rPr>
                <w:rFonts w:eastAsia="Arial"/>
              </w:rPr>
              <w:t>El Procedimiento del Plan de Acción Específico M</w:t>
            </w:r>
            <w:r w:rsidR="00BA1040">
              <w:noBreakHyphen/>
            </w:r>
            <w:r w:rsidRPr="1C3D137E">
              <w:rPr>
                <w:rFonts w:eastAsia="Arial"/>
              </w:rPr>
              <w:t>FT</w:t>
            </w:r>
            <w:r w:rsidR="00BA1040">
              <w:noBreakHyphen/>
            </w:r>
            <w:r w:rsidRPr="1C3D137E">
              <w:rPr>
                <w:rFonts w:eastAsia="Arial"/>
              </w:rPr>
              <w:t>PR</w:t>
            </w:r>
            <w:r w:rsidR="00BA1040">
              <w:noBreakHyphen/>
            </w:r>
            <w:r w:rsidRPr="1C3D137E">
              <w:rPr>
                <w:rFonts w:eastAsia="Arial"/>
              </w:rPr>
              <w:t>018. Actividad 3 con un cumplimiento parcial.</w:t>
            </w:r>
          </w:p>
          <w:p w:rsidR="00BA1040" w:rsidP="00153268" w:rsidRDefault="46C092E4" w14:paraId="4796C4EB" w14:textId="400A5F55">
            <w:pPr>
              <w:pStyle w:val="Prrafodelista"/>
              <w:numPr>
                <w:ilvl w:val="0"/>
                <w:numId w:val="5"/>
              </w:numPr>
              <w:spacing w:before="120"/>
              <w:ind w:left="525" w:hanging="525"/>
              <w:rPr>
                <w:rFonts w:eastAsia="Arial"/>
              </w:rPr>
            </w:pPr>
            <w:r w:rsidRPr="1C3D137E">
              <w:rPr>
                <w:rFonts w:eastAsia="Arial"/>
              </w:rPr>
              <w:t>El Procedimiento de Coordinación Interinstitucional M</w:t>
            </w:r>
            <w:r w:rsidR="00BA1040">
              <w:noBreakHyphen/>
            </w:r>
            <w:r w:rsidRPr="1C3D137E">
              <w:rPr>
                <w:rFonts w:eastAsia="Arial"/>
              </w:rPr>
              <w:t>FT</w:t>
            </w:r>
            <w:r w:rsidR="00BA1040">
              <w:noBreakHyphen/>
            </w:r>
            <w:r w:rsidRPr="1C3D137E">
              <w:rPr>
                <w:rFonts w:eastAsia="Arial"/>
              </w:rPr>
              <w:t>PR</w:t>
            </w:r>
            <w:r w:rsidR="00BA1040">
              <w:noBreakHyphen/>
            </w:r>
            <w:r w:rsidRPr="1C3D137E">
              <w:rPr>
                <w:rFonts w:eastAsia="Arial"/>
              </w:rPr>
              <w:t xml:space="preserve">006. Actividad 5 con no cumple. </w:t>
            </w:r>
          </w:p>
          <w:p w:rsidR="00BA1040" w:rsidP="00153268" w:rsidRDefault="46C092E4" w14:paraId="69BB5C0D" w14:textId="68C0FD44">
            <w:pPr>
              <w:pStyle w:val="Prrafodelista"/>
              <w:numPr>
                <w:ilvl w:val="0"/>
                <w:numId w:val="5"/>
              </w:numPr>
              <w:spacing w:before="120"/>
              <w:ind w:left="525" w:hanging="525"/>
              <w:rPr>
                <w:rFonts w:eastAsia="Arial"/>
              </w:rPr>
            </w:pPr>
            <w:r w:rsidRPr="1C3D137E">
              <w:rPr>
                <w:rFonts w:eastAsia="Arial"/>
              </w:rPr>
              <w:t>El Procedimiento “Entrega de Ayudas Humanitarias” M</w:t>
            </w:r>
            <w:r w:rsidR="00BA1040">
              <w:noBreakHyphen/>
            </w:r>
            <w:r w:rsidRPr="1C3D137E">
              <w:rPr>
                <w:rFonts w:eastAsia="Arial"/>
              </w:rPr>
              <w:t>FT</w:t>
            </w:r>
            <w:r w:rsidR="00BA1040">
              <w:noBreakHyphen/>
            </w:r>
            <w:r w:rsidRPr="1C3D137E">
              <w:rPr>
                <w:rFonts w:eastAsia="Arial"/>
              </w:rPr>
              <w:t>PR</w:t>
            </w:r>
            <w:r w:rsidR="00BA1040">
              <w:noBreakHyphen/>
            </w:r>
            <w:r w:rsidRPr="1C3D137E">
              <w:rPr>
                <w:rFonts w:eastAsia="Arial"/>
              </w:rPr>
              <w:t xml:space="preserve">010” presenta un cumplimiento parcial en las actividades 5, 6, </w:t>
            </w:r>
            <w:r w:rsidRPr="1C3D137E" w:rsidR="7D3FB6F1">
              <w:rPr>
                <w:rFonts w:eastAsia="Arial"/>
              </w:rPr>
              <w:t xml:space="preserve">y </w:t>
            </w:r>
            <w:r w:rsidRPr="1C3D137E">
              <w:rPr>
                <w:rFonts w:eastAsia="Arial"/>
              </w:rPr>
              <w:t>9, y un incumplimiento en las actividades 4 y 7.</w:t>
            </w:r>
          </w:p>
          <w:p w:rsidR="00BA1040" w:rsidP="1C3D137E" w:rsidRDefault="00BA1040" w14:paraId="43BC334B" w14:textId="2691404B">
            <w:pPr>
              <w:spacing w:before="120"/>
              <w:rPr>
                <w:i/>
                <w:iCs/>
                <w:color w:val="808080" w:themeColor="background1" w:themeShade="80"/>
                <w:sz w:val="20"/>
                <w:szCs w:val="20"/>
              </w:rPr>
            </w:pPr>
          </w:p>
        </w:tc>
      </w:tr>
      <w:tr w:rsidR="00BA1040" w:rsidTr="0ED4F347" w14:paraId="151501EC" w14:textId="77777777">
        <w:trPr>
          <w:trHeight w:val="848"/>
        </w:trPr>
        <w:tc>
          <w:tcPr>
            <w:tcW w:w="10529" w:type="dxa"/>
            <w:gridSpan w:val="2"/>
            <w:tcBorders>
              <w:top w:val="nil"/>
              <w:bottom w:val="single" w:color="000000" w:themeColor="text1" w:sz="4"/>
            </w:tcBorders>
            <w:tcMar/>
          </w:tcPr>
          <w:p w:rsidR="00BA1040" w:rsidP="1C3D137E" w:rsidRDefault="2EACD951" w14:paraId="55769E32" w14:textId="1F72C4F4">
            <w:pPr>
              <w:spacing w:after="160"/>
              <w:rPr>
                <w:b/>
                <w:bCs/>
              </w:rPr>
            </w:pPr>
            <w:r w:rsidRPr="1C3D137E">
              <w:rPr>
                <w:b/>
                <w:bCs/>
              </w:rPr>
              <w:lastRenderedPageBreak/>
              <w:t>Consecuencia:</w:t>
            </w:r>
            <w:r w:rsidRPr="1C3D137E" w:rsidR="7D5CE3C2">
              <w:rPr>
                <w:b/>
                <w:bCs/>
              </w:rPr>
              <w:t xml:space="preserve"> </w:t>
            </w:r>
            <w:r w:rsidRPr="1C3D137E" w:rsidR="7D5CE3C2">
              <w:rPr>
                <w:rFonts w:eastAsia="Arial"/>
              </w:rPr>
              <w:t>El incumplimiento parcial o total de estos criterios en dos de los cuatro procedimientos y las debilidades detectadas en los otros dos generan consecuencias relevantes para la gestión institucional:</w:t>
            </w:r>
          </w:p>
          <w:p w:rsidR="00BA1040" w:rsidP="00153268" w:rsidRDefault="7D5CE3C2" w14:paraId="133B0DB0" w14:textId="7BB9E7E9">
            <w:pPr>
              <w:pStyle w:val="Prrafodelista"/>
              <w:numPr>
                <w:ilvl w:val="0"/>
                <w:numId w:val="4"/>
              </w:numPr>
              <w:ind w:left="360"/>
              <w:rPr>
                <w:rFonts w:eastAsia="Arial"/>
              </w:rPr>
            </w:pPr>
            <w:r w:rsidRPr="1C3D137E">
              <w:rPr>
                <w:rFonts w:eastAsia="Arial"/>
              </w:rPr>
              <w:t>Pérdida de trazabilidad y consistencia en la cadena “evento–censo–decisión–entrega”, especialmente en ayudas humanitarias, al no poder relacionar de forma clara a todos los damnificados registrados con los beneficiarios que reciben los apoyos.</w:t>
            </w:r>
          </w:p>
          <w:p w:rsidR="00BA1040" w:rsidP="00153268" w:rsidRDefault="7D5CE3C2" w14:paraId="3B7B45E3" w14:textId="075E6EFE">
            <w:pPr>
              <w:pStyle w:val="Prrafodelista"/>
              <w:numPr>
                <w:ilvl w:val="0"/>
                <w:numId w:val="4"/>
              </w:numPr>
              <w:ind w:left="360"/>
              <w:rPr>
                <w:rFonts w:eastAsia="Arial"/>
              </w:rPr>
            </w:pPr>
            <w:r w:rsidRPr="1C3D137E">
              <w:rPr>
                <w:rFonts w:eastAsia="Arial"/>
              </w:rPr>
              <w:t>Limitaciones para demostrar la eficacia de los controles del proceso misional: aunque se activan estrategias, se formulan planes y se celebran comités, la falta de algunos registros técnicos, informes y bases de datos completas dificulta evidenciar el control ejercido en cada etapa de la emergencia.</w:t>
            </w:r>
          </w:p>
          <w:p w:rsidR="00BA1040" w:rsidP="00153268" w:rsidRDefault="7D5CE3C2" w14:paraId="1E4BCFDD" w14:textId="301922AD">
            <w:pPr>
              <w:pStyle w:val="Prrafodelista"/>
              <w:numPr>
                <w:ilvl w:val="0"/>
                <w:numId w:val="4"/>
              </w:numPr>
              <w:ind w:left="360"/>
              <w:rPr>
                <w:rFonts w:eastAsia="Arial"/>
              </w:rPr>
            </w:pPr>
            <w:r w:rsidRPr="1C3D137E">
              <w:rPr>
                <w:rFonts w:eastAsia="Arial"/>
              </w:rPr>
              <w:t>Riesgos para la rendición de cuentas, al debilitarse la confiabilidad de la información oficial frente a los organismos de control, la ciudadanía y las entidades del Sistema Nacional de Gestión del Riesgo de Desastres, especialmente en lo relacionado con la priorización y asignación de recursos y ayudas</w:t>
            </w:r>
          </w:p>
          <w:p w:rsidR="00BA1040" w:rsidP="1C3D137E" w:rsidRDefault="7D5CE3C2" w14:paraId="3107D8CD" w14:textId="74086BE1">
            <w:pPr>
              <w:spacing w:beforeAutospacing="1" w:after="160"/>
            </w:pPr>
            <w:r w:rsidRPr="1C3D137E">
              <w:rPr>
                <w:rFonts w:eastAsia="Arial"/>
              </w:rPr>
              <w:t>En Conclusión, los criterios definidos y los resultados obtenidos en las tablas evidencian una base sólida de información, al combinar la revisión detallada de los documentos con una valoración numérica del cumplimiento de cada procedimiento. Así, la información se sustenta en evidencias verificables y en puntajes que muestran con claridad qué tan adecuadamente se aplicó cada procedimiento en la atención del sismo evaluado.</w:t>
            </w:r>
          </w:p>
        </w:tc>
      </w:tr>
      <w:tr w:rsidR="00BA1040" w:rsidTr="0ED4F347" w14:paraId="6ED861EE" w14:textId="77777777">
        <w:trPr>
          <w:trHeight w:val="469"/>
        </w:trPr>
        <w:tc>
          <w:tcPr>
            <w:tcW w:w="10529" w:type="dxa"/>
            <w:gridSpan w:val="2"/>
            <w:tcBorders>
              <w:top w:val="single" w:color="000000" w:themeColor="text1" w:sz="4"/>
            </w:tcBorders>
            <w:tcMar/>
          </w:tcPr>
          <w:p w:rsidR="00BA1040" w:rsidP="0ED4F347" w:rsidRDefault="00BA1040" w14:paraId="61F77F38" w14:textId="00AC653C">
            <w:pPr>
              <w:spacing w:before="0" w:beforeAutospacing="off" w:after="160" w:afterAutospacing="off" w:line="276" w:lineRule="auto"/>
              <w:jc w:val="both"/>
              <w:rPr>
                <w:b w:val="1"/>
                <w:bCs w:val="1"/>
              </w:rPr>
            </w:pPr>
            <w:r w:rsidRPr="0ED4F347" w:rsidR="425EF7C1">
              <w:rPr>
                <w:b w:val="1"/>
                <w:bCs w:val="1"/>
              </w:rPr>
              <w:t xml:space="preserve">Evidencia: </w:t>
            </w:r>
            <w:r w:rsidRPr="0ED4F347" w:rsidR="2AE5D8B7">
              <w:rPr>
                <w:rFonts w:ascii="Arial" w:hAnsi="Arial" w:eastAsia="Arial" w:cs="Arial"/>
                <w:b w:val="1"/>
                <w:bCs w:val="1"/>
                <w:noProof w:val="0"/>
                <w:sz w:val="22"/>
                <w:szCs w:val="22"/>
                <w:lang w:val="es"/>
              </w:rPr>
              <w:t>“</w:t>
            </w:r>
            <w:r w:rsidRPr="0ED4F347" w:rsidR="2AE5D8B7">
              <w:rPr>
                <w:rFonts w:ascii="Arial" w:hAnsi="Arial" w:eastAsia="Arial" w:cs="Arial"/>
                <w:i w:val="1"/>
                <w:iCs w:val="1"/>
                <w:noProof w:val="0"/>
                <w:sz w:val="22"/>
                <w:szCs w:val="22"/>
                <w:lang w:val="es"/>
              </w:rPr>
              <w:t xml:space="preserve">Papel de trabajo </w:t>
            </w:r>
            <w:r w:rsidRPr="0ED4F347" w:rsidR="2AE5D8B7">
              <w:rPr>
                <w:rFonts w:ascii="Arial" w:hAnsi="Arial" w:eastAsia="Arial" w:cs="Arial"/>
                <w:i w:val="1"/>
                <w:iCs w:val="1"/>
                <w:noProof w:val="0"/>
                <w:sz w:val="22"/>
                <w:szCs w:val="22"/>
                <w:lang w:val="es"/>
              </w:rPr>
              <w:t>Obj</w:t>
            </w:r>
            <w:r w:rsidRPr="0ED4F347" w:rsidR="2AE5D8B7">
              <w:rPr>
                <w:rFonts w:ascii="Arial" w:hAnsi="Arial" w:eastAsia="Arial" w:cs="Arial"/>
                <w:i w:val="1"/>
                <w:iCs w:val="1"/>
                <w:noProof w:val="0"/>
                <w:sz w:val="22"/>
                <w:szCs w:val="22"/>
                <w:lang w:val="es"/>
              </w:rPr>
              <w:t xml:space="preserve"> </w:t>
            </w:r>
            <w:r w:rsidRPr="0ED4F347" w:rsidR="2AE5D8B7">
              <w:rPr>
                <w:rFonts w:ascii="Arial" w:hAnsi="Arial" w:eastAsia="Arial" w:cs="Arial"/>
                <w:i w:val="1"/>
                <w:iCs w:val="1"/>
                <w:noProof w:val="0"/>
                <w:sz w:val="22"/>
                <w:szCs w:val="22"/>
                <w:lang w:val="es"/>
              </w:rPr>
              <w:t>Esp</w:t>
            </w:r>
            <w:r w:rsidRPr="0ED4F347" w:rsidR="2AE5D8B7">
              <w:rPr>
                <w:rFonts w:ascii="Arial" w:hAnsi="Arial" w:eastAsia="Arial" w:cs="Arial"/>
                <w:i w:val="1"/>
                <w:iCs w:val="1"/>
                <w:noProof w:val="0"/>
                <w:sz w:val="22"/>
                <w:szCs w:val="22"/>
                <w:lang w:val="es"/>
              </w:rPr>
              <w:t xml:space="preserve"> 2” -.</w:t>
            </w:r>
            <w:r w:rsidRPr="0ED4F347" w:rsidR="2AE5D8B7">
              <w:rPr>
                <w:rFonts w:ascii="Arial" w:hAnsi="Arial" w:eastAsia="Arial" w:cs="Arial"/>
                <w:noProof w:val="0"/>
                <w:sz w:val="22"/>
                <w:szCs w:val="22"/>
                <w:lang w:val="es"/>
              </w:rPr>
              <w:t xml:space="preserve"> </w:t>
            </w:r>
            <w:r w:rsidRPr="0ED4F347" w:rsidR="2AE5D8B7">
              <w:rPr>
                <w:rFonts w:ascii="Arial" w:hAnsi="Arial" w:eastAsia="Arial" w:cs="Arial"/>
                <w:i w:val="1"/>
                <w:iCs w:val="1"/>
                <w:noProof w:val="0"/>
                <w:sz w:val="22"/>
                <w:szCs w:val="22"/>
                <w:lang w:val="es"/>
              </w:rPr>
              <w:t>“</w:t>
            </w:r>
            <w:r w:rsidRPr="0ED4F347" w:rsidR="2AE5D8B7">
              <w:rPr>
                <w:rFonts w:ascii="Arial" w:hAnsi="Arial" w:eastAsia="Arial" w:cs="Arial"/>
                <w:i w:val="1"/>
                <w:iCs w:val="1"/>
                <w:noProof w:val="0"/>
                <w:sz w:val="22"/>
                <w:szCs w:val="22"/>
                <w:lang w:val="es-ES"/>
              </w:rPr>
              <w:t xml:space="preserve">Evaluar el cumplimiento de las acciones de manejo, así como la eficacia de los controles establecidos en el Procedimiento de Atención de Emergencias, el Plan de Acción Específico y los mecanismos de Coordinación Institucional, mediante la verificación de la trazabilidad de un desastre ocurrido durante el período evaluado y el análisis de su incidencia en el desempeño del proceso. En este marco, se verificará una muestra de la gestión contractual y documental asociada”. </w:t>
            </w:r>
          </w:p>
        </w:tc>
      </w:tr>
      <w:tr w:rsidR="00A034C3" w:rsidTr="0ED4F347" w14:paraId="4AEAA505" w14:textId="77777777">
        <w:tc>
          <w:tcPr>
            <w:tcW w:w="10529" w:type="dxa"/>
            <w:gridSpan w:val="2"/>
            <w:tcMar/>
          </w:tcPr>
          <w:p w:rsidR="00312B75" w:rsidP="1C3D137E" w:rsidRDefault="09E49AC2" w14:paraId="6AAF7BBE" w14:textId="309F82E3">
            <w:pPr>
              <w:rPr>
                <w:rFonts w:eastAsia="Arial"/>
                <w:lang w:val="es"/>
              </w:rPr>
            </w:pPr>
            <w:r w:rsidRPr="1C3D137E">
              <w:rPr>
                <w:b/>
                <w:bCs/>
              </w:rPr>
              <w:t>Controversia</w:t>
            </w:r>
            <w:r w:rsidRPr="1C3D137E" w:rsidR="005B0085">
              <w:rPr>
                <w:b/>
                <w:bCs/>
              </w:rPr>
              <w:t>:</w:t>
            </w:r>
            <w:r w:rsidRPr="1C3D137E" w:rsidR="005B0085">
              <w:t xml:space="preserve"> </w:t>
            </w:r>
            <w:r w:rsidRPr="1C3D137E" w:rsidR="12248381">
              <w:rPr>
                <w:rFonts w:eastAsia="Arial"/>
                <w:lang w:val="es"/>
              </w:rPr>
              <w:t xml:space="preserve">La </w:t>
            </w:r>
            <w:r w:rsidRPr="1C3D137E" w:rsidR="12248381">
              <w:rPr>
                <w:rFonts w:eastAsia="Arial"/>
                <w:color w:val="000000" w:themeColor="text1"/>
                <w:lang w:val="es"/>
              </w:rPr>
              <w:t>Unidad Administrativa Especial para la Gestión del Riesgo de Desastres de Cundinamarca.</w:t>
            </w:r>
            <w:r w:rsidRPr="1C3D137E" w:rsidR="12248381">
              <w:rPr>
                <w:rFonts w:eastAsia="Arial"/>
                <w:lang w:val="es"/>
              </w:rPr>
              <w:t xml:space="preserve">, a través de correo institucional fechado el lunes 20 de abril de 2026, dio respuesta a las observaciones formuladas en la auditoría interna de gestión realizada por la Oficina de Control Interno mediante cóndor GOB-S-CR-2026-0062623 del 15 de abril de 2026, adjuntando un archivo Excel en el que se detallaron las siguientes precisiones: </w:t>
            </w:r>
          </w:p>
          <w:p w:rsidR="00312B75" w:rsidP="1C3D137E" w:rsidRDefault="00312B75" w14:paraId="6C6883CF" w14:textId="7333FD4B">
            <w:pPr>
              <w:rPr>
                <w:rFonts w:eastAsia="Arial"/>
                <w:lang w:val="es"/>
              </w:rPr>
            </w:pPr>
          </w:p>
          <w:p w:rsidR="00312B75" w:rsidP="1C3D137E" w:rsidRDefault="6CB472DD" w14:paraId="49B44075" w14:textId="502E681E">
            <w:pPr>
              <w:rPr>
                <w:rFonts w:eastAsia="Arial"/>
                <w:i/>
                <w:iCs/>
                <w:color w:val="1A1A2E"/>
                <w:lang w:val="es"/>
              </w:rPr>
            </w:pPr>
            <w:r w:rsidRPr="1C3D137E">
              <w:t>“</w:t>
            </w:r>
            <w:r w:rsidRPr="1C3D137E" w:rsidR="2A0E8B6B">
              <w:rPr>
                <w:rFonts w:eastAsia="Arial"/>
                <w:i/>
                <w:iCs/>
                <w:color w:val="1A1A2E"/>
                <w:lang w:val="es"/>
              </w:rPr>
              <w:t>La entidad no acoge el hallazgo, en tanto los procedimientos evaluados se encuentran formalmente definidos y aplicados conforme a las competencias de la Unidad Administrativa Especial para la Gestión del Riesgo de Desastres de Cundinamarca (UAEGRD). El promedio de cumplimiento del 73% refleja que, si bien existen oportunidades de mejora, no puede considerarse un incumplimiento absoluto, pues se garantizó la activación de los instrumentos clave durante la emergencia</w:t>
            </w:r>
            <w:r w:rsidRPr="1C3D137E" w:rsidR="74ADA8A0">
              <w:rPr>
                <w:rFonts w:eastAsia="Arial"/>
                <w:i/>
                <w:iCs/>
                <w:color w:val="1A1A2E"/>
                <w:lang w:val="es"/>
              </w:rPr>
              <w:t>”</w:t>
            </w:r>
            <w:r w:rsidRPr="1C3D137E" w:rsidR="2A0E8B6B">
              <w:rPr>
                <w:rFonts w:eastAsia="Arial"/>
                <w:i/>
                <w:iCs/>
                <w:color w:val="1A1A2E"/>
                <w:lang w:val="es"/>
              </w:rPr>
              <w:t>.</w:t>
            </w:r>
          </w:p>
          <w:p w:rsidR="00312B75" w:rsidP="1C3D137E" w:rsidRDefault="00312B75" w14:paraId="38382B3B" w14:textId="10D6CA4D">
            <w:pPr>
              <w:rPr>
                <w:rFonts w:eastAsia="Arial"/>
              </w:rPr>
            </w:pPr>
          </w:p>
          <w:p w:rsidRPr="008B0599" w:rsidR="00312B75" w:rsidP="1C3D137E" w:rsidRDefault="69A9C005" w14:paraId="5C69AF96" w14:textId="4E887FEB">
            <w:pPr>
              <w:rPr>
                <w:rFonts w:eastAsia="Arial"/>
                <w:color w:val="1A1A2E"/>
                <w:lang w:val="es"/>
              </w:rPr>
            </w:pPr>
            <w:r w:rsidRPr="1C3D137E">
              <w:rPr>
                <w:b/>
                <w:bCs/>
                <w:i/>
                <w:iCs/>
              </w:rPr>
              <w:t xml:space="preserve">Análisis: </w:t>
            </w:r>
            <w:r w:rsidRPr="1C3D137E" w:rsidR="6AC353C3">
              <w:rPr>
                <w:rFonts w:eastAsia="Arial"/>
                <w:i/>
                <w:iCs/>
              </w:rPr>
              <w:t>L</w:t>
            </w:r>
            <w:r w:rsidRPr="1C3D137E" w:rsidR="6AC353C3">
              <w:rPr>
                <w:rFonts w:eastAsia="Arial"/>
                <w:color w:val="1A1A2E"/>
                <w:lang w:val="es"/>
              </w:rPr>
              <w:t>a Oficina de Control Interno aplicó una escala de cumplimiento previamente definida y técnicamente consistente. Bajo dicha escala, el umbral mínimo para considerar que un procedimiento "cumple" es del 91%; en consecuencia, el resultado del 7</w:t>
            </w:r>
            <w:r w:rsidRPr="1C3D137E" w:rsidR="387A7CA8">
              <w:rPr>
                <w:rFonts w:eastAsia="Arial"/>
                <w:color w:val="1A1A2E"/>
                <w:lang w:val="es"/>
              </w:rPr>
              <w:t>6</w:t>
            </w:r>
            <w:r w:rsidRPr="1C3D137E" w:rsidR="6AC353C3">
              <w:rPr>
                <w:rFonts w:eastAsia="Arial"/>
                <w:color w:val="1A1A2E"/>
                <w:lang w:val="es"/>
              </w:rPr>
              <w:t xml:space="preserve">% no refleja una apreciación subjetiva del equipo </w:t>
            </w:r>
            <w:r w:rsidRPr="1C3D137E" w:rsidR="6AC353C3">
              <w:rPr>
                <w:rFonts w:eastAsia="Arial"/>
                <w:color w:val="1A1A2E"/>
                <w:lang w:val="es"/>
              </w:rPr>
              <w:lastRenderedPageBreak/>
              <w:t xml:space="preserve">auditor, sino la aplicación de un criterio objetivo preestablecido que ubica este resultado en la categoría "No cumple". </w:t>
            </w:r>
          </w:p>
          <w:p w:rsidRPr="008B0599" w:rsidR="00312B75" w:rsidP="1C3D137E" w:rsidRDefault="6AC353C3" w14:paraId="3783BE95" w14:textId="0AA71610">
            <w:pPr>
              <w:rPr>
                <w:rFonts w:eastAsia="Arial"/>
                <w:color w:val="1A1A2E"/>
                <w:lang w:val="es"/>
              </w:rPr>
            </w:pPr>
            <w:r w:rsidRPr="1C3D137E">
              <w:rPr>
                <w:rFonts w:eastAsia="Arial"/>
                <w:color w:val="1A1A2E"/>
                <w:lang w:val="es"/>
              </w:rPr>
              <w:t xml:space="preserve">  </w:t>
            </w:r>
          </w:p>
          <w:p w:rsidRPr="008B0599" w:rsidR="00312B75" w:rsidP="1C3D137E" w:rsidRDefault="6AC353C3" w14:paraId="19253254" w14:textId="7A1BFD2A">
            <w:pPr>
              <w:rPr>
                <w:rFonts w:eastAsia="Arial"/>
                <w:color w:val="1A1A2E"/>
                <w:lang w:val="es"/>
              </w:rPr>
            </w:pPr>
            <w:r w:rsidRPr="1C3D137E">
              <w:rPr>
                <w:rFonts w:eastAsia="Arial"/>
                <w:color w:val="1A1A2E"/>
                <w:lang w:val="es"/>
              </w:rPr>
              <w:t xml:space="preserve">Aunado a lo anterior, el argumento de la UAEGRD de que "los instrumentos clave fueron activados" no es suficiente para desvirtuar el hallazgo, pues lo que se constató no es la ausencia total de actuación, sino que actividades concretas y obligatorias dentro de cada procedimiento no fueron ejecutadas o no quedaron debidamente documentadas. Los procedimientos de la entidad son instrumentos de control interno cuyo cumplimiento integral es exigible conforme al artículo 3 de la Ley 87 de 1993; su observancia parcial, independientemente del resultado general de la atención, constituye una debilidad del sistema que debe ser corregida. </w:t>
            </w:r>
          </w:p>
          <w:p w:rsidRPr="008B0599" w:rsidR="00312B75" w:rsidP="1C3D137E" w:rsidRDefault="6AC353C3" w14:paraId="7F372F2B" w14:textId="3AD096EA">
            <w:pPr>
              <w:rPr>
                <w:rFonts w:eastAsia="Arial"/>
                <w:color w:val="1A1A2E"/>
                <w:lang w:val="es"/>
              </w:rPr>
            </w:pPr>
            <w:r w:rsidRPr="1C3D137E">
              <w:rPr>
                <w:rFonts w:eastAsia="Arial"/>
                <w:color w:val="1A1A2E"/>
                <w:lang w:val="es"/>
              </w:rPr>
              <w:t xml:space="preserve">  </w:t>
            </w:r>
          </w:p>
          <w:p w:rsidRPr="008B0599" w:rsidR="00312B75" w:rsidP="1C3D137E" w:rsidRDefault="6AC353C3" w14:paraId="4C9FE109" w14:textId="2BE2456C">
            <w:pPr>
              <w:rPr>
                <w:rFonts w:eastAsia="Arial"/>
                <w:color w:val="1A1A2E"/>
                <w:lang w:val="es"/>
              </w:rPr>
            </w:pPr>
            <w:r w:rsidRPr="1C3D137E">
              <w:rPr>
                <w:rFonts w:eastAsia="Arial"/>
                <w:color w:val="1A1A2E"/>
                <w:lang w:val="es"/>
              </w:rPr>
              <w:t xml:space="preserve">A lo anterior se agrega que, si bien la Oficina de Control Interno reconoce que el sismo del 8 de junio de 2025 generó condiciones operativas extraordinarias (circunstancia que puede considerarse factor atenuante al valorar el riesgo asociado), dicha situación no elimina ni justifica la existencia de la condición identificada. Por el contrario, los procedimientos deben estar precisamente diseñados para ser ejecutados en escenarios de crisis, pues es en esos momentos donde su aplicación cobra mayor relevancia y donde las fallas en su cumplimiento pueden generar mayores consecuencias para la población afectada. </w:t>
            </w:r>
          </w:p>
          <w:p w:rsidRPr="008B0599" w:rsidR="00312B75" w:rsidP="1C3D137E" w:rsidRDefault="6AC353C3" w14:paraId="75520D90" w14:textId="4B62F6A8">
            <w:pPr>
              <w:rPr>
                <w:rFonts w:eastAsia="Arial"/>
                <w:color w:val="1A1A2E"/>
                <w:lang w:val="es"/>
              </w:rPr>
            </w:pPr>
            <w:r w:rsidRPr="1C3D137E">
              <w:rPr>
                <w:rFonts w:eastAsia="Arial"/>
                <w:color w:val="1A1A2E"/>
                <w:lang w:val="es"/>
              </w:rPr>
              <w:t xml:space="preserve">  </w:t>
            </w:r>
          </w:p>
          <w:p w:rsidRPr="008B0599" w:rsidR="00312B75" w:rsidP="1C3D137E" w:rsidRDefault="6AC353C3" w14:paraId="27207290" w14:textId="427F2770">
            <w:pPr>
              <w:rPr>
                <w:rFonts w:eastAsia="Arial"/>
                <w:color w:val="1A1A2E"/>
                <w:lang w:val="es"/>
              </w:rPr>
            </w:pPr>
            <w:r w:rsidRPr="1C3D137E">
              <w:rPr>
                <w:rFonts w:eastAsia="Arial"/>
                <w:color w:val="1A1A2E"/>
                <w:lang w:val="es"/>
              </w:rPr>
              <w:t xml:space="preserve">En ese orden, un 27% de actividades no ejecutadas o no documentadas en cuatro procedimientos críticos de respuesta a emergencias representa un riesgo real para la efectividad de futuras intervenciones, en contravía del principio de idoneidad técnica que debe orientar la gestión del riesgo de desastres conforme al artículo 8 de la Ley 1523 de 2012. </w:t>
            </w:r>
          </w:p>
          <w:p w:rsidRPr="008B0599" w:rsidR="00312B75" w:rsidP="1C3D137E" w:rsidRDefault="00312B75" w14:paraId="7C2FE24F" w14:textId="33C3260E">
            <w:pPr>
              <w:rPr>
                <w:rFonts w:eastAsia="Arial"/>
                <w:color w:val="1A1A2E"/>
                <w:lang w:val="es"/>
              </w:rPr>
            </w:pPr>
          </w:p>
          <w:p w:rsidRPr="008B0599" w:rsidR="00312B75" w:rsidP="1C3D137E" w:rsidRDefault="6AC353C3" w14:paraId="1AF883F2" w14:textId="5FE11159">
            <w:r w:rsidRPr="1C3D137E">
              <w:rPr>
                <w:rFonts w:eastAsia="Arial"/>
                <w:color w:val="1A1A2E"/>
                <w:lang w:val="es"/>
              </w:rPr>
              <w:t>En consecuencia, dado que el resultado del 7</w:t>
            </w:r>
            <w:r w:rsidRPr="1C3D137E" w:rsidR="70DDD916">
              <w:rPr>
                <w:rFonts w:eastAsia="Arial"/>
                <w:color w:val="1A1A2E"/>
                <w:lang w:val="es"/>
              </w:rPr>
              <w:t>6</w:t>
            </w:r>
            <w:r w:rsidRPr="1C3D137E">
              <w:rPr>
                <w:rFonts w:eastAsia="Arial"/>
                <w:color w:val="1A1A2E"/>
                <w:lang w:val="es"/>
              </w:rPr>
              <w:t xml:space="preserve">% de cumplimiento promedio, evaluado con la rúbrica previamente definida, configura la categoría "No cumple", y que la respuesta presentada por la entidad no logró desvirtuar los incumplimientos específicos identificados en cada procedimiento, la Oficina de Control Interno </w:t>
            </w:r>
            <w:r w:rsidRPr="1C3D137E">
              <w:rPr>
                <w:rFonts w:eastAsia="Arial"/>
                <w:b/>
                <w:bCs/>
                <w:color w:val="1A1A2E"/>
                <w:lang w:val="es"/>
              </w:rPr>
              <w:t>sostiene el hallazgo</w:t>
            </w:r>
            <w:r w:rsidRPr="1C3D137E">
              <w:rPr>
                <w:rFonts w:eastAsia="Arial"/>
                <w:color w:val="1A1A2E"/>
                <w:lang w:val="es"/>
              </w:rPr>
              <w:t xml:space="preserve"> en los términos en que fue formulado.</w:t>
            </w:r>
            <w:r w:rsidRPr="1C3D137E">
              <w:rPr>
                <w:rFonts w:ascii="Calibri" w:hAnsi="Calibri" w:cs="Calibri"/>
                <w:color w:val="1A1A2E"/>
                <w:lang w:val="es"/>
              </w:rPr>
              <w:t xml:space="preserve"> </w:t>
            </w:r>
            <w:r w:rsidRPr="1C3D137E">
              <w:rPr>
                <w:rFonts w:eastAsia="Arial"/>
              </w:rPr>
              <w:t xml:space="preserve"> </w:t>
            </w:r>
          </w:p>
        </w:tc>
      </w:tr>
    </w:tbl>
    <w:p w:rsidR="0ED4F347" w:rsidP="0ED4F347" w:rsidRDefault="0ED4F347" w14:paraId="605274E1" w14:textId="7077C587">
      <w:pPr>
        <w:pStyle w:val="Normal"/>
      </w:pPr>
    </w:p>
    <w:p w:rsidR="2DE57162" w:rsidP="0ED4F347" w:rsidRDefault="2DE57162" w14:paraId="33EB4923" w14:textId="04A40ADF">
      <w:pPr>
        <w:pStyle w:val="Normal"/>
        <w:rPr>
          <w:rFonts w:ascii="Arial" w:hAnsi="Arial" w:eastAsia="Arial" w:cs="Arial"/>
          <w:b w:val="1"/>
          <w:bCs w:val="1"/>
          <w:sz w:val="24"/>
          <w:szCs w:val="24"/>
          <w:lang w:val="es-CO"/>
        </w:rPr>
      </w:pPr>
      <w:r w:rsidR="2DE57162">
        <w:rPr/>
        <w:t>8.3.</w:t>
      </w:r>
      <w:r w:rsidR="348000EF">
        <w:rPr/>
        <w:t>3</w:t>
      </w:r>
      <w:r w:rsidR="2DE57162">
        <w:rPr/>
        <w:t>.</w:t>
      </w:r>
      <w:r w:rsidRPr="0ED4F347" w:rsidR="155C89C1">
        <w:rPr>
          <w:rFonts w:ascii="Arial" w:hAnsi="Arial" w:eastAsia="Arial" w:cs="Arial"/>
          <w:b w:val="1"/>
          <w:bCs w:val="1"/>
          <w:sz w:val="24"/>
          <w:szCs w:val="24"/>
        </w:rPr>
        <w:t xml:space="preserve"> Falta de correspondencia entre </w:t>
      </w:r>
      <w:r w:rsidRPr="0ED4F347" w:rsidR="155C89C1">
        <w:rPr>
          <w:rFonts w:ascii="Arial" w:hAnsi="Arial" w:eastAsia="Arial" w:cs="Arial"/>
          <w:b w:val="1"/>
          <w:bCs w:val="1"/>
          <w:sz w:val="24"/>
          <w:szCs w:val="24"/>
          <w:lang w:val="es-CO"/>
        </w:rPr>
        <w:t>la población beneficiaria de ayudas humanitarias y la información registrada en el Censo de Afectación Municipal por Emergencia – Evaluación de Daños y Análisis de Necesidades (EDAN)</w:t>
      </w:r>
    </w:p>
    <w:p w:rsidR="0ED4F347" w:rsidRDefault="0ED4F347" w14:paraId="6834DD89" w14:textId="18AB984F"/>
    <w:tbl>
      <w:tblPr>
        <w:tblW w:w="0" w:type="auto"/>
        <w:tblBorders>
          <w:top w:val="single" w:color="000000" w:themeColor="text1" w:sz="4"/>
          <w:left w:val="single" w:color="000000" w:themeColor="text1" w:sz="4"/>
          <w:bottom w:val="single" w:color="000000" w:themeColor="text1" w:sz="4"/>
          <w:right w:val="single" w:color="000000" w:themeColor="text1" w:sz="4"/>
          <w:insideH w:val="single" w:color="000000" w:themeColor="text1" w:sz="4"/>
          <w:insideV w:val="single" w:color="000000" w:themeColor="text1" w:sz="4"/>
        </w:tblBorders>
        <w:tblLook w:val="0400" w:firstRow="0" w:lastRow="0" w:firstColumn="0" w:lastColumn="0" w:noHBand="0" w:noVBand="1"/>
      </w:tblPr>
      <w:tblGrid>
        <w:gridCol w:w="1555"/>
        <w:gridCol w:w="8974"/>
      </w:tblGrid>
      <w:tr w:rsidR="0ED4F347" w:rsidTr="02313C72" w14:paraId="5C67E3EF">
        <w:trPr>
          <w:trHeight w:val="300"/>
        </w:trPr>
        <w:tc>
          <w:tcPr>
            <w:tcW w:w="1555" w:type="dxa"/>
            <w:tcMar/>
          </w:tcPr>
          <w:p w:rsidR="0ED4F347" w:rsidP="0ED4F347" w:rsidRDefault="0ED4F347" w14:paraId="547D1606" w14:textId="6C93E6DB">
            <w:pPr>
              <w:rPr>
                <w:b w:val="1"/>
                <w:bCs w:val="1"/>
              </w:rPr>
            </w:pPr>
            <w:r w:rsidRPr="0ED4F347" w:rsidR="0ED4F347">
              <w:rPr>
                <w:b w:val="1"/>
                <w:bCs w:val="1"/>
              </w:rPr>
              <w:t>Proceso</w:t>
            </w:r>
            <w:r w:rsidRPr="0ED4F347" w:rsidR="0ED4F347">
              <w:rPr>
                <w:b w:val="1"/>
                <w:bCs w:val="1"/>
              </w:rPr>
              <w:t>:</w:t>
            </w:r>
          </w:p>
        </w:tc>
        <w:tc>
          <w:tcPr>
            <w:tcW w:w="8974" w:type="dxa"/>
            <w:tcMar/>
          </w:tcPr>
          <w:p w:rsidR="0ED4F347" w:rsidP="0ED4F347" w:rsidRDefault="0ED4F347" w14:paraId="14641F6F" w14:textId="2A2D3D49">
            <w:pPr>
              <w:rPr>
                <w:rFonts w:eastAsia="Arial"/>
                <w:sz w:val="18"/>
                <w:szCs w:val="18"/>
              </w:rPr>
            </w:pPr>
            <w:r w:rsidRPr="0ED4F347" w:rsidR="0ED4F347">
              <w:rPr>
                <w:rFonts w:eastAsia="Arial"/>
                <w:color w:val="000000" w:themeColor="text1" w:themeTint="FF" w:themeShade="FF"/>
                <w:sz w:val="18"/>
                <w:szCs w:val="18"/>
              </w:rPr>
              <w:t>Gobernanza, Gestión Riesgos y Desastres y Seguridad Ciudadana.</w:t>
            </w:r>
          </w:p>
        </w:tc>
      </w:tr>
      <w:tr w:rsidR="0ED4F347" w:rsidTr="02313C72" w14:paraId="172E4083">
        <w:trPr>
          <w:trHeight w:val="300"/>
        </w:trPr>
        <w:tc>
          <w:tcPr>
            <w:tcW w:w="1555" w:type="dxa"/>
            <w:tcBorders>
              <w:bottom w:val="single" w:color="000000" w:themeColor="text1" w:sz="4"/>
            </w:tcBorders>
            <w:tcMar/>
          </w:tcPr>
          <w:p w:rsidR="0ED4F347" w:rsidP="0ED4F347" w:rsidRDefault="0ED4F347" w14:paraId="580D76A6" w14:textId="41DA3E46">
            <w:pPr>
              <w:rPr>
                <w:b w:val="1"/>
                <w:bCs w:val="1"/>
              </w:rPr>
            </w:pPr>
            <w:r w:rsidRPr="0ED4F347" w:rsidR="0ED4F347">
              <w:rPr>
                <w:b w:val="1"/>
                <w:bCs w:val="1"/>
              </w:rPr>
              <w:t>Secretaría</w:t>
            </w:r>
            <w:r w:rsidRPr="0ED4F347" w:rsidR="0ED4F347">
              <w:rPr>
                <w:b w:val="1"/>
                <w:bCs w:val="1"/>
              </w:rPr>
              <w:t>:</w:t>
            </w:r>
          </w:p>
        </w:tc>
        <w:tc>
          <w:tcPr>
            <w:tcW w:w="8974" w:type="dxa"/>
            <w:tcBorders>
              <w:bottom w:val="single" w:color="000000" w:themeColor="text1" w:sz="4"/>
            </w:tcBorders>
            <w:tcMar/>
          </w:tcPr>
          <w:p w:rsidR="0ED4F347" w:rsidP="0ED4F347" w:rsidRDefault="0ED4F347" w14:paraId="37AA58D7" w14:textId="0551BE3A">
            <w:pPr>
              <w:rPr>
                <w:rFonts w:eastAsia="Arial"/>
                <w:color w:val="000000" w:themeColor="text1" w:themeTint="FF" w:themeShade="FF"/>
                <w:sz w:val="18"/>
                <w:szCs w:val="18"/>
              </w:rPr>
            </w:pPr>
            <w:r w:rsidRPr="0ED4F347" w:rsidR="0ED4F347">
              <w:rPr>
                <w:rFonts w:eastAsia="Arial"/>
                <w:color w:val="000000" w:themeColor="text1" w:themeTint="FF" w:themeShade="FF"/>
                <w:sz w:val="18"/>
                <w:szCs w:val="18"/>
                <w:lang w:val="es"/>
              </w:rPr>
              <w:t>Unidad Administrativa Especial para la Gestión del Riesgo de Desastres de Cundinamarca.</w:t>
            </w:r>
          </w:p>
        </w:tc>
      </w:tr>
      <w:tr w:rsidR="0ED4F347" w:rsidTr="02313C72" w14:paraId="7F0381F2">
        <w:trPr>
          <w:trHeight w:val="1195"/>
        </w:trPr>
        <w:tc>
          <w:tcPr>
            <w:tcW w:w="10529" w:type="dxa"/>
            <w:gridSpan w:val="2"/>
            <w:tcBorders>
              <w:bottom w:val="nil"/>
            </w:tcBorders>
            <w:tcMar/>
          </w:tcPr>
          <w:p w:rsidR="12E7D158" w:rsidP="0ED4F347" w:rsidRDefault="12E7D158" w14:paraId="03491BC4" w14:textId="192B4578">
            <w:pPr>
              <w:spacing w:before="240" w:beforeAutospacing="off" w:after="240" w:afterAutospacing="off"/>
            </w:pPr>
            <w:r w:rsidRPr="0ED4F347" w:rsidR="12E7D158">
              <w:rPr>
                <w:rFonts w:ascii="Arial" w:hAnsi="Arial" w:eastAsia="Arial" w:cs="Arial"/>
                <w:noProof w:val="0"/>
                <w:sz w:val="22"/>
                <w:szCs w:val="22"/>
                <w:lang w:val="es-ES"/>
              </w:rPr>
              <w:t xml:space="preserve">1.2 Condición </w:t>
            </w:r>
          </w:p>
          <w:p w:rsidR="12E7D158" w:rsidP="0ED4F347" w:rsidRDefault="12E7D158" w14:paraId="6C035050" w14:textId="60B552A8">
            <w:pPr>
              <w:spacing w:before="240" w:beforeAutospacing="off" w:after="240" w:afterAutospacing="off"/>
            </w:pPr>
            <w:r w:rsidRPr="0ED4F347" w:rsidR="12E7D158">
              <w:rPr>
                <w:rFonts w:ascii="Arial" w:hAnsi="Arial" w:eastAsia="Arial" w:cs="Arial"/>
                <w:noProof w:val="0"/>
                <w:sz w:val="22"/>
                <w:szCs w:val="22"/>
                <w:lang w:val="es-ES"/>
              </w:rPr>
              <w:t xml:space="preserve">Evaluado el procedimiento “Atención de Emergencias” (actividad 13) y “Ayudas Humanitarias” (actividades 10 y 11), se observa el diligenciamiento del formato “Censo de afectación municipal por emergencia – Evaluación de Daños y Análisis de Necesidades (EDAN)” fecha xxx, mediante el cual se registró un total de 300 personas damnificadas y las ayudas solicitadas para el municipio de Medina. </w:t>
            </w:r>
          </w:p>
          <w:p w:rsidR="12E7D158" w:rsidP="0ED4F347" w:rsidRDefault="12E7D158" w14:paraId="6E408892" w14:textId="20DAC244">
            <w:pPr>
              <w:spacing w:before="240" w:beforeAutospacing="off" w:after="240" w:afterAutospacing="off"/>
            </w:pPr>
            <w:r w:rsidRPr="0ED4F347" w:rsidR="12E7D158">
              <w:rPr>
                <w:rFonts w:ascii="Arial" w:hAnsi="Arial" w:eastAsia="Arial" w:cs="Arial"/>
                <w:noProof w:val="0"/>
                <w:sz w:val="22"/>
                <w:szCs w:val="22"/>
                <w:lang w:val="es-ES"/>
              </w:rPr>
              <w:t xml:space="preserve">Al contrastar la información del EDAN con las planillas de entrega de ayudas humanitarias, se evidenció que, de las 30 planillas revisadas, se registran 283 beneficiarios, de los cuales únicamente 15 coinciden con los nombres reportados en el EDAN. Esta situación genera incertidumbre respecto a la coherencia entre la población focalizada con necesidades y la población efectivamente atendida, lo que evidencia debilidades en la planeación por parte de la unidad, afectando la adecuada gestión del riesgo de desastres. </w:t>
            </w:r>
          </w:p>
          <w:p w:rsidR="12E7D158" w:rsidP="0ED4F347" w:rsidRDefault="12E7D158" w14:paraId="66509CDE" w14:textId="483C2410">
            <w:pPr>
              <w:spacing w:before="240" w:beforeAutospacing="off" w:after="240" w:afterAutospacing="off"/>
            </w:pPr>
            <w:r w:rsidRPr="0ED4F347" w:rsidR="12E7D158">
              <w:rPr>
                <w:rFonts w:ascii="Arial" w:hAnsi="Arial" w:eastAsia="Arial" w:cs="Arial"/>
                <w:noProof w:val="0"/>
                <w:sz w:val="22"/>
                <w:szCs w:val="22"/>
                <w:lang w:val="es-ES"/>
              </w:rPr>
              <w:t xml:space="preserve">Lo anterior, configura un incumplimiento derivado de la presunta falta de la coordinación de entregas a la población afectada, en virtud del objetivo del procedimiento “Ayudas Humanitarias” con ocasión del evento sísmico ocurrido en el Municipio de Medina. </w:t>
            </w:r>
          </w:p>
          <w:p w:rsidR="12E7D158" w:rsidP="0ED4F347" w:rsidRDefault="12E7D158" w14:paraId="2022BBAB" w14:textId="437E3538">
            <w:pPr>
              <w:spacing w:before="240" w:beforeAutospacing="off" w:after="240" w:afterAutospacing="off"/>
            </w:pPr>
            <w:r w:rsidRPr="0ED4F347" w:rsidR="12E7D158">
              <w:rPr>
                <w:rFonts w:ascii="Arial" w:hAnsi="Arial" w:eastAsia="Arial" w:cs="Arial"/>
                <w:noProof w:val="0"/>
                <w:sz w:val="22"/>
                <w:szCs w:val="22"/>
                <w:lang w:val="es-ES"/>
              </w:rPr>
              <w:t xml:space="preserve">Este hecho evidencia la materialización del riesgo identificado en el proceso de Gobernanza, Gestión del Riesgo de Desastres y Seguridad Ciudadana, definido como: “Posibilidad de afectación reputacional y económica por la no aplicación de los instrumentos y acciones del Plan Departamental de Gestión del Riesgo de Desastres (PDGRD), debido a una inadecuada planeación”. </w:t>
            </w:r>
          </w:p>
          <w:p w:rsidR="12E7D158" w:rsidP="0ED4F347" w:rsidRDefault="12E7D158" w14:paraId="2A1C4BD3" w14:textId="448B305B">
            <w:pPr>
              <w:spacing w:before="240" w:beforeAutospacing="off" w:after="240" w:afterAutospacing="off"/>
            </w:pPr>
            <w:r w:rsidRPr="0ED4F347" w:rsidR="12E7D158">
              <w:rPr>
                <w:rFonts w:ascii="Arial" w:hAnsi="Arial" w:eastAsia="Arial" w:cs="Arial"/>
                <w:noProof w:val="0"/>
                <w:sz w:val="22"/>
                <w:szCs w:val="22"/>
                <w:lang w:val="es-ES"/>
              </w:rPr>
              <w:t xml:space="preserve">1.2 Criterio </w:t>
            </w:r>
          </w:p>
          <w:p w:rsidR="12E7D158" w:rsidP="0ED4F347" w:rsidRDefault="12E7D158" w14:paraId="7E1755D1" w14:textId="75536A31">
            <w:pPr>
              <w:spacing w:before="240" w:beforeAutospacing="off" w:after="240" w:afterAutospacing="off"/>
            </w:pPr>
            <w:r w:rsidRPr="0ED4F347" w:rsidR="12E7D158">
              <w:rPr>
                <w:rFonts w:ascii="Arial" w:hAnsi="Arial" w:eastAsia="Arial" w:cs="Arial"/>
                <w:noProof w:val="0"/>
                <w:sz w:val="22"/>
                <w:szCs w:val="22"/>
                <w:lang w:val="es-ES"/>
              </w:rPr>
              <w:t xml:space="preserve">Proceso de Gobernanza, Gestión Riesgos de Desastres y Seguridad Ciudadana – Procedimiento de entrega de ayudas humanitarias, código M FT FR 010 y Procedimiento de Atención de Emergencias código M-FT-PR-008 </w:t>
            </w:r>
          </w:p>
          <w:p w:rsidR="12E7D158" w:rsidP="0ED4F347" w:rsidRDefault="12E7D158" w14:paraId="2E986E4D" w14:textId="1FB6BF6A">
            <w:pPr>
              <w:spacing w:before="240" w:beforeAutospacing="off" w:after="240" w:afterAutospacing="off"/>
            </w:pPr>
            <w:r w:rsidRPr="0ED4F347" w:rsidR="12E7D158">
              <w:rPr>
                <w:rFonts w:ascii="Arial" w:hAnsi="Arial" w:eastAsia="Arial" w:cs="Arial"/>
                <w:noProof w:val="0"/>
                <w:sz w:val="22"/>
                <w:szCs w:val="22"/>
                <w:lang w:val="es-ES"/>
              </w:rPr>
              <w:t xml:space="preserve">1.3 Consecuencia </w:t>
            </w:r>
          </w:p>
          <w:p w:rsidR="12E7D158" w:rsidP="0ED4F347" w:rsidRDefault="12E7D158" w14:paraId="3AC61089" w14:textId="595193A2">
            <w:pPr>
              <w:spacing w:before="240" w:beforeAutospacing="off" w:after="240" w:afterAutospacing="off"/>
            </w:pPr>
            <w:r w:rsidRPr="0ED4F347" w:rsidR="12E7D158">
              <w:rPr>
                <w:rFonts w:ascii="Arial" w:hAnsi="Arial" w:eastAsia="Arial" w:cs="Arial"/>
                <w:noProof w:val="0"/>
                <w:sz w:val="22"/>
                <w:szCs w:val="22"/>
                <w:lang w:val="es-ES"/>
              </w:rPr>
              <w:t xml:space="preserve">La inconsistencia entre la información registrada en el EDAN y los listados de beneficiarios de las ayudas humanitarias genera una inadecuada focalización de la atención, lo que puede derivar en la exclusión de población realmente afectada o en la asignación de ayudas a personas no priorizadas. </w:t>
            </w:r>
          </w:p>
          <w:p w:rsidR="12E7D158" w:rsidP="0ED4F347" w:rsidRDefault="12E7D158" w14:paraId="5FC0ED01" w14:textId="56205541">
            <w:pPr>
              <w:spacing w:before="240" w:beforeAutospacing="off" w:after="240" w:afterAutospacing="off"/>
            </w:pPr>
            <w:r w:rsidRPr="0ED4F347" w:rsidR="12E7D158">
              <w:rPr>
                <w:rFonts w:ascii="Arial" w:hAnsi="Arial" w:eastAsia="Arial" w:cs="Arial"/>
                <w:noProof w:val="0"/>
                <w:sz w:val="22"/>
                <w:szCs w:val="22"/>
                <w:lang w:val="es-ES"/>
              </w:rPr>
              <w:t xml:space="preserve">Asimismo, esta situación afecta la confiabilidad de la información utilizada para la toma de decisiones, debilita los procesos de planeación y seguimiento, y limita la efectividad de las acciones institucionales en la atención de emergencias. </w:t>
            </w:r>
          </w:p>
          <w:p w:rsidR="12E7D158" w:rsidP="0ED4F347" w:rsidRDefault="12E7D158" w14:paraId="277BDD75" w14:textId="5C2D30C9">
            <w:pPr>
              <w:spacing w:before="240" w:beforeAutospacing="off" w:after="240" w:afterAutospacing="off"/>
            </w:pPr>
            <w:r w:rsidRPr="0ED4F347" w:rsidR="12E7D158">
              <w:rPr>
                <w:rFonts w:ascii="Arial" w:hAnsi="Arial" w:eastAsia="Arial" w:cs="Arial"/>
                <w:noProof w:val="0"/>
                <w:sz w:val="22"/>
                <w:szCs w:val="22"/>
                <w:lang w:val="es-ES"/>
              </w:rPr>
              <w:t>Adicionalmente, se evidencia la materialización del riesgo de afectación reputacional y económica para la entidad, así como la posibilidad de incurrir en observaciones por parte de entes de control, debido a la falta de coherencia, trazabilidad y control en la entrega de ayudas humanitarias.</w:t>
            </w:r>
          </w:p>
          <w:p w:rsidR="0ED4F347" w:rsidP="0ED4F347" w:rsidRDefault="0ED4F347" w14:paraId="2D21D10F" w14:textId="67B604BD">
            <w:pPr>
              <w:spacing w:before="120" w:beforeAutospacing="off" w:after="240" w:afterAutospacing="on"/>
              <w:rPr>
                <w:rFonts w:ascii="Arial" w:hAnsi="Arial" w:eastAsia="Arial" w:cs="Arial"/>
                <w:noProof w:val="0"/>
                <w:sz w:val="22"/>
                <w:szCs w:val="22"/>
                <w:lang w:val="es-ES"/>
              </w:rPr>
            </w:pPr>
          </w:p>
        </w:tc>
      </w:tr>
      <w:tr w:rsidR="0ED4F347" w:rsidTr="02313C72" w14:paraId="317D1785">
        <w:trPr>
          <w:trHeight w:val="852"/>
        </w:trPr>
        <w:tc>
          <w:tcPr>
            <w:tcW w:w="10529" w:type="dxa"/>
            <w:gridSpan w:val="2"/>
            <w:tcBorders>
              <w:top w:val="nil"/>
              <w:bottom w:val="nil"/>
            </w:tcBorders>
            <w:tcMar/>
          </w:tcPr>
          <w:p w:rsidR="0ED4F347" w:rsidP="0ED4F347" w:rsidRDefault="0ED4F347" w14:paraId="7CA675A5" w14:textId="1197611F">
            <w:pPr>
              <w:pStyle w:val="Normal"/>
              <w:spacing w:before="120" w:beforeAutospacing="off" w:afterAutospacing="on"/>
              <w:rPr>
                <w:rFonts w:ascii="Arial" w:hAnsi="Arial" w:eastAsia="Arial" w:cs="Arial"/>
                <w:noProof w:val="0"/>
                <w:color w:val="auto"/>
                <w:sz w:val="22"/>
                <w:szCs w:val="22"/>
                <w:lang w:val="es-ES" w:eastAsia="es-CO" w:bidi="ar-SA"/>
              </w:rPr>
            </w:pPr>
          </w:p>
        </w:tc>
      </w:tr>
      <w:tr w:rsidR="0ED4F347" w:rsidTr="02313C72" w14:paraId="53E7721E">
        <w:trPr>
          <w:trHeight w:val="300"/>
        </w:trPr>
        <w:tc>
          <w:tcPr>
            <w:tcW w:w="10529" w:type="dxa"/>
            <w:gridSpan w:val="2"/>
            <w:tcBorders>
              <w:top w:val="nil"/>
              <w:bottom w:val="single" w:color="000000" w:themeColor="text1" w:sz="4"/>
            </w:tcBorders>
            <w:tcMar/>
          </w:tcPr>
          <w:p w:rsidR="0ED4F347" w:rsidP="0ED4F347" w:rsidRDefault="0ED4F347" w14:paraId="01FF670B" w14:textId="29E39F63">
            <w:pPr>
              <w:spacing w:before="120" w:beforeAutospacing="off" w:after="160" w:afterAutospacing="on"/>
              <w:rPr>
                <w:b w:val="1"/>
                <w:bCs w:val="1"/>
              </w:rPr>
            </w:pPr>
          </w:p>
        </w:tc>
      </w:tr>
      <w:tr w:rsidR="0ED4F347" w:rsidTr="02313C72" w14:paraId="47B3F591">
        <w:trPr>
          <w:trHeight w:val="469"/>
        </w:trPr>
        <w:tc>
          <w:tcPr>
            <w:tcW w:w="10529" w:type="dxa"/>
            <w:gridSpan w:val="2"/>
            <w:tcBorders>
              <w:top w:val="single" w:color="000000" w:themeColor="text1" w:sz="4"/>
            </w:tcBorders>
            <w:tcMar/>
          </w:tcPr>
          <w:p w:rsidR="0ED4F347" w:rsidP="0ED4F347" w:rsidRDefault="0ED4F347" w14:paraId="1D8F7B93" w14:textId="45F495F2">
            <w:pPr>
              <w:pStyle w:val="Normal"/>
              <w:rPr>
                <w:b w:val="1"/>
                <w:bCs w:val="1"/>
              </w:rPr>
            </w:pPr>
            <w:r w:rsidRPr="0ED4F347" w:rsidR="0ED4F347">
              <w:rPr>
                <w:b w:val="1"/>
                <w:bCs w:val="1"/>
              </w:rPr>
              <w:t xml:space="preserve">Evidencia: </w:t>
            </w:r>
            <w:r w:rsidRPr="0ED4F347" w:rsidR="5B4E9F30">
              <w:rPr>
                <w:b w:val="0"/>
                <w:bCs w:val="0"/>
                <w:i w:val="1"/>
                <w:iCs w:val="1"/>
              </w:rPr>
              <w:t xml:space="preserve">Carpeta No. 2 contrato 120 </w:t>
            </w:r>
          </w:p>
          <w:p w:rsidR="0ED4F347" w:rsidP="0ED4F347" w:rsidRDefault="0ED4F347" w14:paraId="448AC89F" w14:textId="26F96582">
            <w:pPr>
              <w:pStyle w:val="Normal"/>
              <w:rPr>
                <w:rFonts w:ascii="Arial" w:hAnsi="Arial" w:eastAsia="Arial" w:cs="Arial"/>
                <w:noProof w:val="0"/>
                <w:sz w:val="22"/>
                <w:szCs w:val="22"/>
                <w:lang w:val="es-ES"/>
              </w:rPr>
            </w:pPr>
          </w:p>
        </w:tc>
      </w:tr>
      <w:tr w:rsidR="0ED4F347" w:rsidTr="02313C72" w14:paraId="6D6CB6D6">
        <w:trPr>
          <w:trHeight w:val="300"/>
        </w:trPr>
        <w:tc>
          <w:tcPr>
            <w:tcW w:w="10529" w:type="dxa"/>
            <w:gridSpan w:val="2"/>
            <w:tcMar/>
          </w:tcPr>
          <w:p w:rsidR="0ED4F347" w:rsidP="0ED4F347" w:rsidRDefault="0ED4F347" w14:paraId="48C36527" w14:textId="2DBA49A1">
            <w:pPr>
              <w:rPr>
                <w:rFonts w:eastAsia="Arial"/>
                <w:color w:val="000000" w:themeColor="text1" w:themeTint="FF" w:themeShade="FF"/>
                <w:lang w:val="es"/>
              </w:rPr>
            </w:pPr>
            <w:r w:rsidRPr="0ED4F347" w:rsidR="0ED4F347">
              <w:rPr>
                <w:b w:val="1"/>
                <w:bCs w:val="1"/>
              </w:rPr>
              <w:t>Controversia:</w:t>
            </w:r>
            <w:r w:rsidR="0ED4F347">
              <w:rPr/>
              <w:t xml:space="preserve"> </w:t>
            </w:r>
          </w:p>
          <w:p w:rsidR="4D190790" w:rsidRDefault="4D190790" w14:paraId="76321A6A" w14:textId="20D1AA55">
            <w:r w:rsidR="4D190790">
              <w:rPr/>
              <w:t>En atención al posible incumplimiento identificado, relacionado con la falta de correspondencia entre la población registrada en el “Censo de afectación municipal por emergencia – Evaluación de Daños y Análisis de Necesidades (EDAN)” y los beneficiarios consignados en las planillas de entrega de ayudas humanitarias, es pertinente informar que la situación observada ya fue objeto de revisión, análisis y posterior subsanación por parte de esta Unidad.</w:t>
            </w:r>
          </w:p>
          <w:p w:rsidR="4D190790" w:rsidP="0ED4F347" w:rsidRDefault="4D190790" w14:paraId="0AFB633D" w14:textId="0084F567">
            <w:pPr>
              <w:pStyle w:val="Normal"/>
            </w:pPr>
            <w:r w:rsidR="4D190790">
              <w:rPr/>
              <w:t>En ese sentido, se adelantaron las acciones necesarias para verificar, ajustar y consolidar la información correspondiente a la población afectada y efectivamente atendida, garantizando la coherencia entre los registros del EDAN y los soportes de entrega de ayudas humanitarias. Dicho proceso permitió depurar inconsistencias identificadas en los cruces de información inicialmente evidenciados.</w:t>
            </w:r>
          </w:p>
          <w:p w:rsidR="4D190790" w:rsidP="0ED4F347" w:rsidRDefault="4D190790" w14:paraId="2479E608" w14:textId="493EE82F">
            <w:pPr>
              <w:pStyle w:val="Normal"/>
            </w:pPr>
            <w:r w:rsidR="4D190790">
              <w:rPr/>
              <w:t>Como resultado de lo anterior, la información ajustada y los soportes correspondientes reposan de manera física en el contrato No. UAEGRD-CD-SU-120-2025, el cual se encuentra debidamente archivado en las instalaciones de la UAEGRD, a disposición para su consulta y verificación por los entes de control que así lo requieran.</w:t>
            </w:r>
          </w:p>
          <w:p w:rsidR="4D190790" w:rsidP="0ED4F347" w:rsidRDefault="4D190790" w14:paraId="769DE4E0" w14:textId="7FB01C6D">
            <w:pPr>
              <w:pStyle w:val="Normal"/>
            </w:pPr>
            <w:r w:rsidR="4D190790">
              <w:rPr/>
              <w:t>De esta manera, se deja constancia de que la observación fue atendida oportunamente, implementando las medidas correctivas necesarias para fortalecer la trazabilidad, consistencia y confiabilidad de la información en los procesos de atención de emergencias y entrega de ayudas humanitarias, contribuyendo así al mejoramiento continuo de la gestión institucional. Nota: las evidencias de lo anteriormente mencionado se encuentran el siguiente link de acceso https://drive.google.com/drive/folders/1fVqPP4-WHQs6dRTs1b91hN2sggdza6d7?usp=share_link</w:t>
            </w:r>
          </w:p>
          <w:p w:rsidR="0ED4F347" w:rsidP="02313C72" w:rsidRDefault="0ED4F347" w14:paraId="430AE685" w14:textId="4E71AE81">
            <w:pPr>
              <w:pStyle w:val="Normal"/>
            </w:pPr>
          </w:p>
          <w:p w:rsidR="20A27053" w:rsidRDefault="20A27053" w14:paraId="7A89C3FE" w14:textId="687F1BD9">
            <w:r w:rsidRPr="0ED4F347" w:rsidR="20A27053">
              <w:rPr>
                <w:b w:val="1"/>
                <w:bCs w:val="1"/>
              </w:rPr>
              <w:t>Análisis:</w:t>
            </w:r>
          </w:p>
          <w:p w:rsidR="33F830B8" w:rsidP="0ED4F347" w:rsidRDefault="33F830B8" w14:paraId="09598F4B" w14:textId="2474832E">
            <w:pPr>
              <w:pStyle w:val="Normal"/>
              <w:suppressLineNumbers w:val="0"/>
              <w:bidi w:val="0"/>
              <w:spacing w:before="0" w:beforeAutospacing="off" w:after="0" w:afterAutospacing="off" w:line="276" w:lineRule="auto"/>
              <w:ind w:left="0" w:right="0"/>
              <w:jc w:val="both"/>
            </w:pPr>
            <w:r w:rsidRPr="02313C72" w:rsidR="279F1415">
              <w:rPr>
                <w:rFonts w:eastAsia="Arial"/>
              </w:rPr>
              <w:t>Una vez recibida la respuesta de la UAEGRD frente a la falta de correspon</w:t>
            </w:r>
            <w:r w:rsidRPr="02313C72" w:rsidR="12CD01EE">
              <w:rPr>
                <w:rFonts w:eastAsia="Arial"/>
              </w:rPr>
              <w:t>dencia</w:t>
            </w:r>
            <w:r w:rsidRPr="02313C72" w:rsidR="279F1415">
              <w:rPr>
                <w:rFonts w:eastAsia="Arial"/>
              </w:rPr>
              <w:t xml:space="preserve"> entre la población beneficiaria de ayudas humanitarias y la información registrada en el “Censo de afectación municipal por emergencia – Evaluación de Daños y Análisis de Necesidades (EDAN)”, la Oficina de Control Interno procedió a verificar </w:t>
            </w:r>
            <w:r w:rsidRPr="02313C72" w:rsidR="7BDD53E6">
              <w:rPr>
                <w:rFonts w:eastAsia="Arial"/>
              </w:rPr>
              <w:t>la información compartida por la unidad auditada</w:t>
            </w:r>
            <w:r w:rsidRPr="02313C72" w:rsidR="279F1415">
              <w:rPr>
                <w:rFonts w:eastAsia="Arial"/>
              </w:rPr>
              <w:t>, con el fin de constatar si las debilidades identificadas habían sido efectivamente subsanadas.</w:t>
            </w:r>
          </w:p>
          <w:p w:rsidR="0ED4F347" w:rsidP="0ED4F347" w:rsidRDefault="0ED4F347" w14:paraId="37A50FA3" w14:textId="649C282C">
            <w:pPr>
              <w:rPr>
                <w:b w:val="1"/>
                <w:bCs w:val="1"/>
              </w:rPr>
            </w:pPr>
          </w:p>
          <w:p w:rsidR="08539AFB" w:rsidRDefault="08539AFB" w14:paraId="2EDE19DC" w14:textId="16FB327C">
            <w:pPr>
              <w:rPr>
                <w:b w:val="0"/>
                <w:bCs w:val="0"/>
              </w:rPr>
            </w:pPr>
            <w:r w:rsidR="58135799">
              <w:rPr>
                <w:b w:val="0"/>
                <w:bCs w:val="0"/>
              </w:rPr>
              <w:t xml:space="preserve">Dentro de las evidencias aportadas se encuentra el formato EDAN en </w:t>
            </w:r>
            <w:r w:rsidR="58135799">
              <w:rPr>
                <w:b w:val="0"/>
                <w:bCs w:val="0"/>
              </w:rPr>
              <w:t>pdf</w:t>
            </w:r>
            <w:r w:rsidR="72FFBE88">
              <w:rPr>
                <w:b w:val="0"/>
                <w:bCs w:val="0"/>
              </w:rPr>
              <w:t>.</w:t>
            </w:r>
            <w:r w:rsidR="58135799">
              <w:rPr>
                <w:b w:val="0"/>
                <w:bCs w:val="0"/>
              </w:rPr>
              <w:t xml:space="preserve"> y </w:t>
            </w:r>
            <w:r w:rsidR="2D720FA9">
              <w:rPr>
                <w:b w:val="0"/>
                <w:bCs w:val="0"/>
              </w:rPr>
              <w:t>E</w:t>
            </w:r>
            <w:r w:rsidR="58135799">
              <w:rPr>
                <w:b w:val="0"/>
                <w:bCs w:val="0"/>
              </w:rPr>
              <w:t>xcel</w:t>
            </w:r>
            <w:r w:rsidR="58135799">
              <w:rPr>
                <w:b w:val="0"/>
                <w:bCs w:val="0"/>
              </w:rPr>
              <w:t xml:space="preserve"> donde se encuentra relacionada la persona encargada </w:t>
            </w:r>
            <w:r w:rsidR="6CAE630D">
              <w:rPr>
                <w:b w:val="0"/>
                <w:bCs w:val="0"/>
              </w:rPr>
              <w:t xml:space="preserve">del albergue Santa Teresa del municipio de Medina </w:t>
            </w:r>
            <w:r w:rsidR="50392ADD">
              <w:rPr>
                <w:b w:val="0"/>
                <w:bCs w:val="0"/>
              </w:rPr>
              <w:t>así</w:t>
            </w:r>
            <w:r w:rsidR="6CAE630D">
              <w:rPr>
                <w:b w:val="0"/>
                <w:bCs w:val="0"/>
              </w:rPr>
              <w:t xml:space="preserve"> como el formato de entrega de ayudas humanitarias por emergencias el cual se </w:t>
            </w:r>
            <w:r w:rsidR="6CAE630D">
              <w:rPr>
                <w:b w:val="0"/>
                <w:bCs w:val="0"/>
              </w:rPr>
              <w:t>encuentra</w:t>
            </w:r>
            <w:r w:rsidR="6CAE630D">
              <w:rPr>
                <w:b w:val="0"/>
                <w:bCs w:val="0"/>
              </w:rPr>
              <w:t xml:space="preserve"> </w:t>
            </w:r>
            <w:r w:rsidR="6CAE630D">
              <w:rPr>
                <w:b w:val="0"/>
                <w:bCs w:val="0"/>
              </w:rPr>
              <w:t>diligenciado</w:t>
            </w:r>
            <w:r w:rsidR="4A890C1A">
              <w:rPr>
                <w:b w:val="0"/>
                <w:bCs w:val="0"/>
              </w:rPr>
              <w:t xml:space="preserve"> y firmado por el líder del albergue, la UAEGRD no</w:t>
            </w:r>
            <w:r w:rsidR="1A8D5592">
              <w:rPr>
                <w:b w:val="0"/>
                <w:bCs w:val="0"/>
              </w:rPr>
              <w:t xml:space="preserve"> aporta soportes frente a la correspondencia entre el EDAN y </w:t>
            </w:r>
            <w:r w:rsidR="1A8D5592">
              <w:rPr>
                <w:b w:val="0"/>
                <w:bCs w:val="0"/>
              </w:rPr>
              <w:t>el</w:t>
            </w:r>
            <w:r w:rsidR="1A8D5592">
              <w:rPr>
                <w:b w:val="0"/>
                <w:bCs w:val="0"/>
              </w:rPr>
              <w:t xml:space="preserve"> formato entrega de ayudas humanitarias donde se presentan las diferencias entre las personas censadas y las per</w:t>
            </w:r>
            <w:r w:rsidR="3171C4A9">
              <w:rPr>
                <w:b w:val="0"/>
                <w:bCs w:val="0"/>
              </w:rPr>
              <w:t>sonas finalmente beneficiadas con las ayudas humanitarias</w:t>
            </w:r>
            <w:r w:rsidR="494C7F37">
              <w:rPr>
                <w:b w:val="0"/>
                <w:bCs w:val="0"/>
              </w:rPr>
              <w:t xml:space="preserve"> por esta razón se mantiene el </w:t>
            </w:r>
            <w:r w:rsidRPr="02313C72" w:rsidR="494C7F37">
              <w:rPr>
                <w:b w:val="1"/>
                <w:bCs w:val="1"/>
              </w:rPr>
              <w:t>incumplimiento</w:t>
            </w:r>
            <w:r w:rsidR="494C7F37">
              <w:rPr>
                <w:b w:val="0"/>
                <w:bCs w:val="0"/>
              </w:rPr>
              <w:t xml:space="preserve">. </w:t>
            </w:r>
          </w:p>
        </w:tc>
      </w:tr>
    </w:tbl>
    <w:p w:rsidR="0ED4F347" w:rsidP="0ED4F347" w:rsidRDefault="0ED4F347" w14:paraId="5F15E2CC" w14:textId="38D6F816">
      <w:pPr>
        <w:pStyle w:val="Normal"/>
      </w:pPr>
    </w:p>
    <w:p w:rsidR="23D27C83" w:rsidP="0ED4F347" w:rsidRDefault="23D27C83" w14:paraId="6160F8B5" w14:textId="58930F0E">
      <w:pPr>
        <w:pStyle w:val="Ttulo3"/>
        <w:numPr>
          <w:ilvl w:val="0"/>
          <w:numId w:val="0"/>
        </w:numPr>
        <w:ind w:left="0"/>
        <w:rPr>
          <w:rFonts w:eastAsia="Arial"/>
          <w:b w:val="0"/>
          <w:bCs w:val="0"/>
          <w:sz w:val="24"/>
          <w:szCs w:val="24"/>
          <w:lang w:val="es-ES"/>
        </w:rPr>
      </w:pPr>
      <w:r w:rsidRPr="02313C72" w:rsidR="67B44885">
        <w:rPr>
          <w:rFonts w:eastAsia="Arial"/>
          <w:b w:val="1"/>
          <w:bCs w:val="1"/>
          <w:sz w:val="24"/>
          <w:szCs w:val="24"/>
          <w:lang w:val="es-ES"/>
        </w:rPr>
        <w:t>8.3.</w:t>
      </w:r>
      <w:r w:rsidRPr="02313C72" w:rsidR="523B1928">
        <w:rPr>
          <w:rFonts w:eastAsia="Arial"/>
          <w:b w:val="1"/>
          <w:bCs w:val="1"/>
          <w:sz w:val="24"/>
          <w:szCs w:val="24"/>
          <w:lang w:val="es-ES"/>
        </w:rPr>
        <w:t>4</w:t>
      </w:r>
      <w:r w:rsidRPr="02313C72" w:rsidR="67B44885">
        <w:rPr>
          <w:rFonts w:eastAsia="Arial"/>
          <w:b w:val="0"/>
          <w:bCs w:val="0"/>
          <w:sz w:val="24"/>
          <w:szCs w:val="24"/>
          <w:lang w:val="es-ES"/>
        </w:rPr>
        <w:t xml:space="preserve"> </w:t>
      </w:r>
      <w:r w:rsidRPr="02313C72" w:rsidR="505421F6">
        <w:rPr>
          <w:rFonts w:eastAsia="Arial"/>
          <w:b w:val="0"/>
          <w:bCs w:val="0"/>
          <w:sz w:val="24"/>
          <w:szCs w:val="24"/>
          <w:lang w:val="es-ES"/>
        </w:rPr>
        <w:t>Componente de Gestión Contractual y Normativa</w:t>
      </w:r>
    </w:p>
    <w:p w:rsidR="1C3D137E" w:rsidP="1C3D137E" w:rsidRDefault="1C3D137E" w14:paraId="4BE07668" w14:textId="77777777">
      <w:pPr>
        <w:pStyle w:val="GrisIndicaciones"/>
      </w:pPr>
    </w:p>
    <w:tbl>
      <w:tblPr>
        <w:tblW w:w="0" w:type="auto"/>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ook w:val="0400" w:firstRow="0" w:lastRow="0" w:firstColumn="0" w:lastColumn="0" w:noHBand="0" w:noVBand="1"/>
      </w:tblPr>
      <w:tblGrid>
        <w:gridCol w:w="1555"/>
        <w:gridCol w:w="8974"/>
      </w:tblGrid>
      <w:tr w:rsidR="1C3D137E" w:rsidTr="02313C72" w14:paraId="709665B3" w14:textId="77777777">
        <w:trPr>
          <w:trHeight w:val="300"/>
        </w:trPr>
        <w:tc>
          <w:tcPr>
            <w:tcW w:w="1555" w:type="dxa"/>
            <w:tcMar/>
          </w:tcPr>
          <w:p w:rsidR="1C3D137E" w:rsidP="1C3D137E" w:rsidRDefault="1C3D137E" w14:paraId="04EE3C38" w14:textId="6C93E6DB">
            <w:pPr>
              <w:rPr>
                <w:b/>
                <w:bCs/>
              </w:rPr>
            </w:pPr>
            <w:r w:rsidRPr="1C3D137E">
              <w:rPr>
                <w:b/>
                <w:bCs/>
              </w:rPr>
              <w:t>Proceso:</w:t>
            </w:r>
          </w:p>
        </w:tc>
        <w:tc>
          <w:tcPr>
            <w:tcW w:w="8974" w:type="dxa"/>
            <w:tcMar/>
          </w:tcPr>
          <w:p w:rsidR="1C3D137E" w:rsidP="1C3D137E" w:rsidRDefault="1C3D137E" w14:paraId="5C4B4D6C" w14:textId="0669C9C0">
            <w:pPr>
              <w:rPr>
                <w:rFonts w:eastAsia="Arial"/>
                <w:sz w:val="18"/>
                <w:szCs w:val="18"/>
              </w:rPr>
            </w:pPr>
            <w:r w:rsidRPr="1C3D137E">
              <w:rPr>
                <w:rFonts w:eastAsia="Arial"/>
                <w:color w:val="000000" w:themeColor="text1"/>
                <w:sz w:val="18"/>
                <w:szCs w:val="18"/>
              </w:rPr>
              <w:t>Gobernanza, Gestión Riesgos y Desastres y Seguridad Ciudadana.</w:t>
            </w:r>
          </w:p>
        </w:tc>
      </w:tr>
      <w:tr w:rsidR="1C3D137E" w:rsidTr="02313C72" w14:paraId="1262DD2C" w14:textId="77777777">
        <w:trPr>
          <w:trHeight w:val="300"/>
        </w:trPr>
        <w:tc>
          <w:tcPr>
            <w:tcW w:w="1555" w:type="dxa"/>
            <w:tcBorders>
              <w:bottom w:val="single" w:color="000000" w:themeColor="text1" w:sz="4" w:space="0"/>
            </w:tcBorders>
            <w:tcMar/>
          </w:tcPr>
          <w:p w:rsidR="1C3D137E" w:rsidP="1C3D137E" w:rsidRDefault="1C3D137E" w14:paraId="73A1851F" w14:textId="41DA3E46">
            <w:pPr>
              <w:rPr>
                <w:b/>
                <w:bCs/>
              </w:rPr>
            </w:pPr>
            <w:r w:rsidRPr="1C3D137E">
              <w:rPr>
                <w:b/>
                <w:bCs/>
              </w:rPr>
              <w:t>Secretaría:</w:t>
            </w:r>
          </w:p>
        </w:tc>
        <w:tc>
          <w:tcPr>
            <w:tcW w:w="8974" w:type="dxa"/>
            <w:tcBorders>
              <w:bottom w:val="single" w:color="000000" w:themeColor="text1" w:sz="4" w:space="0"/>
            </w:tcBorders>
            <w:tcMar/>
          </w:tcPr>
          <w:p w:rsidR="1C3D137E" w:rsidP="1C3D137E" w:rsidRDefault="1C3D137E" w14:paraId="52AA4201" w14:textId="03F87936">
            <w:pPr>
              <w:rPr>
                <w:rFonts w:eastAsia="Arial"/>
                <w:color w:val="000000" w:themeColor="text1"/>
                <w:sz w:val="18"/>
                <w:szCs w:val="18"/>
              </w:rPr>
            </w:pPr>
            <w:r w:rsidRPr="1C3D137E">
              <w:rPr>
                <w:rFonts w:eastAsia="Arial"/>
                <w:color w:val="000000" w:themeColor="text1"/>
                <w:sz w:val="18"/>
                <w:szCs w:val="18"/>
                <w:lang w:val="es"/>
              </w:rPr>
              <w:t>Unidad Administrativa Especial para la Gestión del Riesgo de Desastres de Cundinamarca.</w:t>
            </w:r>
          </w:p>
        </w:tc>
      </w:tr>
      <w:tr w:rsidR="1C3D137E" w:rsidTr="02313C72" w14:paraId="09C62F8F" w14:textId="77777777">
        <w:trPr>
          <w:trHeight w:val="1195"/>
        </w:trPr>
        <w:tc>
          <w:tcPr>
            <w:tcW w:w="10529" w:type="dxa"/>
            <w:gridSpan w:val="2"/>
            <w:tcBorders>
              <w:bottom w:val="single" w:color="000000" w:themeColor="text1" w:sz="4"/>
            </w:tcBorders>
            <w:tcMar/>
          </w:tcPr>
          <w:p w:rsidR="1C3D137E" w:rsidP="1C3D137E" w:rsidRDefault="1C3D137E" w14:paraId="10C516F9" w14:textId="0B082097">
            <w:pPr>
              <w:rPr>
                <w:b/>
                <w:bCs/>
              </w:rPr>
            </w:pPr>
          </w:p>
          <w:p w:rsidR="1C3D137E" w:rsidP="0ED4F347" w:rsidRDefault="1C3D137E" w14:paraId="3174E924" w14:textId="2099EE5C">
            <w:pPr>
              <w:shd w:val="clear" w:color="auto" w:fill="FFFFFF" w:themeFill="background1"/>
              <w:rPr>
                <w:rFonts w:eastAsia="Arial"/>
                <w:color w:val="auto"/>
                <w:lang w:val="es"/>
              </w:rPr>
            </w:pPr>
            <w:r w:rsidRPr="0ED4F347" w:rsidR="28B33C6B">
              <w:rPr>
                <w:b w:val="1"/>
                <w:bCs w:val="1"/>
              </w:rPr>
              <w:t xml:space="preserve">Condición: </w:t>
            </w:r>
            <w:r w:rsidRPr="0ED4F347" w:rsidR="68954A9B">
              <w:rPr>
                <w:rFonts w:eastAsia="Arial"/>
                <w:color w:val="auto"/>
                <w:lang w:val="es"/>
              </w:rPr>
              <w:t xml:space="preserve">En la revisión integral de los contratos UAEGRD-AD-PS-132-2025 | O.C. TVEC 149084, UAEGRD-CD-SU-120-2025 y el Convenio UAEGRD-CD-CVI-123-2025 (ver las </w:t>
            </w:r>
            <w:r w:rsidRPr="0ED4F347" w:rsidR="5AAA9E44">
              <w:rPr>
                <w:rFonts w:eastAsia="Arial"/>
                <w:color w:val="auto"/>
                <w:lang w:val="es"/>
              </w:rPr>
              <w:t>tablas 8 a 16</w:t>
            </w:r>
            <w:r w:rsidRPr="0ED4F347" w:rsidR="68954A9B">
              <w:rPr>
                <w:rFonts w:eastAsia="Arial"/>
                <w:color w:val="auto"/>
                <w:lang w:val="es"/>
              </w:rPr>
              <w:t>), se evidencian debilidades generalizadas en la gestión documental, tanto en los expedientes electrónicos (SECOP II y TVEC) como en los expedientes físicos.</w:t>
            </w:r>
          </w:p>
          <w:p w:rsidR="0C206951" w:rsidP="0ED4F347" w:rsidRDefault="0C206951" w14:paraId="2C91CA45" w14:textId="7C733EBF">
            <w:pPr>
              <w:shd w:val="clear" w:color="auto" w:fill="FFFFFF" w:themeFill="background1"/>
              <w:rPr>
                <w:rFonts w:eastAsia="Arial"/>
                <w:color w:val="auto"/>
                <w:lang w:val="es"/>
              </w:rPr>
            </w:pPr>
            <w:r w:rsidRPr="0ED4F347" w:rsidR="68954A9B">
              <w:rPr>
                <w:rFonts w:eastAsia="Arial"/>
                <w:color w:val="auto"/>
                <w:lang w:val="es"/>
              </w:rPr>
              <w:t xml:space="preserve"> </w:t>
            </w:r>
          </w:p>
          <w:p w:rsidR="0C206951" w:rsidP="0ED4F347" w:rsidRDefault="0C206951" w14:paraId="2645D36D" w14:textId="5DA65493">
            <w:pPr>
              <w:shd w:val="clear" w:color="auto" w:fill="FFFFFF" w:themeFill="background1"/>
              <w:rPr>
                <w:rFonts w:eastAsia="Arial"/>
                <w:color w:val="auto"/>
                <w:lang w:val="es"/>
              </w:rPr>
            </w:pPr>
            <w:r w:rsidRPr="0ED4F347" w:rsidR="68954A9B">
              <w:rPr>
                <w:rFonts w:eastAsia="Arial"/>
                <w:color w:val="auto"/>
                <w:lang w:val="es"/>
              </w:rPr>
              <w:t xml:space="preserve">Se identificó la ausencia, </w:t>
            </w:r>
            <w:r w:rsidRPr="0ED4F347" w:rsidR="68954A9B">
              <w:rPr>
                <w:rFonts w:eastAsia="Arial"/>
                <w:color w:val="auto"/>
                <w:lang w:val="es"/>
              </w:rPr>
              <w:t>incompletitud</w:t>
            </w:r>
            <w:r w:rsidRPr="0ED4F347" w:rsidR="68954A9B">
              <w:rPr>
                <w:rFonts w:eastAsia="Arial"/>
                <w:color w:val="auto"/>
                <w:lang w:val="es"/>
              </w:rPr>
              <w:t xml:space="preserve"> o falta de publicación oportuna de documentos esenciales del proceso contractual, tales como: estudios previos, CDP, RP, garantías, actas de inicio, informes de supervisión periódicos, actas de entrega de bienes, soportes de pago, planillas de beneficiarios e informes de ejecución. Asimismo, se evidencian inconsistencias entre la información física y digital, vacíos documentales que impiden reconstruir la trazabilidad de la ejecución contractual, falta de cargue de garantías en los módulos correspondientes y ausencia de soportes que acrediten aportes en especie pactados.</w:t>
            </w:r>
          </w:p>
          <w:p w:rsidR="0C206951" w:rsidP="1C3D137E" w:rsidRDefault="0C206951" w14:paraId="4273E65E" w14:textId="2DAE9A34">
            <w:pPr>
              <w:shd w:val="clear" w:color="auto" w:fill="FFFFFF" w:themeFill="background1"/>
              <w:rPr>
                <w:rFonts w:eastAsia="Arial"/>
                <w:color w:val="242424"/>
                <w:lang w:val="es"/>
              </w:rPr>
            </w:pPr>
            <w:r w:rsidRPr="1C3D137E">
              <w:rPr>
                <w:rFonts w:eastAsia="Arial"/>
                <w:color w:val="242424"/>
                <w:lang w:val="es"/>
              </w:rPr>
              <w:t xml:space="preserve"> </w:t>
            </w:r>
          </w:p>
          <w:p w:rsidR="0C206951" w:rsidP="0ED4F347" w:rsidRDefault="0C206951" w14:paraId="36D1DCA0" w14:textId="45CDE8A2">
            <w:pPr>
              <w:shd w:val="clear" w:color="auto" w:fill="FFFFFF" w:themeFill="background1"/>
              <w:rPr>
                <w:rFonts w:eastAsia="Arial"/>
                <w:color w:val="auto"/>
                <w:lang w:val="es"/>
              </w:rPr>
            </w:pPr>
            <w:r w:rsidRPr="0ED4F347" w:rsidR="68954A9B">
              <w:rPr>
                <w:rFonts w:eastAsia="Arial"/>
                <w:color w:val="auto"/>
                <w:lang w:val="es"/>
              </w:rPr>
              <w:t>Adicionalmente, se observan deficiencias en la oportunidad y periodicidad de los reportes de supervisión, así como en la actualización de instrumentos de planeación como el Plan Anual de Adquisiciones (PAA), y en la justificación de situaciones relevantes de la ejecución (retrasos, modificaciones o desviaciones).</w:t>
            </w:r>
          </w:p>
          <w:p w:rsidR="1C3D137E" w:rsidP="0ED4F347" w:rsidRDefault="1C3D137E" w14:paraId="06483AD8" w14:textId="735C7430">
            <w:pPr>
              <w:rPr>
                <w:b w:val="1"/>
                <w:bCs w:val="1"/>
                <w:color w:val="auto"/>
              </w:rPr>
            </w:pPr>
          </w:p>
        </w:tc>
      </w:tr>
      <w:tr w:rsidR="1C3D137E" w:rsidTr="02313C72" w14:paraId="4DA5BAEA" w14:textId="77777777">
        <w:trPr>
          <w:trHeight w:val="852"/>
        </w:trPr>
        <w:tc>
          <w:tcPr>
            <w:tcW w:w="10529" w:type="dxa"/>
            <w:gridSpan w:val="2"/>
            <w:tcBorders>
              <w:top w:val="single" w:color="000000" w:themeColor="text1" w:sz="4"/>
              <w:bottom w:val="single" w:color="000000" w:themeColor="text1" w:sz="4"/>
            </w:tcBorders>
            <w:tcMar/>
          </w:tcPr>
          <w:p w:rsidR="1C3D137E" w:rsidP="1C3D137E" w:rsidRDefault="1C3D137E" w14:paraId="047CF8B7" w14:textId="6F912B73">
            <w:pPr>
              <w:rPr>
                <w:b/>
                <w:bCs/>
              </w:rPr>
            </w:pPr>
            <w:r w:rsidRPr="1C3D137E">
              <w:rPr>
                <w:b/>
                <w:bCs/>
              </w:rPr>
              <w:lastRenderedPageBreak/>
              <w:t xml:space="preserve">Criterio: </w:t>
            </w:r>
          </w:p>
          <w:p w:rsidR="76278606" w:rsidP="0ED4F347" w:rsidRDefault="76278606" w14:paraId="25BB8780" w14:textId="33F33724">
            <w:pPr>
              <w:shd w:val="clear" w:color="auto" w:fill="FFFFFF" w:themeFill="background1"/>
              <w:rPr>
                <w:rFonts w:eastAsia="Arial"/>
                <w:color w:val="auto"/>
                <w:lang w:val="es"/>
              </w:rPr>
            </w:pPr>
            <w:r w:rsidRPr="0ED4F347" w:rsidR="58FF708F">
              <w:rPr>
                <w:rFonts w:eastAsia="Arial"/>
                <w:color w:val="auto"/>
                <w:lang w:val="es"/>
              </w:rPr>
              <w:t>Principio de Publicidad y Transparencia – Ley 1712 de 2014.</w:t>
            </w:r>
          </w:p>
          <w:p w:rsidR="76278606" w:rsidP="0ED4F347" w:rsidRDefault="76278606" w14:paraId="5EDA7CE4" w14:textId="5478B7F6">
            <w:pPr>
              <w:shd w:val="clear" w:color="auto" w:fill="FFFFFF" w:themeFill="background1"/>
              <w:rPr>
                <w:rFonts w:eastAsia="Arial"/>
                <w:color w:val="auto"/>
                <w:lang w:val="es"/>
              </w:rPr>
            </w:pPr>
            <w:r w:rsidRPr="0ED4F347" w:rsidR="58FF708F">
              <w:rPr>
                <w:rFonts w:eastAsia="Arial"/>
                <w:color w:val="auto"/>
                <w:lang w:val="es"/>
              </w:rPr>
              <w:t>Ley 80 de 1993 – Arts. 26 y 51.</w:t>
            </w:r>
          </w:p>
          <w:p w:rsidR="76278606" w:rsidP="0ED4F347" w:rsidRDefault="76278606" w14:paraId="6F2AD8C5" w14:textId="2CA12224">
            <w:pPr>
              <w:shd w:val="clear" w:color="auto" w:fill="FFFFFF" w:themeFill="background1"/>
              <w:rPr>
                <w:rFonts w:eastAsia="Arial"/>
                <w:color w:val="auto"/>
                <w:lang w:val="es"/>
              </w:rPr>
            </w:pPr>
            <w:r w:rsidRPr="0ED4F347" w:rsidR="58FF708F">
              <w:rPr>
                <w:rFonts w:eastAsia="Arial"/>
                <w:color w:val="auto"/>
                <w:lang w:val="es"/>
              </w:rPr>
              <w:t>Decreto 1082 de 2015 – Arts. 2.2.1.1.1.7.1, 2.2.1.1.2.1.1 y 2.2.1.2.7.1.</w:t>
            </w:r>
          </w:p>
          <w:p w:rsidR="76278606" w:rsidP="0ED4F347" w:rsidRDefault="76278606" w14:paraId="14AB1D87" w14:textId="03071852">
            <w:pPr>
              <w:shd w:val="clear" w:color="auto" w:fill="FFFFFF" w:themeFill="background1"/>
              <w:rPr>
                <w:rFonts w:eastAsia="Arial"/>
                <w:color w:val="auto"/>
                <w:lang w:val="es"/>
              </w:rPr>
            </w:pPr>
            <w:r w:rsidRPr="0ED4F347" w:rsidR="58FF708F">
              <w:rPr>
                <w:rFonts w:eastAsia="Arial"/>
                <w:color w:val="auto"/>
                <w:lang w:val="es"/>
              </w:rPr>
              <w:t>Principios de Planeación y Celeridad en la contratación estatal.</w:t>
            </w:r>
          </w:p>
          <w:p w:rsidR="76278606" w:rsidP="0ED4F347" w:rsidRDefault="76278606" w14:paraId="4EFD7F27" w14:textId="3276A6D7">
            <w:pPr>
              <w:shd w:val="clear" w:color="auto" w:fill="FFFFFF" w:themeFill="background1"/>
              <w:rPr>
                <w:rFonts w:eastAsia="Arial"/>
                <w:color w:val="auto"/>
                <w:lang w:val="es"/>
              </w:rPr>
            </w:pPr>
            <w:r w:rsidRPr="0ED4F347" w:rsidR="58FF708F">
              <w:rPr>
                <w:rFonts w:eastAsia="Arial"/>
                <w:color w:val="auto"/>
                <w:lang w:val="es"/>
              </w:rPr>
              <w:t>Manual de Gestión Contractual – Decreto 161 de 2024 (Gobernación de Cundinamarca).</w:t>
            </w:r>
          </w:p>
          <w:p w:rsidR="76278606" w:rsidP="0ED4F347" w:rsidRDefault="76278606" w14:paraId="5E6AAB82" w14:textId="09A74181">
            <w:pPr>
              <w:shd w:val="clear" w:color="auto" w:fill="FFFFFF" w:themeFill="background1"/>
              <w:rPr>
                <w:rFonts w:eastAsia="Arial"/>
                <w:color w:val="auto"/>
                <w:lang w:val="es"/>
              </w:rPr>
            </w:pPr>
            <w:r w:rsidRPr="0ED4F347" w:rsidR="58FF708F">
              <w:rPr>
                <w:rFonts w:eastAsia="Arial"/>
                <w:color w:val="auto"/>
                <w:lang w:val="es"/>
              </w:rPr>
              <w:t>Cláusulas contractuales y obligaciones de supervisión establecidas en los contratos y convenio revisados.</w:t>
            </w:r>
          </w:p>
          <w:p w:rsidR="76278606" w:rsidP="0ED4F347" w:rsidRDefault="76278606" w14:paraId="49FCE0EF" w14:textId="11933754">
            <w:pPr>
              <w:shd w:val="clear" w:color="auto" w:fill="FFFFFF" w:themeFill="background1"/>
              <w:rPr>
                <w:rFonts w:eastAsia="Arial"/>
                <w:color w:val="auto"/>
                <w:lang w:val="es"/>
              </w:rPr>
            </w:pPr>
            <w:r w:rsidRPr="0ED4F347" w:rsidR="58FF708F">
              <w:rPr>
                <w:rFonts w:eastAsia="Arial"/>
                <w:color w:val="auto"/>
                <w:lang w:val="es"/>
              </w:rPr>
              <w:t>Estudios previos y anexos técnicos aplicables a cada proceso contractual.</w:t>
            </w:r>
          </w:p>
          <w:p w:rsidR="1C3D137E" w:rsidP="0ED4F347" w:rsidRDefault="1C3D137E" w14:paraId="5F918693" w14:textId="09E2B129">
            <w:pPr>
              <w:rPr>
                <w:b w:val="1"/>
                <w:bCs w:val="1"/>
                <w:color w:val="auto"/>
              </w:rPr>
            </w:pPr>
          </w:p>
        </w:tc>
      </w:tr>
      <w:tr w:rsidR="1C3D137E" w:rsidTr="02313C72" w14:paraId="7B6FDBC0" w14:textId="77777777">
        <w:trPr>
          <w:trHeight w:val="848"/>
        </w:trPr>
        <w:tc>
          <w:tcPr>
            <w:tcW w:w="10529" w:type="dxa"/>
            <w:gridSpan w:val="2"/>
            <w:tcBorders>
              <w:top w:val="single" w:color="000000" w:themeColor="text1" w:sz="4"/>
              <w:bottom w:val="single" w:color="000000" w:themeColor="text1" w:sz="4"/>
            </w:tcBorders>
            <w:tcMar/>
          </w:tcPr>
          <w:p w:rsidR="1C3D137E" w:rsidP="0ED4F347" w:rsidRDefault="1C3D137E" w14:paraId="6C68B7E6" w14:textId="11309A82">
            <w:pPr>
              <w:shd w:val="clear" w:color="auto" w:fill="FFFFFF" w:themeFill="background1"/>
              <w:rPr>
                <w:rFonts w:eastAsia="Arial"/>
                <w:color w:val="auto"/>
                <w:lang w:val="es"/>
              </w:rPr>
            </w:pPr>
            <w:r w:rsidRPr="0ED4F347" w:rsidR="28B33C6B">
              <w:rPr>
                <w:b w:val="1"/>
                <w:bCs w:val="1"/>
                <w:color w:val="auto"/>
              </w:rPr>
              <w:t xml:space="preserve">Consecuencia: </w:t>
            </w:r>
            <w:r w:rsidRPr="0ED4F347" w:rsidR="3CE8EF7C">
              <w:rPr>
                <w:rFonts w:eastAsia="Arial"/>
                <w:color w:val="auto"/>
                <w:lang w:val="es"/>
              </w:rPr>
              <w:t>Las debilidades en la gestión documental generan una afectación directa a los principios de transparencia, publicidad y control, al impedir el acceso a información completa, veraz y oportuna sobre la ejecución contractual, especialmente tratándose de recursos destinados a la atención de una emergencia.</w:t>
            </w:r>
          </w:p>
          <w:p w:rsidR="0E5EE5B4" w:rsidP="0ED4F347" w:rsidRDefault="0E5EE5B4" w14:paraId="70A00ECE" w14:textId="2C107BD1">
            <w:pPr>
              <w:shd w:val="clear" w:color="auto" w:fill="FFFFFF" w:themeFill="background1"/>
              <w:rPr>
                <w:rFonts w:eastAsia="Arial"/>
                <w:color w:val="auto"/>
                <w:lang w:val="es"/>
              </w:rPr>
            </w:pPr>
            <w:r w:rsidRPr="0ED4F347" w:rsidR="3CE8EF7C">
              <w:rPr>
                <w:rFonts w:eastAsia="Arial"/>
                <w:color w:val="auto"/>
                <w:lang w:val="es"/>
              </w:rPr>
              <w:t xml:space="preserve"> </w:t>
            </w:r>
          </w:p>
          <w:p w:rsidR="0E5EE5B4" w:rsidP="0ED4F347" w:rsidRDefault="0E5EE5B4" w14:paraId="53188207" w14:textId="2876B338">
            <w:pPr>
              <w:shd w:val="clear" w:color="auto" w:fill="FFFFFF" w:themeFill="background1"/>
              <w:rPr>
                <w:rFonts w:eastAsia="Arial"/>
                <w:color w:val="auto"/>
                <w:lang w:val="es"/>
              </w:rPr>
            </w:pPr>
            <w:r w:rsidRPr="0ED4F347" w:rsidR="3CE8EF7C">
              <w:rPr>
                <w:rFonts w:eastAsia="Arial"/>
                <w:color w:val="auto"/>
                <w:lang w:val="es"/>
              </w:rPr>
              <w:t>Se configura una imposibilidad de verificar integralmente el cumplimiento de los objetos contractuales, la correcta ejecución de los recursos públicos y la entrega efectiva de bienes y ayudas a los beneficiarios, lo que incrementa el riesgo de incumplimientos contractuales, detrimento patrimonial y eventuales hallazgos fiscales, disciplinarios o administrativos.</w:t>
            </w:r>
          </w:p>
          <w:p w:rsidR="0E5EE5B4" w:rsidP="1C3D137E" w:rsidRDefault="0E5EE5B4" w14:paraId="44DA5972" w14:textId="2A4977B7">
            <w:pPr>
              <w:shd w:val="clear" w:color="auto" w:fill="FFFFFF" w:themeFill="background1"/>
              <w:rPr>
                <w:rFonts w:eastAsia="Arial"/>
                <w:color w:val="242424"/>
                <w:lang w:val="es"/>
              </w:rPr>
            </w:pPr>
            <w:r w:rsidRPr="1C3D137E">
              <w:rPr>
                <w:rFonts w:eastAsia="Arial"/>
                <w:color w:val="242424"/>
                <w:lang w:val="es"/>
              </w:rPr>
              <w:t xml:space="preserve"> </w:t>
            </w:r>
          </w:p>
          <w:p w:rsidR="0E5EE5B4" w:rsidP="0ED4F347" w:rsidRDefault="0E5EE5B4" w14:paraId="1E8A215D" w14:textId="69C8E34D">
            <w:pPr>
              <w:shd w:val="clear" w:color="auto" w:fill="FFFFFF" w:themeFill="background1"/>
              <w:rPr>
                <w:rFonts w:eastAsia="Arial"/>
                <w:color w:val="auto"/>
                <w:lang w:val="es"/>
              </w:rPr>
            </w:pPr>
            <w:r w:rsidRPr="0ED4F347" w:rsidR="3CE8EF7C">
              <w:rPr>
                <w:rFonts w:eastAsia="Arial"/>
                <w:color w:val="auto"/>
                <w:lang w:val="es"/>
              </w:rPr>
              <w:t>Asimismo, la falta de trazabilidad documental debilita los mecanismos de supervisión, control interno y control social, y limita la capacidad de la Entidad para demostrar la debida ejecución de los contratos y convenios en escenarios de auditoría o seguimiento por parte de los entes de control.</w:t>
            </w:r>
          </w:p>
          <w:p w:rsidR="1C3D137E" w:rsidP="1C3D137E" w:rsidRDefault="1C3D137E" w14:paraId="1E70B1CC" w14:textId="6149183D">
            <w:pPr>
              <w:rPr>
                <w:b/>
                <w:bCs/>
              </w:rPr>
            </w:pPr>
          </w:p>
        </w:tc>
      </w:tr>
      <w:tr w:rsidR="1C3D137E" w:rsidTr="02313C72" w14:paraId="5C25D978" w14:textId="77777777">
        <w:trPr>
          <w:trHeight w:val="469"/>
        </w:trPr>
        <w:tc>
          <w:tcPr>
            <w:tcW w:w="10529" w:type="dxa"/>
            <w:gridSpan w:val="2"/>
            <w:tcBorders>
              <w:top w:val="single" w:color="000000" w:themeColor="text1" w:sz="4"/>
            </w:tcBorders>
            <w:tcMar/>
          </w:tcPr>
          <w:p w:rsidR="1C3D137E" w:rsidP="0ED4F347" w:rsidRDefault="1C3D137E" w14:paraId="61D9F41B" w14:textId="620E9D26">
            <w:pPr>
              <w:rPr>
                <w:rStyle w:val="GrisIndicacionesCar"/>
              </w:rPr>
            </w:pPr>
            <w:r w:rsidRPr="0ED4F347" w:rsidR="28B33C6B">
              <w:rPr>
                <w:b w:val="1"/>
                <w:bCs w:val="1"/>
              </w:rPr>
              <w:t xml:space="preserve">Evidencia: </w:t>
            </w:r>
          </w:p>
        </w:tc>
      </w:tr>
      <w:tr w:rsidR="1C3D137E" w:rsidTr="02313C72" w14:paraId="6C473826" w14:textId="77777777">
        <w:trPr>
          <w:trHeight w:val="300"/>
        </w:trPr>
        <w:tc>
          <w:tcPr>
            <w:tcW w:w="10529" w:type="dxa"/>
            <w:gridSpan w:val="2"/>
            <w:tcMar/>
          </w:tcPr>
          <w:p w:rsidR="1C3D137E" w:rsidP="1C3D137E" w:rsidRDefault="1C3D137E" w14:paraId="0226840B" w14:textId="170A0F7C">
            <w:pPr>
              <w:rPr>
                <w:rFonts w:eastAsia="Arial"/>
                <w:lang w:val="es"/>
              </w:rPr>
            </w:pPr>
            <w:r w:rsidRPr="1C3D137E">
              <w:rPr>
                <w:b/>
                <w:bCs/>
              </w:rPr>
              <w:lastRenderedPageBreak/>
              <w:t>Controversia:</w:t>
            </w:r>
            <w:r>
              <w:t xml:space="preserve"> </w:t>
            </w:r>
            <w:r w:rsidRPr="1C3D137E" w:rsidR="20C017D5">
              <w:rPr>
                <w:rFonts w:eastAsia="Arial"/>
                <w:lang w:val="es"/>
              </w:rPr>
              <w:t xml:space="preserve">La </w:t>
            </w:r>
            <w:r w:rsidRPr="1C3D137E" w:rsidR="20C017D5">
              <w:rPr>
                <w:rFonts w:eastAsia="Arial"/>
                <w:color w:val="000000" w:themeColor="text1"/>
                <w:lang w:val="es"/>
              </w:rPr>
              <w:t>Unidad Administrativa Especial para la Gestión del Riesgo de Desastres de Cundinamarca.</w:t>
            </w:r>
            <w:r w:rsidRPr="1C3D137E" w:rsidR="20C017D5">
              <w:rPr>
                <w:rFonts w:eastAsia="Arial"/>
                <w:lang w:val="es"/>
              </w:rPr>
              <w:t>, a través de correo institucional fechado el lunes 20 de abril de 2026, dio respuesta a las observaciones formuladas en la auditoría interna de gestión realizada por la Oficina de Control Interno mediante cóndor GOB-S-CR-2026-0062623 del 15 de abril de 2026, adjuntando un archivo Excel en el que se detallaron las siguientes precisiones:</w:t>
            </w:r>
          </w:p>
          <w:p w:rsidR="1C3D137E" w:rsidP="1C3D137E" w:rsidRDefault="1C3D137E" w14:paraId="144D30EB" w14:textId="77777777">
            <w:pPr>
              <w:rPr>
                <w:rStyle w:val="GrisIndicacionesCar"/>
              </w:rPr>
            </w:pPr>
          </w:p>
          <w:p w:rsidR="009A050B" w:rsidP="1C3D137E" w:rsidRDefault="009A050B" w14:paraId="667C6777" w14:textId="1617A3DE">
            <w:r w:rsidRPr="1C3D137E">
              <w:rPr>
                <w:rFonts w:eastAsia="Arial"/>
                <w:color w:val="1A1A2E"/>
                <w:lang w:val="es"/>
              </w:rPr>
              <w:t xml:space="preserve">Como consecuencia del eventual incumplimiento, la Oficina de Control Interno remitió a la Unidad Administrativa Especial para la Gestión del Riesgo de Desastres, mediante CÓNDOR No. GOB-S-CR-2026-0062623 del 15 de abril de 2026, comunicación con la relación de hallazgos presentados durante el desarrollo de la auditoría, con el fin de que la unidad auditada tuviera la oportunidad de presentar controversias debidamente argumentadas y soportadas respecto de los hallazgos socializados. En respuesta a dicha comunicación, la UAEGRD, mediante correo institucional del lunes 20 de abril de 2026, dio respuesta a las observaciones de auditoría interna de gestión, anexando comunicado en el cual expuso, entre otros: </w:t>
            </w:r>
          </w:p>
          <w:p w:rsidR="009A050B" w:rsidP="1C3D137E" w:rsidRDefault="009A050B" w14:paraId="0719F952" w14:textId="7D810128">
            <w:r w:rsidRPr="1C3D137E">
              <w:rPr>
                <w:rFonts w:eastAsia="Arial"/>
                <w:i/>
                <w:iCs/>
                <w:color w:val="1A1A2E"/>
                <w:lang w:val="es"/>
              </w:rPr>
              <w:t xml:space="preserve"> </w:t>
            </w:r>
            <w:r w:rsidRPr="1C3D137E">
              <w:rPr>
                <w:rFonts w:eastAsia="Arial"/>
                <w:color w:val="1A1A2E"/>
                <w:lang w:val="es"/>
              </w:rPr>
              <w:t xml:space="preserve"> </w:t>
            </w:r>
          </w:p>
          <w:p w:rsidR="130F9CA9" w:rsidP="1C3D137E" w:rsidRDefault="130F9CA9" w14:paraId="26587AF0" w14:textId="3A4518AA">
            <w:pPr>
              <w:rPr>
                <w:rFonts w:eastAsia="Arial"/>
                <w:i/>
                <w:iCs/>
                <w:color w:val="1A1A2E"/>
                <w:lang w:val="es"/>
              </w:rPr>
            </w:pPr>
            <w:r w:rsidRPr="1C3D137E">
              <w:rPr>
                <w:rFonts w:eastAsia="Arial"/>
                <w:i/>
                <w:iCs/>
                <w:color w:val="1A1A2E"/>
                <w:lang w:val="es"/>
              </w:rPr>
              <w:t>“</w:t>
            </w:r>
            <w:r w:rsidRPr="1C3D137E" w:rsidR="009A050B">
              <w:rPr>
                <w:rFonts w:eastAsia="Arial"/>
                <w:i/>
                <w:iCs/>
                <w:color w:val="1A1A2E"/>
                <w:lang w:val="es"/>
              </w:rPr>
              <w:t>En atención a las observaciones relacionadas con la gestión documental de los contratos UAEGRD-AD-PS-132-2025 | O.C. TVEC 149084 y UAEGRD-CD-SU-120-2025, esta Unidad se permite informar que los soportes documentales correspondientes a dichos procesos contractuales se encuentran debidamente registrados, cargados y disponibles en las plataformas SECOP II y TVEC, según la naturaleza y modalidad de cada contrato</w:t>
            </w:r>
            <w:r w:rsidRPr="1C3D137E" w:rsidR="5F8CBEC5">
              <w:rPr>
                <w:rFonts w:eastAsia="Arial"/>
                <w:i/>
                <w:iCs/>
                <w:color w:val="1A1A2E"/>
                <w:lang w:val="es"/>
              </w:rPr>
              <w:t>”</w:t>
            </w:r>
            <w:r w:rsidRPr="1C3D137E" w:rsidR="009A050B">
              <w:rPr>
                <w:rFonts w:eastAsia="Arial"/>
                <w:i/>
                <w:iCs/>
                <w:color w:val="1A1A2E"/>
                <w:lang w:val="es"/>
              </w:rPr>
              <w:t>.</w:t>
            </w:r>
          </w:p>
          <w:p w:rsidR="009A050B" w:rsidP="1C3D137E" w:rsidRDefault="009A050B" w14:paraId="114A3669" w14:textId="7D341CF1">
            <w:pPr>
              <w:rPr>
                <w:rFonts w:eastAsia="Arial"/>
                <w:i/>
                <w:iCs/>
                <w:color w:val="1A1A2E"/>
                <w:lang w:val="es"/>
              </w:rPr>
            </w:pPr>
            <w:r w:rsidRPr="1C3D137E">
              <w:rPr>
                <w:rFonts w:eastAsia="Arial"/>
                <w:i/>
                <w:iCs/>
                <w:color w:val="1A1A2E"/>
                <w:lang w:val="es"/>
              </w:rPr>
              <w:t xml:space="preserve"> </w:t>
            </w:r>
          </w:p>
          <w:p w:rsidR="62A931DE" w:rsidP="1C3D137E" w:rsidRDefault="62A931DE" w14:paraId="010E4A26" w14:textId="5A840D75">
            <w:pPr>
              <w:rPr>
                <w:rFonts w:eastAsia="Arial"/>
                <w:i/>
                <w:iCs/>
                <w:color w:val="1A1A2E"/>
                <w:lang w:val="es"/>
              </w:rPr>
            </w:pPr>
            <w:r w:rsidRPr="1C3D137E">
              <w:rPr>
                <w:rFonts w:eastAsia="Arial"/>
                <w:i/>
                <w:iCs/>
                <w:color w:val="1A1A2E"/>
                <w:lang w:val="es"/>
              </w:rPr>
              <w:t>“</w:t>
            </w:r>
            <w:r w:rsidRPr="1C3D137E" w:rsidR="009A050B">
              <w:rPr>
                <w:rFonts w:eastAsia="Arial"/>
                <w:i/>
                <w:iCs/>
                <w:color w:val="1A1A2E"/>
                <w:lang w:val="es"/>
              </w:rPr>
              <w:t>En efecto, los documentos asociados a las diferentes etapas contractuales, incluyendo aquellos relacionados con la planeación, ejecución, supervisión y cierre, hacen parte integral de los expedientes electrónicos dispuestos en las plataformas mencionadas, garantizando su consulta, verificación y trazabilidad conforme a los lineamientos establecidos en materia de gestión contractual y transparencia</w:t>
            </w:r>
            <w:r w:rsidRPr="1C3D137E" w:rsidR="1E345307">
              <w:rPr>
                <w:rFonts w:eastAsia="Arial"/>
                <w:i/>
                <w:iCs/>
                <w:color w:val="1A1A2E"/>
                <w:lang w:val="es"/>
              </w:rPr>
              <w:t>”</w:t>
            </w:r>
            <w:r w:rsidRPr="1C3D137E" w:rsidR="009A050B">
              <w:rPr>
                <w:rFonts w:eastAsia="Arial"/>
                <w:i/>
                <w:iCs/>
                <w:color w:val="1A1A2E"/>
                <w:lang w:val="es"/>
              </w:rPr>
              <w:t>.</w:t>
            </w:r>
          </w:p>
          <w:p w:rsidR="009A050B" w:rsidP="1C3D137E" w:rsidRDefault="009A050B" w14:paraId="55255486" w14:textId="1253A526">
            <w:pPr>
              <w:rPr>
                <w:rFonts w:eastAsia="Arial"/>
                <w:i/>
                <w:iCs/>
                <w:color w:val="1A1A2E"/>
                <w:lang w:val="es"/>
              </w:rPr>
            </w:pPr>
            <w:r w:rsidRPr="1C3D137E">
              <w:rPr>
                <w:rFonts w:eastAsia="Arial"/>
                <w:i/>
                <w:iCs/>
                <w:color w:val="1A1A2E"/>
                <w:lang w:val="es"/>
              </w:rPr>
              <w:t xml:space="preserve"> </w:t>
            </w:r>
          </w:p>
          <w:p w:rsidR="593FDADA" w:rsidP="1C3D137E" w:rsidRDefault="593FDADA" w14:paraId="1FA58520" w14:textId="6ABA0B76">
            <w:pPr>
              <w:rPr>
                <w:rFonts w:eastAsia="Arial"/>
                <w:i/>
                <w:iCs/>
                <w:color w:val="1A1A2E"/>
                <w:lang w:val="es"/>
              </w:rPr>
            </w:pPr>
            <w:r w:rsidRPr="1C3D137E">
              <w:rPr>
                <w:rFonts w:eastAsia="Arial"/>
                <w:i/>
                <w:iCs/>
                <w:color w:val="1A1A2E"/>
                <w:lang w:val="es"/>
              </w:rPr>
              <w:t>“</w:t>
            </w:r>
            <w:r w:rsidRPr="1C3D137E" w:rsidR="009A050B">
              <w:rPr>
                <w:rFonts w:eastAsia="Arial"/>
                <w:i/>
                <w:iCs/>
                <w:color w:val="1A1A2E"/>
                <w:lang w:val="es"/>
              </w:rPr>
              <w:t>Así mismo, la información contenida en dichos sistemas constituye el repositorio oficial de los procesos contractuales, en el cual reposan los soportes que dan cuenta del desarrollo y ejecución de los contratos 132 y 120, en concordancia con las obligaciones establecidas y los procedimientos internos adoptados por la entidad</w:t>
            </w:r>
            <w:r w:rsidRPr="1C3D137E" w:rsidR="14CE1A4F">
              <w:rPr>
                <w:rFonts w:eastAsia="Arial"/>
                <w:i/>
                <w:iCs/>
                <w:color w:val="1A1A2E"/>
                <w:lang w:val="es"/>
              </w:rPr>
              <w:t>”</w:t>
            </w:r>
            <w:r w:rsidRPr="1C3D137E" w:rsidR="009A050B">
              <w:rPr>
                <w:rFonts w:eastAsia="Arial"/>
                <w:i/>
                <w:iCs/>
                <w:color w:val="1A1A2E"/>
                <w:lang w:val="es"/>
              </w:rPr>
              <w:t>.</w:t>
            </w:r>
          </w:p>
          <w:p w:rsidR="009A050B" w:rsidP="1C3D137E" w:rsidRDefault="009A050B" w14:paraId="38E515C1" w14:textId="14A22129">
            <w:pPr>
              <w:rPr>
                <w:rFonts w:eastAsia="Arial"/>
                <w:i/>
                <w:iCs/>
                <w:color w:val="1A1A2E"/>
                <w:lang w:val="es"/>
              </w:rPr>
            </w:pPr>
            <w:r w:rsidRPr="1C3D137E">
              <w:rPr>
                <w:rFonts w:eastAsia="Arial"/>
                <w:i/>
                <w:iCs/>
                <w:color w:val="1A1A2E"/>
                <w:lang w:val="es"/>
              </w:rPr>
              <w:t xml:space="preserve"> </w:t>
            </w:r>
          </w:p>
          <w:p w:rsidR="56E3D5B1" w:rsidP="1C3D137E" w:rsidRDefault="56E3D5B1" w14:paraId="4A053F6E" w14:textId="0E52C5AC">
            <w:pPr>
              <w:rPr>
                <w:rFonts w:eastAsia="Arial"/>
                <w:color w:val="1A1A2E"/>
              </w:rPr>
            </w:pPr>
            <w:r w:rsidRPr="1C3D137E">
              <w:rPr>
                <w:rFonts w:eastAsia="Arial"/>
                <w:i/>
                <w:iCs/>
                <w:color w:val="1A1A2E"/>
              </w:rPr>
              <w:t>“</w:t>
            </w:r>
            <w:r w:rsidRPr="1C3D137E" w:rsidR="009A050B">
              <w:rPr>
                <w:rFonts w:eastAsia="Arial"/>
                <w:i/>
                <w:iCs/>
                <w:color w:val="1A1A2E"/>
              </w:rPr>
              <w:t>En consecuencia, se precisa que la documentación correspondiente a los contratos en mención se encuentra disponible en las plataformas indicadas, permitiendo su acceso y validación por parte de los organismos de control y demás instancias competentes, en el marco de los principios de publicidad, trazabilidad y control de la gestión contractual. Nota: las evidencias de lo anteriormente mencionado se encuentran el siguiente link de acceso</w:t>
            </w:r>
            <w:r w:rsidRPr="1C3D137E" w:rsidR="7755A6F9">
              <w:rPr>
                <w:rFonts w:eastAsia="Arial"/>
                <w:i/>
                <w:iCs/>
                <w:color w:val="1A1A2E"/>
              </w:rPr>
              <w:t>”</w:t>
            </w:r>
            <w:r w:rsidRPr="1C3D137E" w:rsidR="009A050B">
              <w:rPr>
                <w:rFonts w:eastAsia="Arial"/>
                <w:i/>
                <w:iCs/>
                <w:color w:val="1A1A2E"/>
              </w:rPr>
              <w:t xml:space="preserve"> </w:t>
            </w:r>
            <w:hyperlink r:id="rId19">
              <w:r w:rsidRPr="1C3D137E" w:rsidR="009A050B">
                <w:rPr>
                  <w:rStyle w:val="Hipervnculo"/>
                  <w:rFonts w:eastAsia="Arial"/>
                  <w:i/>
                  <w:iCs/>
                </w:rPr>
                <w:t>https://drive.google.com/drive/folders/1iBFz2DFLdKfvylQgCkMOSR1KoORK3Gqt?usp=sharing</w:t>
              </w:r>
            </w:hyperlink>
          </w:p>
          <w:p w:rsidR="1C3D137E" w:rsidP="1C3D137E" w:rsidRDefault="1C3D137E" w14:paraId="04CBC51C" w14:textId="71270A6A">
            <w:pPr>
              <w:rPr>
                <w:rStyle w:val="GrisIndicacionesCar"/>
              </w:rPr>
            </w:pPr>
          </w:p>
          <w:p w:rsidR="1C3D137E" w:rsidP="1C3D137E" w:rsidRDefault="1C3D137E" w14:paraId="5FE725BB" w14:textId="0527D499">
            <w:pPr>
              <w:spacing w:after="160"/>
            </w:pPr>
            <w:r w:rsidRPr="02313C72" w:rsidR="28997978">
              <w:rPr>
                <w:b w:val="1"/>
                <w:bCs w:val="1"/>
                <w:i w:val="1"/>
                <w:iCs w:val="1"/>
              </w:rPr>
              <w:t xml:space="preserve">Análisis: </w:t>
            </w:r>
            <w:r w:rsidRPr="02313C72" w:rsidR="2D46645A">
              <w:rPr>
                <w:rFonts w:eastAsia="Arial"/>
              </w:rPr>
              <w:t>Una vez recibida la respuesta de la UAEGRD frente al componente de Gestión Contractual y Normativa, la Oficina de Control Interno procedió a verificar directamente en las plataformas SECOP II y TVEC el estado de publicación de los contratos mencionados, con el fin de constatar si las debilidades identificadas habían sido efectivamente subsanadas.</w:t>
            </w:r>
          </w:p>
          <w:p w:rsidR="06AB2B9A" w:rsidP="1C3D137E" w:rsidRDefault="06AB2B9A" w14:paraId="08EBCEE9" w14:textId="5747BAC9">
            <w:pPr>
              <w:spacing w:after="160"/>
            </w:pPr>
            <w:r w:rsidRPr="1C3D137E">
              <w:rPr>
                <w:rFonts w:eastAsia="Arial"/>
              </w:rPr>
              <w:t>Respecto al contrato UAEGRD-AD-PS-132-2025 | O.C. TVEC No. 149084, la revisión evidenció avances parciales: la entidad subsanó la mayoría de los criterios evaluados, entre ellos los relacionados con los documentos de soporte presupuestal, las garantías, el acta de inicio, la supervisión y los soportes de pago. No obstante, persisten criterios sin corregir: la solicitud de cotización no cuenta con documentos públicos visibles en la plataforma; la inclusión en el Plan Anual de Adquisiciones no fue atendida; el acta de liquidación no fue publicada; y la orden de compra continúa en estado "emitido", sin que se haya realizado el cierre correspondiente.</w:t>
            </w:r>
          </w:p>
          <w:p w:rsidR="06AB2B9A" w:rsidP="1C3D137E" w:rsidRDefault="06AB2B9A" w14:paraId="4F28A065" w14:textId="6CB3A2D8">
            <w:pPr>
              <w:spacing w:after="160"/>
            </w:pPr>
            <w:r w:rsidRPr="0ED4F347" w:rsidR="723116B1">
              <w:rPr>
                <w:rFonts w:eastAsia="Arial"/>
              </w:rPr>
              <w:t>Respecto al contrato UAEGRD-CD-SU-120-2025, la situación es más crítica: la entidad no subsanó ninguno de los ítems de publicación en SECOP II, ni respondió, replicó ni aclaró ninguno de los criterios en los que se reportaron incumplimientos o cumplimientos parciales.</w:t>
            </w:r>
          </w:p>
          <w:p w:rsidR="36AAE82F" w:rsidP="02313C72" w:rsidRDefault="36AAE82F" w14:paraId="7B91CCDC" w14:textId="5E64D89F">
            <w:pPr>
              <w:pStyle w:val="Normal"/>
              <w:spacing w:after="160"/>
              <w:rPr>
                <w:rFonts w:eastAsia="Arial"/>
              </w:rPr>
            </w:pPr>
            <w:r w:rsidRPr="02313C72" w:rsidR="6506CD5A">
              <w:rPr>
                <w:rFonts w:eastAsia="Arial"/>
              </w:rPr>
              <w:t>Finalmente</w:t>
            </w:r>
            <w:r w:rsidRPr="02313C72" w:rsidR="7193A585">
              <w:rPr>
                <w:rFonts w:eastAsia="Arial"/>
              </w:rPr>
              <w:t>, se precisa que frente a lo observado en el C</w:t>
            </w:r>
            <w:r w:rsidRPr="02313C72" w:rsidR="7193A585">
              <w:rPr>
                <w:rFonts w:ascii="Arial" w:hAnsi="Arial" w:eastAsia="Arial" w:cs="Arial"/>
                <w:b w:val="0"/>
                <w:bCs w:val="0"/>
                <w:i w:val="0"/>
                <w:iCs w:val="0"/>
                <w:caps w:val="0"/>
                <w:smallCaps w:val="0"/>
                <w:strike w:val="0"/>
                <w:dstrike w:val="0"/>
                <w:noProof w:val="0"/>
                <w:color w:val="242424"/>
                <w:sz w:val="22"/>
                <w:szCs w:val="22"/>
                <w:u w:val="none"/>
                <w:lang w:val="es-CO"/>
              </w:rPr>
              <w:t>onvenio</w:t>
            </w:r>
            <w:r w:rsidRPr="02313C72" w:rsidR="7193A585">
              <w:rPr>
                <w:rFonts w:ascii="Arial" w:hAnsi="Arial" w:eastAsia="Arial" w:cs="Arial"/>
                <w:b w:val="0"/>
                <w:bCs w:val="0"/>
                <w:i w:val="0"/>
                <w:iCs w:val="0"/>
                <w:caps w:val="0"/>
                <w:smallCaps w:val="0"/>
                <w:strike w:val="0"/>
                <w:dstrike w:val="0"/>
                <w:noProof w:val="0"/>
                <w:color w:val="242424"/>
                <w:sz w:val="22"/>
                <w:szCs w:val="22"/>
                <w:u w:val="none"/>
                <w:lang w:val="es-CO"/>
              </w:rPr>
              <w:t xml:space="preserve"> UAEGRD-CD-CVI-123-2025, la Unidad no se manifestó.</w:t>
            </w:r>
          </w:p>
          <w:p w:rsidR="06AB2B9A" w:rsidP="0ED4F347" w:rsidRDefault="06AB2B9A" w14:paraId="52891118" w14:textId="4BD27C3F">
            <w:pPr>
              <w:rPr>
                <w:rFonts w:eastAsia="Arial"/>
              </w:rPr>
            </w:pPr>
            <w:r w:rsidRPr="02313C72" w:rsidR="2D46645A">
              <w:rPr>
                <w:rFonts w:eastAsia="Arial"/>
              </w:rPr>
              <w:t xml:space="preserve">En consecuencia, dado que persisten debilidades no corregidas en ambos contratos y que la respuesta de la UAEGRD no desvirtúa las condiciones identificadas, la Oficina de Control Interno </w:t>
            </w:r>
            <w:r w:rsidRPr="02313C72" w:rsidR="2D46645A">
              <w:rPr>
                <w:rFonts w:eastAsia="Arial"/>
                <w:b w:val="1"/>
                <w:bCs w:val="1"/>
              </w:rPr>
              <w:t>sostiene el hallazgo</w:t>
            </w:r>
            <w:r w:rsidRPr="02313C72" w:rsidR="2D46645A">
              <w:rPr>
                <w:rFonts w:eastAsia="Arial"/>
              </w:rPr>
              <w:t xml:space="preserve"> en los términos en que fue formulado.</w:t>
            </w:r>
          </w:p>
        </w:tc>
      </w:tr>
      <w:tr w:rsidR="0ED4F347" w:rsidTr="02313C72" w14:paraId="498111D3">
        <w:trPr>
          <w:trHeight w:val="300"/>
        </w:trPr>
        <w:tc>
          <w:tcPr>
            <w:tcW w:w="10529" w:type="dxa"/>
            <w:gridSpan w:val="2"/>
            <w:tcMar/>
          </w:tcPr>
          <w:p w:rsidR="0ED4F347" w:rsidP="0ED4F347" w:rsidRDefault="0ED4F347" w14:paraId="20F7B6CE" w14:textId="697B2F00">
            <w:pPr>
              <w:pStyle w:val="Normal"/>
              <w:rPr>
                <w:b w:val="1"/>
                <w:bCs w:val="1"/>
              </w:rPr>
            </w:pPr>
          </w:p>
        </w:tc>
      </w:tr>
    </w:tbl>
    <w:p w:rsidR="1C3D137E" w:rsidP="1C3D137E" w:rsidRDefault="1C3D137E" w14:paraId="5E852847" w14:textId="4A812CB6"/>
    <w:p w:rsidR="7C372EA4" w:rsidP="0ED4F347" w:rsidRDefault="7C372EA4" w14:paraId="642E0845" w14:textId="2B4C3952">
      <w:pPr>
        <w:pStyle w:val="Ttulo3"/>
        <w:numPr>
          <w:ilvl w:val="0"/>
          <w:numId w:val="0"/>
        </w:numPr>
        <w:ind w:left="0"/>
        <w:rPr>
          <w:rFonts w:eastAsia="Arial"/>
          <w:b w:val="0"/>
          <w:bCs w:val="0"/>
          <w:sz w:val="22"/>
          <w:szCs w:val="22"/>
          <w:lang w:val="es-CO"/>
        </w:rPr>
      </w:pPr>
      <w:r w:rsidRPr="0ED4F347" w:rsidR="6B8167CF">
        <w:rPr>
          <w:rFonts w:eastAsia="Arial"/>
          <w:sz w:val="24"/>
          <w:szCs w:val="24"/>
          <w:lang w:val="es-ES"/>
        </w:rPr>
        <w:t>8.3.5</w:t>
      </w:r>
      <w:r w:rsidRPr="0ED4F347" w:rsidR="56502CF6">
        <w:rPr>
          <w:rFonts w:eastAsia="Arial"/>
          <w:sz w:val="24"/>
          <w:szCs w:val="24"/>
          <w:lang w:val="es-ES"/>
        </w:rPr>
        <w:t xml:space="preserve"> </w:t>
      </w:r>
      <w:r w:rsidRPr="0ED4F347" w:rsidR="56502CF6">
        <w:rPr>
          <w:rFonts w:eastAsia="Arial"/>
          <w:b w:val="0"/>
          <w:bCs w:val="0"/>
          <w:color w:val="000000" w:themeColor="text1" w:themeTint="FF" w:themeShade="FF"/>
          <w:sz w:val="24"/>
          <w:szCs w:val="24"/>
          <w:lang w:val="es-ES"/>
        </w:rPr>
        <w:t xml:space="preserve">Componente </w:t>
      </w:r>
      <w:r w:rsidRPr="0ED4F347" w:rsidR="56502CF6">
        <w:rPr>
          <w:rFonts w:eastAsia="Arial"/>
          <w:b w:val="0"/>
          <w:bCs w:val="0"/>
          <w:color w:val="242424"/>
          <w:sz w:val="24"/>
          <w:szCs w:val="24"/>
          <w:lang w:val="es-ES"/>
        </w:rPr>
        <w:t>de la gestión documental.</w:t>
      </w:r>
    </w:p>
    <w:p w:rsidR="1C3D137E" w:rsidP="1C3D137E" w:rsidRDefault="1C3D137E" w14:paraId="0100BBBA" w14:textId="4716AEF1">
      <w:pPr>
        <w:pStyle w:val="GrisIndicaciones"/>
      </w:pPr>
    </w:p>
    <w:tbl>
      <w:tblPr>
        <w:tblW w:w="0" w:type="auto"/>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ook w:val="0400" w:firstRow="0" w:lastRow="0" w:firstColumn="0" w:lastColumn="0" w:noHBand="0" w:noVBand="1"/>
      </w:tblPr>
      <w:tblGrid>
        <w:gridCol w:w="1555"/>
        <w:gridCol w:w="8974"/>
      </w:tblGrid>
      <w:tr w:rsidR="1C3D137E" w:rsidTr="02313C72" w14:paraId="7762C99F" w14:textId="77777777">
        <w:trPr>
          <w:trHeight w:val="300"/>
        </w:trPr>
        <w:tc>
          <w:tcPr>
            <w:tcW w:w="1555" w:type="dxa"/>
            <w:tcMar/>
          </w:tcPr>
          <w:p w:rsidR="1C3D137E" w:rsidP="1C3D137E" w:rsidRDefault="1C3D137E" w14:paraId="4BA40599" w14:textId="6C93E6DB">
            <w:pPr>
              <w:rPr>
                <w:b/>
                <w:bCs/>
              </w:rPr>
            </w:pPr>
            <w:r w:rsidRPr="1C3D137E">
              <w:rPr>
                <w:b/>
                <w:bCs/>
              </w:rPr>
              <w:t>Proceso:</w:t>
            </w:r>
          </w:p>
        </w:tc>
        <w:tc>
          <w:tcPr>
            <w:tcW w:w="8974" w:type="dxa"/>
            <w:tcMar/>
          </w:tcPr>
          <w:p w:rsidR="1C3D137E" w:rsidP="1C3D137E" w:rsidRDefault="1C3D137E" w14:paraId="5BC6DA1F" w14:textId="0669C9C0">
            <w:pPr>
              <w:rPr>
                <w:rFonts w:eastAsia="Arial"/>
                <w:sz w:val="18"/>
                <w:szCs w:val="18"/>
              </w:rPr>
            </w:pPr>
            <w:r w:rsidRPr="1C3D137E">
              <w:rPr>
                <w:rFonts w:eastAsia="Arial"/>
                <w:color w:val="000000" w:themeColor="text1"/>
                <w:sz w:val="18"/>
                <w:szCs w:val="18"/>
              </w:rPr>
              <w:t>Gobernanza, Gestión Riesgos y Desastres y Seguridad Ciudadana.</w:t>
            </w:r>
          </w:p>
        </w:tc>
      </w:tr>
      <w:tr w:rsidR="1C3D137E" w:rsidTr="02313C72" w14:paraId="675D9506" w14:textId="77777777">
        <w:trPr>
          <w:trHeight w:val="300"/>
        </w:trPr>
        <w:tc>
          <w:tcPr>
            <w:tcW w:w="1555" w:type="dxa"/>
            <w:tcBorders>
              <w:bottom w:val="single" w:color="000000" w:themeColor="text1" w:sz="4" w:space="0"/>
            </w:tcBorders>
            <w:tcMar/>
          </w:tcPr>
          <w:p w:rsidR="1C3D137E" w:rsidP="1C3D137E" w:rsidRDefault="1C3D137E" w14:paraId="4389EA72" w14:textId="41DA3E46">
            <w:pPr>
              <w:rPr>
                <w:b/>
                <w:bCs/>
              </w:rPr>
            </w:pPr>
            <w:r w:rsidRPr="1C3D137E">
              <w:rPr>
                <w:b/>
                <w:bCs/>
              </w:rPr>
              <w:t>Secretaría:</w:t>
            </w:r>
          </w:p>
        </w:tc>
        <w:tc>
          <w:tcPr>
            <w:tcW w:w="8974" w:type="dxa"/>
            <w:tcBorders>
              <w:bottom w:val="single" w:color="000000" w:themeColor="text1" w:sz="4" w:space="0"/>
            </w:tcBorders>
            <w:tcMar/>
          </w:tcPr>
          <w:p w:rsidR="1C3D137E" w:rsidP="1C3D137E" w:rsidRDefault="1C3D137E" w14:paraId="11DF5C4B" w14:textId="03F87936">
            <w:pPr>
              <w:rPr>
                <w:rFonts w:eastAsia="Arial"/>
                <w:color w:val="000000" w:themeColor="text1"/>
                <w:sz w:val="18"/>
                <w:szCs w:val="18"/>
              </w:rPr>
            </w:pPr>
            <w:r w:rsidRPr="1C3D137E">
              <w:rPr>
                <w:rFonts w:eastAsia="Arial"/>
                <w:color w:val="000000" w:themeColor="text1"/>
                <w:sz w:val="18"/>
                <w:szCs w:val="18"/>
                <w:lang w:val="es"/>
              </w:rPr>
              <w:t>Unidad Administrativa Especial para la Gestión del Riesgo de Desastres de Cundinamarca.</w:t>
            </w:r>
          </w:p>
        </w:tc>
      </w:tr>
      <w:tr w:rsidR="1C3D137E" w:rsidTr="02313C72" w14:paraId="0CCA2E51" w14:textId="77777777">
        <w:trPr>
          <w:trHeight w:val="1195"/>
        </w:trPr>
        <w:tc>
          <w:tcPr>
            <w:tcW w:w="10529" w:type="dxa"/>
            <w:gridSpan w:val="2"/>
            <w:tcBorders>
              <w:bottom w:val="nil"/>
            </w:tcBorders>
            <w:tcMar/>
          </w:tcPr>
          <w:p w:rsidR="1C3D137E" w:rsidP="0ED4F347" w:rsidRDefault="1C3D137E" w14:paraId="70DD658A" w14:textId="0B082097">
            <w:pPr>
              <w:rPr>
                <w:b w:val="1"/>
                <w:bCs w:val="1"/>
                <w:sz w:val="24"/>
                <w:szCs w:val="24"/>
              </w:rPr>
            </w:pPr>
          </w:p>
          <w:p w:rsidR="1C3D137E" w:rsidP="0ED4F347" w:rsidRDefault="1C3D137E" w14:paraId="599907E8" w14:textId="34E5DD00">
            <w:pPr>
              <w:rPr>
                <w:rFonts w:eastAsia="Arial"/>
                <w:sz w:val="24"/>
                <w:szCs w:val="24"/>
                <w:lang w:val="es"/>
              </w:rPr>
            </w:pPr>
            <w:r w:rsidRPr="0ED4F347" w:rsidR="28B33C6B">
              <w:rPr>
                <w:b w:val="1"/>
                <w:bCs w:val="1"/>
                <w:sz w:val="24"/>
                <w:szCs w:val="24"/>
              </w:rPr>
              <w:t xml:space="preserve">Condición: </w:t>
            </w:r>
            <w:r w:rsidRPr="0ED4F347" w:rsidR="659EBD09">
              <w:rPr>
                <w:rFonts w:eastAsia="Arial"/>
                <w:sz w:val="24"/>
                <w:szCs w:val="24"/>
                <w:lang w:val="es"/>
              </w:rPr>
              <w:t>La UAEGRD maneja de forma adecuada el archivo físico de los contratos revisados (Contratos UAEGRD-AD-PS-132-2025, UAEGRD-CD-SU-120-2025 y Convenio Interadministrativo UAEGRD-CD-CVI-123-2025), ya que las carpetas están ordenadas, los documentos se pueden seguir folio a folio y la trazabilidad de cada actuación es verificable en papel.</w:t>
            </w:r>
          </w:p>
          <w:p w:rsidR="5059DFE7" w:rsidP="0ED4F347" w:rsidRDefault="5059DFE7" w14:paraId="79C59B2F" w14:textId="24FDB4C8">
            <w:pPr>
              <w:rPr>
                <w:rFonts w:eastAsia="Arial"/>
                <w:sz w:val="24"/>
                <w:szCs w:val="24"/>
                <w:lang w:val="es"/>
              </w:rPr>
            </w:pPr>
            <w:r w:rsidRPr="0ED4F347" w:rsidR="659EBD09">
              <w:rPr>
                <w:rFonts w:eastAsia="Arial"/>
                <w:sz w:val="24"/>
                <w:szCs w:val="24"/>
                <w:lang w:val="es"/>
              </w:rPr>
              <w:t xml:space="preserve"> </w:t>
            </w:r>
          </w:p>
          <w:p w:rsidR="5059DFE7" w:rsidP="0ED4F347" w:rsidRDefault="5059DFE7" w14:paraId="554B67D8" w14:textId="3A1C418E">
            <w:pPr>
              <w:rPr>
                <w:rFonts w:eastAsia="Arial"/>
                <w:sz w:val="24"/>
                <w:szCs w:val="24"/>
              </w:rPr>
            </w:pPr>
            <w:r w:rsidRPr="0ED4F347" w:rsidR="659EBD09">
              <w:rPr>
                <w:rFonts w:eastAsia="Arial"/>
                <w:sz w:val="24"/>
                <w:szCs w:val="24"/>
                <w:lang w:val="es"/>
              </w:rPr>
              <w:t>Sin embargo, la entidad no cuenta con un repositorio digital institucional ni con un sistema formal de gestión electrónica de documentos; los soportes electrónicos se almacenan en cuentas personales, sin control oficial sobre su conservación, integridad y disponibilidad.</w:t>
            </w:r>
          </w:p>
          <w:p w:rsidR="1C3D137E" w:rsidP="0ED4F347" w:rsidRDefault="1C3D137E" w14:paraId="47F8E694" w14:textId="1AF1691E">
            <w:pPr>
              <w:pStyle w:val="Normal"/>
              <w:rPr>
                <w:rFonts w:eastAsia="Arial"/>
                <w:sz w:val="24"/>
                <w:szCs w:val="24"/>
                <w:lang w:val="es"/>
              </w:rPr>
            </w:pPr>
          </w:p>
        </w:tc>
      </w:tr>
      <w:tr w:rsidR="1C3D137E" w:rsidTr="02313C72" w14:paraId="18E8FD40" w14:textId="77777777">
        <w:trPr>
          <w:trHeight w:val="852"/>
        </w:trPr>
        <w:tc>
          <w:tcPr>
            <w:tcW w:w="10529" w:type="dxa"/>
            <w:gridSpan w:val="2"/>
            <w:tcBorders>
              <w:top w:val="nil"/>
              <w:bottom w:val="single" w:color="000000" w:themeColor="text1" w:sz="4"/>
            </w:tcBorders>
            <w:tcMar/>
          </w:tcPr>
          <w:p w:rsidR="1C3D137E" w:rsidP="0ED4F347" w:rsidRDefault="1C3D137E" w14:paraId="50BA2007" w14:textId="66AED7BC">
            <w:pPr>
              <w:rPr>
                <w:i w:val="1"/>
                <w:iCs w:val="1"/>
                <w:color w:val="808080" w:themeColor="background1" w:themeShade="80"/>
                <w:sz w:val="24"/>
                <w:szCs w:val="24"/>
              </w:rPr>
            </w:pPr>
            <w:r w:rsidRPr="0ED4F347" w:rsidR="28B33C6B">
              <w:rPr>
                <w:b w:val="1"/>
                <w:bCs w:val="1"/>
                <w:sz w:val="24"/>
                <w:szCs w:val="24"/>
              </w:rPr>
              <w:t xml:space="preserve">Criterio: </w:t>
            </w:r>
          </w:p>
          <w:p w:rsidR="21D6F5AF" w:rsidP="0ED4F347" w:rsidRDefault="21D6F5AF" w14:paraId="23AE02DD" w14:textId="2BB5F6B2">
            <w:pPr>
              <w:rPr>
                <w:rFonts w:eastAsia="Arial"/>
                <w:sz w:val="24"/>
                <w:szCs w:val="24"/>
                <w:lang w:val="es"/>
              </w:rPr>
            </w:pPr>
            <w:r w:rsidRPr="0ED4F347" w:rsidR="5FAFD43E">
              <w:rPr>
                <w:rFonts w:eastAsia="Arial"/>
                <w:sz w:val="24"/>
                <w:szCs w:val="24"/>
                <w:lang w:val="es"/>
              </w:rPr>
              <w:t>Guía para la organización de los archivos de gestión y transferencias documentales al archivo central de la Gobernación de Cundinamarca Numeral 6.1.2 “Ordenación Documental” subíndice “Organización de los documentos en formato digital o electrónico”.</w:t>
            </w:r>
          </w:p>
          <w:p w:rsidR="1C3D137E" w:rsidP="0ED4F347" w:rsidRDefault="1C3D137E" w14:paraId="157E1474" w14:textId="47C49F7B">
            <w:pPr>
              <w:rPr>
                <w:b w:val="1"/>
                <w:bCs w:val="1"/>
                <w:sz w:val="24"/>
                <w:szCs w:val="24"/>
              </w:rPr>
            </w:pPr>
          </w:p>
        </w:tc>
      </w:tr>
      <w:tr w:rsidR="1C3D137E" w:rsidTr="02313C72" w14:paraId="4941245F" w14:textId="77777777">
        <w:trPr>
          <w:trHeight w:val="848"/>
        </w:trPr>
        <w:tc>
          <w:tcPr>
            <w:tcW w:w="10529" w:type="dxa"/>
            <w:gridSpan w:val="2"/>
            <w:tcBorders>
              <w:top w:val="single" w:color="000000" w:themeColor="text1" w:sz="4"/>
              <w:bottom w:val="single" w:color="000000" w:themeColor="text1" w:sz="4"/>
            </w:tcBorders>
            <w:tcMar/>
          </w:tcPr>
          <w:p w:rsidR="1C3D137E" w:rsidP="0ED4F347" w:rsidRDefault="1C3D137E" w14:paraId="18BA176D" w14:textId="04E1929B">
            <w:pPr>
              <w:rPr>
                <w:i w:val="1"/>
                <w:iCs w:val="1"/>
                <w:color w:val="808080" w:themeColor="background1" w:themeShade="80"/>
                <w:sz w:val="24"/>
                <w:szCs w:val="24"/>
              </w:rPr>
            </w:pPr>
            <w:r w:rsidRPr="0ED4F347" w:rsidR="28B33C6B">
              <w:rPr>
                <w:b w:val="1"/>
                <w:bCs w:val="1"/>
                <w:sz w:val="24"/>
                <w:szCs w:val="24"/>
              </w:rPr>
              <w:t xml:space="preserve">Consecuencia: </w:t>
            </w:r>
            <w:r w:rsidRPr="0ED4F347" w:rsidR="2B888171">
              <w:rPr>
                <w:rFonts w:eastAsia="Arial"/>
                <w:sz w:val="24"/>
                <w:szCs w:val="24"/>
                <w:lang w:val="es"/>
              </w:rPr>
              <w:t>La ausencia de un repositorio digital institucional y de un sistema de gestión electrónica de documentos:</w:t>
            </w:r>
          </w:p>
          <w:p w:rsidR="6B9BA59D" w:rsidP="0ED4F347" w:rsidRDefault="6B9BA59D" w14:paraId="2AE84499" w14:textId="5C6C197A">
            <w:pPr>
              <w:rPr>
                <w:rFonts w:eastAsia="Arial"/>
                <w:sz w:val="24"/>
                <w:szCs w:val="24"/>
                <w:lang w:val="es"/>
              </w:rPr>
            </w:pPr>
            <w:r w:rsidRPr="0ED4F347" w:rsidR="2B888171">
              <w:rPr>
                <w:rFonts w:eastAsia="Arial"/>
                <w:sz w:val="24"/>
                <w:szCs w:val="24"/>
                <w:lang w:val="es"/>
              </w:rPr>
              <w:t xml:space="preserve"> </w:t>
            </w:r>
          </w:p>
          <w:p w:rsidR="6B9BA59D" w:rsidP="00153268" w:rsidRDefault="6B9BA59D" w14:paraId="3DFF1AA9" w14:textId="4F69160F">
            <w:pPr>
              <w:pStyle w:val="Prrafodelista"/>
              <w:numPr>
                <w:ilvl w:val="0"/>
                <w:numId w:val="3"/>
              </w:numPr>
              <w:ind w:left="360"/>
              <w:rPr>
                <w:rFonts w:eastAsia="Arial"/>
                <w:sz w:val="24"/>
                <w:szCs w:val="24"/>
                <w:lang w:val="es"/>
              </w:rPr>
            </w:pPr>
            <w:r w:rsidRPr="1C3D137E">
              <w:rPr>
                <w:rFonts w:eastAsia="Arial"/>
                <w:sz w:val="24"/>
                <w:szCs w:val="24"/>
                <w:lang w:val="es"/>
              </w:rPr>
              <w:t xml:space="preserve">Aumenta el riesgo de pérdida, deterioro o alteración de la información de la UAEGRD. </w:t>
            </w:r>
          </w:p>
          <w:p w:rsidR="6B9BA59D" w:rsidP="00153268" w:rsidRDefault="6B9BA59D" w14:paraId="300FEFB0" w14:textId="311518C3">
            <w:pPr>
              <w:pStyle w:val="Prrafodelista"/>
              <w:numPr>
                <w:ilvl w:val="0"/>
                <w:numId w:val="3"/>
              </w:numPr>
              <w:ind w:left="360"/>
              <w:rPr>
                <w:rFonts w:eastAsia="Arial"/>
                <w:sz w:val="24"/>
                <w:szCs w:val="24"/>
                <w:lang w:val="es"/>
              </w:rPr>
            </w:pPr>
            <w:r w:rsidRPr="1C3D137E">
              <w:rPr>
                <w:rFonts w:eastAsia="Arial"/>
                <w:sz w:val="24"/>
                <w:szCs w:val="24"/>
                <w:lang w:val="es"/>
              </w:rPr>
              <w:t>Dificulta la toma de decisiones oportunas y el seguimiento a la gestión, al no contar con información digital centralizada, confiable y fácilmente consultable.</w:t>
            </w:r>
          </w:p>
          <w:p w:rsidR="6B9BA59D" w:rsidP="00153268" w:rsidRDefault="6B9BA59D" w14:paraId="530EA498" w14:textId="77D4215C">
            <w:pPr>
              <w:pStyle w:val="Prrafodelista"/>
              <w:numPr>
                <w:ilvl w:val="0"/>
                <w:numId w:val="3"/>
              </w:numPr>
              <w:ind w:left="360"/>
              <w:rPr>
                <w:rFonts w:eastAsia="Arial"/>
                <w:sz w:val="24"/>
                <w:szCs w:val="24"/>
                <w:lang w:val="es"/>
              </w:rPr>
            </w:pPr>
            <w:r w:rsidRPr="1C3D137E">
              <w:rPr>
                <w:rFonts w:eastAsia="Arial"/>
                <w:sz w:val="24"/>
                <w:szCs w:val="24"/>
                <w:lang w:val="es"/>
              </w:rPr>
              <w:t>Puede generar incumplimientos a la normativa archivística, de transparencia y de gobierno digital, afectando los principios de publicidad, transparencia y acceso a la información pública.</w:t>
            </w:r>
          </w:p>
          <w:p w:rsidR="6B9BA59D" w:rsidP="0ED4F347" w:rsidRDefault="6B9BA59D" w14:paraId="0EF6498C" w14:textId="64424EE2">
            <w:pPr>
              <w:rPr>
                <w:rFonts w:eastAsia="Arial"/>
                <w:sz w:val="24"/>
                <w:szCs w:val="24"/>
              </w:rPr>
            </w:pPr>
            <w:r w:rsidRPr="0ED4F347" w:rsidR="2B888171">
              <w:rPr>
                <w:rFonts w:eastAsia="Arial"/>
                <w:sz w:val="24"/>
                <w:szCs w:val="24"/>
                <w:lang w:val="es"/>
              </w:rPr>
              <w:t>Expone a la entidad y a sus funcionarios a eventuales responsabilidades disciplinarias, fiscales o legales, derivadas de la inadecuada gestión documental electrónica.</w:t>
            </w:r>
          </w:p>
          <w:p w:rsidR="1C3D137E" w:rsidP="1C3D137E" w:rsidRDefault="1C3D137E" w14:paraId="52DA996D" w14:textId="2CCA6D8B">
            <w:pPr>
              <w:rPr>
                <w:rFonts w:eastAsia="Arial"/>
                <w:sz w:val="24"/>
                <w:szCs w:val="24"/>
                <w:lang w:val="es"/>
              </w:rPr>
            </w:pPr>
          </w:p>
        </w:tc>
      </w:tr>
      <w:tr w:rsidR="1C3D137E" w:rsidTr="02313C72" w14:paraId="53AD69C1" w14:textId="77777777">
        <w:trPr>
          <w:trHeight w:val="469"/>
        </w:trPr>
        <w:tc>
          <w:tcPr>
            <w:tcW w:w="10529" w:type="dxa"/>
            <w:gridSpan w:val="2"/>
            <w:tcBorders>
              <w:top w:val="single" w:color="000000" w:themeColor="text1" w:sz="4"/>
            </w:tcBorders>
            <w:tcMar/>
          </w:tcPr>
          <w:p w:rsidR="1C3D137E" w:rsidP="0ED4F347" w:rsidRDefault="1C3D137E" w14:paraId="68E76B04" w14:textId="761AD1BE">
            <w:pPr>
              <w:pStyle w:val="Normal"/>
              <w:rPr>
                <w:b w:val="1"/>
                <w:bCs w:val="1"/>
                <w:sz w:val="24"/>
                <w:szCs w:val="24"/>
              </w:rPr>
            </w:pPr>
            <w:r w:rsidRPr="0ED4F347" w:rsidR="28B33C6B">
              <w:rPr>
                <w:b w:val="1"/>
                <w:bCs w:val="1"/>
                <w:sz w:val="24"/>
                <w:szCs w:val="24"/>
              </w:rPr>
              <w:t xml:space="preserve">Evidencia: </w:t>
            </w:r>
            <w:r w:rsidRPr="0ED4F347" w:rsidR="5381AFCA">
              <w:rPr>
                <w:rFonts w:ascii="Arial" w:hAnsi="Arial" w:eastAsia="Arial" w:cs="Arial"/>
                <w:b w:val="1"/>
                <w:bCs w:val="1"/>
                <w:noProof w:val="0"/>
                <w:sz w:val="24"/>
                <w:szCs w:val="24"/>
                <w:lang w:val="es"/>
              </w:rPr>
              <w:t>“</w:t>
            </w:r>
            <w:r w:rsidRPr="0ED4F347" w:rsidR="5381AFCA">
              <w:rPr>
                <w:rFonts w:ascii="Arial" w:hAnsi="Arial" w:eastAsia="Arial" w:cs="Arial"/>
                <w:i w:val="1"/>
                <w:iCs w:val="1"/>
                <w:noProof w:val="0"/>
                <w:sz w:val="24"/>
                <w:szCs w:val="24"/>
                <w:lang w:val="es"/>
              </w:rPr>
              <w:t>Papel de trabajo Obj Esp 2” -.</w:t>
            </w:r>
            <w:r w:rsidRPr="0ED4F347" w:rsidR="5381AFCA">
              <w:rPr>
                <w:rFonts w:ascii="Arial" w:hAnsi="Arial" w:eastAsia="Arial" w:cs="Arial"/>
                <w:noProof w:val="0"/>
                <w:sz w:val="24"/>
                <w:szCs w:val="24"/>
                <w:lang w:val="es"/>
              </w:rPr>
              <w:t xml:space="preserve"> </w:t>
            </w:r>
            <w:r w:rsidRPr="0ED4F347" w:rsidR="5381AFCA">
              <w:rPr>
                <w:rFonts w:ascii="Arial" w:hAnsi="Arial" w:eastAsia="Arial" w:cs="Arial"/>
                <w:i w:val="1"/>
                <w:iCs w:val="1"/>
                <w:noProof w:val="0"/>
                <w:sz w:val="24"/>
                <w:szCs w:val="24"/>
                <w:lang w:val="es"/>
              </w:rPr>
              <w:t>“</w:t>
            </w:r>
            <w:r w:rsidRPr="0ED4F347" w:rsidR="5381AFCA">
              <w:rPr>
                <w:rFonts w:ascii="Arial" w:hAnsi="Arial" w:eastAsia="Arial" w:cs="Arial"/>
                <w:i w:val="1"/>
                <w:iCs w:val="1"/>
                <w:noProof w:val="0"/>
                <w:sz w:val="24"/>
                <w:szCs w:val="24"/>
                <w:lang w:val="es-ES"/>
              </w:rPr>
              <w:t>Evaluar el cumplimiento de las acciones de manejo, así como la eficacia de los controles establecidos en el Procedimiento de Atención de Emergencias, el Plan de Acción Específico y los mecanismos de Coordinación Institucional, mediante la verificación de la trazabilidad de un desastre ocurrido durante el período evaluado y el análisis de su incidencia en el desempeño del proceso. En este marco, se verificará una muestra de la gestión contractual y documental asociada”.</w:t>
            </w:r>
          </w:p>
        </w:tc>
      </w:tr>
      <w:tr w:rsidR="1C3D137E" w:rsidTr="02313C72" w14:paraId="04F95B2A" w14:textId="77777777">
        <w:trPr>
          <w:trHeight w:val="300"/>
        </w:trPr>
        <w:tc>
          <w:tcPr>
            <w:tcW w:w="10529" w:type="dxa"/>
            <w:gridSpan w:val="2"/>
            <w:tcMar/>
          </w:tcPr>
          <w:p w:rsidR="1C3D137E" w:rsidP="1C3D137E" w:rsidRDefault="1C3D137E" w14:paraId="5500C64A" w14:textId="27B3FBD1">
            <w:pPr>
              <w:rPr>
                <w:rFonts w:eastAsia="Arial"/>
                <w:lang w:val="es"/>
              </w:rPr>
            </w:pPr>
            <w:r w:rsidRPr="1C3D137E">
              <w:rPr>
                <w:b/>
                <w:bCs/>
              </w:rPr>
              <w:t>Controversia:</w:t>
            </w:r>
            <w:r>
              <w:t xml:space="preserve"> </w:t>
            </w:r>
            <w:r w:rsidRPr="1C3D137E" w:rsidR="5A453712">
              <w:rPr>
                <w:rFonts w:eastAsia="Arial"/>
                <w:lang w:val="es"/>
              </w:rPr>
              <w:t xml:space="preserve">La </w:t>
            </w:r>
            <w:r w:rsidRPr="1C3D137E" w:rsidR="5A453712">
              <w:rPr>
                <w:rFonts w:eastAsia="Arial"/>
                <w:color w:val="000000" w:themeColor="text1"/>
                <w:lang w:val="es"/>
              </w:rPr>
              <w:t>Unidad Administrativa Especial para la Gestión del Riesgo de Desastres de Cundinamarca.</w:t>
            </w:r>
            <w:r w:rsidRPr="1C3D137E" w:rsidR="5A453712">
              <w:rPr>
                <w:rFonts w:eastAsia="Arial"/>
                <w:lang w:val="es"/>
              </w:rPr>
              <w:t>, a través de correo institucional fechado el lunes 20 de abril de 2026, dio respuesta a las observaciones formuladas en la auditoría interna de gestión realizada por la Oficina de Control Interno mediante cóndor GOB-S-CR-2026-0062623 del 15 de abril de 2026, adjuntando un archivo Excel en el que se detallaron las siguientes precisiones:</w:t>
            </w:r>
          </w:p>
          <w:p w:rsidR="1C3D137E" w:rsidP="1C3D137E" w:rsidRDefault="1C3D137E" w14:paraId="4B3589D9" w14:textId="77777777">
            <w:pPr>
              <w:rPr>
                <w:rStyle w:val="GrisIndicacionesCar"/>
              </w:rPr>
            </w:pPr>
          </w:p>
          <w:p w:rsidR="5A453712" w:rsidP="0ED4F347" w:rsidRDefault="5A453712" w14:paraId="6B22355F" w14:textId="3F90A233">
            <w:pPr>
              <w:rPr>
                <w:rFonts w:eastAsia="Arial"/>
                <w:color w:val="auto"/>
                <w:lang w:val="es"/>
              </w:rPr>
            </w:pPr>
            <w:r w:rsidRPr="0ED4F347" w:rsidR="32BC8D63">
              <w:rPr>
                <w:rFonts w:eastAsia="Arial"/>
                <w:color w:val="auto"/>
                <w:lang w:val="es"/>
              </w:rPr>
              <w:t>Como consecuencia del eventual incumplimiento, la Oficina de Control Interno remitió a la Unidad Administrativa Especial para la Gestión del Riesgo de Desastres, mediante CÓNDOR No. GOB-S-CR-2026-0062623 del 15 de abril de 2026, comunicación con la relación de hallazgos presentados durante el desarrollo de la auditoría, con el fin de que la unidad auditada tuviera la oportunidad de presentar controversias debidamente argumentadas y soportadas respecto de los hallazgos socializados. En respuesta a dicha comunicación, la UAEGRD, mediante correo institucional del lunes 20 de abril de 2026, dio respuesta a las observaciones de auditoría interna de gestión, anexando comunicado en el cual expuso, entre otros:</w:t>
            </w:r>
          </w:p>
          <w:p w:rsidR="1C3D137E" w:rsidRDefault="1C3D137E" w14:paraId="06ED2E10" w14:textId="13E23854"/>
          <w:p w:rsidR="6970194C" w:rsidP="0ED4F347" w:rsidRDefault="6970194C" w14:paraId="53D9F200" w14:textId="628B43B3">
            <w:pPr>
              <w:spacing w:after="160"/>
              <w:rPr>
                <w:rFonts w:eastAsia="Arial"/>
                <w:i w:val="1"/>
                <w:iCs w:val="1"/>
                <w:color w:val="auto"/>
              </w:rPr>
            </w:pPr>
            <w:r w:rsidRPr="0ED4F347" w:rsidR="1A03221D">
              <w:rPr>
                <w:rFonts w:eastAsia="Arial"/>
                <w:i w:val="1"/>
                <w:iCs w:val="1"/>
                <w:color w:val="auto"/>
              </w:rPr>
              <w:t>“La entidad no acoge el hallazgo señalado, en razón a que actualmente cumple con la obligación de contar con un expediente físico que garantiza la conservación y disponibilidad de la información contractual tal como lo indica el miso en su descripción. Es importante precisar que el mismo hallazgo no indica la normatividad vigente que la entidad no este acatando referente al repositorio de los expedientes en formato digital, por lo cual no puede considerarse como incumplimiento la ausencia de este mecanismo”.</w:t>
            </w:r>
          </w:p>
          <w:p w:rsidR="6970194C" w:rsidP="0ED4F347" w:rsidRDefault="6970194C" w14:paraId="7499EABC" w14:textId="12492A5F">
            <w:pPr>
              <w:spacing w:after="160"/>
              <w:rPr>
                <w:rFonts w:eastAsia="Arial"/>
                <w:i w:val="1"/>
                <w:iCs w:val="1"/>
                <w:color w:val="auto"/>
              </w:rPr>
            </w:pPr>
            <w:r w:rsidRPr="0ED4F347" w:rsidR="1A03221D">
              <w:rPr>
                <w:rFonts w:eastAsia="Arial"/>
                <w:i w:val="1"/>
                <w:iCs w:val="1"/>
                <w:color w:val="auto"/>
              </w:rPr>
              <w:t>“Adicionalmente, la entidad no cuenta con la infraestructura tecnológica necesaria —en particular, un servidor institucional— que permita la gestión y almacenamiento de expedientes digitales. La implementación de esta actividad excede las competencias propias de la entidad ya que como se indica la entidad hace parte del nivel central de la Gobernación de Cundinamarca y por lo cual este tipo de acciones requiere la inclusión de la Secretaría de Tecnologías de la Información y las Comunicaciones (TIC), en tanto responsable de la administración de los recursos tecnológicos y de la definición de lineamientos para la transformación digital”.</w:t>
            </w:r>
          </w:p>
          <w:p w:rsidR="6970194C" w:rsidP="0ED4F347" w:rsidRDefault="6970194C" w14:paraId="65A5369F" w14:textId="52077B78">
            <w:pPr>
              <w:spacing w:after="160"/>
              <w:rPr>
                <w:rFonts w:eastAsia="Arial"/>
                <w:i w:val="1"/>
                <w:iCs w:val="1"/>
                <w:color w:val="auto"/>
              </w:rPr>
            </w:pPr>
            <w:r w:rsidRPr="0ED4F347" w:rsidR="1A03221D">
              <w:rPr>
                <w:rFonts w:eastAsia="Arial"/>
                <w:i w:val="1"/>
                <w:iCs w:val="1"/>
                <w:color w:val="auto"/>
              </w:rPr>
              <w:t>“En consecuencia, la observación debe ser revisada considerando que la entidad cumple con lo exigido mediante el expediente físico y que cualquier iniciativa para la digitalización de expedientes corresponde a un proceso interinstitucional que involucra directamente a la Secretaría TIC en cuanto a la disposición del servidor”.</w:t>
            </w:r>
          </w:p>
          <w:p w:rsidR="1C3D137E" w:rsidP="0ED4F347" w:rsidRDefault="1C3D137E" w14:paraId="74BB741A" w14:textId="32F7FB9E">
            <w:pPr>
              <w:spacing w:after="160"/>
              <w:rPr>
                <w:rFonts w:eastAsia="Arial"/>
                <w:sz w:val="22"/>
                <w:szCs w:val="22"/>
              </w:rPr>
            </w:pPr>
            <w:r w:rsidRPr="0ED4F347" w:rsidR="28B33C6B">
              <w:rPr>
                <w:b w:val="1"/>
                <w:bCs w:val="1"/>
                <w:i w:val="1"/>
                <w:iCs w:val="1"/>
              </w:rPr>
              <w:t xml:space="preserve">Análisis: </w:t>
            </w:r>
            <w:r w:rsidRPr="0ED4F347" w:rsidR="564697AA">
              <w:rPr>
                <w:rFonts w:eastAsia="Arial"/>
              </w:rPr>
              <w:t>La UAEGRD argumenta que no existe norma que la obligue a contar con un repositorio digital; sin embargo, este planteamiento no es correcto. La normatividad colombiana vigente es clara al respecto: la Ley 594 de 2000 exige que los archivos públicos se organicen y preserven en cualquier soporte, incluido el digital; el Decreto 2609 de 2012, compilado en el Decreto 1080 de 2015, establece que los documentos electrónicos deben gestionarse garantizando su autenticidad, integridad, fiabilidad y disponibilidad, condiciones que no se cumplen cuando los archivos se guardan en cuentas personales de funcionarios; el Acuerdo AGN 060 de 2001 del Archivo General de la Nación deja claro que la gestión de documentos electrónicos no es opcional para las entidades del Estado; y el numeral 6.1.2 de la Guía de Gestión Documental de la Gobernación de Cundinamarca establece directrices concretas para el manejo de documentos digitales, que son de obligatorio cumplimiento para todas las dependencias, incluida la U</w:t>
            </w:r>
            <w:r w:rsidRPr="0ED4F347" w:rsidR="564697AA">
              <w:rPr>
                <w:rFonts w:eastAsia="Arial"/>
                <w:sz w:val="22"/>
                <w:szCs w:val="22"/>
              </w:rPr>
              <w:t>AEGRD.</w:t>
            </w:r>
          </w:p>
          <w:p w:rsidR="0DB22200" w:rsidP="0ED4F347" w:rsidRDefault="0DB22200" w14:paraId="5E8C80A8" w14:textId="634ECD91">
            <w:pPr>
              <w:pStyle w:val="Normal"/>
              <w:rPr>
                <w:rFonts w:ascii="Arial" w:hAnsi="Arial" w:eastAsia="Arial" w:cs="Arial"/>
                <w:noProof w:val="0"/>
                <w:sz w:val="22"/>
                <w:szCs w:val="22"/>
                <w:lang w:val="es"/>
              </w:rPr>
            </w:pPr>
            <w:r w:rsidRPr="0ED4F347" w:rsidR="210F4535">
              <w:rPr>
                <w:rFonts w:ascii="Arial" w:hAnsi="Arial" w:eastAsia="Arial" w:cs="Arial"/>
                <w:noProof w:val="0"/>
                <w:sz w:val="22"/>
                <w:szCs w:val="22"/>
                <w:lang w:val="es"/>
              </w:rPr>
              <w:t>Adicionalmente, la autorregulación interna de la Gobernación de Cundinamarca refuerza esta obligación mediante la “Guía para la organización de los archivos de gestión y las transferencias documentales al Archivo Central de la Gobernación de Cundinamarca”, en su numeral 6.1.2 “Ordenación Documental”, subíndice “Organización de los documentos en formato digital o electrónico”, la cual se encuentra vigente y debe cumplirse de manera obligatoria en toda la entidad.</w:t>
            </w:r>
          </w:p>
          <w:p w:rsidR="0DB22200" w:rsidP="0ED4F347" w:rsidRDefault="0DB22200" w14:paraId="6AEB786D" w14:textId="2F5263BB">
            <w:pPr>
              <w:spacing w:before="240" w:beforeAutospacing="off" w:after="240" w:afterAutospacing="off"/>
            </w:pPr>
            <w:r w:rsidRPr="0ED4F347" w:rsidR="767522DE">
              <w:rPr>
                <w:rFonts w:ascii="Arial" w:hAnsi="Arial" w:eastAsia="Arial" w:cs="Arial"/>
                <w:noProof w:val="0"/>
                <w:sz w:val="22"/>
                <w:szCs w:val="22"/>
                <w:lang w:val="es-ES"/>
              </w:rPr>
              <w:t>Frente a la justificación de que la entidad no cuenta con un servidor propio, es preciso aclarar que esta limitación no la exime del cumplimiento de sus obligaciones. Por el contrario, debió gestionarse de manera anticipada y formal el apoyo de la Secretaría de Transformación Digital de la Gobernación. El hecho de que la solución dependa de otra dependencia no hace aceptable la situación actual; más bien evidencia que dicha gestión no se realizó oportunamente.</w:t>
            </w:r>
          </w:p>
          <w:p w:rsidR="0DB22200" w:rsidP="0ED4F347" w:rsidRDefault="0DB22200" w14:paraId="0E8E6A09" w14:textId="74D586FF">
            <w:pPr>
              <w:spacing w:before="240" w:beforeAutospacing="off" w:after="240" w:afterAutospacing="off"/>
            </w:pPr>
            <w:r w:rsidRPr="0ED4F347" w:rsidR="767522DE">
              <w:rPr>
                <w:rFonts w:ascii="Arial" w:hAnsi="Arial" w:eastAsia="Arial" w:cs="Arial"/>
                <w:noProof w:val="0"/>
                <w:sz w:val="22"/>
                <w:szCs w:val="22"/>
                <w:lang w:val="es-ES"/>
              </w:rPr>
              <w:t>A lo anterior se suma que el almacenamiento de documentos oficiales en cuentas personales implica riesgos significativos para la información institucional: ante la salida de un funcionario, los documentos pueden perderse, y en ausencia de controles de acceso adecuados, pueden ser modificados o eliminados sin trazabilidad. Esta situación puede dar lugar a responsabilidades disciplinarias para los funcionarios involucrados, conforme a lo establecido en el artículo 34, numeral 5 de la Ley 734 de 2002.</w:t>
            </w:r>
          </w:p>
          <w:p w:rsidR="0DB22200" w:rsidP="0ED4F347" w:rsidRDefault="0DB22200" w14:paraId="34DDEB49" w14:textId="60DB9101">
            <w:pPr>
              <w:spacing w:before="240" w:beforeAutospacing="off" w:after="240" w:afterAutospacing="off"/>
            </w:pPr>
            <w:r w:rsidRPr="0ED4F347" w:rsidR="767522DE">
              <w:rPr>
                <w:rFonts w:ascii="Arial" w:hAnsi="Arial" w:eastAsia="Arial" w:cs="Arial"/>
                <w:noProof w:val="0"/>
                <w:sz w:val="22"/>
                <w:szCs w:val="22"/>
                <w:lang w:val="es-ES"/>
              </w:rPr>
              <w:t>Si bien la entidad ha logrado mantener organizado su archivo físico, la normatividad vigente no permite optar por uno u otro soporte. La gestión documental en formato físico y digital constituye una obligación integral que debe cumplirse de manera simultánea. En consecuencia, la Oficina de Control Interno mantiene el hallazgo.</w:t>
            </w:r>
          </w:p>
        </w:tc>
      </w:tr>
    </w:tbl>
    <w:p w:rsidR="1C3D137E" w:rsidRDefault="1C3D137E" w14:paraId="0C8E7811" w14:textId="77777777"/>
    <w:p w:rsidRPr="00CE1EAC" w:rsidR="00AF5EF2" w:rsidP="0ED4F347" w:rsidRDefault="005B0085" w14:paraId="26C97CF2" w14:noSpellErr="1" w14:textId="733BF807">
      <w:pPr>
        <w:pStyle w:val="Ttulo1"/>
        <w:rPr/>
      </w:pPr>
      <w:bookmarkStart w:name="_Toc206756965" w:id="128"/>
      <w:bookmarkStart w:name="_Toc206758797" w:id="129"/>
      <w:bookmarkStart w:name="_Toc206758813" w:id="130"/>
      <w:bookmarkStart w:name="_Toc206758861" w:id="131"/>
      <w:bookmarkStart w:name="_Toc206758877" w:id="132"/>
      <w:bookmarkStart w:name="_Toc206759100" w:id="133"/>
      <w:bookmarkStart w:name="_Toc206759651" w:id="134"/>
      <w:r w:rsidR="50C6CA9E">
        <w:rPr/>
        <w:t xml:space="preserve">CONCLUSIONES </w:t>
      </w:r>
      <w:r w:rsidR="6C9B049C">
        <w:rPr/>
        <w:t>Y/O RECOMENDACIONES</w:t>
      </w:r>
      <w:bookmarkEnd w:id="128"/>
      <w:bookmarkEnd w:id="129"/>
      <w:bookmarkEnd w:id="130"/>
      <w:bookmarkEnd w:id="131"/>
      <w:bookmarkEnd w:id="132"/>
      <w:bookmarkEnd w:id="133"/>
      <w:bookmarkEnd w:id="134"/>
    </w:p>
    <w:p w:rsidR="0ED4F347" w:rsidP="0ED4F347" w:rsidRDefault="0ED4F347" w14:paraId="0E69320E" w14:textId="7EEEDE15">
      <w:pPr>
        <w:pStyle w:val="Normal"/>
        <w:spacing w:before="0" w:beforeAutospacing="off" w:after="160" w:afterAutospacing="off" w:line="276" w:lineRule="auto"/>
        <w:jc w:val="both"/>
        <w:rPr>
          <w:rFonts w:ascii="Arial" w:hAnsi="Arial" w:eastAsia="Arial" w:cs="Arial"/>
          <w:noProof w:val="0"/>
          <w:sz w:val="24"/>
          <w:szCs w:val="24"/>
          <w:lang w:val="es-ES"/>
        </w:rPr>
      </w:pPr>
    </w:p>
    <w:p w:rsidR="110E088B" w:rsidP="0ED4F347" w:rsidRDefault="110E088B" w14:paraId="5C27216D" w14:textId="478A491B">
      <w:pPr>
        <w:pStyle w:val="Normal"/>
        <w:spacing w:before="0" w:beforeAutospacing="off" w:after="160" w:afterAutospacing="off" w:line="276" w:lineRule="auto"/>
        <w:jc w:val="both"/>
        <w:rPr>
          <w:rFonts w:ascii="Arial" w:hAnsi="Arial" w:eastAsia="Arial" w:cs="Arial"/>
          <w:noProof w:val="0"/>
          <w:sz w:val="24"/>
          <w:szCs w:val="24"/>
          <w:lang w:val="es-ES"/>
        </w:rPr>
      </w:pPr>
      <w:r w:rsidRPr="0ED4F347" w:rsidR="110E088B">
        <w:rPr>
          <w:rFonts w:ascii="Arial" w:hAnsi="Arial" w:eastAsia="Arial" w:cs="Arial"/>
          <w:noProof w:val="0"/>
          <w:sz w:val="24"/>
          <w:szCs w:val="24"/>
          <w:lang w:val="es-ES"/>
        </w:rPr>
        <w:t>La Auditoría Interna de Gestión practicada a la UAEGRD de Cundinamarca por el período comprendido entre el 1 de enero y el 31 de diciembre de 2025, tomando como hilo conductor el sismo del 8 de junio de 2025 en los municipios de Medina y Paratebueno, permite concluir que la Unidad cuenta con un marco normativo departamental ampliamente alineado con la Ley 1523 de 2012 y con procedimientos misionales definidos, lo que constituye una base operativa para la atención de emergencias. No obstante, la auditoría identificó brechas relevantes entre lo planificado y lo ejecutado, materializadas en seis hallazgos: una oportunidad de mejora en la alineación normativa y cinco incumplimientos relacionados con la articulación del PDGRDC con el Plan de Desarrollo, la trazabilidad en la entrega de ayudas humanitarias, la gestión documental y contractual de los contratos de emergencia, y la eficacia de los controles procedimentales.</w:t>
      </w:r>
    </w:p>
    <w:p w:rsidR="110E088B" w:rsidP="0ED4F347" w:rsidRDefault="110E088B" w14:paraId="238B0F9A" w14:textId="0D6727A6">
      <w:pPr>
        <w:spacing w:before="0" w:beforeAutospacing="off" w:after="160" w:afterAutospacing="off" w:line="276" w:lineRule="auto"/>
        <w:jc w:val="both"/>
        <w:rPr>
          <w:rFonts w:ascii="Arial" w:hAnsi="Arial" w:eastAsia="Arial" w:cs="Arial"/>
          <w:noProof w:val="0"/>
          <w:sz w:val="24"/>
          <w:szCs w:val="24"/>
          <w:lang w:val="es-ES"/>
        </w:rPr>
      </w:pPr>
      <w:r w:rsidRPr="0ED4F347" w:rsidR="110E088B">
        <w:rPr>
          <w:rFonts w:ascii="Arial" w:hAnsi="Arial" w:eastAsia="Arial" w:cs="Arial"/>
          <w:noProof w:val="0"/>
          <w:sz w:val="24"/>
          <w:szCs w:val="24"/>
          <w:lang w:val="es-ES"/>
        </w:rPr>
        <w:t>La capacidad de respuesta frente al evento sísmico fue oportuna en sus instancias de decisión estratégica (declaratoria de calamidad, elaboración y aprobación del PAE), pero presentó debilidades en la ejecución operativa de los procedimientos de atención directa y entrega de ayudas, así como en el registro documental que debe dar cuenta de cada actuación.</w:t>
      </w:r>
    </w:p>
    <w:p w:rsidR="7CB4AF74" w:rsidP="0ED4F347" w:rsidRDefault="7CB4AF74" w14:paraId="6000D804" w14:textId="728EF1D5">
      <w:pPr>
        <w:pStyle w:val="Normal"/>
        <w:spacing w:before="0" w:beforeAutospacing="off" w:after="160" w:afterAutospacing="off" w:line="276" w:lineRule="auto"/>
        <w:jc w:val="both"/>
        <w:rPr>
          <w:rFonts w:ascii="Arial" w:hAnsi="Arial" w:eastAsia="Arial" w:cs="Arial"/>
          <w:b w:val="0"/>
          <w:bCs w:val="0"/>
          <w:i w:val="0"/>
          <w:iCs w:val="0"/>
          <w:caps w:val="0"/>
          <w:smallCaps w:val="0"/>
          <w:noProof w:val="0"/>
          <w:color w:val="000000" w:themeColor="text1" w:themeTint="FF" w:themeShade="FF"/>
          <w:sz w:val="22"/>
          <w:szCs w:val="22"/>
          <w:lang w:val="es-ES"/>
        </w:rPr>
      </w:pPr>
      <w:r w:rsidRPr="0ED4F347" w:rsidR="7CB4AF74">
        <w:rPr>
          <w:rFonts w:ascii="Arial" w:hAnsi="Arial" w:eastAsia="Arial" w:cs="Arial"/>
          <w:noProof w:val="0"/>
          <w:sz w:val="24"/>
          <w:szCs w:val="24"/>
          <w:lang w:val="es-ES"/>
        </w:rPr>
        <w:t xml:space="preserve">De otro lado, </w:t>
      </w:r>
      <w:r w:rsidRPr="0ED4F347" w:rsidR="4BDC5199">
        <w:rPr>
          <w:rFonts w:ascii="Arial" w:hAnsi="Arial" w:eastAsia="Arial" w:cs="Arial"/>
          <w:noProof w:val="0"/>
          <w:sz w:val="24"/>
          <w:szCs w:val="24"/>
          <w:lang w:val="es-ES"/>
        </w:rPr>
        <w:t>La revisión artículo por artículo de la Ley 1523 de 2012 frente a</w:t>
      </w:r>
      <w:r w:rsidRPr="0ED4F347" w:rsidR="66177C10">
        <w:rPr>
          <w:rFonts w:ascii="Arial" w:hAnsi="Arial" w:eastAsia="Arial" w:cs="Arial"/>
          <w:noProof w:val="0"/>
          <w:sz w:val="24"/>
          <w:szCs w:val="24"/>
          <w:lang w:val="es-ES"/>
        </w:rPr>
        <w:t xml:space="preserve"> su alineación con </w:t>
      </w:r>
      <w:r w:rsidRPr="0ED4F347" w:rsidR="4BDC5199">
        <w:rPr>
          <w:rFonts w:ascii="Arial" w:hAnsi="Arial" w:eastAsia="Arial" w:cs="Arial"/>
          <w:noProof w:val="0"/>
          <w:sz w:val="24"/>
          <w:szCs w:val="24"/>
          <w:lang w:val="es-ES"/>
        </w:rPr>
        <w:t>las Ordenanzas Departamentales 066 de 2018 y 140 de 2012 arrojó 97%</w:t>
      </w:r>
      <w:r w:rsidRPr="0ED4F347" w:rsidR="0BE3E2BC">
        <w:rPr>
          <w:rFonts w:ascii="Arial" w:hAnsi="Arial" w:eastAsia="Arial" w:cs="Arial"/>
          <w:noProof w:val="0"/>
          <w:sz w:val="24"/>
          <w:szCs w:val="24"/>
          <w:lang w:val="es-ES"/>
        </w:rPr>
        <w:t xml:space="preserve"> de cumplimiento</w:t>
      </w:r>
      <w:r w:rsidRPr="0ED4F347" w:rsidR="4BDC5199">
        <w:rPr>
          <w:rFonts w:ascii="Arial" w:hAnsi="Arial" w:eastAsia="Arial" w:cs="Arial"/>
          <w:noProof w:val="0"/>
          <w:sz w:val="24"/>
          <w:szCs w:val="24"/>
          <w:lang w:val="es-ES"/>
        </w:rPr>
        <w:t xml:space="preserve">, resultado que refleja un avance </w:t>
      </w:r>
      <w:r w:rsidRPr="0ED4F347" w:rsidR="4BDC5199">
        <w:rPr>
          <w:rFonts w:ascii="Arial" w:hAnsi="Arial" w:eastAsia="Arial" w:cs="Arial"/>
          <w:noProof w:val="0"/>
          <w:sz w:val="24"/>
          <w:szCs w:val="24"/>
          <w:lang w:val="es-ES"/>
        </w:rPr>
        <w:t xml:space="preserve">significativo en la incorporación del marco nacional en la normativa territorial. No obstante, se identificaron tres artículos </w:t>
      </w:r>
      <w:r w:rsidRPr="0ED4F347" w:rsidR="2D026AA2">
        <w:rPr>
          <w:rFonts w:ascii="Arial" w:hAnsi="Arial" w:eastAsia="Arial" w:cs="Arial"/>
          <w:noProof w:val="0"/>
          <w:sz w:val="24"/>
          <w:szCs w:val="24"/>
          <w:lang w:val="es-ES"/>
        </w:rPr>
        <w:t>(</w:t>
      </w:r>
      <w:r w:rsidRPr="0ED4F347" w:rsidR="4BDC5199">
        <w:rPr>
          <w:rFonts w:ascii="Arial" w:hAnsi="Arial" w:eastAsia="Arial" w:cs="Arial"/>
          <w:noProof w:val="0"/>
          <w:sz w:val="24"/>
          <w:szCs w:val="24"/>
          <w:lang w:val="es-ES"/>
        </w:rPr>
        <w:t>el 4, el 31 y el 59</w:t>
      </w:r>
      <w:r w:rsidRPr="0ED4F347" w:rsidR="4AEB642C">
        <w:rPr>
          <w:rFonts w:ascii="Arial" w:hAnsi="Arial" w:eastAsia="Arial" w:cs="Arial"/>
          <w:noProof w:val="0"/>
          <w:sz w:val="24"/>
          <w:szCs w:val="24"/>
          <w:lang w:val="es-ES"/>
        </w:rPr>
        <w:t>)</w:t>
      </w:r>
      <w:r w:rsidRPr="0ED4F347" w:rsidR="4BDC5199">
        <w:rPr>
          <w:rFonts w:ascii="Arial" w:hAnsi="Arial" w:eastAsia="Arial" w:cs="Arial"/>
          <w:noProof w:val="0"/>
          <w:sz w:val="24"/>
          <w:szCs w:val="24"/>
          <w:lang w:val="es-ES"/>
        </w:rPr>
        <w:t xml:space="preserve"> que no están completamente desarrollados en el orden departamental, lo que genera espacios de interpretación en la asignación de responsabilidades y en la aplicación de los procedimientos establecidos para la declaratoria de desastres y calamidades públicas.</w:t>
      </w:r>
    </w:p>
    <w:p w:rsidR="4BDC5199" w:rsidP="0ED4F347" w:rsidRDefault="4BDC5199" w14:paraId="5D69ED25" w14:textId="1ACBE617">
      <w:pPr>
        <w:spacing w:before="0" w:beforeAutospacing="off" w:after="160" w:afterAutospacing="off" w:line="276" w:lineRule="auto"/>
        <w:jc w:val="both"/>
        <w:rPr>
          <w:rFonts w:ascii="Arial" w:hAnsi="Arial" w:eastAsia="Arial" w:cs="Arial"/>
          <w:noProof w:val="0"/>
          <w:sz w:val="24"/>
          <w:szCs w:val="24"/>
          <w:lang w:val="es-ES"/>
        </w:rPr>
      </w:pPr>
      <w:r w:rsidRPr="0ED4F347" w:rsidR="4BDC5199">
        <w:rPr>
          <w:rFonts w:ascii="Arial" w:hAnsi="Arial" w:eastAsia="Arial" w:cs="Arial"/>
          <w:noProof w:val="0"/>
          <w:sz w:val="24"/>
          <w:szCs w:val="24"/>
          <w:lang w:val="es-ES"/>
        </w:rPr>
        <w:t>De igual manera, se verificó que a la fecha de la auditoría no se ha materializado la articulación efectiva entre las metas del Plan Departamental para la Gestión del Riesgo de Desastres de Cundinamarca (PDGRDC) y el Plan de Desarrollo Departamental vigente 2024-2028</w:t>
      </w:r>
      <w:r w:rsidRPr="0ED4F347" w:rsidR="1CE536AF">
        <w:rPr>
          <w:rFonts w:ascii="Arial" w:hAnsi="Arial" w:eastAsia="Arial" w:cs="Arial"/>
          <w:noProof w:val="0"/>
          <w:sz w:val="24"/>
          <w:szCs w:val="24"/>
          <w:lang w:val="es-ES"/>
        </w:rPr>
        <w:t xml:space="preserve">, en el </w:t>
      </w:r>
      <w:r w:rsidRPr="0ED4F347" w:rsidR="1CE536AF">
        <w:rPr>
          <w:rFonts w:ascii="Arial" w:hAnsi="Arial" w:eastAsia="Arial" w:cs="Arial"/>
          <w:noProof w:val="0"/>
          <w:sz w:val="24"/>
          <w:szCs w:val="24"/>
          <w:lang w:val="es-ES"/>
        </w:rPr>
        <w:t>f</w:t>
      </w:r>
      <w:r w:rsidRPr="0ED4F347" w:rsidR="08559936">
        <w:rPr>
          <w:sz w:val="24"/>
          <w:szCs w:val="24"/>
          <w:lang w:eastAsia="es-MX"/>
        </w:rPr>
        <w:t xml:space="preserve">ormato </w:t>
      </w:r>
      <w:r w:rsidRPr="0ED4F347" w:rsidR="08559936">
        <w:rPr>
          <w:rFonts w:eastAsia="Arial"/>
          <w:sz w:val="24"/>
          <w:szCs w:val="24"/>
          <w:lang w:val="es-ES"/>
        </w:rPr>
        <w:t xml:space="preserve">E-DEAG-FR_145 </w:t>
      </w:r>
      <w:r w:rsidRPr="0ED4F347" w:rsidR="4BDC5199">
        <w:rPr>
          <w:rFonts w:ascii="Arial" w:hAnsi="Arial" w:eastAsia="Arial" w:cs="Arial"/>
          <w:noProof w:val="0"/>
          <w:sz w:val="24"/>
          <w:szCs w:val="24"/>
          <w:lang w:val="es-ES"/>
        </w:rPr>
        <w:t>el</w:t>
      </w:r>
      <w:r w:rsidRPr="0ED4F347" w:rsidR="4BDC5199">
        <w:rPr>
          <w:rFonts w:ascii="Arial" w:hAnsi="Arial" w:eastAsia="Arial" w:cs="Arial"/>
          <w:noProof w:val="0"/>
          <w:sz w:val="24"/>
          <w:szCs w:val="24"/>
          <w:lang w:val="es-ES"/>
        </w:rPr>
        <w:t xml:space="preserve"> proceso se limita a ejercicios en curso sin resultados concretos verificables y compromete la coherencia de la planeación en materia de gestión del riesgo.</w:t>
      </w:r>
    </w:p>
    <w:p w:rsidR="56ACAA06" w:rsidP="0ED4F347" w:rsidRDefault="56ACAA06" w14:paraId="2E70B8DA" w14:textId="328668DA">
      <w:pPr>
        <w:spacing w:before="240" w:beforeAutospacing="off" w:after="240" w:afterAutospacing="off"/>
        <w:jc w:val="both"/>
      </w:pPr>
      <w:r w:rsidRPr="0ED4F347" w:rsidR="56ACAA06">
        <w:rPr>
          <w:rFonts w:ascii="Arial" w:hAnsi="Arial" w:eastAsia="Arial" w:cs="Arial"/>
          <w:noProof w:val="0"/>
          <w:sz w:val="24"/>
          <w:szCs w:val="24"/>
          <w:lang w:val="es-ES"/>
        </w:rPr>
        <w:t>La atención al sismo del 8 de junio de 2025</w:t>
      </w:r>
      <w:r w:rsidRPr="0ED4F347" w:rsidR="206B0A1F">
        <w:rPr>
          <w:rFonts w:ascii="Arial" w:hAnsi="Arial" w:eastAsia="Arial" w:cs="Arial"/>
          <w:noProof w:val="0"/>
          <w:sz w:val="24"/>
          <w:szCs w:val="24"/>
          <w:lang w:val="es-ES"/>
        </w:rPr>
        <w:t>, revisando la operatividad del componente de manejo,</w:t>
      </w:r>
      <w:r w:rsidRPr="0ED4F347" w:rsidR="56ACAA06">
        <w:rPr>
          <w:rFonts w:ascii="Arial" w:hAnsi="Arial" w:eastAsia="Arial" w:cs="Arial"/>
          <w:noProof w:val="0"/>
          <w:sz w:val="24"/>
          <w:szCs w:val="24"/>
          <w:lang w:val="es-ES"/>
        </w:rPr>
        <w:t xml:space="preserve"> en los municipios de Medina y Paratebueno evidenció un desempeño heterogéneo en la aplicación de los procedimientos misionales, con un cumplimiento global del 74%. En particular, el Procedimiento Plan de Acción Específico (M-FT-PR-018) alcanzó un 94% de cumplimiento, mientras que el Procedimiento de Atención de </w:t>
      </w:r>
      <w:r w:rsidRPr="0ED4F347" w:rsidR="56ACAA06">
        <w:rPr>
          <w:rFonts w:ascii="Arial" w:hAnsi="Arial" w:eastAsia="Arial" w:cs="Arial"/>
          <w:noProof w:val="0"/>
          <w:sz w:val="24"/>
          <w:szCs w:val="24"/>
          <w:lang w:val="es-ES"/>
        </w:rPr>
        <w:t xml:space="preserve">Emergencias (M-FT-PR-008) registró un 56 % y el de Entrega de Ayudas Humanitarias (M-FT-PR-010) un 63%. Estos resultados evidencian debilidades en el registro continuo del seguimiento y en la elaboración de los informes técnicos exigidos. Asimismo, el análisis del evento sísmico mediante una prueba de recorrido permitió identificar falencias en la coordinación de la entrega de ayudas a la población afectada en el municipio de Medina; en la gestión contractual de los contratos UAEGRD-AD-PS-132-2025 (O.C. TVEC 149084), UAEGRD-CD-SU-120-2025 y del Convenio UAEGRD-CD-CVI-123-2025 </w:t>
      </w:r>
      <w:r w:rsidRPr="0ED4F347" w:rsidR="70CF4BA1">
        <w:rPr>
          <w:rFonts w:ascii="Arial" w:hAnsi="Arial" w:eastAsia="Arial" w:cs="Arial"/>
          <w:noProof w:val="0"/>
          <w:sz w:val="24"/>
          <w:szCs w:val="24"/>
          <w:lang w:val="es-ES"/>
        </w:rPr>
        <w:t>(</w:t>
      </w:r>
      <w:r w:rsidRPr="0ED4F347" w:rsidR="56ACAA06">
        <w:rPr>
          <w:rFonts w:ascii="Arial" w:hAnsi="Arial" w:eastAsia="Arial" w:cs="Arial"/>
          <w:noProof w:val="0"/>
          <w:sz w:val="24"/>
          <w:szCs w:val="24"/>
          <w:lang w:val="es-ES"/>
        </w:rPr>
        <w:t>particularmente en la conformación del expediente electrónico, la publicación oportuna de documentos en SECOP II y TVEC, el seguimiento periódico a la supervisión y el cierre documental</w:t>
      </w:r>
      <w:r w:rsidRPr="0ED4F347" w:rsidR="6B16712D">
        <w:rPr>
          <w:rFonts w:ascii="Arial" w:hAnsi="Arial" w:eastAsia="Arial" w:cs="Arial"/>
          <w:noProof w:val="0"/>
          <w:sz w:val="24"/>
          <w:szCs w:val="24"/>
          <w:lang w:val="es-ES"/>
        </w:rPr>
        <w:t>)</w:t>
      </w:r>
      <w:r w:rsidRPr="0ED4F347" w:rsidR="56ACAA06">
        <w:rPr>
          <w:rFonts w:ascii="Arial" w:hAnsi="Arial" w:eastAsia="Arial" w:cs="Arial"/>
          <w:noProof w:val="0"/>
          <w:sz w:val="24"/>
          <w:szCs w:val="24"/>
          <w:lang w:val="es-ES"/>
        </w:rPr>
        <w:t>; así como en la gestión documental, debido a la ausencia de un repositorio digital institucional.</w:t>
      </w:r>
    </w:p>
    <w:p w:rsidR="61A449C1" w:rsidP="0ED4F347" w:rsidRDefault="61A449C1" w14:paraId="69C50B33" w14:textId="1DC21EF7">
      <w:pPr>
        <w:spacing w:before="240" w:beforeAutospacing="off" w:after="240" w:afterAutospacing="off"/>
        <w:jc w:val="both"/>
      </w:pPr>
      <w:r w:rsidRPr="0ED4F347" w:rsidR="61A449C1">
        <w:rPr>
          <w:rFonts w:ascii="Arial" w:hAnsi="Arial" w:eastAsia="Arial" w:cs="Arial"/>
          <w:noProof w:val="0"/>
          <w:sz w:val="24"/>
          <w:szCs w:val="24"/>
          <w:lang w:val="es-ES"/>
        </w:rPr>
        <w:t>La evaluación de las acciones previas al evento sísmico del 8 de junio de 2025, en los componentes de conocimiento y reducción del riesgo, permite concluir que la UAEGRD adelantó, en el marco de sus funciones misionales, iniciativas orientadas a fortalecer las capacidades de los Consejos Municipales de Gestión del Riesgo de Desastres de Medina y Paratebueno. Estas incluyeron asistencias técnicas en normatividad y política pública, acompañamiento en la formulación de Planes Escolares de Gestión del Riesgo (PEGRD) e inspecciones técnicas para la identificación de condiciones de riesgo, junto con la emisión de recomendaciones de mitigación.</w:t>
      </w:r>
    </w:p>
    <w:p w:rsidR="61A449C1" w:rsidP="0ED4F347" w:rsidRDefault="61A449C1" w14:paraId="0A0362FC" w14:textId="4B1F95E3">
      <w:pPr>
        <w:spacing w:before="240" w:beforeAutospacing="off" w:after="240" w:afterAutospacing="off"/>
        <w:jc w:val="both"/>
      </w:pPr>
      <w:r w:rsidRPr="0ED4F347" w:rsidR="61A449C1">
        <w:rPr>
          <w:rFonts w:ascii="Arial" w:hAnsi="Arial" w:eastAsia="Arial" w:cs="Arial"/>
          <w:noProof w:val="0"/>
          <w:sz w:val="24"/>
          <w:szCs w:val="24"/>
          <w:lang w:val="es-ES"/>
        </w:rPr>
        <w:t>En consecuencia, estos componentes se valoran de manera favorable, sin que ello implique la expectativa de anticipar o evitar la ocurrencia del evento sísmico, dada su naturaleza como fenómeno natural súbito e impredecible, que exigía de la entidad acciones de preparación y una respuesta inmediata una vez ocurrido.</w:t>
      </w:r>
    </w:p>
    <w:p w:rsidR="4BDC5199" w:rsidP="0ED4F347" w:rsidRDefault="4BDC5199" w14:paraId="290C745F" w14:textId="50632826">
      <w:pPr>
        <w:pStyle w:val="Normal"/>
        <w:spacing w:before="240" w:beforeAutospacing="off" w:after="240" w:afterAutospacing="off"/>
        <w:jc w:val="both"/>
        <w:rPr>
          <w:rFonts w:ascii="Arial" w:hAnsi="Arial" w:eastAsia="Arial" w:cs="Arial"/>
          <w:noProof w:val="0"/>
          <w:sz w:val="24"/>
          <w:szCs w:val="24"/>
          <w:lang w:val="es-ES"/>
        </w:rPr>
      </w:pPr>
      <w:r w:rsidRPr="0ED4F347" w:rsidR="4BDC5199">
        <w:rPr>
          <w:rFonts w:ascii="Arial" w:hAnsi="Arial" w:eastAsia="Arial" w:cs="Arial"/>
          <w:noProof w:val="0"/>
          <w:sz w:val="24"/>
          <w:szCs w:val="24"/>
          <w:lang w:val="es-ES"/>
        </w:rPr>
        <w:t>La UAEGRD dio respuesta formal, oportuna y sustancial al Derecho de Petición formulado por la Oficina de Control Interno el 4 de enero de 2026, dentro de los términos establecidos en el artículo 14 de la Ley 1755 de 2015. El proceso administrativo sancionatorio del contrato UAEGRD-CM-055-2021 se encuentra activo, en etapa probatoria, con actuaciones documentadas que incluyen citaciones, audiencias, decreto de pruebas y articulación entre la Dirección General, la Subdirección de Reducción y la Secretaría Jurídica, lo que evidencia observancia del debido proceso conforme al artículo 29 de la Constitución Política y los lineamientos de la Ley 1437 de 2011 (CPACA). Se recomienda reforzar la trazabilidad documental del expediente sancionatorio, garantizando que todas las actuaciones estén foliadas, digitalizadas y disponibles para consulta de cualquier instancia de control.</w:t>
      </w:r>
    </w:p>
    <w:p w:rsidR="3DC74D49" w:rsidP="0ED4F347" w:rsidRDefault="3DC74D49" w14:paraId="01ABA0F3" w14:textId="295FE688">
      <w:pPr>
        <w:spacing w:before="240" w:beforeAutospacing="off" w:after="240" w:afterAutospacing="off"/>
        <w:jc w:val="both"/>
      </w:pPr>
      <w:r w:rsidRPr="0ED4F347" w:rsidR="3DC74D49">
        <w:rPr>
          <w:rFonts w:ascii="Arial" w:hAnsi="Arial" w:eastAsia="Arial" w:cs="Arial"/>
          <w:noProof w:val="0"/>
          <w:sz w:val="24"/>
          <w:szCs w:val="24"/>
          <w:lang w:val="es-ES"/>
        </w:rPr>
        <w:t>La evaluación de los cinco componentes del Sistema de Control Interno del proceso arrojó resultados mixtos. Los componentes de Información y Comunicación, así como de Monitoreo y Supervisión, cumplen con los criterios verificados, lo que evidencia que la entidad realiza análisis periódicos de sus grupos de valor y gestiona las comunicaciones del Sistema PQRD con una trazabilidad básica.</w:t>
      </w:r>
    </w:p>
    <w:p w:rsidR="3DC74D49" w:rsidP="0ED4F347" w:rsidRDefault="3DC74D49" w14:paraId="32E47C7C" w14:textId="33FD1215">
      <w:pPr>
        <w:spacing w:before="240" w:beforeAutospacing="off" w:after="240" w:afterAutospacing="off"/>
        <w:jc w:val="both"/>
        <w:rPr>
          <w:rFonts w:ascii="Arial" w:hAnsi="Arial" w:eastAsia="Arial" w:cs="Arial"/>
          <w:noProof w:val="0"/>
          <w:sz w:val="24"/>
          <w:szCs w:val="24"/>
          <w:lang w:val="es-ES"/>
        </w:rPr>
      </w:pPr>
      <w:r w:rsidRPr="0ED4F347" w:rsidR="3DC74D49">
        <w:rPr>
          <w:rFonts w:ascii="Arial" w:hAnsi="Arial" w:eastAsia="Arial" w:cs="Arial"/>
          <w:noProof w:val="0"/>
          <w:sz w:val="24"/>
          <w:szCs w:val="24"/>
          <w:lang w:val="es-ES"/>
        </w:rPr>
        <w:t>No obstante, la evaluación conjunta de los procedimientos evidenció debilidades en el componente de Ambiente de Control, el cual no cumple con los criterios establecidos, así como en los componentes de Evaluación de Riesgos y Actividades de Control.</w:t>
      </w:r>
      <w:r w:rsidRPr="0ED4F347" w:rsidR="3DC74D49">
        <w:rPr>
          <w:rFonts w:ascii="Arial" w:hAnsi="Arial" w:eastAsia="Arial" w:cs="Arial"/>
          <w:noProof w:val="0"/>
          <w:sz w:val="24"/>
          <w:szCs w:val="24"/>
          <w:lang w:val="es-ES"/>
        </w:rPr>
        <w:t xml:space="preserve"> En estos últimos, se identifican falencias en la efectividad del control #5401 (calificado como débil (25/100)).</w:t>
      </w:r>
    </w:p>
    <w:p w:rsidR="49465846" w:rsidP="0ED4F347" w:rsidRDefault="49465846" w14:paraId="1D68F3C5" w14:textId="40694DEA">
      <w:pPr>
        <w:spacing w:before="0" w:beforeAutospacing="off" w:after="160" w:afterAutospacing="off" w:line="276" w:lineRule="auto"/>
        <w:jc w:val="both"/>
        <w:rPr>
          <w:rFonts w:ascii="Arial" w:hAnsi="Arial" w:eastAsia="Arial" w:cs="Arial"/>
          <w:b w:val="1"/>
          <w:bCs w:val="1"/>
          <w:noProof w:val="0"/>
          <w:sz w:val="24"/>
          <w:szCs w:val="24"/>
          <w:lang w:val="es-ES"/>
        </w:rPr>
      </w:pPr>
      <w:r w:rsidRPr="0ED4F347" w:rsidR="49465846">
        <w:rPr>
          <w:rFonts w:ascii="Arial" w:hAnsi="Arial" w:eastAsia="Arial" w:cs="Arial"/>
          <w:b w:val="1"/>
          <w:bCs w:val="1"/>
          <w:noProof w:val="0"/>
          <w:sz w:val="24"/>
          <w:szCs w:val="24"/>
          <w:lang w:val="es-ES"/>
        </w:rPr>
        <w:t>Recomendaciones:</w:t>
      </w:r>
    </w:p>
    <w:p w:rsidR="49465846" w:rsidP="0ED4F347" w:rsidRDefault="49465846" w14:paraId="2B683B02" w14:textId="44BDD8FF">
      <w:pPr>
        <w:spacing w:before="0" w:beforeAutospacing="off" w:after="160" w:afterAutospacing="off" w:line="276" w:lineRule="auto"/>
        <w:jc w:val="both"/>
        <w:rPr>
          <w:rFonts w:ascii="Arial" w:hAnsi="Arial" w:eastAsia="Arial" w:cs="Arial"/>
          <w:noProof w:val="0"/>
          <w:sz w:val="24"/>
          <w:szCs w:val="24"/>
          <w:lang w:val="es-ES"/>
        </w:rPr>
      </w:pPr>
      <w:r w:rsidRPr="0ED4F347" w:rsidR="49465846">
        <w:rPr>
          <w:rFonts w:ascii="Arial" w:hAnsi="Arial" w:eastAsia="Arial" w:cs="Arial"/>
          <w:noProof w:val="0"/>
          <w:sz w:val="24"/>
          <w:szCs w:val="24"/>
          <w:lang w:val="es-ES"/>
        </w:rPr>
        <w:t>De los hallazgos identificados en el presente informe, la Oficina de Control Interno formula las siguientes recomendaciones de carácter general a la UAEGRD de Cundinamarca:</w:t>
      </w:r>
    </w:p>
    <w:p w:rsidR="4AD9EFE4" w:rsidP="0ED4F347" w:rsidRDefault="4AD9EFE4" w14:paraId="6CA0B31D" w14:textId="0669D557">
      <w:pPr>
        <w:pStyle w:val="Prrafodelista"/>
        <w:numPr>
          <w:ilvl w:val="0"/>
          <w:numId w:val="46"/>
        </w:numPr>
        <w:spacing w:before="0" w:beforeAutospacing="off" w:after="160" w:afterAutospacing="off" w:line="276" w:lineRule="auto"/>
        <w:jc w:val="both"/>
        <w:rPr>
          <w:rFonts w:eastAsia="Times New Roman"/>
          <w:sz w:val="24"/>
          <w:szCs w:val="24"/>
          <w:lang w:eastAsia="es-MX"/>
        </w:rPr>
      </w:pPr>
      <w:r w:rsidRPr="0ED4F347" w:rsidR="4AD9EFE4">
        <w:rPr>
          <w:rFonts w:ascii="Arial" w:hAnsi="Arial" w:eastAsia="Arial" w:cs="Arial"/>
          <w:b w:val="0"/>
          <w:bCs w:val="0"/>
          <w:i w:val="0"/>
          <w:iCs w:val="0"/>
          <w:caps w:val="0"/>
          <w:smallCaps w:val="0"/>
          <w:noProof w:val="0"/>
          <w:color w:val="000000" w:themeColor="text1" w:themeTint="FF" w:themeShade="FF"/>
          <w:sz w:val="24"/>
          <w:szCs w:val="24"/>
          <w:lang w:val="es-ES"/>
        </w:rPr>
        <w:t>Se recomienda adelantar la adopción e incorporación de la Ley 2474 de 2025 dentro del marco normativo y programático departamental, toda vez que esta modificó la Ley 1523 de 2012 al reconocer e incluir a los animales como sujetos destinatarios de las medidas de atención, prevención y respuesta en la gestión del riesgo de desastres</w:t>
      </w:r>
      <w:r w:rsidRPr="0ED4F347" w:rsidR="4AD9EFE4">
        <w:rPr>
          <w:rFonts w:ascii="Calibri" w:hAnsi="Calibri" w:eastAsia="Calibri" w:cs="Calibri"/>
          <w:b w:val="1"/>
          <w:bCs w:val="1"/>
          <w:i w:val="0"/>
          <w:iCs w:val="0"/>
          <w:caps w:val="0"/>
          <w:smallCaps w:val="0"/>
          <w:noProof w:val="0"/>
          <w:color w:val="000000" w:themeColor="text1" w:themeTint="FF" w:themeShade="FF"/>
          <w:sz w:val="24"/>
          <w:szCs w:val="24"/>
          <w:lang w:val="es-ES"/>
        </w:rPr>
        <w:t xml:space="preserve">. </w:t>
      </w:r>
    </w:p>
    <w:p w:rsidR="4AD9EFE4" w:rsidP="0ED4F347" w:rsidRDefault="4AD9EFE4" w14:paraId="28A16130" w14:textId="662923B9">
      <w:pPr>
        <w:pStyle w:val="Prrafodelista"/>
        <w:numPr>
          <w:ilvl w:val="0"/>
          <w:numId w:val="46"/>
        </w:numPr>
        <w:spacing w:before="0" w:beforeAutospacing="off" w:after="160" w:afterAutospacing="off" w:line="276" w:lineRule="auto"/>
        <w:jc w:val="both"/>
        <w:rPr>
          <w:rFonts w:ascii="Arial" w:hAnsi="Arial" w:eastAsia="Arial" w:cs="Arial"/>
          <w:noProof w:val="0"/>
          <w:sz w:val="24"/>
          <w:szCs w:val="24"/>
          <w:lang w:val="es-ES"/>
        </w:rPr>
      </w:pPr>
      <w:r w:rsidRPr="0ED4F347" w:rsidR="4AD9EFE4">
        <w:rPr>
          <w:rFonts w:ascii="Arial" w:hAnsi="Arial" w:eastAsia="Arial" w:cs="Arial"/>
          <w:noProof w:val="0"/>
          <w:sz w:val="24"/>
          <w:szCs w:val="24"/>
          <w:lang w:val="es-ES"/>
        </w:rPr>
        <w:t>Articular e implementar acciones concretas de mejora desde el proceso, en el Sistema de Control Interno, con énfasis en el componente de Ambiente de Control y en la efectividad de los controles de gestión, incluyendo la actualización de la matriz de riesgos para la vigencia 2026 y el cierre de la oportunidad de mejora #739 identificada en el Informe de Evaluación de la Gestión del Riesgo 2025.</w:t>
      </w:r>
    </w:p>
    <w:p w:rsidR="63C21871" w:rsidP="0ED4F347" w:rsidRDefault="63C21871" w14:paraId="5ABC9699" w14:textId="6D91289F">
      <w:pPr>
        <w:pStyle w:val="Prrafodelista"/>
        <w:numPr>
          <w:ilvl w:val="0"/>
          <w:numId w:val="46"/>
        </w:numPr>
        <w:spacing w:before="0" w:beforeAutospacing="off" w:after="160" w:afterAutospacing="off" w:line="276" w:lineRule="auto"/>
        <w:jc w:val="both"/>
        <w:rPr>
          <w:sz w:val="24"/>
          <w:szCs w:val="24"/>
        </w:rPr>
      </w:pPr>
      <w:r w:rsidRPr="0ED4F347" w:rsidR="63C21871">
        <w:rPr>
          <w:sz w:val="24"/>
          <w:szCs w:val="24"/>
        </w:rPr>
        <w:t>Con el propósito de fortalecer la gestión documental y el control interno, la Oficina de Control Interno recomienda a la UAEGRD trabajar en dos aspectos puntuales. El primero, mejorar la forma en que se registran las respuestas a los derechos de petición, asegurándose de que cada comunicación quede documentada con el número de radicado, la fecha en que se recibió y se respondió, la dependencia que atendió la solicitud y el resultado de la decisión tomada; esto permitirá tener un mejor control de los tiempos y una trazabilidad clara de cada trámite, conforme a la Ley 1755 de 2015. El segundo, organizar de manera completa el expediente del proceso administrativo sancionatorio, verificando que todos los documentos estén foliados, digitalizados y ordenados de forma que sea posible reconstruir con claridad cada etapa del proceso, y que el expediente pueda ser consultado o remitido a cualquier instancia de control sin riesgo de que falte información, en cumplimiento de la Ley 594 de 2000 y el Decreto 1080 de 2015.</w:t>
      </w:r>
    </w:p>
    <w:p w:rsidR="0ED4F347" w:rsidP="02313C72" w:rsidRDefault="0ED4F347" w14:paraId="304A53B6" w14:textId="6E040D94" w14:noSpellErr="1">
      <w:pPr>
        <w:pStyle w:val="Prrafodelista"/>
        <w:spacing w:before="0" w:beforeAutospacing="off" w:after="160" w:afterAutospacing="off" w:line="276" w:lineRule="auto"/>
        <w:ind w:left="720"/>
        <w:jc w:val="both"/>
        <w:rPr>
          <w:rFonts w:ascii="Arial" w:hAnsi="Arial" w:eastAsia="Arial" w:cs="Arial"/>
          <w:noProof w:val="0"/>
          <w:sz w:val="24"/>
          <w:szCs w:val="24"/>
          <w:lang w:val="es-ES"/>
        </w:rPr>
      </w:pPr>
    </w:p>
    <w:p w:rsidR="0ED4F347" w:rsidP="0ED4F347" w:rsidRDefault="0ED4F347" w14:paraId="19082BCE" w14:textId="5CE1A97B">
      <w:pPr>
        <w:spacing w:before="0" w:beforeAutospacing="off" w:after="160" w:afterAutospacing="off" w:line="276" w:lineRule="auto"/>
        <w:jc w:val="both"/>
        <w:rPr>
          <w:rFonts w:ascii="Arial" w:hAnsi="Arial" w:eastAsia="Arial" w:cs="Arial"/>
          <w:noProof w:val="0"/>
          <w:sz w:val="24"/>
          <w:szCs w:val="24"/>
          <w:lang w:val="es-ES"/>
        </w:rPr>
      </w:pPr>
    </w:p>
    <w:p w:rsidR="00C0026F" w:rsidP="001A0960" w:rsidRDefault="00C0026F" w14:paraId="534A45C9" w14:textId="25D21BCA">
      <w:pPr>
        <w:pStyle w:val="GrisIndicaciones"/>
      </w:pPr>
    </w:p>
    <w:tbl>
      <w:tblPr>
        <w:tblStyle w:val="Tablaconcuadrcula"/>
        <w:tblW w:w="0" w:type="auto"/>
        <w:tblLook w:val="04A0" w:firstRow="1" w:lastRow="0" w:firstColumn="1" w:lastColumn="0" w:noHBand="0" w:noVBand="1"/>
      </w:tblPr>
      <w:tblGrid>
        <w:gridCol w:w="10529"/>
      </w:tblGrid>
      <w:tr w:rsidR="00253AC0" w:rsidTr="00253AC0" w14:paraId="713AC540" w14:textId="77777777">
        <w:tc>
          <w:tcPr>
            <w:tcW w:w="10529" w:type="dxa"/>
            <w:shd w:val="clear" w:color="auto" w:fill="D0CECE" w:themeFill="background2" w:themeFillShade="E6"/>
          </w:tcPr>
          <w:p w:rsidRPr="00544608" w:rsidR="00253AC0" w:rsidP="001A0960" w:rsidRDefault="00253AC0" w14:paraId="5386B0D5" w14:textId="471D34D3">
            <w:pPr>
              <w:rPr>
                <w:b/>
                <w:bCs/>
              </w:rPr>
            </w:pPr>
            <w:bookmarkStart w:name="_Hlk130897791" w:id="135"/>
            <w:r w:rsidRPr="00544608">
              <w:rPr>
                <w:b/>
                <w:bCs/>
              </w:rPr>
              <w:t>Elaboró:</w:t>
            </w:r>
          </w:p>
        </w:tc>
      </w:tr>
      <w:bookmarkEnd w:id="135"/>
    </w:tbl>
    <w:p w:rsidRPr="001A0960" w:rsidR="00253AC0" w:rsidP="001A0960" w:rsidRDefault="00253AC0" w14:paraId="495433D9" w14:textId="77777777"/>
    <w:tbl>
      <w:tblPr>
        <w:tblStyle w:val="Tablaconcuadrcula"/>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6"/>
        <w:gridCol w:w="426"/>
        <w:gridCol w:w="5103"/>
      </w:tblGrid>
      <w:tr w:rsidRPr="001A0960" w:rsidR="001A0960" w:rsidTr="0ED4F347" w14:paraId="14F8A51D" w14:textId="77777777">
        <w:trPr>
          <w:trHeight w:val="458"/>
        </w:trPr>
        <w:tc>
          <w:tcPr>
            <w:tcW w:w="4536" w:type="dxa"/>
            <w:tcBorders>
              <w:bottom w:val="single" w:color="auto" w:sz="4" w:space="0"/>
            </w:tcBorders>
            <w:tcMar/>
          </w:tcPr>
          <w:p w:rsidRPr="001A0960" w:rsidR="001A0960" w:rsidP="001A0960" w:rsidRDefault="001A0960" w14:paraId="3453BE3E" w14:textId="77777777">
            <w:pPr>
              <w:pStyle w:val="Firmas"/>
            </w:pPr>
          </w:p>
        </w:tc>
        <w:tc>
          <w:tcPr>
            <w:tcW w:w="426" w:type="dxa"/>
            <w:tcMar/>
          </w:tcPr>
          <w:p w:rsidRPr="001A0960" w:rsidR="001A0960" w:rsidP="001A0960" w:rsidRDefault="001A0960" w14:paraId="0BB62A37" w14:textId="77777777">
            <w:pPr>
              <w:pStyle w:val="Firmas"/>
            </w:pPr>
          </w:p>
        </w:tc>
        <w:tc>
          <w:tcPr>
            <w:tcW w:w="5103" w:type="dxa"/>
            <w:tcBorders>
              <w:bottom w:val="single" w:color="auto" w:sz="4" w:space="0"/>
            </w:tcBorders>
            <w:tcMar/>
          </w:tcPr>
          <w:p w:rsidRPr="001A0960" w:rsidR="001A0960" w:rsidP="001A0960" w:rsidRDefault="001A0960" w14:paraId="667E43B7" w14:textId="77777777">
            <w:pPr>
              <w:pStyle w:val="Firmas"/>
            </w:pPr>
          </w:p>
        </w:tc>
      </w:tr>
      <w:tr w:rsidRPr="001A0960" w:rsidR="001A0960" w:rsidTr="0ED4F347" w14:paraId="4BF51577" w14:textId="77777777">
        <w:tc>
          <w:tcPr>
            <w:tcW w:w="4536" w:type="dxa"/>
            <w:tcBorders>
              <w:top w:val="single" w:color="auto" w:sz="4" w:space="0"/>
            </w:tcBorders>
            <w:tcMar/>
          </w:tcPr>
          <w:p w:rsidRPr="001A0960" w:rsidR="001A0960" w:rsidP="001A0960" w:rsidRDefault="001A0960" w14:paraId="08C0CEAD" w14:textId="5DC54EEF">
            <w:pPr>
              <w:pStyle w:val="Firmas"/>
            </w:pPr>
            <w:r w:rsidR="2F7D7F06">
              <w:rPr/>
              <w:t>Nombre:</w:t>
            </w:r>
            <w:r w:rsidR="1C150055">
              <w:rPr/>
              <w:t xml:space="preserve"> Héctor Javier Galindo Cubillos</w:t>
            </w:r>
          </w:p>
          <w:p w:rsidRPr="001A0960" w:rsidR="001A0960" w:rsidP="001A0960" w:rsidRDefault="001A0960" w14:paraId="1FF6A0E3" w14:textId="1C45C6A5">
            <w:pPr>
              <w:pStyle w:val="Firmas"/>
            </w:pPr>
            <w:r w:rsidRPr="001A0960">
              <w:t xml:space="preserve">Rol: </w:t>
            </w:r>
            <w:r w:rsidR="008E5552">
              <w:t>L</w:t>
            </w:r>
            <w:r w:rsidRPr="001A0960">
              <w:t>íder de auditoría</w:t>
            </w:r>
          </w:p>
        </w:tc>
        <w:tc>
          <w:tcPr>
            <w:tcW w:w="426" w:type="dxa"/>
            <w:tcMar/>
          </w:tcPr>
          <w:p w:rsidRPr="001A0960" w:rsidR="001A0960" w:rsidP="001A0960" w:rsidRDefault="001A0960" w14:paraId="5386F34A" w14:textId="77777777">
            <w:pPr>
              <w:pStyle w:val="Firmas"/>
            </w:pPr>
          </w:p>
        </w:tc>
        <w:tc>
          <w:tcPr>
            <w:tcW w:w="5103" w:type="dxa"/>
            <w:tcBorders>
              <w:top w:val="single" w:color="auto" w:sz="4" w:space="0"/>
            </w:tcBorders>
            <w:tcMar/>
          </w:tcPr>
          <w:p w:rsidRPr="001A0960" w:rsidR="001A0960" w:rsidP="001A0960" w:rsidRDefault="001A0960" w14:paraId="78B157BB" w14:textId="1B9BB8B2">
            <w:pPr>
              <w:pStyle w:val="Firmas"/>
            </w:pPr>
            <w:r w:rsidR="2F7D7F06">
              <w:rPr/>
              <w:t>Nombre:</w:t>
            </w:r>
            <w:r w:rsidR="3853D79E">
              <w:rPr/>
              <w:t xml:space="preserve"> Diana Marcela Pinilla Mosquera</w:t>
            </w:r>
          </w:p>
          <w:p w:rsidRPr="001A0960" w:rsidR="001A0960" w:rsidP="001A0960" w:rsidRDefault="001A0960" w14:paraId="04550031" w14:textId="0A5EE0E6">
            <w:pPr>
              <w:pStyle w:val="Firmas"/>
            </w:pPr>
            <w:r w:rsidRPr="001A0960">
              <w:t xml:space="preserve">Rol: </w:t>
            </w:r>
            <w:r w:rsidR="008E5552">
              <w:t>A</w:t>
            </w:r>
            <w:r w:rsidRPr="001A0960">
              <w:t>uditor</w:t>
            </w:r>
          </w:p>
        </w:tc>
      </w:tr>
      <w:tr w:rsidRPr="001A0960" w:rsidR="001A0960" w:rsidTr="0ED4F347" w14:paraId="74BE7ED8" w14:textId="77777777">
        <w:trPr>
          <w:trHeight w:val="109"/>
        </w:trPr>
        <w:tc>
          <w:tcPr>
            <w:tcW w:w="4536" w:type="dxa"/>
            <w:tcMar/>
          </w:tcPr>
          <w:p w:rsidRPr="001A0960" w:rsidR="001A0960" w:rsidP="001A0960" w:rsidRDefault="001A0960" w14:paraId="144562E1" w14:textId="77777777">
            <w:pPr>
              <w:pStyle w:val="Firmas"/>
            </w:pPr>
          </w:p>
        </w:tc>
        <w:tc>
          <w:tcPr>
            <w:tcW w:w="426" w:type="dxa"/>
            <w:tcMar/>
          </w:tcPr>
          <w:p w:rsidRPr="001A0960" w:rsidR="001A0960" w:rsidP="001A0960" w:rsidRDefault="001A0960" w14:paraId="44EF13C0" w14:textId="77777777">
            <w:pPr>
              <w:pStyle w:val="Firmas"/>
            </w:pPr>
          </w:p>
        </w:tc>
        <w:tc>
          <w:tcPr>
            <w:tcW w:w="5103" w:type="dxa"/>
            <w:tcMar/>
          </w:tcPr>
          <w:p w:rsidRPr="001A0960" w:rsidR="001A0960" w:rsidP="001A0960" w:rsidRDefault="001A0960" w14:paraId="22D58791" w14:textId="77777777">
            <w:pPr>
              <w:pStyle w:val="Firmas"/>
            </w:pPr>
          </w:p>
        </w:tc>
      </w:tr>
      <w:tr w:rsidRPr="001A0960" w:rsidR="001A0960" w:rsidTr="0ED4F347" w14:paraId="4740AC5D" w14:textId="77777777">
        <w:trPr>
          <w:trHeight w:val="392"/>
        </w:trPr>
        <w:tc>
          <w:tcPr>
            <w:tcW w:w="4536" w:type="dxa"/>
            <w:tcBorders>
              <w:bottom w:val="single" w:color="auto" w:sz="4" w:space="0"/>
            </w:tcBorders>
            <w:tcMar/>
          </w:tcPr>
          <w:p w:rsidRPr="001A0960" w:rsidR="001A0960" w:rsidP="001A0960" w:rsidRDefault="001A0960" w14:paraId="27D7B30A" w14:textId="77777777">
            <w:pPr>
              <w:pStyle w:val="Firmas"/>
            </w:pPr>
          </w:p>
          <w:p w:rsidRPr="001A0960" w:rsidR="001A0960" w:rsidP="001A0960" w:rsidRDefault="001A0960" w14:paraId="4B151503" w14:textId="2495F4A9">
            <w:pPr>
              <w:pStyle w:val="Firmas"/>
            </w:pPr>
          </w:p>
        </w:tc>
        <w:tc>
          <w:tcPr>
            <w:tcW w:w="426" w:type="dxa"/>
            <w:tcMar/>
          </w:tcPr>
          <w:p w:rsidRPr="001A0960" w:rsidR="001A0960" w:rsidP="001A0960" w:rsidRDefault="001A0960" w14:paraId="02D3E757" w14:textId="77777777">
            <w:pPr>
              <w:pStyle w:val="Firmas"/>
            </w:pPr>
          </w:p>
        </w:tc>
        <w:tc>
          <w:tcPr>
            <w:tcW w:w="5103" w:type="dxa"/>
            <w:tcBorders>
              <w:bottom w:val="single" w:color="auto" w:sz="4" w:space="0"/>
            </w:tcBorders>
            <w:tcMar/>
          </w:tcPr>
          <w:p w:rsidRPr="001A0960" w:rsidR="001A0960" w:rsidP="001A0960" w:rsidRDefault="001A0960" w14:paraId="165EA084" w14:textId="77777777">
            <w:pPr>
              <w:pStyle w:val="Firmas"/>
            </w:pPr>
          </w:p>
        </w:tc>
      </w:tr>
      <w:tr w:rsidRPr="001A0960" w:rsidR="001A0960" w:rsidTr="0ED4F347" w14:paraId="3640D8D9" w14:textId="77777777">
        <w:tc>
          <w:tcPr>
            <w:tcW w:w="4536" w:type="dxa"/>
            <w:tcBorders>
              <w:top w:val="single" w:color="auto" w:sz="4" w:space="0"/>
            </w:tcBorders>
            <w:tcMar/>
          </w:tcPr>
          <w:p w:rsidRPr="001A0960" w:rsidR="001A0960" w:rsidP="001A0960" w:rsidRDefault="001A0960" w14:paraId="02CE8832" w14:textId="74D5DA7C">
            <w:pPr>
              <w:pStyle w:val="Firmas"/>
            </w:pPr>
            <w:r w:rsidR="2F7D7F06">
              <w:rPr/>
              <w:t>Nombre:</w:t>
            </w:r>
            <w:r w:rsidR="36D75D4D">
              <w:rPr/>
              <w:t xml:space="preserve"> Jaime Salas Moreno</w:t>
            </w:r>
          </w:p>
          <w:p w:rsidRPr="001A0960" w:rsidR="001A0960" w:rsidP="001A0960" w:rsidRDefault="001A0960" w14:paraId="60F53C45" w14:textId="6B3802E3">
            <w:pPr>
              <w:pStyle w:val="Firmas"/>
            </w:pPr>
            <w:r w:rsidR="2F7D7F06">
              <w:rPr/>
              <w:t xml:space="preserve">Rol: </w:t>
            </w:r>
            <w:r w:rsidR="6A5D81F8">
              <w:rPr/>
              <w:t>A</w:t>
            </w:r>
            <w:r w:rsidR="2F7D7F06">
              <w:rPr/>
              <w:t>uditor</w:t>
            </w:r>
          </w:p>
          <w:p w:rsidRPr="001A0960" w:rsidR="001A0960" w:rsidP="001A0960" w:rsidRDefault="001A0960" w14:paraId="12EB6B6F" w14:textId="5947891A">
            <w:pPr>
              <w:pStyle w:val="Firmas"/>
            </w:pPr>
          </w:p>
          <w:p w:rsidRPr="001A0960" w:rsidR="001A0960" w:rsidP="001A0960" w:rsidRDefault="001A0960" w14:paraId="74FCBFD3" w14:textId="2B9CDCDD">
            <w:pPr>
              <w:pStyle w:val="Firmas"/>
            </w:pPr>
          </w:p>
        </w:tc>
        <w:tc>
          <w:tcPr>
            <w:tcW w:w="426" w:type="dxa"/>
            <w:tcMar/>
          </w:tcPr>
          <w:p w:rsidRPr="001A0960" w:rsidR="001A0960" w:rsidP="001A0960" w:rsidRDefault="001A0960" w14:paraId="1F57FF02" w14:textId="77777777">
            <w:pPr>
              <w:pStyle w:val="Firmas"/>
            </w:pPr>
          </w:p>
        </w:tc>
        <w:tc>
          <w:tcPr>
            <w:tcW w:w="5103" w:type="dxa"/>
            <w:tcBorders>
              <w:top w:val="single" w:color="auto" w:sz="4" w:space="0"/>
            </w:tcBorders>
            <w:tcMar/>
          </w:tcPr>
          <w:p w:rsidRPr="001A0960" w:rsidR="001A0960" w:rsidP="001A0960" w:rsidRDefault="001A0960" w14:paraId="6E2B6882" w14:textId="63862AC7">
            <w:pPr>
              <w:pStyle w:val="Firmas"/>
            </w:pPr>
            <w:r w:rsidR="2F7D7F06">
              <w:rPr/>
              <w:t>Nombre:</w:t>
            </w:r>
            <w:r w:rsidR="157453DD">
              <w:rPr/>
              <w:t xml:space="preserve"> Carlos Guzmán Ortega</w:t>
            </w:r>
          </w:p>
          <w:p w:rsidRPr="001A0960" w:rsidR="001A0960" w:rsidP="001A0960" w:rsidRDefault="001A0960" w14:paraId="0DDEC539" w14:textId="4B4573E5">
            <w:pPr>
              <w:pStyle w:val="Firmas"/>
            </w:pPr>
            <w:r w:rsidR="2F7D7F06">
              <w:rPr/>
              <w:t xml:space="preserve">Rol: </w:t>
            </w:r>
            <w:r w:rsidRPr="0ED4F347" w:rsidR="6A5D81F8">
              <w:rPr>
                <w:b w:val="0"/>
                <w:bCs w:val="0"/>
                <w:color w:val="auto"/>
              </w:rPr>
              <w:t>A</w:t>
            </w:r>
            <w:r w:rsidRPr="0ED4F347" w:rsidR="2F7D7F06">
              <w:rPr>
                <w:b w:val="0"/>
                <w:bCs w:val="0"/>
                <w:color w:val="auto"/>
              </w:rPr>
              <w:t>uditor acompañante</w:t>
            </w:r>
          </w:p>
        </w:tc>
      </w:tr>
      <w:tr w:rsidR="2C779C2A" w:rsidTr="0ED4F347" w14:paraId="642F4402" w14:textId="77777777">
        <w:trPr>
          <w:trHeight w:val="300"/>
        </w:trPr>
        <w:tc>
          <w:tcPr>
            <w:tcW w:w="4536" w:type="dxa"/>
            <w:tcMar/>
          </w:tcPr>
          <w:p w:rsidR="2720AFC7" w:rsidP="0ED4F347" w:rsidRDefault="2720AFC7" w14:paraId="05384B07" w14:textId="22B08940">
            <w:pPr>
              <w:pStyle w:val="Firmas"/>
            </w:pPr>
            <w:r w:rsidR="2720AFC7">
              <w:rPr/>
              <w:t>__________________________________</w:t>
            </w:r>
          </w:p>
          <w:p w:rsidR="2720AFC7" w:rsidP="0ED4F347" w:rsidRDefault="2720AFC7" w14:paraId="298921AF" w14:textId="14C57E7D">
            <w:pPr>
              <w:pStyle w:val="Firmas"/>
            </w:pPr>
            <w:r w:rsidR="2720AFC7">
              <w:rPr/>
              <w:t>Nombre: LEXIA Consultores y Asesores</w:t>
            </w:r>
          </w:p>
          <w:p w:rsidR="2720AFC7" w:rsidP="0ED4F347" w:rsidRDefault="2720AFC7" w14:paraId="5F43151A" w14:textId="7B7B2330">
            <w:pPr>
              <w:pStyle w:val="Firmas"/>
            </w:pPr>
            <w:r w:rsidR="2720AFC7">
              <w:rPr/>
              <w:t>Rol: Auditor</w:t>
            </w:r>
          </w:p>
          <w:p w:rsidR="0ED4F347" w:rsidP="0ED4F347" w:rsidRDefault="0ED4F347" w14:paraId="1D0E9426" w14:textId="0F366C40">
            <w:pPr>
              <w:pStyle w:val="Firmas"/>
            </w:pPr>
          </w:p>
        </w:tc>
        <w:tc>
          <w:tcPr>
            <w:tcW w:w="426" w:type="dxa"/>
            <w:tcMar/>
          </w:tcPr>
          <w:p w:rsidR="2C779C2A" w:rsidP="2C779C2A" w:rsidRDefault="2C779C2A" w14:paraId="4833C62B" w14:textId="35BAE944">
            <w:pPr>
              <w:pStyle w:val="Firmas"/>
            </w:pPr>
          </w:p>
        </w:tc>
        <w:tc>
          <w:tcPr>
            <w:tcW w:w="5103" w:type="dxa"/>
            <w:tcMar/>
          </w:tcPr>
          <w:p w:rsidR="2C779C2A" w:rsidP="2C779C2A" w:rsidRDefault="2C779C2A" w14:paraId="7262E8F1" w14:textId="22B08940">
            <w:pPr>
              <w:pStyle w:val="Firmas"/>
            </w:pPr>
            <w:r w:rsidR="2720AFC7">
              <w:rPr/>
              <w:t>__________________________________</w:t>
            </w:r>
          </w:p>
          <w:p w:rsidR="2C779C2A" w:rsidP="2C779C2A" w:rsidRDefault="2C779C2A" w14:paraId="4BC2F86D" w14:textId="352C5524">
            <w:pPr>
              <w:pStyle w:val="Firmas"/>
            </w:pPr>
            <w:r w:rsidR="2720AFC7">
              <w:rPr/>
              <w:t xml:space="preserve">Nombre: Luis Rolando Parra </w:t>
            </w:r>
          </w:p>
          <w:p w:rsidR="2C779C2A" w:rsidP="2C779C2A" w:rsidRDefault="2C779C2A" w14:paraId="73540276" w14:textId="2F8E9155">
            <w:pPr>
              <w:pStyle w:val="Firmas"/>
            </w:pPr>
            <w:r w:rsidR="2720AFC7">
              <w:rPr/>
              <w:t>Rol: Auditor</w:t>
            </w:r>
          </w:p>
          <w:p w:rsidR="2C779C2A" w:rsidP="2C779C2A" w:rsidRDefault="2C779C2A" w14:paraId="4E46F6A1" w14:textId="344F2D89">
            <w:pPr>
              <w:pStyle w:val="Firmas"/>
            </w:pPr>
          </w:p>
          <w:p w:rsidR="2C779C2A" w:rsidP="2C779C2A" w:rsidRDefault="2C779C2A" w14:paraId="47661473" w14:textId="69C12E41">
            <w:pPr>
              <w:pStyle w:val="Firmas"/>
            </w:pPr>
          </w:p>
          <w:p w:rsidR="2C779C2A" w:rsidP="2C779C2A" w:rsidRDefault="2C779C2A" w14:paraId="40075135" w14:textId="7E22DED9">
            <w:pPr>
              <w:pStyle w:val="Firmas"/>
            </w:pPr>
          </w:p>
        </w:tc>
      </w:tr>
      <w:tr w:rsidR="0ED4F347" w:rsidTr="0ED4F347" w14:paraId="70B1F592">
        <w:trPr>
          <w:trHeight w:val="300"/>
        </w:trPr>
        <w:tc>
          <w:tcPr>
            <w:tcW w:w="4536" w:type="dxa"/>
            <w:tcMar/>
          </w:tcPr>
          <w:p w:rsidR="0ED4F347" w:rsidP="0ED4F347" w:rsidRDefault="0ED4F347" w14:paraId="699EE701" w14:textId="165B6265">
            <w:pPr>
              <w:pStyle w:val="Firmas"/>
            </w:pPr>
          </w:p>
          <w:p w:rsidR="0ED4F347" w:rsidP="0ED4F347" w:rsidRDefault="0ED4F347" w14:paraId="2435FC66" w14:textId="35EC15B6">
            <w:pPr>
              <w:pStyle w:val="Firmas"/>
            </w:pPr>
          </w:p>
          <w:p w:rsidR="0ED4F347" w:rsidP="0ED4F347" w:rsidRDefault="0ED4F347" w14:paraId="748DD038" w14:textId="436722F5">
            <w:pPr>
              <w:pStyle w:val="Firmas"/>
            </w:pPr>
          </w:p>
        </w:tc>
        <w:tc>
          <w:tcPr>
            <w:tcW w:w="426" w:type="dxa"/>
            <w:tcMar/>
          </w:tcPr>
          <w:p w:rsidR="0ED4F347" w:rsidP="0ED4F347" w:rsidRDefault="0ED4F347" w14:paraId="133E6B0A" w14:textId="56E511AF">
            <w:pPr>
              <w:pStyle w:val="Firmas"/>
            </w:pPr>
          </w:p>
        </w:tc>
        <w:tc>
          <w:tcPr>
            <w:tcW w:w="5103" w:type="dxa"/>
            <w:tcMar/>
          </w:tcPr>
          <w:p w:rsidR="0ED4F347" w:rsidP="0ED4F347" w:rsidRDefault="0ED4F347" w14:paraId="0668FA9C" w14:textId="37725BC0">
            <w:pPr>
              <w:pStyle w:val="Firmas"/>
            </w:pPr>
          </w:p>
        </w:tc>
      </w:tr>
    </w:tbl>
    <w:p w:rsidR="001A0960" w:rsidP="001A0960" w:rsidRDefault="001A0960" w14:paraId="7130B00B" w14:textId="012CFD6F">
      <w:pPr>
        <w:sectPr w:rsidR="001A0960" w:rsidSect="00EA0F94">
          <w:pgSz w:w="12240" w:h="15840" w:orient="portrait"/>
          <w:pgMar w:top="1418" w:right="567" w:bottom="1928" w:left="1134" w:header="567" w:footer="567" w:gutter="0"/>
          <w:cols w:space="720"/>
          <w:docGrid w:linePitch="299"/>
        </w:sectPr>
      </w:pPr>
    </w:p>
    <w:tbl>
      <w:tblPr>
        <w:tblStyle w:val="Tablaconcuadrcula"/>
        <w:tblW w:w="0" w:type="auto"/>
        <w:tblLook w:val="04A0" w:firstRow="1" w:lastRow="0" w:firstColumn="1" w:lastColumn="0" w:noHBand="0" w:noVBand="1"/>
      </w:tblPr>
      <w:tblGrid>
        <w:gridCol w:w="10529"/>
      </w:tblGrid>
      <w:tr w:rsidR="00253AC0" w:rsidTr="006E48B1" w14:paraId="2730A800" w14:textId="77777777">
        <w:tc>
          <w:tcPr>
            <w:tcW w:w="10529" w:type="dxa"/>
            <w:shd w:val="clear" w:color="auto" w:fill="D0CECE" w:themeFill="background2" w:themeFillShade="E6"/>
          </w:tcPr>
          <w:p w:rsidR="00253AC0" w:rsidP="001A0960" w:rsidRDefault="00253AC0" w14:paraId="507B59CB" w14:textId="39C89CA8">
            <w:pPr>
              <w:rPr>
                <w:b/>
              </w:rPr>
            </w:pPr>
            <w:bookmarkStart w:name="_Hlk130897825" w:id="136"/>
            <w:r>
              <w:rPr>
                <w:b/>
              </w:rPr>
              <w:lastRenderedPageBreak/>
              <w:t>Revis</w:t>
            </w:r>
            <w:r w:rsidRPr="002360C7">
              <w:rPr>
                <w:b/>
              </w:rPr>
              <w:t>ó</w:t>
            </w:r>
            <w:r w:rsidR="00165BE7">
              <w:rPr>
                <w:b/>
              </w:rPr>
              <w:t xml:space="preserve"> y aprobó</w:t>
            </w:r>
            <w:r>
              <w:rPr>
                <w:b/>
              </w:rPr>
              <w:t>:</w:t>
            </w:r>
            <w:r w:rsidR="00165BE7">
              <w:rPr>
                <w:b/>
              </w:rPr>
              <w:t xml:space="preserve"> </w:t>
            </w:r>
            <w:r w:rsidRPr="00544608" w:rsidR="00165BE7">
              <w:rPr>
                <w:rStyle w:val="GrisIndicacionesCar"/>
              </w:rPr>
              <w:t>Incluir a todos los miembros de la mesa técnica.</w:t>
            </w:r>
          </w:p>
        </w:tc>
      </w:tr>
      <w:bookmarkEnd w:id="136"/>
    </w:tbl>
    <w:p w:rsidR="001A0960" w:rsidP="001A0960" w:rsidRDefault="001A0960" w14:paraId="0364C9C5" w14:textId="77777777"/>
    <w:p w:rsidR="0ED4F347" w:rsidRDefault="0ED4F347" w14:paraId="1EA3D216" w14:textId="7234C48F"/>
    <w:tbl>
      <w:tblPr>
        <w:tblStyle w:val="Tablaconcuadrcula"/>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6"/>
        <w:gridCol w:w="426"/>
        <w:gridCol w:w="5103"/>
      </w:tblGrid>
      <w:tr w:rsidRPr="001A0960" w:rsidR="001A0960" w:rsidTr="0ED4F347" w14:paraId="27CBEDAE" w14:textId="77777777">
        <w:trPr>
          <w:trHeight w:val="458"/>
        </w:trPr>
        <w:tc>
          <w:tcPr>
            <w:tcW w:w="4536" w:type="dxa"/>
            <w:tcBorders>
              <w:bottom w:val="single" w:color="auto" w:sz="4" w:space="0"/>
            </w:tcBorders>
            <w:tcMar/>
          </w:tcPr>
          <w:p w:rsidRPr="001A0960" w:rsidR="001A0960" w:rsidP="00B77115" w:rsidRDefault="001A0960" w14:paraId="681987C2" w14:textId="77777777">
            <w:pPr>
              <w:pStyle w:val="Firmas"/>
            </w:pPr>
          </w:p>
        </w:tc>
        <w:tc>
          <w:tcPr>
            <w:tcW w:w="426" w:type="dxa"/>
            <w:tcMar/>
          </w:tcPr>
          <w:p w:rsidRPr="001A0960" w:rsidR="001A0960" w:rsidP="00B77115" w:rsidRDefault="001A0960" w14:paraId="367A0015" w14:textId="77777777">
            <w:pPr>
              <w:pStyle w:val="Firmas"/>
            </w:pPr>
          </w:p>
        </w:tc>
        <w:tc>
          <w:tcPr>
            <w:tcW w:w="5103" w:type="dxa"/>
            <w:tcBorders>
              <w:bottom w:val="single" w:color="auto" w:sz="4" w:space="0"/>
            </w:tcBorders>
            <w:tcMar/>
          </w:tcPr>
          <w:p w:rsidRPr="001A0960" w:rsidR="001A0960" w:rsidP="00B77115" w:rsidRDefault="001A0960" w14:paraId="016200F8" w14:textId="77777777">
            <w:pPr>
              <w:pStyle w:val="Firmas"/>
            </w:pPr>
          </w:p>
        </w:tc>
      </w:tr>
      <w:tr w:rsidRPr="001A0960" w:rsidR="001A0960" w:rsidTr="0ED4F347" w14:paraId="3DD4A7C0" w14:textId="77777777">
        <w:tc>
          <w:tcPr>
            <w:tcW w:w="4536" w:type="dxa"/>
            <w:tcBorders>
              <w:top w:val="single" w:color="auto" w:sz="4" w:space="0"/>
            </w:tcBorders>
            <w:tcMar/>
          </w:tcPr>
          <w:p w:rsidRPr="001A0960" w:rsidR="001A0960" w:rsidP="00B77115" w:rsidRDefault="001A0960" w14:paraId="5569FFE8" w14:textId="4C65B671">
            <w:pPr>
              <w:pStyle w:val="Firmas"/>
            </w:pPr>
            <w:r w:rsidR="2F7D7F06">
              <w:rPr/>
              <w:t>Nombre:</w:t>
            </w:r>
            <w:r w:rsidR="5CDAA353">
              <w:rPr/>
              <w:t xml:space="preserve"> Paula Andrea Forero Parra</w:t>
            </w:r>
          </w:p>
          <w:p w:rsidRPr="001A0960" w:rsidR="001A0960" w:rsidP="0ED4F347" w:rsidRDefault="171B6450" w14:paraId="5E8B4880" w14:textId="02F83767">
            <w:pPr>
              <w:pStyle w:val="Firmas"/>
              <w:rPr>
                <w:color w:val="808080" w:themeColor="background1" w:themeTint="FF" w:themeShade="80"/>
                <w:sz w:val="24"/>
                <w:szCs w:val="24"/>
              </w:rPr>
            </w:pPr>
            <w:r w:rsidR="18E725E1">
              <w:rPr/>
              <w:t>Cargo</w:t>
            </w:r>
            <w:r w:rsidR="2F7D7F06">
              <w:rPr/>
              <w:t xml:space="preserve">: </w:t>
            </w:r>
            <w:r w:rsidRPr="0ED4F347" w:rsidR="47F5C6F0">
              <w:rPr>
                <w:color w:val="auto"/>
                <w:sz w:val="24"/>
                <w:szCs w:val="24"/>
              </w:rPr>
              <w:t xml:space="preserve">Profesional </w:t>
            </w:r>
            <w:r w:rsidRPr="0ED4F347" w:rsidR="632532CD">
              <w:rPr>
                <w:color w:val="auto"/>
                <w:sz w:val="24"/>
                <w:szCs w:val="24"/>
              </w:rPr>
              <w:t>Especializado</w:t>
            </w:r>
          </w:p>
        </w:tc>
        <w:tc>
          <w:tcPr>
            <w:tcW w:w="426" w:type="dxa"/>
            <w:tcMar/>
          </w:tcPr>
          <w:p w:rsidRPr="001A0960" w:rsidR="001A0960" w:rsidP="00B77115" w:rsidRDefault="001A0960" w14:paraId="20693729" w14:textId="77777777">
            <w:pPr>
              <w:pStyle w:val="Firmas"/>
            </w:pPr>
          </w:p>
        </w:tc>
        <w:tc>
          <w:tcPr>
            <w:tcW w:w="5103" w:type="dxa"/>
            <w:tcBorders>
              <w:top w:val="single" w:color="auto" w:sz="4" w:space="0"/>
            </w:tcBorders>
            <w:tcMar/>
          </w:tcPr>
          <w:p w:rsidR="001A0960" w:rsidP="00B77115" w:rsidRDefault="001A0960" w14:paraId="25C31177" w14:textId="3173CED5">
            <w:pPr>
              <w:pStyle w:val="Firmas"/>
            </w:pPr>
            <w:r w:rsidR="2F7D7F06">
              <w:rPr/>
              <w:t>Nombre:</w:t>
            </w:r>
            <w:r w:rsidR="66C1F43F">
              <w:rPr/>
              <w:t xml:space="preserve"> Andrés </w:t>
            </w:r>
            <w:r w:rsidR="27D0DAD6">
              <w:rPr/>
              <w:t>Pabón Salamanca</w:t>
            </w:r>
          </w:p>
          <w:p w:rsidRPr="001A0960" w:rsidR="001A0960" w:rsidP="00B77115" w:rsidRDefault="11977952" w14:paraId="680C603B" w14:textId="1FB451F7">
            <w:pPr>
              <w:pStyle w:val="Firmas"/>
            </w:pPr>
            <w:r w:rsidR="5B9F0692">
              <w:rPr/>
              <w:t>Cargo</w:t>
            </w:r>
            <w:r w:rsidR="2F7D7F06">
              <w:rPr/>
              <w:t xml:space="preserve">: </w:t>
            </w:r>
            <w:r w:rsidR="601EA42A">
              <w:rPr/>
              <w:t>Asesor</w:t>
            </w:r>
          </w:p>
        </w:tc>
      </w:tr>
      <w:tr w:rsidRPr="001A0960" w:rsidR="001A0960" w:rsidTr="0ED4F347" w14:paraId="418E758C" w14:textId="77777777">
        <w:trPr>
          <w:trHeight w:val="109"/>
        </w:trPr>
        <w:tc>
          <w:tcPr>
            <w:tcW w:w="4536" w:type="dxa"/>
            <w:tcMar/>
          </w:tcPr>
          <w:p w:rsidRPr="001A0960" w:rsidR="001A0960" w:rsidP="00B77115" w:rsidRDefault="001A0960" w14:paraId="2234554E" w14:textId="77777777">
            <w:pPr>
              <w:pStyle w:val="Firmas"/>
            </w:pPr>
          </w:p>
        </w:tc>
        <w:tc>
          <w:tcPr>
            <w:tcW w:w="426" w:type="dxa"/>
            <w:tcMar/>
          </w:tcPr>
          <w:p w:rsidRPr="001A0960" w:rsidR="001A0960" w:rsidP="00B77115" w:rsidRDefault="001A0960" w14:paraId="4CB96209" w14:textId="77777777">
            <w:pPr>
              <w:pStyle w:val="Firmas"/>
            </w:pPr>
          </w:p>
        </w:tc>
        <w:tc>
          <w:tcPr>
            <w:tcW w:w="5103" w:type="dxa"/>
            <w:tcMar/>
          </w:tcPr>
          <w:p w:rsidRPr="001A0960" w:rsidR="001A0960" w:rsidP="00B77115" w:rsidRDefault="001A0960" w14:paraId="7EF2BECB" w14:textId="77777777">
            <w:pPr>
              <w:pStyle w:val="Firmas"/>
            </w:pPr>
          </w:p>
        </w:tc>
      </w:tr>
      <w:tr w:rsidRPr="001A0960" w:rsidR="001A0960" w:rsidTr="0ED4F347" w14:paraId="69E149D8" w14:textId="77777777">
        <w:trPr>
          <w:trHeight w:val="392"/>
        </w:trPr>
        <w:tc>
          <w:tcPr>
            <w:tcW w:w="4536" w:type="dxa"/>
            <w:tcBorders>
              <w:bottom w:val="single" w:color="auto" w:sz="4" w:space="0"/>
            </w:tcBorders>
            <w:tcMar/>
          </w:tcPr>
          <w:p w:rsidRPr="001A0960" w:rsidR="001A0960" w:rsidP="00B77115" w:rsidRDefault="001A0960" w14:paraId="114042D2" w14:textId="77777777">
            <w:pPr>
              <w:pStyle w:val="Firmas"/>
            </w:pPr>
          </w:p>
          <w:p w:rsidRPr="001A0960" w:rsidR="001A0960" w:rsidP="00B77115" w:rsidRDefault="001A0960" w14:paraId="1B39200D" w14:textId="6416F75A">
            <w:pPr>
              <w:pStyle w:val="Firmas"/>
            </w:pPr>
          </w:p>
          <w:p w:rsidRPr="001A0960" w:rsidR="001A0960" w:rsidP="00B77115" w:rsidRDefault="001A0960" w14:paraId="69502649" w14:textId="603729D5">
            <w:pPr>
              <w:pStyle w:val="Firmas"/>
            </w:pPr>
          </w:p>
        </w:tc>
        <w:tc>
          <w:tcPr>
            <w:tcW w:w="426" w:type="dxa"/>
            <w:tcMar/>
          </w:tcPr>
          <w:p w:rsidRPr="001A0960" w:rsidR="001A0960" w:rsidP="00B77115" w:rsidRDefault="001A0960" w14:paraId="42D9C0F8" w14:textId="77777777">
            <w:pPr>
              <w:pStyle w:val="Firmas"/>
            </w:pPr>
          </w:p>
        </w:tc>
        <w:tc>
          <w:tcPr>
            <w:tcW w:w="5103" w:type="dxa"/>
            <w:tcMar/>
          </w:tcPr>
          <w:p w:rsidRPr="001A0960" w:rsidR="001A0960" w:rsidP="00B77115" w:rsidRDefault="001A0960" w14:paraId="36CCCD00" w14:textId="77777777">
            <w:pPr>
              <w:pStyle w:val="Firmas"/>
            </w:pPr>
          </w:p>
        </w:tc>
      </w:tr>
      <w:tr w:rsidRPr="001A0960" w:rsidR="001A0960" w:rsidTr="0ED4F347" w14:paraId="008CB925" w14:textId="77777777">
        <w:trPr>
          <w:trHeight w:val="50"/>
        </w:trPr>
        <w:tc>
          <w:tcPr>
            <w:tcW w:w="4536" w:type="dxa"/>
            <w:tcBorders>
              <w:top w:val="single" w:color="auto" w:sz="4" w:space="0"/>
            </w:tcBorders>
            <w:tcMar/>
          </w:tcPr>
          <w:p w:rsidRPr="00EA3DB6" w:rsidR="001A0960" w:rsidP="0ED4F347" w:rsidRDefault="001A0960" w14:paraId="315EAA6E" w14:textId="0DE5AC8E">
            <w:pPr>
              <w:pStyle w:val="Firmas"/>
              <w:rPr>
                <w:color w:val="auto"/>
              </w:rPr>
            </w:pPr>
            <w:r w:rsidRPr="0ED4F347" w:rsidR="2F7D7F06">
              <w:rPr>
                <w:color w:val="auto"/>
              </w:rPr>
              <w:t>Nombre:</w:t>
            </w:r>
            <w:r w:rsidRPr="0ED4F347" w:rsidR="048562B7">
              <w:rPr>
                <w:color w:val="auto"/>
              </w:rPr>
              <w:t xml:space="preserve"> Yoana Marcela Aguirre Torres</w:t>
            </w:r>
          </w:p>
          <w:p w:rsidRPr="001A0960" w:rsidR="001A0960" w:rsidP="0ED4F347" w:rsidRDefault="22416E4C" w14:paraId="224EAFCE" w14:textId="5F546614">
            <w:pPr>
              <w:pStyle w:val="Firmas"/>
              <w:rPr>
                <w:color w:val="auto"/>
              </w:rPr>
            </w:pPr>
            <w:r w:rsidRPr="0ED4F347" w:rsidR="716BA31F">
              <w:rPr>
                <w:color w:val="auto"/>
              </w:rPr>
              <w:t>Cargo</w:t>
            </w:r>
            <w:r w:rsidRPr="0ED4F347" w:rsidR="2F7D7F06">
              <w:rPr>
                <w:color w:val="auto"/>
              </w:rPr>
              <w:t xml:space="preserve">: </w:t>
            </w:r>
            <w:r w:rsidRPr="0ED4F347" w:rsidR="47F5C6F0">
              <w:rPr>
                <w:color w:val="auto"/>
              </w:rPr>
              <w:t>Jefe de la Oficina de Control Interno</w:t>
            </w:r>
          </w:p>
        </w:tc>
        <w:tc>
          <w:tcPr>
            <w:tcW w:w="426" w:type="dxa"/>
            <w:tcMar/>
          </w:tcPr>
          <w:p w:rsidRPr="001A0960" w:rsidR="001A0960" w:rsidP="0ED4F347" w:rsidRDefault="001A0960" w14:paraId="3FBB3978" w14:textId="77777777">
            <w:pPr>
              <w:pStyle w:val="Firmas"/>
              <w:rPr>
                <w:color w:val="auto"/>
              </w:rPr>
            </w:pPr>
          </w:p>
        </w:tc>
        <w:tc>
          <w:tcPr>
            <w:tcW w:w="5103" w:type="dxa"/>
            <w:tcMar/>
          </w:tcPr>
          <w:p w:rsidRPr="001A0960" w:rsidR="001A0960" w:rsidP="0ED4F347" w:rsidRDefault="001A0960" w14:paraId="5470A592" w14:textId="0AA656C6">
            <w:pPr>
              <w:pStyle w:val="Firmas"/>
              <w:rPr>
                <w:color w:val="auto"/>
              </w:rPr>
            </w:pPr>
          </w:p>
        </w:tc>
      </w:tr>
    </w:tbl>
    <w:p w:rsidR="001A0960" w:rsidP="0ED4F347" w:rsidRDefault="001A0960" w14:paraId="55A8632B" w14:textId="4C9D3A72">
      <w:pPr>
        <w:rPr>
          <w:color w:val="auto"/>
        </w:rPr>
        <w:sectPr w:rsidR="001A0960" w:rsidSect="00EA0F94">
          <w:type w:val="continuous"/>
          <w:pgSz w:w="12240" w:h="15840" w:orient="portrait"/>
          <w:pgMar w:top="1418" w:right="567" w:bottom="1928" w:left="1134" w:header="567" w:footer="567" w:gutter="0"/>
          <w:pgNumType w:start="1"/>
          <w:cols w:space="720"/>
        </w:sectPr>
      </w:pPr>
    </w:p>
    <w:p w:rsidR="00253AC0" w:rsidP="001A0960" w:rsidRDefault="00253AC0" w14:paraId="40865866" w14:textId="77777777">
      <w:pPr>
        <w:sectPr w:rsidR="00253AC0" w:rsidSect="00EA0F94">
          <w:type w:val="continuous"/>
          <w:pgSz w:w="12240" w:h="15840" w:orient="portrait"/>
          <w:pgMar w:top="1418" w:right="567" w:bottom="1928" w:left="1134" w:header="567" w:footer="567" w:gutter="0"/>
          <w:pgNumType w:start="1"/>
          <w:cols w:space="720"/>
        </w:sectPr>
      </w:pPr>
    </w:p>
    <w:p w:rsidR="00253AC0" w:rsidP="001A0960" w:rsidRDefault="00253AC0" w14:paraId="6BA4E595" w14:textId="77777777">
      <w:pPr>
        <w:sectPr w:rsidR="00253AC0" w:rsidSect="00EA0F94">
          <w:type w:val="continuous"/>
          <w:pgSz w:w="12240" w:h="15840" w:orient="portrait"/>
          <w:pgMar w:top="1418" w:right="567" w:bottom="1928" w:left="1134" w:header="567" w:footer="567" w:gutter="0"/>
          <w:pgNumType w:start="1"/>
          <w:cols w:space="720"/>
        </w:sectPr>
      </w:pPr>
    </w:p>
    <w:p w:rsidR="00A03CDF" w:rsidP="001A0960" w:rsidRDefault="00A03CDF" w14:paraId="1C3D125F" w14:textId="77777777"/>
    <w:sectPr w:rsidR="00A03CDF" w:rsidSect="00EA0F94">
      <w:type w:val="continuous"/>
      <w:pgSz w:w="12240" w:h="15840" w:orient="portrait"/>
      <w:pgMar w:top="1418" w:right="567" w:bottom="1928" w:left="1134" w:header="567" w:footer="567" w:gutter="0"/>
      <w:pgNumType w:start="1"/>
      <w:cols w:space="72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41B3" w:rsidP="001A0960" w:rsidRDefault="00DF41B3" w14:paraId="23C8DEA6" w14:textId="77777777">
      <w:r>
        <w:separator/>
      </w:r>
    </w:p>
  </w:endnote>
  <w:endnote w:type="continuationSeparator" w:id="0">
    <w:p w:rsidR="00DF41B3" w:rsidP="001A0960" w:rsidRDefault="00DF41B3" w14:paraId="131CD56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0"/>
    <w:family w:val="auto"/>
    <w:pitch w:val="default"/>
  </w:font>
  <w:font w:name="Lohit Devanagari">
    <w:altName w:val="Cambri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ntonio Light">
    <w:altName w:val="Calibri"/>
    <w:charset w:val="4D"/>
    <w:family w:val="auto"/>
    <w:pitch w:val="variable"/>
    <w:sig w:usb0="A00000EF" w:usb1="5000204B" w:usb2="00000000" w:usb3="00000000" w:csb0="00000093" w:csb1="00000000"/>
  </w:font>
  <w:font w:name="Anton">
    <w:altName w:val="Constantia"/>
    <w:charset w:val="00"/>
    <w:family w:val="auto"/>
    <w:pitch w:val="variable"/>
    <w:sig w:usb0="A00000FF" w:usb1="4000207B" w:usb2="00000000" w:usb3="00000000" w:csb0="00000193" w:csb1="00000000"/>
  </w:font>
  <w:font w:name="Cambria Math">
    <w:panose1 w:val="02040503050406030204"/>
    <w:charset w:val="00"/>
    <w:family w:val="roman"/>
    <w:pitch w:val="variable"/>
    <w:sig w:usb0="E00006FF" w:usb1="420024FF" w:usb2="02000000" w:usb3="00000000" w:csb0="0000019F" w:csb1="00000000"/>
  </w:font>
  <w:font w:name="Aptos">
    <w:altName w:val="Arial"/>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Aptos Narrow">
    <w:altName w:val="MV Bol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48B1" w:rsidP="001A0960" w:rsidRDefault="006E48B1" w14:paraId="4E199902" w14:textId="77777777">
    <w:r>
      <w:fldChar w:fldCharType="begin"/>
    </w:r>
    <w:r>
      <w:instrText>PAGE</w:instrText>
    </w:r>
    <w:r>
      <w:fldChar w:fldCharType="separate"/>
    </w:r>
    <w:r>
      <w:rPr>
        <w:noProof/>
      </w:rPr>
      <w:t>6</w:t>
    </w:r>
    <w:r>
      <w:fldChar w:fldCharType="end"/>
    </w:r>
  </w:p>
  <w:p w:rsidR="006E48B1" w:rsidP="001A0960" w:rsidRDefault="006E48B1" w14:paraId="470FB5DF" w14:textId="77777777"/>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0527506"/>
      <w:docPartObj>
        <w:docPartGallery w:val="Page Numbers (Bottom of Page)"/>
        <w:docPartUnique/>
      </w:docPartObj>
    </w:sdtPr>
    <w:sdtContent>
      <w:p w:rsidR="006E48B1" w:rsidRDefault="006E48B1" w14:paraId="038C4E30" w14:textId="3511756D">
        <w:pPr>
          <w:pStyle w:val="Piedepgina"/>
          <w:jc w:val="right"/>
        </w:pPr>
        <w:r>
          <w:fldChar w:fldCharType="begin"/>
        </w:r>
        <w:r>
          <w:instrText>PAGE   \* MERGEFORMAT</w:instrText>
        </w:r>
        <w:r>
          <w:fldChar w:fldCharType="separate"/>
        </w:r>
        <w:r w:rsidR="002439A0">
          <w:rPr>
            <w:noProof/>
          </w:rPr>
          <w:t>56</w:t>
        </w:r>
        <w:r>
          <w:fldChar w:fldCharType="end"/>
        </w:r>
      </w:p>
    </w:sdtContent>
  </w:sdt>
  <w:p w:rsidR="006E48B1" w:rsidP="001A0960" w:rsidRDefault="006E48B1" w14:paraId="6DE05E05" w14:textId="7777777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41B3" w:rsidP="001A0960" w:rsidRDefault="00DF41B3" w14:paraId="3835D1DE" w14:textId="77777777">
      <w:r>
        <w:separator/>
      </w:r>
    </w:p>
  </w:footnote>
  <w:footnote w:type="continuationSeparator" w:id="0">
    <w:p w:rsidR="00DF41B3" w:rsidP="001A0960" w:rsidRDefault="00DF41B3" w14:paraId="1F167544" w14:textId="77777777">
      <w:r>
        <w:continuationSeparator/>
      </w:r>
    </w:p>
  </w:footnote>
  <w:footnote w:id="1">
    <w:p w:rsidR="006E48B1" w:rsidP="1C3D137E" w:rsidRDefault="006E48B1" w14:paraId="507DFEB3" w14:textId="58E2DF7A">
      <w:pPr>
        <w:pStyle w:val="Textonotapie"/>
      </w:pPr>
      <w:r w:rsidRPr="1C3D137E">
        <w:rPr>
          <w:rStyle w:val="Refdenotaalpie"/>
        </w:rPr>
        <w:footnoteRef/>
      </w:r>
      <w:r w:rsidR="0ED4F347">
        <w:rPr/>
        <w:t xml:space="preserve"> </w:t>
      </w:r>
      <w:r w:rsidRPr="1C3D137E" w:rsidR="0ED4F347">
        <w:rPr/>
        <w:t xml:space="preserve">Tomando en cuenta la aclaración proporcionada por la UAEGRD mediante correo institucional del 20 de abril de 2026, en respuesta a las observaciones formuladas en la auditoría interna de gestión realizada por la Oficina de Control Interno (Cóndor </w:t>
      </w:r>
      <w:r w:rsidRPr="1C3D137E" w:rsidR="0ED4F347">
        <w:rPr/>
        <w:t xml:space="preserve">N.°</w:t>
      </w:r>
      <w:r w:rsidRPr="1C3D137E" w:rsidR="0ED4F347">
        <w:rPr/>
        <w:t xml:space="preserve"> GOB-S-CR-2026-0062623 del 15 de abril de 2026), la auditoría determinó reclasificar el hallazgo de </w:t>
      </w:r>
      <w:r w:rsidRPr="1C3D137E" w:rsidR="0ED4F347">
        <w:rPr>
          <w:b w:val="1"/>
          <w:bCs w:val="1"/>
        </w:rPr>
        <w:t>incumplimiento</w:t>
      </w:r>
      <w:r w:rsidRPr="1C3D137E" w:rsidR="0ED4F347">
        <w:rPr/>
        <w:t xml:space="preserve"> como </w:t>
      </w:r>
      <w:r w:rsidRPr="1C3D137E" w:rsidR="0ED4F347">
        <w:rPr>
          <w:b w:val="1"/>
          <w:bCs w:val="1"/>
        </w:rPr>
        <w:t>oportunidad de mejora</w:t>
      </w:r>
      <w:r w:rsidRPr="1C3D137E" w:rsidR="0ED4F347">
        <w:rPr/>
        <w:t xml:space="preserve">. El análisis correspondiente se presenta en el apartado “Análisis de la controversia de la Oportunidad de Mejora </w:t>
      </w:r>
      <w:r w:rsidRPr="1C3D137E" w:rsidR="0ED4F347">
        <w:rPr/>
        <w:t>8.2.</w:t>
      </w:r>
      <w:r w:rsidRPr="1C3D137E" w:rsidR="0ED4F347">
        <w:rPr/>
        <w:t>1” del presente informe.</w:t>
      </w:r>
    </w:p>
  </w:footnote>
  <w:footnote w:id="2">
    <w:p w:rsidR="006E48B1" w:rsidP="1C3D137E" w:rsidRDefault="006E48B1" w14:paraId="3BF4DA48" w14:textId="085126C8">
      <w:pPr>
        <w:pStyle w:val="Textonotapie"/>
      </w:pPr>
      <w:r w:rsidRPr="1C3D137E">
        <w:rPr>
          <w:rStyle w:val="Refdenotaalpie"/>
        </w:rPr>
        <w:footnoteRef/>
      </w:r>
      <w:r w:rsidR="0ED4F347">
        <w:rPr/>
        <w:t xml:space="preserve"> </w:t>
      </w:r>
      <w:r w:rsidRPr="1C3D137E" w:rsidR="0ED4F347">
        <w:rPr/>
        <w:t xml:space="preserve">Tomando en cuenta la aclaración proporcionada por la UAEGRD mediante correo institucional del 20 de abril de 2026, en respuesta a las observaciones formuladas en la auditoría interna de gestión realizada por la Oficina de Control Interno (Cóndor </w:t>
      </w:r>
      <w:r w:rsidRPr="1C3D137E" w:rsidR="0ED4F347">
        <w:rPr/>
        <w:t xml:space="preserve">N.°</w:t>
      </w:r>
      <w:r w:rsidRPr="1C3D137E" w:rsidR="0ED4F347">
        <w:rPr/>
        <w:t xml:space="preserve"> GOB-S-CR-2026-0062623 del 15 de abril de 2026), la auditoría determinó mantener el hallazgo de </w:t>
      </w:r>
      <w:r w:rsidRPr="1C3D137E" w:rsidR="0ED4F347">
        <w:rPr>
          <w:b w:val="1"/>
          <w:bCs w:val="1"/>
        </w:rPr>
        <w:t>incumplimiento</w:t>
      </w:r>
      <w:r w:rsidRPr="1C3D137E" w:rsidR="0ED4F347">
        <w:rPr/>
        <w:t xml:space="preserve">. El análisis correspondiente se presenta en el apartado “Análisis de la controversia del Incumplimiento </w:t>
      </w:r>
      <w:r w:rsidRPr="1C3D137E" w:rsidR="0ED4F347">
        <w:rPr/>
        <w:t>8.3.</w:t>
      </w:r>
      <w:r w:rsidRPr="1C3D137E" w:rsidR="0ED4F347">
        <w:rPr/>
        <w:t>1” del presente informe.</w:t>
      </w:r>
    </w:p>
  </w:footnote>
  <w:footnote w:id="3">
    <w:p w:rsidR="006E48B1" w:rsidP="1C3D137E" w:rsidRDefault="006E48B1" w14:paraId="4877C7BF" w14:textId="3542FC5F">
      <w:pPr>
        <w:pStyle w:val="Textonotapie"/>
        <w:rPr>
          <w:rStyle w:val="GrisIndicacionesCar"/>
        </w:rPr>
      </w:pPr>
      <w:r w:rsidRPr="1C3D137E">
        <w:rPr>
          <w:rStyle w:val="Refdenotaalpie"/>
        </w:rPr>
        <w:footnoteRef/>
      </w:r>
      <w:r>
        <w:t xml:space="preserve"> Ver papel de trabajo “</w:t>
      </w:r>
      <w:r w:rsidRPr="1C3D137E">
        <w:rPr>
          <w:b/>
          <w:bCs/>
        </w:rPr>
        <w:t>EV-EC-FR-078_V2 control del riesgo”.</w:t>
      </w:r>
    </w:p>
  </w:footnote>
  <w:footnote w:id="7867">
    <w:p w:rsidR="0ED4F347" w:rsidP="0ED4F347" w:rsidRDefault="0ED4F347" w14:paraId="5B287E8D" w14:textId="275B423B">
      <w:pPr>
        <w:pStyle w:val="Textonotapie"/>
        <w:bidi w:val="0"/>
      </w:pPr>
      <w:r w:rsidRPr="0ED4F347">
        <w:rPr>
          <w:rStyle w:val="Refdenotaalpie"/>
        </w:rPr>
        <w:footnoteRef/>
      </w:r>
      <w:r w:rsidR="0ED4F347">
        <w:rPr/>
        <w:t xml:space="preserve"> Tomando en cuenta la aclaración proporcionada por la UAEGRD mediante correo institucional del 20 de abril de 2026, en respuesta a las observaciones formuladas en la auditoría interna de gestión realizada por la Oficina de Control Interno (Cóndor </w:t>
      </w:r>
      <w:r w:rsidR="0ED4F347">
        <w:rPr/>
        <w:t>N.°</w:t>
      </w:r>
      <w:r w:rsidR="0ED4F347">
        <w:rPr/>
        <w:t xml:space="preserve"> GOB-S-CR-2026-0062623 del 15 de abril de 2026), la auditoría determinó mantener el hallazgo de </w:t>
      </w:r>
      <w:r w:rsidRPr="0ED4F347" w:rsidR="0ED4F347">
        <w:rPr>
          <w:b w:val="1"/>
          <w:bCs w:val="1"/>
        </w:rPr>
        <w:t>incumplimiento</w:t>
      </w:r>
      <w:r w:rsidR="0ED4F347">
        <w:rPr/>
        <w:t>. El análisis correspondiente se presenta en el apartado “Análisis de la controversia del Incumplimiento 8.3.3” del presente informe.</w:t>
      </w:r>
    </w:p>
    <w:p w:rsidR="0ED4F347" w:rsidP="0ED4F347" w:rsidRDefault="0ED4F347" w14:paraId="428E37D7" w14:textId="416BCC5F">
      <w:pPr>
        <w:pStyle w:val="Textonotapie"/>
        <w:bidi w:val="0"/>
      </w:pPr>
    </w:p>
  </w:footnote>
  <w:footnote w:id="27924">
    <w:p w:rsidR="0ED4F347" w:rsidP="0ED4F347" w:rsidRDefault="0ED4F347" w14:paraId="45A9FC0A" w14:textId="61D368E8">
      <w:pPr>
        <w:pStyle w:val="Textonotapie"/>
        <w:bidi w:val="0"/>
      </w:pPr>
      <w:r w:rsidRPr="0ED4F347">
        <w:rPr>
          <w:rStyle w:val="Refdenotaalpie"/>
        </w:rPr>
        <w:footnoteRef/>
      </w:r>
      <w:r w:rsidR="0ED4F347">
        <w:rPr/>
        <w:t xml:space="preserve"> Tomando en cuenta la aclaración proporcionada por la UAEGRD mediante correo institucional del 20 de abril de 2026, en respuesta a las observaciones formuladas en la auditoría interna de gestión realizada por la Oficina de Control Interno (Cóndor </w:t>
      </w:r>
      <w:r w:rsidR="0ED4F347">
        <w:rPr/>
        <w:t>N.°</w:t>
      </w:r>
      <w:r w:rsidR="0ED4F347">
        <w:rPr/>
        <w:t xml:space="preserve"> GOB-S-CR-2026-0062623 del 15 de abril de 2026), la auditoría determinó mantener el hallazgo de </w:t>
      </w:r>
      <w:r w:rsidRPr="0ED4F347" w:rsidR="0ED4F347">
        <w:rPr>
          <w:b w:val="1"/>
          <w:bCs w:val="1"/>
        </w:rPr>
        <w:t>incumplimiento</w:t>
      </w:r>
      <w:r w:rsidR="0ED4F347">
        <w:rPr/>
        <w:t>. El análisis correspondiente se presenta en el apartado “Análisis de la controversia del Incumplimiento 8.3.2” del presente informe.</w:t>
      </w:r>
    </w:p>
    <w:p w:rsidR="0ED4F347" w:rsidP="0ED4F347" w:rsidRDefault="0ED4F347" w14:paraId="103D2273" w14:textId="43053D22">
      <w:pPr>
        <w:pStyle w:val="Textonotapie"/>
        <w:bidi w:val="0"/>
      </w:pPr>
    </w:p>
  </w:footnote>
  <w:footnote w:id="304">
    <w:p w:rsidR="0ED4F347" w:rsidP="0ED4F347" w:rsidRDefault="0ED4F347" w14:paraId="4BB52296" w14:textId="34A8BFEA">
      <w:pPr>
        <w:pStyle w:val="Textonotapie"/>
        <w:bidi w:val="0"/>
      </w:pPr>
      <w:r w:rsidRPr="0ED4F347">
        <w:rPr>
          <w:rStyle w:val="Refdenotaalpie"/>
        </w:rPr>
        <w:footnoteRef/>
      </w:r>
      <w:r w:rsidR="0ED4F347">
        <w:rPr/>
        <w:t xml:space="preserve"> Fecha indicada en la reunión de apertura, que se adelantó el 10 de marzo del 2026</w:t>
      </w:r>
      <w:r w:rsidR="0ED4F347">
        <w:rPr/>
        <w:t>.</w:t>
      </w:r>
    </w:p>
  </w:footnote>
  <w:footnote w:id="13858">
    <w:p w:rsidR="0ED4F347" w:rsidP="0ED4F347" w:rsidRDefault="0ED4F347" w14:paraId="37CB0236" w14:textId="415468BA">
      <w:pPr>
        <w:pStyle w:val="Textonotapie"/>
        <w:bidi w:val="0"/>
        <w:rPr>
          <w:rFonts w:eastAsia="" w:eastAsiaTheme="minorEastAsia"/>
          <w:sz w:val="24"/>
          <w:szCs w:val="24"/>
        </w:rPr>
      </w:pPr>
      <w:r w:rsidRPr="0ED4F347">
        <w:rPr>
          <w:rStyle w:val="Refdenotaalpie"/>
        </w:rPr>
        <w:footnoteRef/>
      </w:r>
      <w:r w:rsidR="0ED4F347">
        <w:rPr/>
        <w:t xml:space="preserve"> </w:t>
      </w:r>
      <w:r w:rsidRPr="0ED4F347" w:rsidR="0ED4F347">
        <w:rPr>
          <w:rFonts w:ascii="Arial" w:hAnsi="Arial" w:eastAsia="" w:cs="Arial" w:eastAsiaTheme="minorEastAsia"/>
          <w:color w:val="auto"/>
          <w:sz w:val="24"/>
          <w:szCs w:val="24"/>
          <w:lang w:eastAsia="es-CO" w:bidi="ar-SA"/>
        </w:rPr>
        <w:t xml:space="preserve">Tomando en cuenta la aclaración proporcionada por la UAEGRD mediante correo institucional del 20 de abril de 2026, en respuesta a las observaciones formuladas en la auditoría interna de gestión realizada por la Oficina de Control Interno (Cóndor </w:t>
      </w:r>
      <w:r w:rsidRPr="0ED4F347" w:rsidR="0ED4F347">
        <w:rPr>
          <w:rFonts w:ascii="Arial" w:hAnsi="Arial" w:eastAsia="" w:cs="Arial" w:eastAsiaTheme="minorEastAsia"/>
          <w:color w:val="auto"/>
          <w:sz w:val="24"/>
          <w:szCs w:val="24"/>
          <w:lang w:eastAsia="es-CO" w:bidi="ar-SA"/>
        </w:rPr>
        <w:t>N.°</w:t>
      </w:r>
      <w:r w:rsidRPr="0ED4F347" w:rsidR="0ED4F347">
        <w:rPr>
          <w:rFonts w:ascii="Arial" w:hAnsi="Arial" w:eastAsia="" w:cs="Arial" w:eastAsiaTheme="minorEastAsia"/>
          <w:color w:val="auto"/>
          <w:sz w:val="24"/>
          <w:szCs w:val="24"/>
          <w:lang w:eastAsia="es-CO" w:bidi="ar-SA"/>
        </w:rPr>
        <w:t xml:space="preserve"> GOB-S-CR-2026-0062623 del 15 de abril de 2026), la auditoría determinó mantener el hallazgo de incumplimiento. El análisis correspondiente se presenta en el apartado “Análisis de la controversia del Incumplimiento 8.3.5” del presente informe.</w:t>
      </w:r>
    </w:p>
    <w:p w:rsidR="0ED4F347" w:rsidP="0ED4F347" w:rsidRDefault="0ED4F347" w14:paraId="7BF0C4BD" w14:textId="43053D22">
      <w:pPr>
        <w:pStyle w:val="Textonotapie"/>
        <w:bidi w:val="0"/>
      </w:pPr>
    </w:p>
    <w:p w:rsidR="0ED4F347" w:rsidP="0ED4F347" w:rsidRDefault="0ED4F347" w14:paraId="5D373D89" w14:textId="6671F1D8">
      <w:pPr>
        <w:pStyle w:val="Textonotapie"/>
        <w:bidi w:val="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48B1" w:rsidP="001A0960" w:rsidRDefault="006E48B1" w14:paraId="15BC0357" w14:textId="77777777"/>
  <w:p w:rsidR="006E48B1" w:rsidP="001A0960" w:rsidRDefault="006E48B1" w14:paraId="090F4506" w14:textId="77777777"/>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p14">
  <w:tbl>
    <w:tblPr>
      <w:tblStyle w:val="a6"/>
      <w:tblW w:w="10632" w:type="dxa"/>
      <w:tblInd w:w="36" w:type="dxa"/>
      <w:tblLayout w:type="fixed"/>
      <w:tblLook w:val="0400" w:firstRow="0" w:lastRow="0" w:firstColumn="0" w:lastColumn="0" w:noHBand="0" w:noVBand="1"/>
    </w:tblPr>
    <w:tblGrid>
      <w:gridCol w:w="2963"/>
      <w:gridCol w:w="4651"/>
      <w:gridCol w:w="3018"/>
    </w:tblGrid>
    <w:tr w:rsidRPr="00C00AE2" w:rsidR="006E48B1" w:rsidTr="0ED4F347" w14:paraId="4AB58F83" w14:textId="77777777">
      <w:trPr>
        <w:trHeight w:val="260"/>
      </w:trPr>
      <w:tc>
        <w:tcPr>
          <w:tcW w:w="2963" w:type="dxa"/>
          <w:vMerge w:val="restar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C00AE2" w:rsidR="006E48B1" w:rsidP="001A0960" w:rsidRDefault="006E48B1" w14:paraId="0A535C15" w14:textId="132953C1">
          <w:pPr>
            <w:pStyle w:val="Cabecera1"/>
          </w:pPr>
          <w:r>
            <w:rPr>
              <w:noProof/>
              <w:lang w:val="es-MX" w:eastAsia="es-MX"/>
            </w:rPr>
            <w:drawing>
              <wp:anchor distT="0" distB="0" distL="114300" distR="114300" simplePos="0" relativeHeight="251658240" behindDoc="0" locked="0" layoutInCell="1" allowOverlap="1" wp14:anchorId="6A71D1D2" wp14:editId="43FEFDA0">
                <wp:simplePos x="0" y="0"/>
                <wp:positionH relativeFrom="column">
                  <wp:posOffset>-9525</wp:posOffset>
                </wp:positionH>
                <wp:positionV relativeFrom="paragraph">
                  <wp:posOffset>205105</wp:posOffset>
                </wp:positionV>
                <wp:extent cx="1735455" cy="795655"/>
                <wp:effectExtent l="0" t="0" r="0" b="4445"/>
                <wp:wrapSquare wrapText="bothSides"/>
                <wp:docPr id="9" name="Imagen 2">
                  <a:extLst xmlns:a="http://schemas.openxmlformats.org/drawingml/2006/main">
                    <a:ext uri="{FF2B5EF4-FFF2-40B4-BE49-F238E27FC236}">
                      <a16:creationId xmlns:a16="http://schemas.microsoft.com/office/drawing/2014/main" id="{05BFF3EF-B4D9-E8D4-25A7-AD5DF6D341D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05BFF3EF-B4D9-E8D4-25A7-AD5DF6D341D8}"/>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5455" cy="7956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0AE2">
            <w:t xml:space="preserve">    </w:t>
          </w:r>
        </w:p>
      </w:tc>
      <w:tc>
        <w:tcPr>
          <w:tcW w:w="4651" w:type="dxa"/>
          <w:vMerge w:val="restart"/>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C00AE2" w:rsidR="006E48B1" w:rsidP="001A0960" w:rsidRDefault="006E48B1" w14:paraId="3B00499A" w14:textId="4D59415B">
          <w:pPr>
            <w:pStyle w:val="Cabecera1"/>
          </w:pPr>
          <w:r w:rsidRPr="00C00AE2">
            <w:t xml:space="preserve">EVALUACIÓN Y </w:t>
          </w:r>
          <w:r>
            <w:t>CONTROL</w:t>
          </w:r>
        </w:p>
      </w:tc>
      <w:tc>
        <w:tcPr>
          <w:tcW w:w="301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8B0599" w:rsidR="006E48B1" w:rsidP="001A0960" w:rsidRDefault="006E48B1" w14:paraId="151466B9" w14:textId="478EE4CE">
          <w:pPr>
            <w:pStyle w:val="Cabecera1"/>
            <w:rPr>
              <w:rStyle w:val="Cabecera2"/>
              <w:b w:val="0"/>
              <w:bCs w:val="0"/>
            </w:rPr>
          </w:pPr>
          <w:r w:rsidRPr="008B0599">
            <w:rPr>
              <w:rStyle w:val="Cabecera2"/>
              <w:b w:val="0"/>
              <w:bCs w:val="0"/>
            </w:rPr>
            <w:t>Código:  EV-</w:t>
          </w:r>
          <w:r>
            <w:rPr>
              <w:rStyle w:val="Cabecera2"/>
              <w:b w:val="0"/>
              <w:bCs w:val="0"/>
            </w:rPr>
            <w:t>EC</w:t>
          </w:r>
          <w:r w:rsidRPr="008B0599">
            <w:rPr>
              <w:rStyle w:val="Cabecera2"/>
              <w:b w:val="0"/>
              <w:bCs w:val="0"/>
            </w:rPr>
            <w:t>-FR-050</w:t>
          </w:r>
        </w:p>
      </w:tc>
    </w:tr>
    <w:tr w:rsidRPr="00C00AE2" w:rsidR="006E48B1" w:rsidTr="0ED4F347" w14:paraId="6AE3C126" w14:textId="77777777">
      <w:trPr>
        <w:trHeight w:val="509"/>
      </w:trPr>
      <w:tc>
        <w:tcPr>
          <w:tcW w:w="2963" w:type="dxa"/>
          <w:vMerge/>
          <w:tcBorders/>
          <w:tcMar/>
        </w:tcPr>
        <w:p w:rsidRPr="00C00AE2" w:rsidR="006E48B1" w:rsidP="001A0960" w:rsidRDefault="006E48B1" w14:paraId="324F794B" w14:textId="77777777">
          <w:pPr>
            <w:pStyle w:val="Cabecera1"/>
          </w:pPr>
        </w:p>
      </w:tc>
      <w:tc>
        <w:tcPr>
          <w:tcW w:w="4651" w:type="dxa"/>
          <w:vMerge/>
          <w:tcBorders/>
          <w:tcMar/>
          <w:vAlign w:val="center"/>
        </w:tcPr>
        <w:p w:rsidRPr="00C00AE2" w:rsidR="006E48B1" w:rsidP="001A0960" w:rsidRDefault="006E48B1" w14:paraId="2DED10E2" w14:textId="77777777">
          <w:pPr>
            <w:pStyle w:val="Cabecera1"/>
          </w:pPr>
        </w:p>
      </w:tc>
      <w:tc>
        <w:tcPr>
          <w:tcW w:w="3018" w:type="dxa"/>
          <w:vMerge w:val="restart"/>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8B0599" w:rsidR="006E48B1" w:rsidP="001A0960" w:rsidRDefault="006E48B1" w14:paraId="7AAD7162" w14:textId="02D40C62">
          <w:pPr>
            <w:pStyle w:val="Cabecera1"/>
            <w:rPr>
              <w:rStyle w:val="Cabecera2"/>
              <w:b w:val="0"/>
              <w:bCs w:val="0"/>
            </w:rPr>
          </w:pPr>
          <w:r w:rsidRPr="000D35CA">
            <w:rPr>
              <w:rStyle w:val="Cabecera2"/>
              <w:b w:val="0"/>
              <w:bCs w:val="0"/>
            </w:rPr>
            <w:t>Versión 0</w:t>
          </w:r>
          <w:r>
            <w:rPr>
              <w:rStyle w:val="Cabecera2"/>
              <w:b w:val="0"/>
              <w:bCs w:val="0"/>
            </w:rPr>
            <w:t>8</w:t>
          </w:r>
        </w:p>
      </w:tc>
    </w:tr>
    <w:tr w:rsidRPr="00C00AE2" w:rsidR="006E48B1" w:rsidTr="0ED4F347" w14:paraId="47FBDA5F" w14:textId="77777777">
      <w:trPr>
        <w:trHeight w:val="509"/>
      </w:trPr>
      <w:tc>
        <w:tcPr>
          <w:tcW w:w="2963" w:type="dxa"/>
          <w:vMerge/>
          <w:tcBorders/>
          <w:tcMar/>
        </w:tcPr>
        <w:p w:rsidRPr="00C00AE2" w:rsidR="006E48B1" w:rsidP="001A0960" w:rsidRDefault="006E48B1" w14:paraId="3E75B515" w14:textId="77777777">
          <w:pPr>
            <w:pStyle w:val="Cabecera1"/>
          </w:pPr>
        </w:p>
      </w:tc>
      <w:tc>
        <w:tcPr>
          <w:tcW w:w="4651" w:type="dxa"/>
          <w:vMerge w:val="restart"/>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C00AE2" w:rsidR="006E48B1" w:rsidP="001A0960" w:rsidRDefault="006E48B1" w14:paraId="44B0BE38" w14:noSpellErr="1" w14:textId="264F18E6">
          <w:pPr>
            <w:pStyle w:val="Cabecera1"/>
          </w:pPr>
          <w:r w:rsidR="0ED4F347">
            <w:rPr/>
            <w:t>INFORME DE AUDITORÍA INTERNA</w:t>
          </w:r>
        </w:p>
      </w:tc>
      <w:tc>
        <w:tcPr>
          <w:tcW w:w="3018" w:type="dxa"/>
          <w:vMerge/>
          <w:tcBorders/>
          <w:tcMar/>
          <w:vAlign w:val="center"/>
        </w:tcPr>
        <w:p w:rsidRPr="008B0599" w:rsidR="006E48B1" w:rsidP="001A0960" w:rsidRDefault="006E48B1" w14:paraId="4B7E5125" w14:textId="77777777">
          <w:pPr>
            <w:pStyle w:val="Cabecera1"/>
            <w:rPr>
              <w:rStyle w:val="Cabecera2"/>
              <w:b w:val="0"/>
              <w:bCs w:val="0"/>
            </w:rPr>
          </w:pPr>
        </w:p>
      </w:tc>
    </w:tr>
    <w:tr w:rsidRPr="00C00AE2" w:rsidR="006E48B1" w:rsidTr="0ED4F347" w14:paraId="2F60CF55" w14:textId="77777777">
      <w:trPr>
        <w:trHeight w:val="280"/>
      </w:trPr>
      <w:tc>
        <w:tcPr>
          <w:tcW w:w="2963" w:type="dxa"/>
          <w:vMerge/>
          <w:tcBorders/>
          <w:tcMar/>
        </w:tcPr>
        <w:p w:rsidRPr="00C00AE2" w:rsidR="006E48B1" w:rsidP="001A0960" w:rsidRDefault="006E48B1" w14:paraId="23F557DD" w14:textId="77777777">
          <w:pPr>
            <w:pStyle w:val="Cabecera1"/>
          </w:pPr>
        </w:p>
      </w:tc>
      <w:tc>
        <w:tcPr>
          <w:tcW w:w="4651" w:type="dxa"/>
          <w:vMerge/>
          <w:tcBorders/>
          <w:tcMar/>
          <w:vAlign w:val="center"/>
        </w:tcPr>
        <w:p w:rsidRPr="00C00AE2" w:rsidR="006E48B1" w:rsidP="001A0960" w:rsidRDefault="006E48B1" w14:paraId="16387B99" w14:textId="77777777">
          <w:pPr>
            <w:pStyle w:val="Cabecera1"/>
          </w:pPr>
        </w:p>
      </w:tc>
      <w:tc>
        <w:tcPr>
          <w:tcW w:w="301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8B0599" w:rsidR="006E48B1" w:rsidP="001A0960" w:rsidRDefault="006E48B1" w14:paraId="0FEA6CE9" w14:textId="6E987BC2">
          <w:pPr>
            <w:pStyle w:val="Cabecera1"/>
            <w:rPr>
              <w:rStyle w:val="Cabecera2"/>
              <w:b w:val="0"/>
              <w:bCs w:val="0"/>
            </w:rPr>
          </w:pPr>
          <w:r w:rsidRPr="008B0599">
            <w:rPr>
              <w:rStyle w:val="Cabecera2"/>
              <w:b w:val="0"/>
              <w:bCs w:val="0"/>
            </w:rPr>
            <w:t>Fecha</w:t>
          </w:r>
          <w:r w:rsidRPr="00BB4C97">
            <w:rPr>
              <w:rStyle w:val="Cabecera2"/>
              <w:b w:val="0"/>
              <w:bCs w:val="0"/>
            </w:rPr>
            <w:t>: 02/09/2025</w:t>
          </w:r>
        </w:p>
      </w:tc>
    </w:tr>
  </w:tbl>
  <w:p w:rsidR="006E48B1" w:rsidP="001A0960" w:rsidRDefault="006E48B1" w14:paraId="2FFEBB8F" w14:textId="77777777"/>
</w:hdr>
</file>

<file path=word/intelligence2.xml><?xml version="1.0" encoding="utf-8"?>
<int2:intelligence xmlns:int2="http://schemas.microsoft.com/office/intelligence/2020/intelligence">
  <int2:observations>
    <int2:textHash int2:hashCode="558DVYFzRlGQUG" int2:id="VgICYqEe">
      <int2:state int2:type="spell" int2:value="Rejected"/>
    </int2:textHash>
    <int2:textHash int2:hashCode="hbJGxA7PZnLyhp" int2:id="Qhr0npXj">
      <int2:state int2:type="spell" int2:value="Rejected"/>
    </int2:textHash>
    <int2:textHash int2:hashCode="G6kN7NxeajV649" int2:id="2cHYqcfk">
      <int2:state int2:type="spell" int2:value="Rejected"/>
    </int2:textHash>
    <int2:textHash int2:hashCode="Z2ojE2ycfgKbic" int2:id="6HZKYzX4">
      <int2:state int2:type="spell" int2:value="Rejected"/>
    </int2:textHash>
    <int2:textHash int2:hashCode="8OGh1/2eXQ6VeF" int2:id="3lliAcPd">
      <int2:state int2:type="spell"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xmlns:w="http://schemas.openxmlformats.org/wordprocessingml/2006/main" w:abstractNumId="42">
    <w:nsid w:val="c3735f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1">
    <w:nsid w:val="4371d67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0">
    <w:nsid w:val="64eb67e6"/>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39">
    <w:nsid w:val="42de0596"/>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38">
    <w:nsid w:val="52c55557"/>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37">
    <w:nsid w:val="6004cf3c"/>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36">
    <w:nsid w:val="63ce5fae"/>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35">
    <w:nsid w:val="4e45d228"/>
    <w:multiLevelType xmlns:w="http://schemas.openxmlformats.org/wordprocessingml/2006/main" w:val="multilevel"/>
    <w:lvl xmlns:w="http://schemas.openxmlformats.org/wordprocessingml/2006/main" w:ilvl="0">
      <w:start w:val="1"/>
      <w:numFmt w:val="decimal"/>
      <w:pStyle w:val="Ttulo30"/>
      <w:lvlText w:val="%1.%2.%3.%4."/>
      <w:lvlJc w:val="left"/>
      <w:pPr>
        <w:ind w:left="0" w:firstLine="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4">
    <w:nsid w:val="655e5a6c"/>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33">
    <w:nsid w:val="c3f448e"/>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32">
    <w:nsid w:val="2b194a6b"/>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31">
    <w:nsid w:val="2bb24e77"/>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30">
    <w:nsid w:val="2065c281"/>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29">
    <w:nsid w:val="1e9de31f"/>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28">
    <w:nsid w:val="5a452484"/>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27">
    <w:nsid w:val="5aab2f76"/>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26">
    <w:nsid w:val="15cca3f6"/>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25">
    <w:nsid w:val="5a9ea00b"/>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24">
    <w:nsid w:val="2e6ccaea"/>
    <w:multiLevelType xmlns:w="http://schemas.openxmlformats.org/wordprocessingml/2006/main" w:val="hybridMultilevel"/>
    <w:lvl xmlns:w="http://schemas.openxmlformats.org/wordprocessingml/2006/main" w:ilvl="0">
      <w:start w:val="1"/>
      <w:numFmt w:val="bullet"/>
      <w:lvlText w:val="o"/>
      <w:lvlJc w:val="left"/>
      <w:pPr>
        <w:ind w:left="360" w:hanging="360"/>
      </w:pPr>
      <w:rPr>
        <w:rFonts w:hint="default" w:ascii="Courier New" w:hAnsi="Courier New"/>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23">
    <w:nsid w:val="294d73eb"/>
    <w:multiLevelType xmlns:w="http://schemas.openxmlformats.org/wordprocessingml/2006/main" w:val="hybridMultilevel"/>
    <w:lvl xmlns:w="http://schemas.openxmlformats.org/wordprocessingml/2006/main" w:ilvl="0">
      <w:start w:val="1"/>
      <w:numFmt w:val="bullet"/>
      <w:lvlText w:val="o"/>
      <w:lvlJc w:val="left"/>
      <w:pPr>
        <w:ind w:left="720" w:hanging="360"/>
      </w:pPr>
      <w:rPr>
        <w:rFonts w:hint="default" w:ascii="Courier New" w:hAnsi="Courier New"/>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2">
    <w:nsid w:val="62296ca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1">
    <w:nsid w:val="3c905ff"/>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w:abstractNumId="0" w15:restartNumberingAfterBreak="0">
    <w:nsid w:val="00CE09D1"/>
    <w:multiLevelType w:val="hybridMultilevel"/>
    <w:tmpl w:val="6192A3AE"/>
    <w:lvl w:ilvl="0" w:tplc="080A0001">
      <w:start w:val="1"/>
      <w:numFmt w:val="bullet"/>
      <w:lvlText w:val=""/>
      <w:lvlJc w:val="left"/>
      <w:pPr>
        <w:ind w:left="360" w:hanging="360"/>
      </w:pPr>
      <w:rPr>
        <w:rFonts w:hint="default" w:ascii="Symbol" w:hAnsi="Symbol"/>
      </w:rPr>
    </w:lvl>
    <w:lvl w:ilvl="1" w:tplc="080A0003">
      <w:start w:val="1"/>
      <w:numFmt w:val="bullet"/>
      <w:lvlText w:val="o"/>
      <w:lvlJc w:val="left"/>
      <w:pPr>
        <w:ind w:left="1080" w:hanging="360"/>
      </w:pPr>
      <w:rPr>
        <w:rFonts w:hint="default" w:ascii="Courier New" w:hAnsi="Courier New" w:cs="Courier New"/>
      </w:rPr>
    </w:lvl>
    <w:lvl w:ilvl="2" w:tplc="080A0005" w:tentative="1">
      <w:start w:val="1"/>
      <w:numFmt w:val="bullet"/>
      <w:lvlText w:val=""/>
      <w:lvlJc w:val="left"/>
      <w:pPr>
        <w:ind w:left="1800" w:hanging="360"/>
      </w:pPr>
      <w:rPr>
        <w:rFonts w:hint="default" w:ascii="Wingdings" w:hAnsi="Wingdings"/>
      </w:rPr>
    </w:lvl>
    <w:lvl w:ilvl="3" w:tentative="1">
      <w:start w:val="1"/>
      <w:numFmt w:val="bullet"/>
      <w:lvlText w:val="·"/>
      <w:lvlJc w:val="left"/>
      <w:pPr>
        <w:ind w:left="2520" w:hanging="360"/>
      </w:pPr>
      <w:rPr>
        <w:rFonts w:hint="default" w:ascii="Symbol" w:hAnsi="Symbol"/>
      </w:rPr>
    </w:lvl>
    <w:lvl w:ilvl="4" w:tplc="080A0003" w:tentative="1">
      <w:start w:val="1"/>
      <w:numFmt w:val="bullet"/>
      <w:lvlText w:val="o"/>
      <w:lvlJc w:val="left"/>
      <w:pPr>
        <w:ind w:left="3240" w:hanging="360"/>
      </w:pPr>
      <w:rPr>
        <w:rFonts w:hint="default" w:ascii="Courier New" w:hAnsi="Courier New" w:cs="Courier New"/>
      </w:rPr>
    </w:lvl>
    <w:lvl w:ilvl="5" w:tplc="080A0005" w:tentative="1">
      <w:start w:val="1"/>
      <w:numFmt w:val="bullet"/>
      <w:lvlText w:val=""/>
      <w:lvlJc w:val="left"/>
      <w:pPr>
        <w:ind w:left="3960" w:hanging="360"/>
      </w:pPr>
      <w:rPr>
        <w:rFonts w:hint="default" w:ascii="Wingdings" w:hAnsi="Wingdings"/>
      </w:rPr>
    </w:lvl>
    <w:lvl w:ilvl="6" w:tplc="080A0001" w:tentative="1">
      <w:start w:val="1"/>
      <w:numFmt w:val="bullet"/>
      <w:lvlText w:val=""/>
      <w:lvlJc w:val="left"/>
      <w:pPr>
        <w:ind w:left="4680" w:hanging="360"/>
      </w:pPr>
      <w:rPr>
        <w:rFonts w:hint="default" w:ascii="Symbol" w:hAnsi="Symbol"/>
      </w:rPr>
    </w:lvl>
    <w:lvl w:ilvl="7" w:tplc="080A0003" w:tentative="1">
      <w:start w:val="1"/>
      <w:numFmt w:val="bullet"/>
      <w:lvlText w:val="o"/>
      <w:lvlJc w:val="left"/>
      <w:pPr>
        <w:ind w:left="5400" w:hanging="360"/>
      </w:pPr>
      <w:rPr>
        <w:rFonts w:hint="default" w:ascii="Courier New" w:hAnsi="Courier New" w:cs="Courier New"/>
      </w:rPr>
    </w:lvl>
    <w:lvl w:ilvl="8" w:tplc="080A0005" w:tentative="1">
      <w:start w:val="1"/>
      <w:numFmt w:val="bullet"/>
      <w:lvlText w:val=""/>
      <w:lvlJc w:val="left"/>
      <w:pPr>
        <w:ind w:left="6120" w:hanging="360"/>
      </w:pPr>
      <w:rPr>
        <w:rFonts w:hint="default" w:ascii="Wingdings" w:hAnsi="Wingdings"/>
      </w:rPr>
    </w:lvl>
  </w:abstractNum>
  <w:abstractNum w:abstractNumId="1" w15:restartNumberingAfterBreak="0">
    <w:nsid w:val="0768360D"/>
    <w:multiLevelType w:val="hybridMultilevel"/>
    <w:tmpl w:val="27AE88D6"/>
    <w:lvl w:ilvl="0" w:tplc="DB5863E4">
      <w:start w:val="1"/>
      <w:numFmt w:val="bullet"/>
      <w:lvlText w:val="·"/>
      <w:lvlJc w:val="left"/>
      <w:pPr>
        <w:ind w:left="360" w:hanging="360"/>
      </w:pPr>
      <w:rPr>
        <w:rFonts w:hint="default" w:ascii="Symbol" w:hAnsi="Symbol"/>
      </w:rPr>
    </w:lvl>
    <w:lvl w:ilvl="1" w:tplc="76D6931A">
      <w:start w:val="1"/>
      <w:numFmt w:val="bullet"/>
      <w:lvlText w:val="o"/>
      <w:lvlJc w:val="left"/>
      <w:pPr>
        <w:ind w:left="1080" w:hanging="360"/>
      </w:pPr>
      <w:rPr>
        <w:rFonts w:hint="default" w:ascii="Courier New" w:hAnsi="Courier New"/>
      </w:rPr>
    </w:lvl>
    <w:lvl w:ilvl="2" w:tplc="EB744A5A">
      <w:start w:val="1"/>
      <w:numFmt w:val="bullet"/>
      <w:lvlText w:val=""/>
      <w:lvlJc w:val="left"/>
      <w:pPr>
        <w:ind w:left="1800" w:hanging="360"/>
      </w:pPr>
      <w:rPr>
        <w:rFonts w:hint="default" w:ascii="Wingdings" w:hAnsi="Wingdings"/>
      </w:rPr>
    </w:lvl>
    <w:lvl w:ilvl="3" w:tplc="E780AEB4">
      <w:start w:val="1"/>
      <w:numFmt w:val="bullet"/>
      <w:lvlText w:val=""/>
      <w:lvlJc w:val="left"/>
      <w:pPr>
        <w:ind w:left="2520" w:hanging="360"/>
      </w:pPr>
      <w:rPr>
        <w:rFonts w:hint="default" w:ascii="Symbol" w:hAnsi="Symbol"/>
      </w:rPr>
    </w:lvl>
    <w:lvl w:ilvl="4" w:tplc="DF3CA6CE">
      <w:start w:val="1"/>
      <w:numFmt w:val="bullet"/>
      <w:lvlText w:val="o"/>
      <w:lvlJc w:val="left"/>
      <w:pPr>
        <w:ind w:left="3240" w:hanging="360"/>
      </w:pPr>
      <w:rPr>
        <w:rFonts w:hint="default" w:ascii="Courier New" w:hAnsi="Courier New"/>
      </w:rPr>
    </w:lvl>
    <w:lvl w:ilvl="5" w:tplc="A8C65DE8">
      <w:start w:val="1"/>
      <w:numFmt w:val="bullet"/>
      <w:lvlText w:val=""/>
      <w:lvlJc w:val="left"/>
      <w:pPr>
        <w:ind w:left="3960" w:hanging="360"/>
      </w:pPr>
      <w:rPr>
        <w:rFonts w:hint="default" w:ascii="Wingdings" w:hAnsi="Wingdings"/>
      </w:rPr>
    </w:lvl>
    <w:lvl w:ilvl="6" w:tplc="035E7D04">
      <w:start w:val="1"/>
      <w:numFmt w:val="bullet"/>
      <w:lvlText w:val=""/>
      <w:lvlJc w:val="left"/>
      <w:pPr>
        <w:ind w:left="4680" w:hanging="360"/>
      </w:pPr>
      <w:rPr>
        <w:rFonts w:hint="default" w:ascii="Symbol" w:hAnsi="Symbol"/>
      </w:rPr>
    </w:lvl>
    <w:lvl w:ilvl="7" w:tplc="A28AF962">
      <w:start w:val="1"/>
      <w:numFmt w:val="bullet"/>
      <w:lvlText w:val="o"/>
      <w:lvlJc w:val="left"/>
      <w:pPr>
        <w:ind w:left="5400" w:hanging="360"/>
      </w:pPr>
      <w:rPr>
        <w:rFonts w:hint="default" w:ascii="Courier New" w:hAnsi="Courier New"/>
      </w:rPr>
    </w:lvl>
    <w:lvl w:ilvl="8" w:tplc="CF466B3E">
      <w:start w:val="1"/>
      <w:numFmt w:val="bullet"/>
      <w:lvlText w:val=""/>
      <w:lvlJc w:val="left"/>
      <w:pPr>
        <w:ind w:left="6120" w:hanging="360"/>
      </w:pPr>
      <w:rPr>
        <w:rFonts w:hint="default" w:ascii="Wingdings" w:hAnsi="Wingdings"/>
      </w:rPr>
    </w:lvl>
  </w:abstractNum>
  <w:abstractNum w:abstractNumId="2" w15:restartNumberingAfterBreak="0">
    <w:nsid w:val="08223A49"/>
    <w:multiLevelType w:val="multilevel"/>
    <w:tmpl w:val="A1B8BFA2"/>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
      <w:lvlJc w:val="left"/>
      <w:pPr>
        <w:tabs>
          <w:tab w:val="num" w:pos="1080"/>
        </w:tabs>
        <w:ind w:left="1080" w:hanging="360"/>
      </w:pPr>
      <w:rPr>
        <w:rFonts w:hint="default" w:ascii="Symbol" w:hAnsi="Symbol"/>
        <w:sz w:val="20"/>
      </w:rPr>
    </w:lvl>
    <w:lvl w:ilvl="2" w:tentative="1">
      <w:start w:val="1"/>
      <w:numFmt w:val="bullet"/>
      <w:lvlText w:val=""/>
      <w:lvlJc w:val="left"/>
      <w:pPr>
        <w:tabs>
          <w:tab w:val="num" w:pos="1800"/>
        </w:tabs>
        <w:ind w:left="1800" w:hanging="360"/>
      </w:pPr>
      <w:rPr>
        <w:rFonts w:hint="default" w:ascii="Symbol" w:hAnsi="Symbol"/>
        <w:sz w:val="20"/>
      </w:rPr>
    </w:lvl>
    <w:lvl w:ilvl="3" w:tentative="1">
      <w:start w:val="1"/>
      <w:numFmt w:val="bullet"/>
      <w:lvlText w:val=""/>
      <w:lvlJc w:val="left"/>
      <w:pPr>
        <w:tabs>
          <w:tab w:val="num" w:pos="2520"/>
        </w:tabs>
        <w:ind w:left="2520" w:hanging="360"/>
      </w:pPr>
      <w:rPr>
        <w:rFonts w:hint="default" w:ascii="Symbol" w:hAnsi="Symbol"/>
        <w:sz w:val="20"/>
      </w:rPr>
    </w:lvl>
    <w:lvl w:ilvl="4" w:tentative="1">
      <w:start w:val="1"/>
      <w:numFmt w:val="bullet"/>
      <w:lvlText w:val=""/>
      <w:lvlJc w:val="left"/>
      <w:pPr>
        <w:tabs>
          <w:tab w:val="num" w:pos="3240"/>
        </w:tabs>
        <w:ind w:left="3240" w:hanging="360"/>
      </w:pPr>
      <w:rPr>
        <w:rFonts w:hint="default" w:ascii="Symbol" w:hAnsi="Symbol"/>
        <w:sz w:val="20"/>
      </w:rPr>
    </w:lvl>
    <w:lvl w:ilvl="5" w:tentative="1">
      <w:start w:val="1"/>
      <w:numFmt w:val="bullet"/>
      <w:lvlText w:val=""/>
      <w:lvlJc w:val="left"/>
      <w:pPr>
        <w:tabs>
          <w:tab w:val="num" w:pos="3960"/>
        </w:tabs>
        <w:ind w:left="3960" w:hanging="360"/>
      </w:pPr>
      <w:rPr>
        <w:rFonts w:hint="default" w:ascii="Symbol" w:hAnsi="Symbol"/>
        <w:sz w:val="20"/>
      </w:rPr>
    </w:lvl>
    <w:lvl w:ilvl="6" w:tentative="1">
      <w:start w:val="1"/>
      <w:numFmt w:val="bullet"/>
      <w:lvlText w:val=""/>
      <w:lvlJc w:val="left"/>
      <w:pPr>
        <w:tabs>
          <w:tab w:val="num" w:pos="4680"/>
        </w:tabs>
        <w:ind w:left="4680" w:hanging="360"/>
      </w:pPr>
      <w:rPr>
        <w:rFonts w:hint="default" w:ascii="Symbol" w:hAnsi="Symbol"/>
        <w:sz w:val="20"/>
      </w:rPr>
    </w:lvl>
    <w:lvl w:ilvl="7" w:tentative="1">
      <w:start w:val="1"/>
      <w:numFmt w:val="bullet"/>
      <w:lvlText w:val=""/>
      <w:lvlJc w:val="left"/>
      <w:pPr>
        <w:tabs>
          <w:tab w:val="num" w:pos="5400"/>
        </w:tabs>
        <w:ind w:left="5400" w:hanging="360"/>
      </w:pPr>
      <w:rPr>
        <w:rFonts w:hint="default" w:ascii="Symbol" w:hAnsi="Symbol"/>
        <w:sz w:val="20"/>
      </w:rPr>
    </w:lvl>
    <w:lvl w:ilvl="8" w:tentative="1">
      <w:start w:val="1"/>
      <w:numFmt w:val="bullet"/>
      <w:lvlText w:val=""/>
      <w:lvlJc w:val="left"/>
      <w:pPr>
        <w:tabs>
          <w:tab w:val="num" w:pos="6120"/>
        </w:tabs>
        <w:ind w:left="6120" w:hanging="360"/>
      </w:pPr>
      <w:rPr>
        <w:rFonts w:hint="default" w:ascii="Symbol" w:hAnsi="Symbol"/>
        <w:sz w:val="20"/>
      </w:rPr>
    </w:lvl>
  </w:abstractNum>
  <w:abstractNum w:abstractNumId="3" w15:restartNumberingAfterBreak="0">
    <w:nsid w:val="0F83505B"/>
    <w:multiLevelType w:val="hybridMultilevel"/>
    <w:tmpl w:val="AD68EE88"/>
    <w:lvl w:ilvl="0" w:tplc="080A0001">
      <w:start w:val="1"/>
      <w:numFmt w:val="bullet"/>
      <w:lvlText w:val=""/>
      <w:lvlJc w:val="left"/>
      <w:pPr>
        <w:ind w:left="360" w:hanging="360"/>
      </w:pPr>
      <w:rPr>
        <w:rFonts w:hint="default" w:ascii="Symbol" w:hAnsi="Symbol"/>
      </w:rPr>
    </w:lvl>
    <w:lvl w:ilvl="1" w:tplc="080A0003" w:tentative="1">
      <w:start w:val="1"/>
      <w:numFmt w:val="bullet"/>
      <w:lvlText w:val="o"/>
      <w:lvlJc w:val="left"/>
      <w:pPr>
        <w:ind w:left="1080" w:hanging="360"/>
      </w:pPr>
      <w:rPr>
        <w:rFonts w:hint="default" w:ascii="Courier New" w:hAnsi="Courier New" w:cs="Courier New"/>
      </w:rPr>
    </w:lvl>
    <w:lvl w:ilvl="2" w:tplc="080A0005" w:tentative="1">
      <w:start w:val="1"/>
      <w:numFmt w:val="bullet"/>
      <w:lvlText w:val=""/>
      <w:lvlJc w:val="left"/>
      <w:pPr>
        <w:ind w:left="1800" w:hanging="360"/>
      </w:pPr>
      <w:rPr>
        <w:rFonts w:hint="default" w:ascii="Wingdings" w:hAnsi="Wingdings"/>
      </w:rPr>
    </w:lvl>
    <w:lvl w:ilvl="3" w:tplc="080A0001" w:tentative="1">
      <w:start w:val="1"/>
      <w:numFmt w:val="bullet"/>
      <w:lvlText w:val=""/>
      <w:lvlJc w:val="left"/>
      <w:pPr>
        <w:ind w:left="2520" w:hanging="360"/>
      </w:pPr>
      <w:rPr>
        <w:rFonts w:hint="default" w:ascii="Symbol" w:hAnsi="Symbol"/>
      </w:rPr>
    </w:lvl>
    <w:lvl w:ilvl="4" w:tplc="080A0003" w:tentative="1">
      <w:start w:val="1"/>
      <w:numFmt w:val="bullet"/>
      <w:lvlText w:val="o"/>
      <w:lvlJc w:val="left"/>
      <w:pPr>
        <w:ind w:left="3240" w:hanging="360"/>
      </w:pPr>
      <w:rPr>
        <w:rFonts w:hint="default" w:ascii="Courier New" w:hAnsi="Courier New" w:cs="Courier New"/>
      </w:rPr>
    </w:lvl>
    <w:lvl w:ilvl="5" w:tplc="080A0005" w:tentative="1">
      <w:start w:val="1"/>
      <w:numFmt w:val="bullet"/>
      <w:lvlText w:val=""/>
      <w:lvlJc w:val="left"/>
      <w:pPr>
        <w:ind w:left="3960" w:hanging="360"/>
      </w:pPr>
      <w:rPr>
        <w:rFonts w:hint="default" w:ascii="Wingdings" w:hAnsi="Wingdings"/>
      </w:rPr>
    </w:lvl>
    <w:lvl w:ilvl="6" w:tplc="080A0001" w:tentative="1">
      <w:start w:val="1"/>
      <w:numFmt w:val="bullet"/>
      <w:lvlText w:val=""/>
      <w:lvlJc w:val="left"/>
      <w:pPr>
        <w:ind w:left="4680" w:hanging="360"/>
      </w:pPr>
      <w:rPr>
        <w:rFonts w:hint="default" w:ascii="Symbol" w:hAnsi="Symbol"/>
      </w:rPr>
    </w:lvl>
    <w:lvl w:ilvl="7" w:tplc="080A0003" w:tentative="1">
      <w:start w:val="1"/>
      <w:numFmt w:val="bullet"/>
      <w:lvlText w:val="o"/>
      <w:lvlJc w:val="left"/>
      <w:pPr>
        <w:ind w:left="5400" w:hanging="360"/>
      </w:pPr>
      <w:rPr>
        <w:rFonts w:hint="default" w:ascii="Courier New" w:hAnsi="Courier New" w:cs="Courier New"/>
      </w:rPr>
    </w:lvl>
    <w:lvl w:ilvl="8" w:tplc="080A0005" w:tentative="1">
      <w:start w:val="1"/>
      <w:numFmt w:val="bullet"/>
      <w:lvlText w:val=""/>
      <w:lvlJc w:val="left"/>
      <w:pPr>
        <w:ind w:left="6120" w:hanging="360"/>
      </w:pPr>
      <w:rPr>
        <w:rFonts w:hint="default" w:ascii="Wingdings" w:hAnsi="Wingdings"/>
      </w:rPr>
    </w:lvl>
  </w:abstractNum>
  <w:abstractNum w:abstractNumId="4" w15:restartNumberingAfterBreak="0">
    <w:nsid w:val="16BA2104"/>
    <w:multiLevelType w:val="hybridMultilevel"/>
    <w:tmpl w:val="F17E267A"/>
    <w:lvl w:ilvl="0" w:tplc="6C9C0104">
      <w:start w:val="1"/>
      <w:numFmt w:val="bullet"/>
      <w:lvlText w:val=""/>
      <w:lvlJc w:val="left"/>
      <w:pPr>
        <w:ind w:left="720" w:hanging="360"/>
      </w:pPr>
      <w:rPr>
        <w:rFonts w:hint="default" w:ascii="Symbol" w:hAnsi="Symbol"/>
      </w:rPr>
    </w:lvl>
    <w:lvl w:ilvl="1" w:tplc="3D94AE82">
      <w:start w:val="1"/>
      <w:numFmt w:val="bullet"/>
      <w:lvlText w:val="o"/>
      <w:lvlJc w:val="left"/>
      <w:pPr>
        <w:ind w:left="1440" w:hanging="360"/>
      </w:pPr>
      <w:rPr>
        <w:rFonts w:hint="default" w:ascii="Courier New" w:hAnsi="Courier New"/>
      </w:rPr>
    </w:lvl>
    <w:lvl w:ilvl="2" w:tplc="53AA33AC">
      <w:start w:val="1"/>
      <w:numFmt w:val="bullet"/>
      <w:lvlText w:val=""/>
      <w:lvlJc w:val="left"/>
      <w:pPr>
        <w:ind w:left="2160" w:hanging="360"/>
      </w:pPr>
      <w:rPr>
        <w:rFonts w:hint="default" w:ascii="Wingdings" w:hAnsi="Wingdings"/>
      </w:rPr>
    </w:lvl>
    <w:lvl w:ilvl="3" w:tplc="BA18A8B8">
      <w:start w:val="1"/>
      <w:numFmt w:val="bullet"/>
      <w:lvlText w:val=""/>
      <w:lvlJc w:val="left"/>
      <w:pPr>
        <w:ind w:left="2880" w:hanging="360"/>
      </w:pPr>
      <w:rPr>
        <w:rFonts w:hint="default" w:ascii="Symbol" w:hAnsi="Symbol"/>
      </w:rPr>
    </w:lvl>
    <w:lvl w:ilvl="4" w:tplc="2F02ABD6">
      <w:start w:val="1"/>
      <w:numFmt w:val="bullet"/>
      <w:lvlText w:val="o"/>
      <w:lvlJc w:val="left"/>
      <w:pPr>
        <w:ind w:left="3600" w:hanging="360"/>
      </w:pPr>
      <w:rPr>
        <w:rFonts w:hint="default" w:ascii="Courier New" w:hAnsi="Courier New"/>
      </w:rPr>
    </w:lvl>
    <w:lvl w:ilvl="5" w:tplc="D10653BA">
      <w:start w:val="1"/>
      <w:numFmt w:val="bullet"/>
      <w:lvlText w:val=""/>
      <w:lvlJc w:val="left"/>
      <w:pPr>
        <w:ind w:left="4320" w:hanging="360"/>
      </w:pPr>
      <w:rPr>
        <w:rFonts w:hint="default" w:ascii="Wingdings" w:hAnsi="Wingdings"/>
      </w:rPr>
    </w:lvl>
    <w:lvl w:ilvl="6" w:tplc="8476080A">
      <w:start w:val="1"/>
      <w:numFmt w:val="bullet"/>
      <w:lvlText w:val=""/>
      <w:lvlJc w:val="left"/>
      <w:pPr>
        <w:ind w:left="5040" w:hanging="360"/>
      </w:pPr>
      <w:rPr>
        <w:rFonts w:hint="default" w:ascii="Symbol" w:hAnsi="Symbol"/>
      </w:rPr>
    </w:lvl>
    <w:lvl w:ilvl="7" w:tplc="A7EE091E">
      <w:start w:val="1"/>
      <w:numFmt w:val="bullet"/>
      <w:lvlText w:val="o"/>
      <w:lvlJc w:val="left"/>
      <w:pPr>
        <w:ind w:left="5760" w:hanging="360"/>
      </w:pPr>
      <w:rPr>
        <w:rFonts w:hint="default" w:ascii="Courier New" w:hAnsi="Courier New"/>
      </w:rPr>
    </w:lvl>
    <w:lvl w:ilvl="8" w:tplc="3C52875C">
      <w:start w:val="1"/>
      <w:numFmt w:val="bullet"/>
      <w:lvlText w:val=""/>
      <w:lvlJc w:val="left"/>
      <w:pPr>
        <w:ind w:left="6480" w:hanging="360"/>
      </w:pPr>
      <w:rPr>
        <w:rFonts w:hint="default" w:ascii="Wingdings" w:hAnsi="Wingdings"/>
      </w:rPr>
    </w:lvl>
  </w:abstractNum>
  <w:abstractNum w:abstractNumId="5" w15:restartNumberingAfterBreak="0">
    <w:nsid w:val="1A090EE3"/>
    <w:multiLevelType w:val="multilevel"/>
    <w:tmpl w:val="DCA66D40"/>
    <w:lvl w:ilvl="0">
      <w:start w:val="1"/>
      <w:numFmt w:val="decimal"/>
      <w:pStyle w:val="Ttulo1"/>
      <w:lvlText w:val="%1."/>
      <w:lvlJc w:val="left"/>
      <w:pPr>
        <w:ind w:left="0" w:firstLine="0"/>
      </w:pPr>
      <w:rPr>
        <w:rFonts w:hint="default"/>
        <w:color w:val="auto"/>
      </w:rPr>
    </w:lvl>
    <w:lvl w:ilvl="1">
      <w:start w:val="1"/>
      <w:numFmt w:val="decimal"/>
      <w:pStyle w:val="Ttulo2"/>
      <w:lvlText w:val="%1.%2."/>
      <w:lvlJc w:val="left"/>
      <w:pPr>
        <w:ind w:left="0" w:firstLine="0"/>
      </w:pPr>
      <w:rPr>
        <w:b/>
        <w:bCs/>
      </w:rPr>
    </w:lvl>
    <w:lvl w:ilvl="2">
      <w:start w:val="1"/>
      <w:numFmt w:val="decimal"/>
      <w:pStyle w:val="Ttulo3"/>
      <w:lvlText w:val="%1.%2.%3."/>
      <w:lvlJc w:val="left"/>
      <w:pPr>
        <w:ind w:left="0" w:firstLine="0"/>
      </w:pPr>
      <w:rPr>
        <w:b/>
        <w:bCs/>
      </w:rPr>
    </w:lvl>
    <w:lvl w:ilvl="3">
      <w:start w:val="1"/>
      <w:numFmt w:val="decimal"/>
      <w:pStyle w:val="Ttulo30"/>
      <w:lvlText w:val="%1.%2.%3.%4."/>
      <w:lvlJc w:val="left"/>
      <w:pPr>
        <w:ind w:left="0" w:firstLine="0"/>
      </w:pPr>
      <w:rPr>
        <w:b/>
        <w:bCs w:val="0"/>
        <w:sz w:val="22"/>
        <w:szCs w:val="22"/>
      </w:rPr>
    </w:lvl>
    <w:lvl w:ilvl="4">
      <w:start w:val="1"/>
      <w:numFmt w:val="decimal"/>
      <w:pStyle w:val="Ttulo5"/>
      <w:lvlText w:val="%1.%2.%3.%4.%5."/>
      <w:lvlJc w:val="left"/>
      <w:pPr>
        <w:ind w:left="0" w:firstLine="0"/>
      </w:pPr>
      <w:rPr>
        <w:rFonts w:hint="default"/>
      </w:rPr>
    </w:lvl>
    <w:lvl w:ilvl="5">
      <w:start w:val="1"/>
      <w:numFmt w:val="decimal"/>
      <w:pStyle w:val="Ttulo6"/>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20CE3C12"/>
    <w:multiLevelType w:val="multilevel"/>
    <w:tmpl w:val="DCA66D40"/>
    <w:styleLink w:val="Listaactual1"/>
    <w:lvl w:ilvl="0">
      <w:start w:val="1"/>
      <w:numFmt w:val="decimal"/>
      <w:lvlText w:val="%1."/>
      <w:lvlJc w:val="left"/>
      <w:pPr>
        <w:ind w:left="0" w:firstLine="0"/>
      </w:pPr>
      <w:rPr>
        <w:rFonts w:hint="default"/>
        <w:color w:val="auto"/>
      </w:rPr>
    </w:lvl>
    <w:lvl w:ilvl="1">
      <w:start w:val="1"/>
      <w:numFmt w:val="decimal"/>
      <w:lvlText w:val="%1.%2."/>
      <w:lvlJc w:val="left"/>
      <w:pPr>
        <w:ind w:left="0" w:firstLine="0"/>
      </w:pPr>
      <w:rPr>
        <w:b/>
        <w:bCs/>
      </w:rPr>
    </w:lvl>
    <w:lvl w:ilvl="2">
      <w:start w:val="1"/>
      <w:numFmt w:val="decimal"/>
      <w:lvlText w:val="%1.%2.%3."/>
      <w:lvlJc w:val="left"/>
      <w:pPr>
        <w:ind w:left="0" w:firstLine="0"/>
      </w:pPr>
      <w:rPr>
        <w:rFonts w:hint="default"/>
        <w:b/>
        <w:bCs/>
      </w:rPr>
    </w:lvl>
    <w:lvl w:ilvl="3">
      <w:start w:val="1"/>
      <w:numFmt w:val="decimal"/>
      <w:lvlText w:val="%1.%2.%3.%4."/>
      <w:lvlJc w:val="left"/>
      <w:pPr>
        <w:ind w:left="0" w:firstLine="0"/>
      </w:pPr>
      <w:rPr>
        <w:rFonts w:hint="default"/>
        <w:b/>
        <w:bCs w:val="0"/>
        <w:sz w:val="22"/>
        <w:szCs w:val="22"/>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7" w15:restartNumberingAfterBreak="0">
    <w:nsid w:val="29EE4731"/>
    <w:multiLevelType w:val="multilevel"/>
    <w:tmpl w:val="CF46614A"/>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
      <w:lvlJc w:val="left"/>
      <w:pPr>
        <w:tabs>
          <w:tab w:val="num" w:pos="1080"/>
        </w:tabs>
        <w:ind w:left="1080" w:hanging="360"/>
      </w:pPr>
      <w:rPr>
        <w:rFonts w:hint="default" w:ascii="Symbol" w:hAnsi="Symbol"/>
        <w:sz w:val="20"/>
      </w:rPr>
    </w:lvl>
    <w:lvl w:ilvl="2" w:tentative="1">
      <w:start w:val="1"/>
      <w:numFmt w:val="bullet"/>
      <w:lvlText w:val=""/>
      <w:lvlJc w:val="left"/>
      <w:pPr>
        <w:tabs>
          <w:tab w:val="num" w:pos="1800"/>
        </w:tabs>
        <w:ind w:left="1800" w:hanging="360"/>
      </w:pPr>
      <w:rPr>
        <w:rFonts w:hint="default" w:ascii="Symbol" w:hAnsi="Symbol"/>
        <w:sz w:val="20"/>
      </w:rPr>
    </w:lvl>
    <w:lvl w:ilvl="3" w:tentative="1">
      <w:start w:val="1"/>
      <w:numFmt w:val="bullet"/>
      <w:lvlText w:val=""/>
      <w:lvlJc w:val="left"/>
      <w:pPr>
        <w:tabs>
          <w:tab w:val="num" w:pos="2520"/>
        </w:tabs>
        <w:ind w:left="2520" w:hanging="360"/>
      </w:pPr>
      <w:rPr>
        <w:rFonts w:hint="default" w:ascii="Symbol" w:hAnsi="Symbol"/>
        <w:sz w:val="20"/>
      </w:rPr>
    </w:lvl>
    <w:lvl w:ilvl="4" w:tentative="1">
      <w:start w:val="1"/>
      <w:numFmt w:val="bullet"/>
      <w:lvlText w:val=""/>
      <w:lvlJc w:val="left"/>
      <w:pPr>
        <w:tabs>
          <w:tab w:val="num" w:pos="3240"/>
        </w:tabs>
        <w:ind w:left="3240" w:hanging="360"/>
      </w:pPr>
      <w:rPr>
        <w:rFonts w:hint="default" w:ascii="Symbol" w:hAnsi="Symbol"/>
        <w:sz w:val="20"/>
      </w:rPr>
    </w:lvl>
    <w:lvl w:ilvl="5" w:tentative="1">
      <w:start w:val="1"/>
      <w:numFmt w:val="bullet"/>
      <w:lvlText w:val=""/>
      <w:lvlJc w:val="left"/>
      <w:pPr>
        <w:tabs>
          <w:tab w:val="num" w:pos="3960"/>
        </w:tabs>
        <w:ind w:left="3960" w:hanging="360"/>
      </w:pPr>
      <w:rPr>
        <w:rFonts w:hint="default" w:ascii="Symbol" w:hAnsi="Symbol"/>
        <w:sz w:val="20"/>
      </w:rPr>
    </w:lvl>
    <w:lvl w:ilvl="6" w:tentative="1">
      <w:start w:val="1"/>
      <w:numFmt w:val="bullet"/>
      <w:lvlText w:val=""/>
      <w:lvlJc w:val="left"/>
      <w:pPr>
        <w:tabs>
          <w:tab w:val="num" w:pos="4680"/>
        </w:tabs>
        <w:ind w:left="4680" w:hanging="360"/>
      </w:pPr>
      <w:rPr>
        <w:rFonts w:hint="default" w:ascii="Symbol" w:hAnsi="Symbol"/>
        <w:sz w:val="20"/>
      </w:rPr>
    </w:lvl>
    <w:lvl w:ilvl="7" w:tentative="1">
      <w:start w:val="1"/>
      <w:numFmt w:val="bullet"/>
      <w:lvlText w:val=""/>
      <w:lvlJc w:val="left"/>
      <w:pPr>
        <w:tabs>
          <w:tab w:val="num" w:pos="5400"/>
        </w:tabs>
        <w:ind w:left="5400" w:hanging="360"/>
      </w:pPr>
      <w:rPr>
        <w:rFonts w:hint="default" w:ascii="Symbol" w:hAnsi="Symbol"/>
        <w:sz w:val="20"/>
      </w:rPr>
    </w:lvl>
    <w:lvl w:ilvl="8" w:tentative="1">
      <w:start w:val="1"/>
      <w:numFmt w:val="bullet"/>
      <w:lvlText w:val=""/>
      <w:lvlJc w:val="left"/>
      <w:pPr>
        <w:tabs>
          <w:tab w:val="num" w:pos="6120"/>
        </w:tabs>
        <w:ind w:left="6120" w:hanging="360"/>
      </w:pPr>
      <w:rPr>
        <w:rFonts w:hint="default" w:ascii="Symbol" w:hAnsi="Symbol"/>
        <w:sz w:val="20"/>
      </w:rPr>
    </w:lvl>
  </w:abstractNum>
  <w:abstractNum w:abstractNumId="8" w15:restartNumberingAfterBreak="0">
    <w:nsid w:val="2E785C98"/>
    <w:multiLevelType w:val="hybridMultilevel"/>
    <w:tmpl w:val="8AA2F1CA"/>
    <w:lvl w:ilvl="0" w:tplc="658C01E0">
      <w:start w:val="1"/>
      <w:numFmt w:val="bullet"/>
      <w:lvlText w:val=""/>
      <w:lvlJc w:val="left"/>
      <w:pPr>
        <w:ind w:left="360" w:hanging="360"/>
      </w:pPr>
      <w:rPr>
        <w:rFonts w:hint="default" w:ascii="Symbol" w:hAnsi="Symbol"/>
        <w:color w:val="auto"/>
      </w:rPr>
    </w:lvl>
    <w:lvl w:ilvl="1" w:tplc="240A0003" w:tentative="1">
      <w:start w:val="1"/>
      <w:numFmt w:val="bullet"/>
      <w:lvlText w:val="o"/>
      <w:lvlJc w:val="left"/>
      <w:pPr>
        <w:ind w:left="1080" w:hanging="360"/>
      </w:pPr>
      <w:rPr>
        <w:rFonts w:hint="default" w:ascii="Courier New" w:hAnsi="Courier New" w:cs="Courier New"/>
      </w:rPr>
    </w:lvl>
    <w:lvl w:ilvl="2" w:tplc="240A0005" w:tentative="1">
      <w:start w:val="1"/>
      <w:numFmt w:val="bullet"/>
      <w:lvlText w:val=""/>
      <w:lvlJc w:val="left"/>
      <w:pPr>
        <w:ind w:left="1800" w:hanging="360"/>
      </w:pPr>
      <w:rPr>
        <w:rFonts w:hint="default" w:ascii="Wingdings" w:hAnsi="Wingdings"/>
      </w:rPr>
    </w:lvl>
    <w:lvl w:ilvl="3" w:tplc="240A0001" w:tentative="1">
      <w:start w:val="1"/>
      <w:numFmt w:val="bullet"/>
      <w:lvlText w:val=""/>
      <w:lvlJc w:val="left"/>
      <w:pPr>
        <w:ind w:left="2520" w:hanging="360"/>
      </w:pPr>
      <w:rPr>
        <w:rFonts w:hint="default" w:ascii="Symbol" w:hAnsi="Symbol"/>
      </w:rPr>
    </w:lvl>
    <w:lvl w:ilvl="4" w:tplc="240A0003" w:tentative="1">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abstractNum w:abstractNumId="9" w15:restartNumberingAfterBreak="0">
    <w:nsid w:val="2EA746B1"/>
    <w:multiLevelType w:val="hybridMultilevel"/>
    <w:tmpl w:val="C826CDC0"/>
    <w:lvl w:ilvl="0" w:tplc="D3C015DA">
      <w:start w:val="1"/>
      <w:numFmt w:val="bullet"/>
      <w:lvlText w:val="·"/>
      <w:lvlJc w:val="left"/>
      <w:pPr>
        <w:ind w:left="720" w:hanging="360"/>
      </w:pPr>
      <w:rPr>
        <w:rFonts w:hint="default" w:ascii="Symbol" w:hAnsi="Symbol"/>
      </w:rPr>
    </w:lvl>
    <w:lvl w:ilvl="1" w:tplc="CDEA0DA6">
      <w:start w:val="1"/>
      <w:numFmt w:val="bullet"/>
      <w:lvlText w:val="o"/>
      <w:lvlJc w:val="left"/>
      <w:pPr>
        <w:ind w:left="1440" w:hanging="360"/>
      </w:pPr>
      <w:rPr>
        <w:rFonts w:hint="default" w:ascii="Courier New" w:hAnsi="Courier New"/>
      </w:rPr>
    </w:lvl>
    <w:lvl w:ilvl="2" w:tplc="E918C2F2">
      <w:start w:val="1"/>
      <w:numFmt w:val="bullet"/>
      <w:lvlText w:val=""/>
      <w:lvlJc w:val="left"/>
      <w:pPr>
        <w:ind w:left="2160" w:hanging="360"/>
      </w:pPr>
      <w:rPr>
        <w:rFonts w:hint="default" w:ascii="Wingdings" w:hAnsi="Wingdings"/>
      </w:rPr>
    </w:lvl>
    <w:lvl w:ilvl="3" w:tplc="37EEFE72">
      <w:start w:val="1"/>
      <w:numFmt w:val="bullet"/>
      <w:lvlText w:val=""/>
      <w:lvlJc w:val="left"/>
      <w:pPr>
        <w:ind w:left="2880" w:hanging="360"/>
      </w:pPr>
      <w:rPr>
        <w:rFonts w:hint="default" w:ascii="Symbol" w:hAnsi="Symbol"/>
      </w:rPr>
    </w:lvl>
    <w:lvl w:ilvl="4" w:tplc="04A6C9FA">
      <w:start w:val="1"/>
      <w:numFmt w:val="bullet"/>
      <w:lvlText w:val="o"/>
      <w:lvlJc w:val="left"/>
      <w:pPr>
        <w:ind w:left="3600" w:hanging="360"/>
      </w:pPr>
      <w:rPr>
        <w:rFonts w:hint="default" w:ascii="Courier New" w:hAnsi="Courier New"/>
      </w:rPr>
    </w:lvl>
    <w:lvl w:ilvl="5" w:tplc="3394FFC0">
      <w:start w:val="1"/>
      <w:numFmt w:val="bullet"/>
      <w:lvlText w:val=""/>
      <w:lvlJc w:val="left"/>
      <w:pPr>
        <w:ind w:left="4320" w:hanging="360"/>
      </w:pPr>
      <w:rPr>
        <w:rFonts w:hint="default" w:ascii="Wingdings" w:hAnsi="Wingdings"/>
      </w:rPr>
    </w:lvl>
    <w:lvl w:ilvl="6" w:tplc="FDF2C3EA">
      <w:start w:val="1"/>
      <w:numFmt w:val="bullet"/>
      <w:lvlText w:val=""/>
      <w:lvlJc w:val="left"/>
      <w:pPr>
        <w:ind w:left="5040" w:hanging="360"/>
      </w:pPr>
      <w:rPr>
        <w:rFonts w:hint="default" w:ascii="Symbol" w:hAnsi="Symbol"/>
      </w:rPr>
    </w:lvl>
    <w:lvl w:ilvl="7" w:tplc="73E6CDE6">
      <w:start w:val="1"/>
      <w:numFmt w:val="bullet"/>
      <w:lvlText w:val="o"/>
      <w:lvlJc w:val="left"/>
      <w:pPr>
        <w:ind w:left="5760" w:hanging="360"/>
      </w:pPr>
      <w:rPr>
        <w:rFonts w:hint="default" w:ascii="Courier New" w:hAnsi="Courier New"/>
      </w:rPr>
    </w:lvl>
    <w:lvl w:ilvl="8" w:tplc="6F96545A">
      <w:start w:val="1"/>
      <w:numFmt w:val="bullet"/>
      <w:lvlText w:val=""/>
      <w:lvlJc w:val="left"/>
      <w:pPr>
        <w:ind w:left="6480" w:hanging="360"/>
      </w:pPr>
      <w:rPr>
        <w:rFonts w:hint="default" w:ascii="Wingdings" w:hAnsi="Wingdings"/>
      </w:rPr>
    </w:lvl>
  </w:abstractNum>
  <w:abstractNum w:abstractNumId="10" w15:restartNumberingAfterBreak="0">
    <w:nsid w:val="36203906"/>
    <w:multiLevelType w:val="multilevel"/>
    <w:tmpl w:val="98AED23A"/>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
      <w:lvlJc w:val="left"/>
      <w:pPr>
        <w:tabs>
          <w:tab w:val="num" w:pos="1080"/>
        </w:tabs>
        <w:ind w:left="1080" w:hanging="360"/>
      </w:pPr>
      <w:rPr>
        <w:rFonts w:hint="default" w:ascii="Symbol" w:hAnsi="Symbol"/>
        <w:sz w:val="20"/>
      </w:rPr>
    </w:lvl>
    <w:lvl w:ilvl="2" w:tentative="1">
      <w:start w:val="1"/>
      <w:numFmt w:val="bullet"/>
      <w:lvlText w:val=""/>
      <w:lvlJc w:val="left"/>
      <w:pPr>
        <w:tabs>
          <w:tab w:val="num" w:pos="1800"/>
        </w:tabs>
        <w:ind w:left="1800" w:hanging="360"/>
      </w:pPr>
      <w:rPr>
        <w:rFonts w:hint="default" w:ascii="Symbol" w:hAnsi="Symbol"/>
        <w:sz w:val="20"/>
      </w:rPr>
    </w:lvl>
    <w:lvl w:ilvl="3" w:tentative="1">
      <w:start w:val="1"/>
      <w:numFmt w:val="bullet"/>
      <w:lvlText w:val=""/>
      <w:lvlJc w:val="left"/>
      <w:pPr>
        <w:tabs>
          <w:tab w:val="num" w:pos="2520"/>
        </w:tabs>
        <w:ind w:left="2520" w:hanging="360"/>
      </w:pPr>
      <w:rPr>
        <w:rFonts w:hint="default" w:ascii="Symbol" w:hAnsi="Symbol"/>
        <w:sz w:val="20"/>
      </w:rPr>
    </w:lvl>
    <w:lvl w:ilvl="4" w:tentative="1">
      <w:start w:val="1"/>
      <w:numFmt w:val="bullet"/>
      <w:lvlText w:val=""/>
      <w:lvlJc w:val="left"/>
      <w:pPr>
        <w:tabs>
          <w:tab w:val="num" w:pos="3240"/>
        </w:tabs>
        <w:ind w:left="3240" w:hanging="360"/>
      </w:pPr>
      <w:rPr>
        <w:rFonts w:hint="default" w:ascii="Symbol" w:hAnsi="Symbol"/>
        <w:sz w:val="20"/>
      </w:rPr>
    </w:lvl>
    <w:lvl w:ilvl="5" w:tentative="1">
      <w:start w:val="1"/>
      <w:numFmt w:val="bullet"/>
      <w:lvlText w:val=""/>
      <w:lvlJc w:val="left"/>
      <w:pPr>
        <w:tabs>
          <w:tab w:val="num" w:pos="3960"/>
        </w:tabs>
        <w:ind w:left="3960" w:hanging="360"/>
      </w:pPr>
      <w:rPr>
        <w:rFonts w:hint="default" w:ascii="Symbol" w:hAnsi="Symbol"/>
        <w:sz w:val="20"/>
      </w:rPr>
    </w:lvl>
    <w:lvl w:ilvl="6" w:tentative="1">
      <w:start w:val="1"/>
      <w:numFmt w:val="bullet"/>
      <w:lvlText w:val=""/>
      <w:lvlJc w:val="left"/>
      <w:pPr>
        <w:tabs>
          <w:tab w:val="num" w:pos="4680"/>
        </w:tabs>
        <w:ind w:left="4680" w:hanging="360"/>
      </w:pPr>
      <w:rPr>
        <w:rFonts w:hint="default" w:ascii="Symbol" w:hAnsi="Symbol"/>
        <w:sz w:val="20"/>
      </w:rPr>
    </w:lvl>
    <w:lvl w:ilvl="7" w:tentative="1">
      <w:start w:val="1"/>
      <w:numFmt w:val="bullet"/>
      <w:lvlText w:val=""/>
      <w:lvlJc w:val="left"/>
      <w:pPr>
        <w:tabs>
          <w:tab w:val="num" w:pos="5400"/>
        </w:tabs>
        <w:ind w:left="5400" w:hanging="360"/>
      </w:pPr>
      <w:rPr>
        <w:rFonts w:hint="default" w:ascii="Symbol" w:hAnsi="Symbol"/>
        <w:sz w:val="20"/>
      </w:rPr>
    </w:lvl>
    <w:lvl w:ilvl="8" w:tentative="1">
      <w:start w:val="1"/>
      <w:numFmt w:val="bullet"/>
      <w:lvlText w:val=""/>
      <w:lvlJc w:val="left"/>
      <w:pPr>
        <w:tabs>
          <w:tab w:val="num" w:pos="6120"/>
        </w:tabs>
        <w:ind w:left="6120" w:hanging="360"/>
      </w:pPr>
      <w:rPr>
        <w:rFonts w:hint="default" w:ascii="Symbol" w:hAnsi="Symbol"/>
        <w:sz w:val="20"/>
      </w:rPr>
    </w:lvl>
  </w:abstractNum>
  <w:abstractNum w:abstractNumId="11" w15:restartNumberingAfterBreak="0">
    <w:nsid w:val="382E2C7A"/>
    <w:multiLevelType w:val="hybridMultilevel"/>
    <w:tmpl w:val="34C826C6"/>
    <w:lvl w:ilvl="0" w:tplc="C382C5AC">
      <w:start w:val="1"/>
      <w:numFmt w:val="bullet"/>
      <w:lvlText w:val="·"/>
      <w:lvlJc w:val="left"/>
      <w:pPr>
        <w:ind w:left="720" w:hanging="360"/>
      </w:pPr>
      <w:rPr>
        <w:rFonts w:hint="default" w:ascii="Symbol" w:hAnsi="Symbol"/>
      </w:rPr>
    </w:lvl>
    <w:lvl w:ilvl="1" w:tplc="E02A5D40">
      <w:start w:val="1"/>
      <w:numFmt w:val="bullet"/>
      <w:lvlText w:val="o"/>
      <w:lvlJc w:val="left"/>
      <w:pPr>
        <w:ind w:left="1440" w:hanging="360"/>
      </w:pPr>
      <w:rPr>
        <w:rFonts w:hint="default" w:ascii="Courier New" w:hAnsi="Courier New"/>
      </w:rPr>
    </w:lvl>
    <w:lvl w:ilvl="2" w:tplc="C0F4CF56">
      <w:start w:val="1"/>
      <w:numFmt w:val="bullet"/>
      <w:lvlText w:val=""/>
      <w:lvlJc w:val="left"/>
      <w:pPr>
        <w:ind w:left="2160" w:hanging="360"/>
      </w:pPr>
      <w:rPr>
        <w:rFonts w:hint="default" w:ascii="Wingdings" w:hAnsi="Wingdings"/>
      </w:rPr>
    </w:lvl>
    <w:lvl w:ilvl="3" w:tplc="A2D2EF7E">
      <w:start w:val="1"/>
      <w:numFmt w:val="bullet"/>
      <w:lvlText w:val=""/>
      <w:lvlJc w:val="left"/>
      <w:pPr>
        <w:ind w:left="2880" w:hanging="360"/>
      </w:pPr>
      <w:rPr>
        <w:rFonts w:hint="default" w:ascii="Symbol" w:hAnsi="Symbol"/>
      </w:rPr>
    </w:lvl>
    <w:lvl w:ilvl="4" w:tplc="37B2F4BC">
      <w:start w:val="1"/>
      <w:numFmt w:val="bullet"/>
      <w:lvlText w:val="o"/>
      <w:lvlJc w:val="left"/>
      <w:pPr>
        <w:ind w:left="3600" w:hanging="360"/>
      </w:pPr>
      <w:rPr>
        <w:rFonts w:hint="default" w:ascii="Courier New" w:hAnsi="Courier New"/>
      </w:rPr>
    </w:lvl>
    <w:lvl w:ilvl="5" w:tplc="96F6D928">
      <w:start w:val="1"/>
      <w:numFmt w:val="bullet"/>
      <w:lvlText w:val=""/>
      <w:lvlJc w:val="left"/>
      <w:pPr>
        <w:ind w:left="4320" w:hanging="360"/>
      </w:pPr>
      <w:rPr>
        <w:rFonts w:hint="default" w:ascii="Wingdings" w:hAnsi="Wingdings"/>
      </w:rPr>
    </w:lvl>
    <w:lvl w:ilvl="6" w:tplc="945C241C">
      <w:start w:val="1"/>
      <w:numFmt w:val="bullet"/>
      <w:lvlText w:val=""/>
      <w:lvlJc w:val="left"/>
      <w:pPr>
        <w:ind w:left="5040" w:hanging="360"/>
      </w:pPr>
      <w:rPr>
        <w:rFonts w:hint="default" w:ascii="Symbol" w:hAnsi="Symbol"/>
      </w:rPr>
    </w:lvl>
    <w:lvl w:ilvl="7" w:tplc="CE1CA15E">
      <w:start w:val="1"/>
      <w:numFmt w:val="bullet"/>
      <w:lvlText w:val="o"/>
      <w:lvlJc w:val="left"/>
      <w:pPr>
        <w:ind w:left="5760" w:hanging="360"/>
      </w:pPr>
      <w:rPr>
        <w:rFonts w:hint="default" w:ascii="Courier New" w:hAnsi="Courier New"/>
      </w:rPr>
    </w:lvl>
    <w:lvl w:ilvl="8" w:tplc="25E65880">
      <w:start w:val="1"/>
      <w:numFmt w:val="bullet"/>
      <w:lvlText w:val=""/>
      <w:lvlJc w:val="left"/>
      <w:pPr>
        <w:ind w:left="6480" w:hanging="360"/>
      </w:pPr>
      <w:rPr>
        <w:rFonts w:hint="default" w:ascii="Wingdings" w:hAnsi="Wingdings"/>
      </w:rPr>
    </w:lvl>
  </w:abstractNum>
  <w:abstractNum w:abstractNumId="12" w15:restartNumberingAfterBreak="0">
    <w:nsid w:val="3AB6112B"/>
    <w:multiLevelType w:val="hybridMultilevel"/>
    <w:tmpl w:val="4D32D5A4"/>
    <w:lvl w:ilvl="0">
      <w:start w:val="1"/>
      <w:numFmt w:val="bullet"/>
      <w:lvlText w:val=""/>
      <w:lvlJc w:val="left"/>
      <w:pPr>
        <w:ind w:left="360" w:hanging="360"/>
      </w:pPr>
      <w:rPr>
        <w:rFonts w:hint="default" w:ascii="Symbol" w:hAnsi="Symbol"/>
      </w:rPr>
    </w:lvl>
    <w:lvl w:ilvl="1">
      <w:start w:val="1"/>
      <w:numFmt w:val="bullet"/>
      <w:lvlText w:val="o"/>
      <w:lvlJc w:val="left"/>
      <w:pPr>
        <w:ind w:left="1080" w:hanging="360"/>
      </w:pPr>
      <w:rPr>
        <w:rFonts w:hint="default" w:ascii="Courier New" w:hAnsi="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rPr>
    </w:lvl>
    <w:lvl w:ilvl="8">
      <w:start w:val="1"/>
      <w:numFmt w:val="bullet"/>
      <w:lvlText w:val=""/>
      <w:lvlJc w:val="left"/>
      <w:pPr>
        <w:ind w:left="6120" w:hanging="360"/>
      </w:pPr>
      <w:rPr>
        <w:rFonts w:hint="default" w:ascii="Wingdings" w:hAnsi="Wingdings"/>
      </w:rPr>
    </w:lvl>
  </w:abstractNum>
  <w:abstractNum w:abstractNumId="13" w15:restartNumberingAfterBreak="0">
    <w:nsid w:val="42C532D1"/>
    <w:multiLevelType w:val="hybridMultilevel"/>
    <w:tmpl w:val="7A4A0702"/>
    <w:lvl w:ilvl="0" w:tplc="2C74DAEA">
      <w:start w:val="1"/>
      <w:numFmt w:val="bullet"/>
      <w:lvlText w:val="·"/>
      <w:lvlJc w:val="left"/>
      <w:pPr>
        <w:ind w:left="720" w:hanging="360"/>
      </w:pPr>
      <w:rPr>
        <w:rFonts w:hint="default" w:ascii="Symbol" w:hAnsi="Symbol"/>
      </w:rPr>
    </w:lvl>
    <w:lvl w:ilvl="1" w:tplc="BBF40C78">
      <w:start w:val="1"/>
      <w:numFmt w:val="bullet"/>
      <w:lvlText w:val="o"/>
      <w:lvlJc w:val="left"/>
      <w:pPr>
        <w:ind w:left="1440" w:hanging="360"/>
      </w:pPr>
      <w:rPr>
        <w:rFonts w:hint="default" w:ascii="Courier New" w:hAnsi="Courier New"/>
      </w:rPr>
    </w:lvl>
    <w:lvl w:ilvl="2" w:tplc="B798E36E">
      <w:start w:val="1"/>
      <w:numFmt w:val="bullet"/>
      <w:lvlText w:val=""/>
      <w:lvlJc w:val="left"/>
      <w:pPr>
        <w:ind w:left="2160" w:hanging="360"/>
      </w:pPr>
      <w:rPr>
        <w:rFonts w:hint="default" w:ascii="Wingdings" w:hAnsi="Wingdings"/>
      </w:rPr>
    </w:lvl>
    <w:lvl w:ilvl="3" w:tplc="8DFA1B62">
      <w:start w:val="1"/>
      <w:numFmt w:val="bullet"/>
      <w:lvlText w:val=""/>
      <w:lvlJc w:val="left"/>
      <w:pPr>
        <w:ind w:left="2880" w:hanging="360"/>
      </w:pPr>
      <w:rPr>
        <w:rFonts w:hint="default" w:ascii="Symbol" w:hAnsi="Symbol"/>
      </w:rPr>
    </w:lvl>
    <w:lvl w:ilvl="4" w:tplc="0960EF04">
      <w:start w:val="1"/>
      <w:numFmt w:val="bullet"/>
      <w:lvlText w:val="o"/>
      <w:lvlJc w:val="left"/>
      <w:pPr>
        <w:ind w:left="3600" w:hanging="360"/>
      </w:pPr>
      <w:rPr>
        <w:rFonts w:hint="default" w:ascii="Courier New" w:hAnsi="Courier New"/>
      </w:rPr>
    </w:lvl>
    <w:lvl w:ilvl="5" w:tplc="F09663E6">
      <w:start w:val="1"/>
      <w:numFmt w:val="bullet"/>
      <w:lvlText w:val=""/>
      <w:lvlJc w:val="left"/>
      <w:pPr>
        <w:ind w:left="4320" w:hanging="360"/>
      </w:pPr>
      <w:rPr>
        <w:rFonts w:hint="default" w:ascii="Wingdings" w:hAnsi="Wingdings"/>
      </w:rPr>
    </w:lvl>
    <w:lvl w:ilvl="6" w:tplc="07D6FF3C">
      <w:start w:val="1"/>
      <w:numFmt w:val="bullet"/>
      <w:lvlText w:val=""/>
      <w:lvlJc w:val="left"/>
      <w:pPr>
        <w:ind w:left="5040" w:hanging="360"/>
      </w:pPr>
      <w:rPr>
        <w:rFonts w:hint="default" w:ascii="Symbol" w:hAnsi="Symbol"/>
      </w:rPr>
    </w:lvl>
    <w:lvl w:ilvl="7" w:tplc="51EC4330">
      <w:start w:val="1"/>
      <w:numFmt w:val="bullet"/>
      <w:lvlText w:val="o"/>
      <w:lvlJc w:val="left"/>
      <w:pPr>
        <w:ind w:left="5760" w:hanging="360"/>
      </w:pPr>
      <w:rPr>
        <w:rFonts w:hint="default" w:ascii="Courier New" w:hAnsi="Courier New"/>
      </w:rPr>
    </w:lvl>
    <w:lvl w:ilvl="8" w:tplc="14A2EAFA">
      <w:start w:val="1"/>
      <w:numFmt w:val="bullet"/>
      <w:lvlText w:val=""/>
      <w:lvlJc w:val="left"/>
      <w:pPr>
        <w:ind w:left="6480" w:hanging="360"/>
      </w:pPr>
      <w:rPr>
        <w:rFonts w:hint="default" w:ascii="Wingdings" w:hAnsi="Wingdings"/>
      </w:rPr>
    </w:lvl>
  </w:abstractNum>
  <w:abstractNum w:abstractNumId="14" w15:restartNumberingAfterBreak="0">
    <w:nsid w:val="484B32BC"/>
    <w:multiLevelType w:val="hybridMultilevel"/>
    <w:tmpl w:val="AC9C486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94CF1CC"/>
    <w:multiLevelType w:val="hybridMultilevel"/>
    <w:tmpl w:val="B5284008"/>
    <w:lvl w:ilvl="0">
      <w:start w:val="1"/>
      <w:numFmt w:val="bullet"/>
      <w:lvlText w:val="·"/>
      <w:lvlJc w:val="left"/>
      <w:pPr>
        <w:ind w:left="360" w:hanging="360"/>
      </w:pPr>
      <w:rPr>
        <w:rFonts w:hint="default" w:ascii="Symbol" w:hAnsi="Symbol"/>
      </w:rPr>
    </w:lvl>
    <w:lvl w:ilvl="1">
      <w:start w:val="1"/>
      <w:numFmt w:val="bullet"/>
      <w:lvlText w:val="o"/>
      <w:lvlJc w:val="left"/>
      <w:pPr>
        <w:ind w:left="1080" w:hanging="360"/>
      </w:pPr>
      <w:rPr>
        <w:rFonts w:hint="default" w:ascii="Courier New" w:hAnsi="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rPr>
    </w:lvl>
    <w:lvl w:ilvl="8">
      <w:start w:val="1"/>
      <w:numFmt w:val="bullet"/>
      <w:lvlText w:val=""/>
      <w:lvlJc w:val="left"/>
      <w:pPr>
        <w:ind w:left="6120" w:hanging="360"/>
      </w:pPr>
      <w:rPr>
        <w:rFonts w:hint="default" w:ascii="Wingdings" w:hAnsi="Wingdings"/>
      </w:rPr>
    </w:lvl>
  </w:abstractNum>
  <w:abstractNum w:abstractNumId="16" w15:restartNumberingAfterBreak="0">
    <w:nsid w:val="4CF80BE2"/>
    <w:multiLevelType w:val="multilevel"/>
    <w:tmpl w:val="04405852"/>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
      <w:lvlJc w:val="left"/>
      <w:pPr>
        <w:tabs>
          <w:tab w:val="num" w:pos="1080"/>
        </w:tabs>
        <w:ind w:left="1080" w:hanging="360"/>
      </w:pPr>
      <w:rPr>
        <w:rFonts w:hint="default" w:ascii="Symbol" w:hAnsi="Symbol"/>
        <w:sz w:val="20"/>
      </w:rPr>
    </w:lvl>
    <w:lvl w:ilvl="2" w:tentative="1">
      <w:start w:val="1"/>
      <w:numFmt w:val="bullet"/>
      <w:lvlText w:val=""/>
      <w:lvlJc w:val="left"/>
      <w:pPr>
        <w:tabs>
          <w:tab w:val="num" w:pos="1800"/>
        </w:tabs>
        <w:ind w:left="1800" w:hanging="360"/>
      </w:pPr>
      <w:rPr>
        <w:rFonts w:hint="default" w:ascii="Symbol" w:hAnsi="Symbol"/>
        <w:sz w:val="20"/>
      </w:rPr>
    </w:lvl>
    <w:lvl w:ilvl="3" w:tentative="1">
      <w:start w:val="1"/>
      <w:numFmt w:val="bullet"/>
      <w:lvlText w:val=""/>
      <w:lvlJc w:val="left"/>
      <w:pPr>
        <w:tabs>
          <w:tab w:val="num" w:pos="2520"/>
        </w:tabs>
        <w:ind w:left="2520" w:hanging="360"/>
      </w:pPr>
      <w:rPr>
        <w:rFonts w:hint="default" w:ascii="Symbol" w:hAnsi="Symbol"/>
        <w:sz w:val="20"/>
      </w:rPr>
    </w:lvl>
    <w:lvl w:ilvl="4" w:tentative="1">
      <w:start w:val="1"/>
      <w:numFmt w:val="bullet"/>
      <w:lvlText w:val=""/>
      <w:lvlJc w:val="left"/>
      <w:pPr>
        <w:tabs>
          <w:tab w:val="num" w:pos="3240"/>
        </w:tabs>
        <w:ind w:left="3240" w:hanging="360"/>
      </w:pPr>
      <w:rPr>
        <w:rFonts w:hint="default" w:ascii="Symbol" w:hAnsi="Symbol"/>
        <w:sz w:val="20"/>
      </w:rPr>
    </w:lvl>
    <w:lvl w:ilvl="5" w:tentative="1">
      <w:start w:val="1"/>
      <w:numFmt w:val="bullet"/>
      <w:lvlText w:val=""/>
      <w:lvlJc w:val="left"/>
      <w:pPr>
        <w:tabs>
          <w:tab w:val="num" w:pos="3960"/>
        </w:tabs>
        <w:ind w:left="3960" w:hanging="360"/>
      </w:pPr>
      <w:rPr>
        <w:rFonts w:hint="default" w:ascii="Symbol" w:hAnsi="Symbol"/>
        <w:sz w:val="20"/>
      </w:rPr>
    </w:lvl>
    <w:lvl w:ilvl="6" w:tentative="1">
      <w:start w:val="1"/>
      <w:numFmt w:val="bullet"/>
      <w:lvlText w:val=""/>
      <w:lvlJc w:val="left"/>
      <w:pPr>
        <w:tabs>
          <w:tab w:val="num" w:pos="4680"/>
        </w:tabs>
        <w:ind w:left="4680" w:hanging="360"/>
      </w:pPr>
      <w:rPr>
        <w:rFonts w:hint="default" w:ascii="Symbol" w:hAnsi="Symbol"/>
        <w:sz w:val="20"/>
      </w:rPr>
    </w:lvl>
    <w:lvl w:ilvl="7" w:tentative="1">
      <w:start w:val="1"/>
      <w:numFmt w:val="bullet"/>
      <w:lvlText w:val=""/>
      <w:lvlJc w:val="left"/>
      <w:pPr>
        <w:tabs>
          <w:tab w:val="num" w:pos="5400"/>
        </w:tabs>
        <w:ind w:left="5400" w:hanging="360"/>
      </w:pPr>
      <w:rPr>
        <w:rFonts w:hint="default" w:ascii="Symbol" w:hAnsi="Symbol"/>
        <w:sz w:val="20"/>
      </w:rPr>
    </w:lvl>
    <w:lvl w:ilvl="8" w:tentative="1">
      <w:start w:val="1"/>
      <w:numFmt w:val="bullet"/>
      <w:lvlText w:val=""/>
      <w:lvlJc w:val="left"/>
      <w:pPr>
        <w:tabs>
          <w:tab w:val="num" w:pos="6120"/>
        </w:tabs>
        <w:ind w:left="6120" w:hanging="360"/>
      </w:pPr>
      <w:rPr>
        <w:rFonts w:hint="default" w:ascii="Symbol" w:hAnsi="Symbol"/>
        <w:sz w:val="20"/>
      </w:rPr>
    </w:lvl>
  </w:abstractNum>
  <w:abstractNum w:abstractNumId="17" w15:restartNumberingAfterBreak="0">
    <w:nsid w:val="523179FB"/>
    <w:multiLevelType w:val="hybridMultilevel"/>
    <w:tmpl w:val="CB88B208"/>
    <w:lvl w:ilvl="0" w:tplc="080A0001">
      <w:start w:val="1"/>
      <w:numFmt w:val="bullet"/>
      <w:lvlText w:val=""/>
      <w:lvlJc w:val="left"/>
      <w:pPr>
        <w:ind w:left="360" w:hanging="360"/>
      </w:pPr>
      <w:rPr>
        <w:rFonts w:hint="default" w:ascii="Symbol" w:hAnsi="Symbol"/>
      </w:rPr>
    </w:lvl>
    <w:lvl w:ilvl="1" w:tplc="080A0003" w:tentative="1">
      <w:start w:val="1"/>
      <w:numFmt w:val="bullet"/>
      <w:lvlText w:val="o"/>
      <w:lvlJc w:val="left"/>
      <w:pPr>
        <w:ind w:left="1080" w:hanging="360"/>
      </w:pPr>
      <w:rPr>
        <w:rFonts w:hint="default" w:ascii="Courier New" w:hAnsi="Courier New" w:cs="Courier New"/>
      </w:rPr>
    </w:lvl>
    <w:lvl w:ilvl="2" w:tplc="080A0005" w:tentative="1">
      <w:start w:val="1"/>
      <w:numFmt w:val="bullet"/>
      <w:lvlText w:val=""/>
      <w:lvlJc w:val="left"/>
      <w:pPr>
        <w:ind w:left="1800" w:hanging="360"/>
      </w:pPr>
      <w:rPr>
        <w:rFonts w:hint="default" w:ascii="Wingdings" w:hAnsi="Wingdings"/>
      </w:rPr>
    </w:lvl>
    <w:lvl w:ilvl="3" w:tplc="080A0001" w:tentative="1">
      <w:start w:val="1"/>
      <w:numFmt w:val="bullet"/>
      <w:lvlText w:val=""/>
      <w:lvlJc w:val="left"/>
      <w:pPr>
        <w:ind w:left="2520" w:hanging="360"/>
      </w:pPr>
      <w:rPr>
        <w:rFonts w:hint="default" w:ascii="Symbol" w:hAnsi="Symbol"/>
      </w:rPr>
    </w:lvl>
    <w:lvl w:ilvl="4" w:tplc="080A0003" w:tentative="1">
      <w:start w:val="1"/>
      <w:numFmt w:val="bullet"/>
      <w:lvlText w:val="o"/>
      <w:lvlJc w:val="left"/>
      <w:pPr>
        <w:ind w:left="3240" w:hanging="360"/>
      </w:pPr>
      <w:rPr>
        <w:rFonts w:hint="default" w:ascii="Courier New" w:hAnsi="Courier New" w:cs="Courier New"/>
      </w:rPr>
    </w:lvl>
    <w:lvl w:ilvl="5" w:tplc="080A0005" w:tentative="1">
      <w:start w:val="1"/>
      <w:numFmt w:val="bullet"/>
      <w:lvlText w:val=""/>
      <w:lvlJc w:val="left"/>
      <w:pPr>
        <w:ind w:left="3960" w:hanging="360"/>
      </w:pPr>
      <w:rPr>
        <w:rFonts w:hint="default" w:ascii="Wingdings" w:hAnsi="Wingdings"/>
      </w:rPr>
    </w:lvl>
    <w:lvl w:ilvl="6" w:tplc="080A0001" w:tentative="1">
      <w:start w:val="1"/>
      <w:numFmt w:val="bullet"/>
      <w:lvlText w:val=""/>
      <w:lvlJc w:val="left"/>
      <w:pPr>
        <w:ind w:left="4680" w:hanging="360"/>
      </w:pPr>
      <w:rPr>
        <w:rFonts w:hint="default" w:ascii="Symbol" w:hAnsi="Symbol"/>
      </w:rPr>
    </w:lvl>
    <w:lvl w:ilvl="7" w:tplc="080A0003" w:tentative="1">
      <w:start w:val="1"/>
      <w:numFmt w:val="bullet"/>
      <w:lvlText w:val="o"/>
      <w:lvlJc w:val="left"/>
      <w:pPr>
        <w:ind w:left="5400" w:hanging="360"/>
      </w:pPr>
      <w:rPr>
        <w:rFonts w:hint="default" w:ascii="Courier New" w:hAnsi="Courier New" w:cs="Courier New"/>
      </w:rPr>
    </w:lvl>
    <w:lvl w:ilvl="8" w:tplc="080A0005" w:tentative="1">
      <w:start w:val="1"/>
      <w:numFmt w:val="bullet"/>
      <w:lvlText w:val=""/>
      <w:lvlJc w:val="left"/>
      <w:pPr>
        <w:ind w:left="6120" w:hanging="360"/>
      </w:pPr>
      <w:rPr>
        <w:rFonts w:hint="default" w:ascii="Wingdings" w:hAnsi="Wingdings"/>
      </w:rPr>
    </w:lvl>
  </w:abstractNum>
  <w:abstractNum w:abstractNumId="18" w15:restartNumberingAfterBreak="0">
    <w:nsid w:val="533A30FE"/>
    <w:multiLevelType w:val="hybridMultilevel"/>
    <w:tmpl w:val="7414A190"/>
    <w:lvl w:ilvl="0" w:tplc="8996AB68">
      <w:start w:val="1"/>
      <w:numFmt w:val="bullet"/>
      <w:lvlText w:val="•"/>
      <w:lvlJc w:val="left"/>
      <w:pPr>
        <w:ind w:left="360" w:hanging="360"/>
      </w:pPr>
    </w:lvl>
    <w:lvl w:ilvl="1" w:tplc="52365B6E">
      <w:numFmt w:val="decimal"/>
      <w:lvlText w:val=""/>
      <w:lvlJc w:val="left"/>
    </w:lvl>
    <w:lvl w:ilvl="2" w:tplc="09FC79CA">
      <w:numFmt w:val="decimal"/>
      <w:lvlText w:val=""/>
      <w:lvlJc w:val="left"/>
    </w:lvl>
    <w:lvl w:ilvl="3" w:tplc="E108764A">
      <w:numFmt w:val="decimal"/>
      <w:lvlText w:val=""/>
      <w:lvlJc w:val="left"/>
    </w:lvl>
    <w:lvl w:ilvl="4" w:tplc="50D452C2">
      <w:numFmt w:val="decimal"/>
      <w:lvlText w:val=""/>
      <w:lvlJc w:val="left"/>
    </w:lvl>
    <w:lvl w:ilvl="5" w:tplc="74C4EB52">
      <w:numFmt w:val="decimal"/>
      <w:lvlText w:val=""/>
      <w:lvlJc w:val="left"/>
    </w:lvl>
    <w:lvl w:ilvl="6" w:tplc="2620FAF0">
      <w:numFmt w:val="decimal"/>
      <w:lvlText w:val=""/>
      <w:lvlJc w:val="left"/>
    </w:lvl>
    <w:lvl w:ilvl="7" w:tplc="739205CC">
      <w:numFmt w:val="decimal"/>
      <w:lvlText w:val=""/>
      <w:lvlJc w:val="left"/>
    </w:lvl>
    <w:lvl w:ilvl="8" w:tplc="C9B22A80">
      <w:numFmt w:val="decimal"/>
      <w:lvlText w:val=""/>
      <w:lvlJc w:val="left"/>
    </w:lvl>
  </w:abstractNum>
  <w:abstractNum w:abstractNumId="19" w15:restartNumberingAfterBreak="0">
    <w:nsid w:val="57366C69"/>
    <w:multiLevelType w:val="multilevel"/>
    <w:tmpl w:val="A7DEA37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Ttulo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20" w15:restartNumberingAfterBreak="0">
    <w:nsid w:val="7D0A2E39"/>
    <w:multiLevelType w:val="hybridMultilevel"/>
    <w:tmpl w:val="E29403D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46">
    <w:abstractNumId w:val="42"/>
  </w:num>
  <w:num w:numId="45">
    <w:abstractNumId w:val="41"/>
  </w:num>
  <w:num w:numId="44">
    <w:abstractNumId w:val="40"/>
  </w:num>
  <w:num w:numId="43">
    <w:abstractNumId w:val="39"/>
  </w:num>
  <w:num w:numId="42">
    <w:abstractNumId w:val="38"/>
  </w:num>
  <w:num w:numId="41">
    <w:abstractNumId w:val="37"/>
  </w:num>
  <w:num w:numId="40">
    <w:abstractNumId w:val="36"/>
  </w:num>
  <w:num w:numId="39">
    <w:abstractNumId w:val="35"/>
  </w:num>
  <w:num w:numId="38">
    <w:abstractNumId w:val="34"/>
  </w:num>
  <w:num w:numId="37">
    <w:abstractNumId w:val="33"/>
  </w:num>
  <w:num w:numId="36">
    <w:abstractNumId w:val="32"/>
  </w:num>
  <w:num w:numId="35">
    <w:abstractNumId w:val="31"/>
  </w:num>
  <w:num w:numId="34">
    <w:abstractNumId w:val="30"/>
  </w:num>
  <w:num w:numId="33">
    <w:abstractNumId w:val="29"/>
  </w:num>
  <w:num w:numId="32">
    <w:abstractNumId w:val="28"/>
  </w:num>
  <w:num w:numId="31">
    <w:abstractNumId w:val="27"/>
  </w:num>
  <w:num w:numId="30">
    <w:abstractNumId w:val="26"/>
  </w:num>
  <w:num w:numId="29">
    <w:abstractNumId w:val="25"/>
  </w:num>
  <w:num w:numId="28">
    <w:abstractNumId w:val="24"/>
  </w:num>
  <w:num w:numId="27">
    <w:abstractNumId w:val="23"/>
  </w:num>
  <w:num w:numId="26">
    <w:abstractNumId w:val="22"/>
  </w:num>
  <w:num w:numId="25">
    <w:abstractNumId w:val="21"/>
  </w:num>
  <w:num w:numId="1">
    <w:abstractNumId w:val="12"/>
  </w:num>
  <w:num w:numId="2">
    <w:abstractNumId w:val="4"/>
  </w:num>
  <w:num w:numId="3">
    <w:abstractNumId w:val="11"/>
  </w:num>
  <w:num w:numId="4">
    <w:abstractNumId w:val="9"/>
  </w:num>
  <w:num w:numId="5">
    <w:abstractNumId w:val="13"/>
  </w:num>
  <w:num w:numId="6">
    <w:abstractNumId w:val="1"/>
  </w:num>
  <w:num w:numId="7">
    <w:abstractNumId w:val="15"/>
  </w:num>
  <w:num w:numId="8">
    <w:abstractNumId w:val="19"/>
  </w:num>
  <w:num w:numId="9">
    <w:abstractNumId w:val="5"/>
  </w:num>
  <w:num w:numId="10">
    <w:abstractNumId w:val="20"/>
  </w:num>
  <w:num w:numId="11">
    <w:abstractNumId w:val="14"/>
  </w:num>
  <w:num w:numId="12">
    <w:abstractNumId w:val="8"/>
  </w:num>
  <w:num w:numId="13">
    <w:abstractNumId w:val="10"/>
  </w:num>
  <w:num w:numId="14">
    <w:abstractNumId w:val="17"/>
  </w:num>
  <w:num w:numId="15">
    <w:abstractNumId w:val="0"/>
  </w:num>
  <w:num w:numId="16">
    <w:abstractNumId w:val="3"/>
  </w:num>
  <w:num w:numId="17">
    <w:abstractNumId w:val="5"/>
    <w:lvlOverride w:ilvl="0">
      <w:startOverride w:val="4"/>
    </w:lvlOverride>
    <w:lvlOverride w:ilvl="1">
      <w:startOverride w:val="2"/>
    </w:lvlOverride>
    <w:lvlOverride w:ilvl="2"/>
    <w:lvlOverride w:ilvl="3">
      <w:startOverride w:val="3"/>
    </w:lvlOverride>
  </w:num>
  <w:num w:numId="18">
    <w:abstractNumId w:val="5"/>
    <w:lvlOverride w:ilvl="0">
      <w:startOverride w:val="4"/>
    </w:lvlOverride>
    <w:lvlOverride w:ilvl="1">
      <w:startOverride w:val="2"/>
    </w:lvlOverride>
    <w:lvlOverride w:ilvl="2"/>
    <w:lvlOverride w:ilvl="3">
      <w:startOverride w:val="2"/>
    </w:lvlOverride>
  </w:num>
  <w:num w:numId="19">
    <w:abstractNumId w:val="5"/>
  </w:num>
  <w:num w:numId="20">
    <w:abstractNumId w:val="16"/>
  </w:num>
  <w:num w:numId="21">
    <w:abstractNumId w:val="7"/>
  </w:num>
  <w:num w:numId="22">
    <w:abstractNumId w:val="2"/>
  </w:num>
  <w:num w:numId="23">
    <w:abstractNumId w:val="18"/>
    <w:lvlOverride w:ilvl="0">
      <w:startOverride w:val="1"/>
    </w:lvlOverride>
  </w:num>
  <w:num w:numId="24">
    <w:abstractNumId w:val="6"/>
  </w:num>
  <w:numIdMacAtCleanup w:val="24"/>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dirty"/>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trackRevisions w:val="fals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4C3"/>
    <w:rsid w:val="00000FB6"/>
    <w:rsid w:val="000059DC"/>
    <w:rsid w:val="00008AAE"/>
    <w:rsid w:val="00011F6B"/>
    <w:rsid w:val="00013645"/>
    <w:rsid w:val="00017154"/>
    <w:rsid w:val="00017DF2"/>
    <w:rsid w:val="00021FDC"/>
    <w:rsid w:val="0003231C"/>
    <w:rsid w:val="00035270"/>
    <w:rsid w:val="0004188D"/>
    <w:rsid w:val="0004678D"/>
    <w:rsid w:val="00046DBA"/>
    <w:rsid w:val="0005050A"/>
    <w:rsid w:val="000505AD"/>
    <w:rsid w:val="000535A9"/>
    <w:rsid w:val="000619DE"/>
    <w:rsid w:val="00065A5B"/>
    <w:rsid w:val="0007431F"/>
    <w:rsid w:val="00080046"/>
    <w:rsid w:val="00085BB0"/>
    <w:rsid w:val="00085CDF"/>
    <w:rsid w:val="00085E96"/>
    <w:rsid w:val="00087C03"/>
    <w:rsid w:val="000A2DCA"/>
    <w:rsid w:val="000A41E5"/>
    <w:rsid w:val="000A59C8"/>
    <w:rsid w:val="000A7CA6"/>
    <w:rsid w:val="000B34AF"/>
    <w:rsid w:val="000C2509"/>
    <w:rsid w:val="000C2AE7"/>
    <w:rsid w:val="000C516D"/>
    <w:rsid w:val="000D210E"/>
    <w:rsid w:val="000D35CA"/>
    <w:rsid w:val="000D720D"/>
    <w:rsid w:val="000E42BF"/>
    <w:rsid w:val="000F33CD"/>
    <w:rsid w:val="000F521C"/>
    <w:rsid w:val="000F5E57"/>
    <w:rsid w:val="00102F7F"/>
    <w:rsid w:val="0010719C"/>
    <w:rsid w:val="00111AFD"/>
    <w:rsid w:val="00114772"/>
    <w:rsid w:val="001222B9"/>
    <w:rsid w:val="001260D6"/>
    <w:rsid w:val="001269AB"/>
    <w:rsid w:val="00142E7B"/>
    <w:rsid w:val="00146D9D"/>
    <w:rsid w:val="00150A5C"/>
    <w:rsid w:val="00151D23"/>
    <w:rsid w:val="00153268"/>
    <w:rsid w:val="00155335"/>
    <w:rsid w:val="00163920"/>
    <w:rsid w:val="00165BE7"/>
    <w:rsid w:val="00166090"/>
    <w:rsid w:val="0017175B"/>
    <w:rsid w:val="001748A3"/>
    <w:rsid w:val="00181B15"/>
    <w:rsid w:val="001848E6"/>
    <w:rsid w:val="00186629"/>
    <w:rsid w:val="00186E87"/>
    <w:rsid w:val="0018750B"/>
    <w:rsid w:val="0019024A"/>
    <w:rsid w:val="001936C1"/>
    <w:rsid w:val="00195730"/>
    <w:rsid w:val="00196A8D"/>
    <w:rsid w:val="001A0960"/>
    <w:rsid w:val="001A374B"/>
    <w:rsid w:val="001A5C4F"/>
    <w:rsid w:val="001B1D5A"/>
    <w:rsid w:val="001D27CB"/>
    <w:rsid w:val="001D48E9"/>
    <w:rsid w:val="001D4F33"/>
    <w:rsid w:val="001E4DB2"/>
    <w:rsid w:val="001F346B"/>
    <w:rsid w:val="001F7E94"/>
    <w:rsid w:val="00200887"/>
    <w:rsid w:val="00206426"/>
    <w:rsid w:val="00206A47"/>
    <w:rsid w:val="00207892"/>
    <w:rsid w:val="00212457"/>
    <w:rsid w:val="0022291B"/>
    <w:rsid w:val="002333B6"/>
    <w:rsid w:val="00234F25"/>
    <w:rsid w:val="00235512"/>
    <w:rsid w:val="002424A2"/>
    <w:rsid w:val="002439A0"/>
    <w:rsid w:val="002448A3"/>
    <w:rsid w:val="0025080B"/>
    <w:rsid w:val="00253320"/>
    <w:rsid w:val="00253AC0"/>
    <w:rsid w:val="00257ACC"/>
    <w:rsid w:val="00262012"/>
    <w:rsid w:val="00263512"/>
    <w:rsid w:val="00270F4C"/>
    <w:rsid w:val="00275BFC"/>
    <w:rsid w:val="0027745D"/>
    <w:rsid w:val="002838BA"/>
    <w:rsid w:val="00286EC3"/>
    <w:rsid w:val="00291DEC"/>
    <w:rsid w:val="002A1400"/>
    <w:rsid w:val="002A1C32"/>
    <w:rsid w:val="002A2723"/>
    <w:rsid w:val="002A29E1"/>
    <w:rsid w:val="002B061B"/>
    <w:rsid w:val="002B3F58"/>
    <w:rsid w:val="002C048F"/>
    <w:rsid w:val="002C12B6"/>
    <w:rsid w:val="002CFDC8"/>
    <w:rsid w:val="002D0381"/>
    <w:rsid w:val="002D39DC"/>
    <w:rsid w:val="002D58E9"/>
    <w:rsid w:val="002D68B4"/>
    <w:rsid w:val="002DF668"/>
    <w:rsid w:val="002E1970"/>
    <w:rsid w:val="002E6B3C"/>
    <w:rsid w:val="002F273B"/>
    <w:rsid w:val="002F4981"/>
    <w:rsid w:val="0030014F"/>
    <w:rsid w:val="00303816"/>
    <w:rsid w:val="00303D09"/>
    <w:rsid w:val="00306892"/>
    <w:rsid w:val="00307A53"/>
    <w:rsid w:val="00312B75"/>
    <w:rsid w:val="003148D4"/>
    <w:rsid w:val="00324370"/>
    <w:rsid w:val="003251A0"/>
    <w:rsid w:val="003340DE"/>
    <w:rsid w:val="0033561A"/>
    <w:rsid w:val="003459C1"/>
    <w:rsid w:val="00351BB3"/>
    <w:rsid w:val="003566DF"/>
    <w:rsid w:val="00357170"/>
    <w:rsid w:val="0035EF7F"/>
    <w:rsid w:val="00363420"/>
    <w:rsid w:val="003805DA"/>
    <w:rsid w:val="00392073"/>
    <w:rsid w:val="003A3B91"/>
    <w:rsid w:val="003A5C18"/>
    <w:rsid w:val="003A6144"/>
    <w:rsid w:val="003A69A1"/>
    <w:rsid w:val="003B43CC"/>
    <w:rsid w:val="003C04D1"/>
    <w:rsid w:val="003C5313"/>
    <w:rsid w:val="003C550A"/>
    <w:rsid w:val="003E50FA"/>
    <w:rsid w:val="003E7BCD"/>
    <w:rsid w:val="003F013D"/>
    <w:rsid w:val="003F6C56"/>
    <w:rsid w:val="004038ED"/>
    <w:rsid w:val="004042B6"/>
    <w:rsid w:val="0040455B"/>
    <w:rsid w:val="004061E5"/>
    <w:rsid w:val="0041061F"/>
    <w:rsid w:val="00410E51"/>
    <w:rsid w:val="004155F2"/>
    <w:rsid w:val="0042019D"/>
    <w:rsid w:val="00422271"/>
    <w:rsid w:val="00433355"/>
    <w:rsid w:val="004434A8"/>
    <w:rsid w:val="004437C3"/>
    <w:rsid w:val="00446CAC"/>
    <w:rsid w:val="00446EDA"/>
    <w:rsid w:val="00454F66"/>
    <w:rsid w:val="0045546C"/>
    <w:rsid w:val="00465266"/>
    <w:rsid w:val="00467F3E"/>
    <w:rsid w:val="00471BDE"/>
    <w:rsid w:val="00472FE7"/>
    <w:rsid w:val="004738DD"/>
    <w:rsid w:val="00487C1C"/>
    <w:rsid w:val="00488D17"/>
    <w:rsid w:val="00488D17"/>
    <w:rsid w:val="00493ABE"/>
    <w:rsid w:val="00494610"/>
    <w:rsid w:val="00496BAE"/>
    <w:rsid w:val="00497B73"/>
    <w:rsid w:val="004A0034"/>
    <w:rsid w:val="004A1F14"/>
    <w:rsid w:val="004A3BFF"/>
    <w:rsid w:val="004A6273"/>
    <w:rsid w:val="004B10A8"/>
    <w:rsid w:val="004B1723"/>
    <w:rsid w:val="004B45B9"/>
    <w:rsid w:val="004B518D"/>
    <w:rsid w:val="004C284C"/>
    <w:rsid w:val="004C5AA0"/>
    <w:rsid w:val="004C6B30"/>
    <w:rsid w:val="004C7274"/>
    <w:rsid w:val="004E13C4"/>
    <w:rsid w:val="004E6C82"/>
    <w:rsid w:val="004F1ABB"/>
    <w:rsid w:val="004F2ADA"/>
    <w:rsid w:val="00501C90"/>
    <w:rsid w:val="005042E2"/>
    <w:rsid w:val="00505AA7"/>
    <w:rsid w:val="00506D08"/>
    <w:rsid w:val="0050750D"/>
    <w:rsid w:val="00524D50"/>
    <w:rsid w:val="005251D2"/>
    <w:rsid w:val="0053019C"/>
    <w:rsid w:val="00531BBE"/>
    <w:rsid w:val="00532866"/>
    <w:rsid w:val="00544608"/>
    <w:rsid w:val="0056681A"/>
    <w:rsid w:val="00566EEA"/>
    <w:rsid w:val="00567144"/>
    <w:rsid w:val="00567B5B"/>
    <w:rsid w:val="00567D2A"/>
    <w:rsid w:val="00586F37"/>
    <w:rsid w:val="00594B03"/>
    <w:rsid w:val="005B0085"/>
    <w:rsid w:val="005B0140"/>
    <w:rsid w:val="005B36EA"/>
    <w:rsid w:val="005C2E9C"/>
    <w:rsid w:val="005C4E12"/>
    <w:rsid w:val="005D3522"/>
    <w:rsid w:val="005D4B5A"/>
    <w:rsid w:val="005E24F7"/>
    <w:rsid w:val="005E3D83"/>
    <w:rsid w:val="005E55B2"/>
    <w:rsid w:val="005E64B2"/>
    <w:rsid w:val="005E6D83"/>
    <w:rsid w:val="005F73DD"/>
    <w:rsid w:val="00601205"/>
    <w:rsid w:val="00607837"/>
    <w:rsid w:val="00611DC5"/>
    <w:rsid w:val="00615689"/>
    <w:rsid w:val="00627225"/>
    <w:rsid w:val="00627B4A"/>
    <w:rsid w:val="00645066"/>
    <w:rsid w:val="00645171"/>
    <w:rsid w:val="00665420"/>
    <w:rsid w:val="00667879"/>
    <w:rsid w:val="00671FF0"/>
    <w:rsid w:val="00674BAC"/>
    <w:rsid w:val="00675F82"/>
    <w:rsid w:val="00676EFB"/>
    <w:rsid w:val="00681D5E"/>
    <w:rsid w:val="006921B8"/>
    <w:rsid w:val="006A623F"/>
    <w:rsid w:val="006B28E0"/>
    <w:rsid w:val="006B4074"/>
    <w:rsid w:val="006C56CF"/>
    <w:rsid w:val="006C6484"/>
    <w:rsid w:val="006D1889"/>
    <w:rsid w:val="006D1BD1"/>
    <w:rsid w:val="006D32BC"/>
    <w:rsid w:val="006D626D"/>
    <w:rsid w:val="006E48B1"/>
    <w:rsid w:val="006E7492"/>
    <w:rsid w:val="006F121A"/>
    <w:rsid w:val="006F21C1"/>
    <w:rsid w:val="006F2B4D"/>
    <w:rsid w:val="006F2CCC"/>
    <w:rsid w:val="006F4765"/>
    <w:rsid w:val="006F4CFE"/>
    <w:rsid w:val="006F6A34"/>
    <w:rsid w:val="007108E8"/>
    <w:rsid w:val="00716963"/>
    <w:rsid w:val="00717DE9"/>
    <w:rsid w:val="00727315"/>
    <w:rsid w:val="0073485D"/>
    <w:rsid w:val="00734FC3"/>
    <w:rsid w:val="00735996"/>
    <w:rsid w:val="00746418"/>
    <w:rsid w:val="007469FA"/>
    <w:rsid w:val="0075265E"/>
    <w:rsid w:val="00756C0F"/>
    <w:rsid w:val="00765C17"/>
    <w:rsid w:val="0077112A"/>
    <w:rsid w:val="00771ADF"/>
    <w:rsid w:val="00777006"/>
    <w:rsid w:val="00784C28"/>
    <w:rsid w:val="0078548C"/>
    <w:rsid w:val="00797CE5"/>
    <w:rsid w:val="007A0212"/>
    <w:rsid w:val="007A1936"/>
    <w:rsid w:val="007A4EB4"/>
    <w:rsid w:val="007A65F5"/>
    <w:rsid w:val="007B1BAE"/>
    <w:rsid w:val="007B6610"/>
    <w:rsid w:val="007B6AED"/>
    <w:rsid w:val="007B7415"/>
    <w:rsid w:val="007C12B2"/>
    <w:rsid w:val="007C1E99"/>
    <w:rsid w:val="007C2CC7"/>
    <w:rsid w:val="007D08D8"/>
    <w:rsid w:val="007D44A6"/>
    <w:rsid w:val="007E61EF"/>
    <w:rsid w:val="007E7047"/>
    <w:rsid w:val="007E7DF6"/>
    <w:rsid w:val="007F05D9"/>
    <w:rsid w:val="007F6048"/>
    <w:rsid w:val="007F7A53"/>
    <w:rsid w:val="00801153"/>
    <w:rsid w:val="00803135"/>
    <w:rsid w:val="0080631F"/>
    <w:rsid w:val="00815933"/>
    <w:rsid w:val="00817C9D"/>
    <w:rsid w:val="008209ED"/>
    <w:rsid w:val="00820D25"/>
    <w:rsid w:val="00826504"/>
    <w:rsid w:val="00826B75"/>
    <w:rsid w:val="00830C29"/>
    <w:rsid w:val="008348FD"/>
    <w:rsid w:val="008407B2"/>
    <w:rsid w:val="00844A3A"/>
    <w:rsid w:val="00854AED"/>
    <w:rsid w:val="00856F45"/>
    <w:rsid w:val="00864937"/>
    <w:rsid w:val="00866880"/>
    <w:rsid w:val="008721E8"/>
    <w:rsid w:val="00883383"/>
    <w:rsid w:val="0088620F"/>
    <w:rsid w:val="00886DE3"/>
    <w:rsid w:val="00886FBA"/>
    <w:rsid w:val="008929C7"/>
    <w:rsid w:val="00896099"/>
    <w:rsid w:val="00896849"/>
    <w:rsid w:val="00896BAE"/>
    <w:rsid w:val="008A1404"/>
    <w:rsid w:val="008B0599"/>
    <w:rsid w:val="008B21D8"/>
    <w:rsid w:val="008B3D8E"/>
    <w:rsid w:val="008B4AC1"/>
    <w:rsid w:val="008C0945"/>
    <w:rsid w:val="008D46D3"/>
    <w:rsid w:val="008D5FE5"/>
    <w:rsid w:val="008E025D"/>
    <w:rsid w:val="008E2675"/>
    <w:rsid w:val="008E306C"/>
    <w:rsid w:val="008E5552"/>
    <w:rsid w:val="008E60D8"/>
    <w:rsid w:val="008E7440"/>
    <w:rsid w:val="008F057A"/>
    <w:rsid w:val="008F3910"/>
    <w:rsid w:val="008F6FD7"/>
    <w:rsid w:val="0090693F"/>
    <w:rsid w:val="00907B27"/>
    <w:rsid w:val="00910282"/>
    <w:rsid w:val="00914F2A"/>
    <w:rsid w:val="00930D48"/>
    <w:rsid w:val="009351E9"/>
    <w:rsid w:val="00937803"/>
    <w:rsid w:val="00942E63"/>
    <w:rsid w:val="00945B85"/>
    <w:rsid w:val="00966447"/>
    <w:rsid w:val="00972AF1"/>
    <w:rsid w:val="0097581B"/>
    <w:rsid w:val="00980CDE"/>
    <w:rsid w:val="00981D00"/>
    <w:rsid w:val="0098240C"/>
    <w:rsid w:val="009834E1"/>
    <w:rsid w:val="009942FA"/>
    <w:rsid w:val="0099441E"/>
    <w:rsid w:val="009944E8"/>
    <w:rsid w:val="009A050B"/>
    <w:rsid w:val="009A6CF5"/>
    <w:rsid w:val="009A7F71"/>
    <w:rsid w:val="009B05D1"/>
    <w:rsid w:val="009B58A8"/>
    <w:rsid w:val="009C28BD"/>
    <w:rsid w:val="009E18F9"/>
    <w:rsid w:val="009E241C"/>
    <w:rsid w:val="009E3AC4"/>
    <w:rsid w:val="009F3AF7"/>
    <w:rsid w:val="009F65E4"/>
    <w:rsid w:val="00A034C3"/>
    <w:rsid w:val="00A03CDF"/>
    <w:rsid w:val="00A151E0"/>
    <w:rsid w:val="00A23345"/>
    <w:rsid w:val="00A26BB2"/>
    <w:rsid w:val="00A373F3"/>
    <w:rsid w:val="00A441D4"/>
    <w:rsid w:val="00A50BCE"/>
    <w:rsid w:val="00A51313"/>
    <w:rsid w:val="00A53FC0"/>
    <w:rsid w:val="00A64BAB"/>
    <w:rsid w:val="00A66DBC"/>
    <w:rsid w:val="00A820AC"/>
    <w:rsid w:val="00A83FD9"/>
    <w:rsid w:val="00A86E29"/>
    <w:rsid w:val="00A908FF"/>
    <w:rsid w:val="00A970A6"/>
    <w:rsid w:val="00A974DC"/>
    <w:rsid w:val="00AA00A7"/>
    <w:rsid w:val="00AA46D9"/>
    <w:rsid w:val="00AB0FED"/>
    <w:rsid w:val="00AB4212"/>
    <w:rsid w:val="00AC2761"/>
    <w:rsid w:val="00AC5510"/>
    <w:rsid w:val="00AC5D4F"/>
    <w:rsid w:val="00AC62A8"/>
    <w:rsid w:val="00AD417E"/>
    <w:rsid w:val="00AD7E3C"/>
    <w:rsid w:val="00AE205E"/>
    <w:rsid w:val="00AF5EF2"/>
    <w:rsid w:val="00B045E4"/>
    <w:rsid w:val="00B10016"/>
    <w:rsid w:val="00B22C90"/>
    <w:rsid w:val="00B23BE4"/>
    <w:rsid w:val="00B34A69"/>
    <w:rsid w:val="00B4463A"/>
    <w:rsid w:val="00B45F0B"/>
    <w:rsid w:val="00B56D5B"/>
    <w:rsid w:val="00B71C21"/>
    <w:rsid w:val="00B72413"/>
    <w:rsid w:val="00B7568E"/>
    <w:rsid w:val="00B77115"/>
    <w:rsid w:val="00B77B04"/>
    <w:rsid w:val="00B80CE5"/>
    <w:rsid w:val="00B83047"/>
    <w:rsid w:val="00B84AEF"/>
    <w:rsid w:val="00B90740"/>
    <w:rsid w:val="00B90ADA"/>
    <w:rsid w:val="00B91414"/>
    <w:rsid w:val="00B92521"/>
    <w:rsid w:val="00B92A73"/>
    <w:rsid w:val="00B941E4"/>
    <w:rsid w:val="00B95760"/>
    <w:rsid w:val="00B96B0C"/>
    <w:rsid w:val="00B97AC0"/>
    <w:rsid w:val="00BA1040"/>
    <w:rsid w:val="00BA546F"/>
    <w:rsid w:val="00BB0A12"/>
    <w:rsid w:val="00BB2E67"/>
    <w:rsid w:val="00BB4C97"/>
    <w:rsid w:val="00BB630A"/>
    <w:rsid w:val="00BC06CD"/>
    <w:rsid w:val="00BC6D39"/>
    <w:rsid w:val="00BD2399"/>
    <w:rsid w:val="00BE1476"/>
    <w:rsid w:val="00BE1E87"/>
    <w:rsid w:val="00BF19C0"/>
    <w:rsid w:val="00BF3DF0"/>
    <w:rsid w:val="00BF3E39"/>
    <w:rsid w:val="00BF49FA"/>
    <w:rsid w:val="00BF58C2"/>
    <w:rsid w:val="00C0026F"/>
    <w:rsid w:val="00C00AE2"/>
    <w:rsid w:val="00C127A7"/>
    <w:rsid w:val="00C162EE"/>
    <w:rsid w:val="00C26119"/>
    <w:rsid w:val="00C32753"/>
    <w:rsid w:val="00C33BAD"/>
    <w:rsid w:val="00C3462B"/>
    <w:rsid w:val="00C34EE7"/>
    <w:rsid w:val="00C378C3"/>
    <w:rsid w:val="00C37BC0"/>
    <w:rsid w:val="00C37F84"/>
    <w:rsid w:val="00C43696"/>
    <w:rsid w:val="00C440F6"/>
    <w:rsid w:val="00C4F5DD"/>
    <w:rsid w:val="00C51A72"/>
    <w:rsid w:val="00C51FA4"/>
    <w:rsid w:val="00C53042"/>
    <w:rsid w:val="00C626E6"/>
    <w:rsid w:val="00C72055"/>
    <w:rsid w:val="00C73944"/>
    <w:rsid w:val="00C80F41"/>
    <w:rsid w:val="00C83DCA"/>
    <w:rsid w:val="00C8680A"/>
    <w:rsid w:val="00C87EBF"/>
    <w:rsid w:val="00C90292"/>
    <w:rsid w:val="00C90766"/>
    <w:rsid w:val="00C9234F"/>
    <w:rsid w:val="00C952BA"/>
    <w:rsid w:val="00CB495F"/>
    <w:rsid w:val="00CC06DE"/>
    <w:rsid w:val="00CD3C74"/>
    <w:rsid w:val="00CD3D8E"/>
    <w:rsid w:val="00CD6420"/>
    <w:rsid w:val="00CE1EAC"/>
    <w:rsid w:val="00CE5B24"/>
    <w:rsid w:val="00CE64E4"/>
    <w:rsid w:val="00CE654C"/>
    <w:rsid w:val="00CF60FE"/>
    <w:rsid w:val="00CF7548"/>
    <w:rsid w:val="00D01435"/>
    <w:rsid w:val="00D15381"/>
    <w:rsid w:val="00D1580E"/>
    <w:rsid w:val="00D17940"/>
    <w:rsid w:val="00D225F3"/>
    <w:rsid w:val="00D26FA0"/>
    <w:rsid w:val="00D30755"/>
    <w:rsid w:val="00D30871"/>
    <w:rsid w:val="00D400A7"/>
    <w:rsid w:val="00D44C2F"/>
    <w:rsid w:val="00D509D5"/>
    <w:rsid w:val="00D5474B"/>
    <w:rsid w:val="00D6013B"/>
    <w:rsid w:val="00D6087B"/>
    <w:rsid w:val="00D6521C"/>
    <w:rsid w:val="00D67428"/>
    <w:rsid w:val="00D7240F"/>
    <w:rsid w:val="00D72B23"/>
    <w:rsid w:val="00D74EC6"/>
    <w:rsid w:val="00D81630"/>
    <w:rsid w:val="00D81B18"/>
    <w:rsid w:val="00D81BB7"/>
    <w:rsid w:val="00D8638D"/>
    <w:rsid w:val="00D916C5"/>
    <w:rsid w:val="00D95606"/>
    <w:rsid w:val="00DA205E"/>
    <w:rsid w:val="00DA5BA6"/>
    <w:rsid w:val="00DB0B69"/>
    <w:rsid w:val="00DB0F06"/>
    <w:rsid w:val="00DB2F54"/>
    <w:rsid w:val="00DC4C37"/>
    <w:rsid w:val="00DD1B38"/>
    <w:rsid w:val="00DD54C4"/>
    <w:rsid w:val="00DD5D1C"/>
    <w:rsid w:val="00DE11DE"/>
    <w:rsid w:val="00DE3CA0"/>
    <w:rsid w:val="00DF41B3"/>
    <w:rsid w:val="00DF6E9E"/>
    <w:rsid w:val="00E008A0"/>
    <w:rsid w:val="00E0743D"/>
    <w:rsid w:val="00E1592A"/>
    <w:rsid w:val="00E21DDF"/>
    <w:rsid w:val="00E24374"/>
    <w:rsid w:val="00E3545A"/>
    <w:rsid w:val="00E363B2"/>
    <w:rsid w:val="00E43C45"/>
    <w:rsid w:val="00E4622C"/>
    <w:rsid w:val="00E5166E"/>
    <w:rsid w:val="00E55FEF"/>
    <w:rsid w:val="00E6120F"/>
    <w:rsid w:val="00E629A6"/>
    <w:rsid w:val="00E6409A"/>
    <w:rsid w:val="00E76276"/>
    <w:rsid w:val="00E776D3"/>
    <w:rsid w:val="00E80B21"/>
    <w:rsid w:val="00E80B5B"/>
    <w:rsid w:val="00E95EFE"/>
    <w:rsid w:val="00EA0F94"/>
    <w:rsid w:val="00EA34BB"/>
    <w:rsid w:val="00EA3DB6"/>
    <w:rsid w:val="00EA3F02"/>
    <w:rsid w:val="00EA4FD2"/>
    <w:rsid w:val="00EB5260"/>
    <w:rsid w:val="00EB7161"/>
    <w:rsid w:val="00EC330C"/>
    <w:rsid w:val="00EC6199"/>
    <w:rsid w:val="00ED2B5E"/>
    <w:rsid w:val="00ED7906"/>
    <w:rsid w:val="00EE3019"/>
    <w:rsid w:val="00EE63D3"/>
    <w:rsid w:val="00EE7823"/>
    <w:rsid w:val="00EF6268"/>
    <w:rsid w:val="00F01992"/>
    <w:rsid w:val="00F11AF7"/>
    <w:rsid w:val="00F138D7"/>
    <w:rsid w:val="00F13CD0"/>
    <w:rsid w:val="00F14767"/>
    <w:rsid w:val="00F21558"/>
    <w:rsid w:val="00F275CA"/>
    <w:rsid w:val="00F2A25C"/>
    <w:rsid w:val="00F33A9E"/>
    <w:rsid w:val="00F34E59"/>
    <w:rsid w:val="00F34F0A"/>
    <w:rsid w:val="00F36882"/>
    <w:rsid w:val="00F4100C"/>
    <w:rsid w:val="00F423A4"/>
    <w:rsid w:val="00F45FE5"/>
    <w:rsid w:val="00F5012E"/>
    <w:rsid w:val="00F51249"/>
    <w:rsid w:val="00F516F2"/>
    <w:rsid w:val="00F555D5"/>
    <w:rsid w:val="00F5672D"/>
    <w:rsid w:val="00F63ECD"/>
    <w:rsid w:val="00F64C9E"/>
    <w:rsid w:val="00F75901"/>
    <w:rsid w:val="00F75CCB"/>
    <w:rsid w:val="00F8333B"/>
    <w:rsid w:val="00F96CD7"/>
    <w:rsid w:val="00FA3ECF"/>
    <w:rsid w:val="00FA75BA"/>
    <w:rsid w:val="00FC002C"/>
    <w:rsid w:val="00FD0936"/>
    <w:rsid w:val="00FE0B42"/>
    <w:rsid w:val="00FE359D"/>
    <w:rsid w:val="01671A8A"/>
    <w:rsid w:val="01786410"/>
    <w:rsid w:val="017C176D"/>
    <w:rsid w:val="017CD87F"/>
    <w:rsid w:val="01840C1E"/>
    <w:rsid w:val="019E8801"/>
    <w:rsid w:val="01A9A9A9"/>
    <w:rsid w:val="01A9A9A9"/>
    <w:rsid w:val="01B24960"/>
    <w:rsid w:val="022ED6F2"/>
    <w:rsid w:val="02313C72"/>
    <w:rsid w:val="0239CFCC"/>
    <w:rsid w:val="024681B3"/>
    <w:rsid w:val="024AC03D"/>
    <w:rsid w:val="0252F0F3"/>
    <w:rsid w:val="0294A3BF"/>
    <w:rsid w:val="02961B26"/>
    <w:rsid w:val="029CC6A3"/>
    <w:rsid w:val="02DAE533"/>
    <w:rsid w:val="02E2C4FE"/>
    <w:rsid w:val="02E88DA9"/>
    <w:rsid w:val="02FF84B0"/>
    <w:rsid w:val="03249C85"/>
    <w:rsid w:val="0325E6BE"/>
    <w:rsid w:val="034BD88D"/>
    <w:rsid w:val="0355AE9B"/>
    <w:rsid w:val="03799534"/>
    <w:rsid w:val="03819812"/>
    <w:rsid w:val="03B2BE45"/>
    <w:rsid w:val="03D5812D"/>
    <w:rsid w:val="03D62BE9"/>
    <w:rsid w:val="03D81FAD"/>
    <w:rsid w:val="041982A0"/>
    <w:rsid w:val="041AFAB6"/>
    <w:rsid w:val="044F9AAC"/>
    <w:rsid w:val="0454992D"/>
    <w:rsid w:val="0464247C"/>
    <w:rsid w:val="048562B7"/>
    <w:rsid w:val="049E96AE"/>
    <w:rsid w:val="04B915B5"/>
    <w:rsid w:val="04F84561"/>
    <w:rsid w:val="05166375"/>
    <w:rsid w:val="052A82A4"/>
    <w:rsid w:val="0533248D"/>
    <w:rsid w:val="054078F8"/>
    <w:rsid w:val="054078F8"/>
    <w:rsid w:val="0542FBA4"/>
    <w:rsid w:val="055F89EC"/>
    <w:rsid w:val="056B7275"/>
    <w:rsid w:val="056EB691"/>
    <w:rsid w:val="057CC0EC"/>
    <w:rsid w:val="058203DC"/>
    <w:rsid w:val="05A89C23"/>
    <w:rsid w:val="05B35E44"/>
    <w:rsid w:val="05C46DFF"/>
    <w:rsid w:val="05D40879"/>
    <w:rsid w:val="05E9C88A"/>
    <w:rsid w:val="0619F907"/>
    <w:rsid w:val="061B607C"/>
    <w:rsid w:val="061DD22C"/>
    <w:rsid w:val="06406225"/>
    <w:rsid w:val="064CB5B9"/>
    <w:rsid w:val="066E960A"/>
    <w:rsid w:val="0674E5F5"/>
    <w:rsid w:val="067C5CBB"/>
    <w:rsid w:val="068FAFD8"/>
    <w:rsid w:val="06A69EAE"/>
    <w:rsid w:val="06AB2B9A"/>
    <w:rsid w:val="06B069CE"/>
    <w:rsid w:val="06C71574"/>
    <w:rsid w:val="06D2C99D"/>
    <w:rsid w:val="06D3BDFE"/>
    <w:rsid w:val="06DB2018"/>
    <w:rsid w:val="06DF2859"/>
    <w:rsid w:val="06E5C573"/>
    <w:rsid w:val="06EF1A48"/>
    <w:rsid w:val="0702B951"/>
    <w:rsid w:val="07033A64"/>
    <w:rsid w:val="07107B5B"/>
    <w:rsid w:val="071CBC41"/>
    <w:rsid w:val="07403BFA"/>
    <w:rsid w:val="07480EB3"/>
    <w:rsid w:val="074EE038"/>
    <w:rsid w:val="07594BBC"/>
    <w:rsid w:val="0779F011"/>
    <w:rsid w:val="077AC1AD"/>
    <w:rsid w:val="078E2577"/>
    <w:rsid w:val="07923A4B"/>
    <w:rsid w:val="0796FBD5"/>
    <w:rsid w:val="07B68050"/>
    <w:rsid w:val="07B928F4"/>
    <w:rsid w:val="07C1FDBF"/>
    <w:rsid w:val="07DD2F89"/>
    <w:rsid w:val="07E1EE97"/>
    <w:rsid w:val="07EB8C35"/>
    <w:rsid w:val="07FC2E90"/>
    <w:rsid w:val="07FDEE09"/>
    <w:rsid w:val="08169961"/>
    <w:rsid w:val="08169961"/>
    <w:rsid w:val="081EC42B"/>
    <w:rsid w:val="0824F266"/>
    <w:rsid w:val="0837460F"/>
    <w:rsid w:val="0839FB7C"/>
    <w:rsid w:val="083AB1BB"/>
    <w:rsid w:val="084E23C9"/>
    <w:rsid w:val="08539AFB"/>
    <w:rsid w:val="08559936"/>
    <w:rsid w:val="085A5FC9"/>
    <w:rsid w:val="08614A51"/>
    <w:rsid w:val="0884574B"/>
    <w:rsid w:val="0886C827"/>
    <w:rsid w:val="08D40749"/>
    <w:rsid w:val="08DC3BBA"/>
    <w:rsid w:val="08F7CDBC"/>
    <w:rsid w:val="090BA455"/>
    <w:rsid w:val="090BA455"/>
    <w:rsid w:val="0911FC5D"/>
    <w:rsid w:val="091375D1"/>
    <w:rsid w:val="09163AB8"/>
    <w:rsid w:val="0935190F"/>
    <w:rsid w:val="09438A9C"/>
    <w:rsid w:val="09469A4E"/>
    <w:rsid w:val="094E8ECB"/>
    <w:rsid w:val="097A2F52"/>
    <w:rsid w:val="097EAEDB"/>
    <w:rsid w:val="09861BEE"/>
    <w:rsid w:val="098E1443"/>
    <w:rsid w:val="0997306D"/>
    <w:rsid w:val="0999B748"/>
    <w:rsid w:val="099B7A68"/>
    <w:rsid w:val="09B7D655"/>
    <w:rsid w:val="09BDBDF9"/>
    <w:rsid w:val="09BF2198"/>
    <w:rsid w:val="09C5AF7A"/>
    <w:rsid w:val="09DDBBD3"/>
    <w:rsid w:val="09E49AC2"/>
    <w:rsid w:val="0A1D1FC3"/>
    <w:rsid w:val="0A2C22A3"/>
    <w:rsid w:val="0A569B3D"/>
    <w:rsid w:val="0A5824DE"/>
    <w:rsid w:val="0A5D9646"/>
    <w:rsid w:val="0A837AD9"/>
    <w:rsid w:val="0A967C27"/>
    <w:rsid w:val="0AB2AD34"/>
    <w:rsid w:val="0ABB6E89"/>
    <w:rsid w:val="0ADB29EB"/>
    <w:rsid w:val="0AFBD7E9"/>
    <w:rsid w:val="0B0E778F"/>
    <w:rsid w:val="0B455C5E"/>
    <w:rsid w:val="0B507F52"/>
    <w:rsid w:val="0B602C93"/>
    <w:rsid w:val="0B63E1F2"/>
    <w:rsid w:val="0B745F03"/>
    <w:rsid w:val="0B7B69EA"/>
    <w:rsid w:val="0B7F4566"/>
    <w:rsid w:val="0B86C8C5"/>
    <w:rsid w:val="0B8FF86B"/>
    <w:rsid w:val="0B9664F6"/>
    <w:rsid w:val="0B9F0BE9"/>
    <w:rsid w:val="0BA2B0DB"/>
    <w:rsid w:val="0BB1218F"/>
    <w:rsid w:val="0BB2DFA1"/>
    <w:rsid w:val="0BC0DF6E"/>
    <w:rsid w:val="0BC76793"/>
    <w:rsid w:val="0BDD7D85"/>
    <w:rsid w:val="0BE18A03"/>
    <w:rsid w:val="0BE3E2BC"/>
    <w:rsid w:val="0BF9376F"/>
    <w:rsid w:val="0C0A0019"/>
    <w:rsid w:val="0C206951"/>
    <w:rsid w:val="0C402C40"/>
    <w:rsid w:val="0C62D52F"/>
    <w:rsid w:val="0C7E01E9"/>
    <w:rsid w:val="0C84B7D8"/>
    <w:rsid w:val="0C8ED237"/>
    <w:rsid w:val="0CA82399"/>
    <w:rsid w:val="0CC46659"/>
    <w:rsid w:val="0CD1D617"/>
    <w:rsid w:val="0CD2725D"/>
    <w:rsid w:val="0D1BAE8E"/>
    <w:rsid w:val="0D4BB9F7"/>
    <w:rsid w:val="0D5AC7C7"/>
    <w:rsid w:val="0D79C233"/>
    <w:rsid w:val="0D9808D6"/>
    <w:rsid w:val="0D9B1241"/>
    <w:rsid w:val="0DB1AE06"/>
    <w:rsid w:val="0DB22200"/>
    <w:rsid w:val="0DB88257"/>
    <w:rsid w:val="0DB9677C"/>
    <w:rsid w:val="0DD5E48C"/>
    <w:rsid w:val="0E3E51EF"/>
    <w:rsid w:val="0E536570"/>
    <w:rsid w:val="0E5E11EA"/>
    <w:rsid w:val="0E5EE5B4"/>
    <w:rsid w:val="0E76E4AC"/>
    <w:rsid w:val="0E89CA21"/>
    <w:rsid w:val="0EA73775"/>
    <w:rsid w:val="0ECCC717"/>
    <w:rsid w:val="0ED4F347"/>
    <w:rsid w:val="0EDF5C79"/>
    <w:rsid w:val="0EE0EEC2"/>
    <w:rsid w:val="0EEE67A2"/>
    <w:rsid w:val="0F08A3FF"/>
    <w:rsid w:val="0F0E9407"/>
    <w:rsid w:val="0F0E9407"/>
    <w:rsid w:val="0F136C9D"/>
    <w:rsid w:val="0F28D64C"/>
    <w:rsid w:val="0F4DAD6B"/>
    <w:rsid w:val="0FCD39D6"/>
    <w:rsid w:val="0FD7AECE"/>
    <w:rsid w:val="0FD82F26"/>
    <w:rsid w:val="0FE269C6"/>
    <w:rsid w:val="0FE46CB5"/>
    <w:rsid w:val="0FF9202A"/>
    <w:rsid w:val="0FFE9A15"/>
    <w:rsid w:val="10055321"/>
    <w:rsid w:val="1006457E"/>
    <w:rsid w:val="101B3A14"/>
    <w:rsid w:val="102074A9"/>
    <w:rsid w:val="102A14CB"/>
    <w:rsid w:val="1030D187"/>
    <w:rsid w:val="1037DE0A"/>
    <w:rsid w:val="103CC8FD"/>
    <w:rsid w:val="1066090C"/>
    <w:rsid w:val="1085E201"/>
    <w:rsid w:val="10A23BA0"/>
    <w:rsid w:val="10A29841"/>
    <w:rsid w:val="10C32C33"/>
    <w:rsid w:val="10D8718D"/>
    <w:rsid w:val="10DEE4F5"/>
    <w:rsid w:val="10E71542"/>
    <w:rsid w:val="10E71542"/>
    <w:rsid w:val="10F905E4"/>
    <w:rsid w:val="1107B7CB"/>
    <w:rsid w:val="110E088B"/>
    <w:rsid w:val="112C7D50"/>
    <w:rsid w:val="113ED976"/>
    <w:rsid w:val="1144AC41"/>
    <w:rsid w:val="1150572B"/>
    <w:rsid w:val="11554AD4"/>
    <w:rsid w:val="1165733A"/>
    <w:rsid w:val="11693FE7"/>
    <w:rsid w:val="116C5A88"/>
    <w:rsid w:val="1170EF18"/>
    <w:rsid w:val="117574AB"/>
    <w:rsid w:val="117E23E8"/>
    <w:rsid w:val="1181FE50"/>
    <w:rsid w:val="11977952"/>
    <w:rsid w:val="11BD1DA3"/>
    <w:rsid w:val="11C18630"/>
    <w:rsid w:val="11C624BA"/>
    <w:rsid w:val="11D137DC"/>
    <w:rsid w:val="11D9EF7E"/>
    <w:rsid w:val="11E4952E"/>
    <w:rsid w:val="120F4FB6"/>
    <w:rsid w:val="12248381"/>
    <w:rsid w:val="1226C07F"/>
    <w:rsid w:val="1232E05D"/>
    <w:rsid w:val="1249763B"/>
    <w:rsid w:val="124A13D9"/>
    <w:rsid w:val="12751C78"/>
    <w:rsid w:val="127D5B9D"/>
    <w:rsid w:val="129273E3"/>
    <w:rsid w:val="12990C41"/>
    <w:rsid w:val="12A8A117"/>
    <w:rsid w:val="12CD01EE"/>
    <w:rsid w:val="12D24BE7"/>
    <w:rsid w:val="12D70703"/>
    <w:rsid w:val="12D790AB"/>
    <w:rsid w:val="12E7D158"/>
    <w:rsid w:val="12E8B416"/>
    <w:rsid w:val="12F0402B"/>
    <w:rsid w:val="12F192FA"/>
    <w:rsid w:val="12F192FA"/>
    <w:rsid w:val="12FDF199"/>
    <w:rsid w:val="130A8309"/>
    <w:rsid w:val="130F9CA9"/>
    <w:rsid w:val="13120739"/>
    <w:rsid w:val="132830C9"/>
    <w:rsid w:val="132DE193"/>
    <w:rsid w:val="134BF95A"/>
    <w:rsid w:val="1354F93D"/>
    <w:rsid w:val="1363F2C2"/>
    <w:rsid w:val="13699E4F"/>
    <w:rsid w:val="1369B5EE"/>
    <w:rsid w:val="1380F675"/>
    <w:rsid w:val="1382D830"/>
    <w:rsid w:val="1389F9F3"/>
    <w:rsid w:val="13B75178"/>
    <w:rsid w:val="13B75178"/>
    <w:rsid w:val="13C4814D"/>
    <w:rsid w:val="13D0CCA0"/>
    <w:rsid w:val="13E4E88D"/>
    <w:rsid w:val="13F3DC2F"/>
    <w:rsid w:val="1407FFFE"/>
    <w:rsid w:val="140B4AFA"/>
    <w:rsid w:val="1410E9AF"/>
    <w:rsid w:val="14151113"/>
    <w:rsid w:val="1416BBAA"/>
    <w:rsid w:val="1431CD12"/>
    <w:rsid w:val="144033BF"/>
    <w:rsid w:val="14432261"/>
    <w:rsid w:val="1444E408"/>
    <w:rsid w:val="146865A0"/>
    <w:rsid w:val="146A81F2"/>
    <w:rsid w:val="1498DDD0"/>
    <w:rsid w:val="14A9F94A"/>
    <w:rsid w:val="14AA8596"/>
    <w:rsid w:val="14C49AE5"/>
    <w:rsid w:val="14C9BB12"/>
    <w:rsid w:val="14CE1A4F"/>
    <w:rsid w:val="14D8A634"/>
    <w:rsid w:val="14DE4F15"/>
    <w:rsid w:val="1503B955"/>
    <w:rsid w:val="15235781"/>
    <w:rsid w:val="15309FC2"/>
    <w:rsid w:val="153289C0"/>
    <w:rsid w:val="1532A43C"/>
    <w:rsid w:val="15518462"/>
    <w:rsid w:val="155C89C1"/>
    <w:rsid w:val="155F4FD2"/>
    <w:rsid w:val="157453DD"/>
    <w:rsid w:val="1577BD8C"/>
    <w:rsid w:val="15826C91"/>
    <w:rsid w:val="15A125DB"/>
    <w:rsid w:val="15ACF852"/>
    <w:rsid w:val="15AE1D74"/>
    <w:rsid w:val="15B877A2"/>
    <w:rsid w:val="15C244B4"/>
    <w:rsid w:val="1622EB49"/>
    <w:rsid w:val="1626FD65"/>
    <w:rsid w:val="1659ED8C"/>
    <w:rsid w:val="16767533"/>
    <w:rsid w:val="16869919"/>
    <w:rsid w:val="16A88127"/>
    <w:rsid w:val="16AC887D"/>
    <w:rsid w:val="16C7D520"/>
    <w:rsid w:val="16CBACA1"/>
    <w:rsid w:val="16E74BE4"/>
    <w:rsid w:val="16F1CE5E"/>
    <w:rsid w:val="16F37D57"/>
    <w:rsid w:val="16FB2169"/>
    <w:rsid w:val="1702A212"/>
    <w:rsid w:val="170BC26C"/>
    <w:rsid w:val="171B6450"/>
    <w:rsid w:val="174223DD"/>
    <w:rsid w:val="174A2DF7"/>
    <w:rsid w:val="1772AAB0"/>
    <w:rsid w:val="17793522"/>
    <w:rsid w:val="178A1F96"/>
    <w:rsid w:val="178BE93E"/>
    <w:rsid w:val="17B29489"/>
    <w:rsid w:val="17B37D9A"/>
    <w:rsid w:val="17CC3392"/>
    <w:rsid w:val="17DDB595"/>
    <w:rsid w:val="17F5B13D"/>
    <w:rsid w:val="180DD254"/>
    <w:rsid w:val="181140BA"/>
    <w:rsid w:val="181280E4"/>
    <w:rsid w:val="1833ACEC"/>
    <w:rsid w:val="183874BA"/>
    <w:rsid w:val="183ECB13"/>
    <w:rsid w:val="1852AFAE"/>
    <w:rsid w:val="1865E205"/>
    <w:rsid w:val="186CC6FE"/>
    <w:rsid w:val="187D5988"/>
    <w:rsid w:val="188BF4E8"/>
    <w:rsid w:val="188BF4E8"/>
    <w:rsid w:val="18B81199"/>
    <w:rsid w:val="18C53F0F"/>
    <w:rsid w:val="18E0FA19"/>
    <w:rsid w:val="18E627D8"/>
    <w:rsid w:val="18E66EF0"/>
    <w:rsid w:val="18E725E1"/>
    <w:rsid w:val="18FA7FAE"/>
    <w:rsid w:val="191B89C7"/>
    <w:rsid w:val="192CDF5B"/>
    <w:rsid w:val="192F3BDD"/>
    <w:rsid w:val="1936155B"/>
    <w:rsid w:val="195543CC"/>
    <w:rsid w:val="195F830F"/>
    <w:rsid w:val="19768FE8"/>
    <w:rsid w:val="19781228"/>
    <w:rsid w:val="1984BC8B"/>
    <w:rsid w:val="19896681"/>
    <w:rsid w:val="199444AA"/>
    <w:rsid w:val="19B8595E"/>
    <w:rsid w:val="19C07A49"/>
    <w:rsid w:val="19D3849E"/>
    <w:rsid w:val="1A03221D"/>
    <w:rsid w:val="1A073DEA"/>
    <w:rsid w:val="1A0CCF84"/>
    <w:rsid w:val="1A1461A2"/>
    <w:rsid w:val="1A3377C9"/>
    <w:rsid w:val="1A4A0DBD"/>
    <w:rsid w:val="1A5A90F4"/>
    <w:rsid w:val="1A779F15"/>
    <w:rsid w:val="1A809554"/>
    <w:rsid w:val="1A8D5592"/>
    <w:rsid w:val="1A9F38F7"/>
    <w:rsid w:val="1AE144CC"/>
    <w:rsid w:val="1AE7A3A2"/>
    <w:rsid w:val="1AE85A89"/>
    <w:rsid w:val="1B126CAE"/>
    <w:rsid w:val="1B12D395"/>
    <w:rsid w:val="1B343456"/>
    <w:rsid w:val="1B47FBD8"/>
    <w:rsid w:val="1B4E671B"/>
    <w:rsid w:val="1B6918D8"/>
    <w:rsid w:val="1B9748EE"/>
    <w:rsid w:val="1B9BA58E"/>
    <w:rsid w:val="1BA5BB73"/>
    <w:rsid w:val="1BBE5699"/>
    <w:rsid w:val="1BCE755C"/>
    <w:rsid w:val="1BEF055E"/>
    <w:rsid w:val="1C150055"/>
    <w:rsid w:val="1C18ACE3"/>
    <w:rsid w:val="1C3891EA"/>
    <w:rsid w:val="1C3D137E"/>
    <w:rsid w:val="1C71A22C"/>
    <w:rsid w:val="1C7243D3"/>
    <w:rsid w:val="1C7C9782"/>
    <w:rsid w:val="1C7C9782"/>
    <w:rsid w:val="1C8BD811"/>
    <w:rsid w:val="1C9B24DC"/>
    <w:rsid w:val="1CA29FF4"/>
    <w:rsid w:val="1CD0B2CB"/>
    <w:rsid w:val="1CD739E0"/>
    <w:rsid w:val="1CE536AF"/>
    <w:rsid w:val="1CF96995"/>
    <w:rsid w:val="1CFA7B7C"/>
    <w:rsid w:val="1D21A0AF"/>
    <w:rsid w:val="1D2CB6A9"/>
    <w:rsid w:val="1D4FDEED"/>
    <w:rsid w:val="1D50B4BA"/>
    <w:rsid w:val="1D523E10"/>
    <w:rsid w:val="1D687DEB"/>
    <w:rsid w:val="1D6DA0AE"/>
    <w:rsid w:val="1D6E3FDA"/>
    <w:rsid w:val="1D700BC0"/>
    <w:rsid w:val="1D77B81C"/>
    <w:rsid w:val="1DA2EE22"/>
    <w:rsid w:val="1DB0F9A3"/>
    <w:rsid w:val="1DB15DCB"/>
    <w:rsid w:val="1DB951A4"/>
    <w:rsid w:val="1DBE75E4"/>
    <w:rsid w:val="1DD86CB1"/>
    <w:rsid w:val="1DD86CB1"/>
    <w:rsid w:val="1DDCD362"/>
    <w:rsid w:val="1E01310B"/>
    <w:rsid w:val="1E0871DE"/>
    <w:rsid w:val="1E345307"/>
    <w:rsid w:val="1E47ADEE"/>
    <w:rsid w:val="1E4E774D"/>
    <w:rsid w:val="1E7595FB"/>
    <w:rsid w:val="1EE4CA14"/>
    <w:rsid w:val="1EED48A9"/>
    <w:rsid w:val="1F1D8E09"/>
    <w:rsid w:val="1F25084A"/>
    <w:rsid w:val="1F2C3F64"/>
    <w:rsid w:val="1F2E202D"/>
    <w:rsid w:val="1F53B574"/>
    <w:rsid w:val="1F65DF07"/>
    <w:rsid w:val="1F71E183"/>
    <w:rsid w:val="1F7AFDB9"/>
    <w:rsid w:val="1F89DC18"/>
    <w:rsid w:val="1F8FE9C6"/>
    <w:rsid w:val="1F942AC6"/>
    <w:rsid w:val="1FA13EE4"/>
    <w:rsid w:val="1FE386C1"/>
    <w:rsid w:val="1FEB8016"/>
    <w:rsid w:val="1FF63B9E"/>
    <w:rsid w:val="2018B44A"/>
    <w:rsid w:val="201F94E6"/>
    <w:rsid w:val="2022CEC7"/>
    <w:rsid w:val="202C1D7B"/>
    <w:rsid w:val="20365590"/>
    <w:rsid w:val="203E8F2F"/>
    <w:rsid w:val="2065B092"/>
    <w:rsid w:val="206B0A1F"/>
    <w:rsid w:val="20937A4D"/>
    <w:rsid w:val="20A0721D"/>
    <w:rsid w:val="20A27053"/>
    <w:rsid w:val="20A85F83"/>
    <w:rsid w:val="20B6918D"/>
    <w:rsid w:val="20B7BDDD"/>
    <w:rsid w:val="20BF6B66"/>
    <w:rsid w:val="20BF6B66"/>
    <w:rsid w:val="20C017D5"/>
    <w:rsid w:val="20C36C0C"/>
    <w:rsid w:val="20C6BF6F"/>
    <w:rsid w:val="20CAFE55"/>
    <w:rsid w:val="20ED67CC"/>
    <w:rsid w:val="21013BB6"/>
    <w:rsid w:val="21017532"/>
    <w:rsid w:val="210EB6CD"/>
    <w:rsid w:val="210F4535"/>
    <w:rsid w:val="211D02FC"/>
    <w:rsid w:val="211D3035"/>
    <w:rsid w:val="21357800"/>
    <w:rsid w:val="2138D8DD"/>
    <w:rsid w:val="2138D8DD"/>
    <w:rsid w:val="2150B333"/>
    <w:rsid w:val="21629F20"/>
    <w:rsid w:val="2163656C"/>
    <w:rsid w:val="21858D1C"/>
    <w:rsid w:val="21B3F97A"/>
    <w:rsid w:val="21BA14E2"/>
    <w:rsid w:val="21D03CD0"/>
    <w:rsid w:val="21D22551"/>
    <w:rsid w:val="21D6F5AF"/>
    <w:rsid w:val="21F75AA9"/>
    <w:rsid w:val="220A30F6"/>
    <w:rsid w:val="220A30F6"/>
    <w:rsid w:val="220B8422"/>
    <w:rsid w:val="221EFF3E"/>
    <w:rsid w:val="222C517E"/>
    <w:rsid w:val="2236E5A8"/>
    <w:rsid w:val="22416E4C"/>
    <w:rsid w:val="2257A012"/>
    <w:rsid w:val="226C2989"/>
    <w:rsid w:val="228D5307"/>
    <w:rsid w:val="228D5307"/>
    <w:rsid w:val="22A7E9BD"/>
    <w:rsid w:val="22B8A1AF"/>
    <w:rsid w:val="22C3DEDA"/>
    <w:rsid w:val="22EA0601"/>
    <w:rsid w:val="22F0FA4A"/>
    <w:rsid w:val="22F61A33"/>
    <w:rsid w:val="22FC05B4"/>
    <w:rsid w:val="23289F9C"/>
    <w:rsid w:val="2332D5E9"/>
    <w:rsid w:val="233E53A8"/>
    <w:rsid w:val="2386902B"/>
    <w:rsid w:val="239C96FE"/>
    <w:rsid w:val="23CF599F"/>
    <w:rsid w:val="23D27C83"/>
    <w:rsid w:val="23FC50AA"/>
    <w:rsid w:val="2404C099"/>
    <w:rsid w:val="24230A3E"/>
    <w:rsid w:val="2432C38D"/>
    <w:rsid w:val="24368D70"/>
    <w:rsid w:val="248604C9"/>
    <w:rsid w:val="249AEA84"/>
    <w:rsid w:val="24AA9D77"/>
    <w:rsid w:val="24CFD25D"/>
    <w:rsid w:val="24D0CC29"/>
    <w:rsid w:val="24D7E616"/>
    <w:rsid w:val="24FA2907"/>
    <w:rsid w:val="250DC7FE"/>
    <w:rsid w:val="25112A5F"/>
    <w:rsid w:val="253C1885"/>
    <w:rsid w:val="253C1885"/>
    <w:rsid w:val="254EC72E"/>
    <w:rsid w:val="2560C7C7"/>
    <w:rsid w:val="257B64CC"/>
    <w:rsid w:val="2583D7F7"/>
    <w:rsid w:val="258FE0FD"/>
    <w:rsid w:val="2596655C"/>
    <w:rsid w:val="25AEDC29"/>
    <w:rsid w:val="25BC1500"/>
    <w:rsid w:val="26013D0B"/>
    <w:rsid w:val="26075472"/>
    <w:rsid w:val="262AD904"/>
    <w:rsid w:val="26409A82"/>
    <w:rsid w:val="26409A82"/>
    <w:rsid w:val="26457093"/>
    <w:rsid w:val="2658DBC5"/>
    <w:rsid w:val="26789837"/>
    <w:rsid w:val="2684428F"/>
    <w:rsid w:val="2687FF6A"/>
    <w:rsid w:val="269A7A0F"/>
    <w:rsid w:val="26A18345"/>
    <w:rsid w:val="26A55770"/>
    <w:rsid w:val="26ADCFA5"/>
    <w:rsid w:val="26AE439C"/>
    <w:rsid w:val="26B2DA6D"/>
    <w:rsid w:val="26B44F2F"/>
    <w:rsid w:val="26C5BC26"/>
    <w:rsid w:val="26D9D775"/>
    <w:rsid w:val="26E90F27"/>
    <w:rsid w:val="270571AE"/>
    <w:rsid w:val="271B9B09"/>
    <w:rsid w:val="2720AFC7"/>
    <w:rsid w:val="27284F0C"/>
    <w:rsid w:val="2734D687"/>
    <w:rsid w:val="276D0F51"/>
    <w:rsid w:val="2782973D"/>
    <w:rsid w:val="279F1415"/>
    <w:rsid w:val="27B62C8B"/>
    <w:rsid w:val="27D0DAD6"/>
    <w:rsid w:val="27DAEDE2"/>
    <w:rsid w:val="27DE17AD"/>
    <w:rsid w:val="27ECE624"/>
    <w:rsid w:val="27FBDA84"/>
    <w:rsid w:val="27FFD6B3"/>
    <w:rsid w:val="2804B24E"/>
    <w:rsid w:val="28081BC7"/>
    <w:rsid w:val="28081BC7"/>
    <w:rsid w:val="282E79A2"/>
    <w:rsid w:val="2842A0EB"/>
    <w:rsid w:val="2853F87E"/>
    <w:rsid w:val="28576592"/>
    <w:rsid w:val="287DEEBC"/>
    <w:rsid w:val="28935563"/>
    <w:rsid w:val="28997978"/>
    <w:rsid w:val="28B33C6B"/>
    <w:rsid w:val="28B480BD"/>
    <w:rsid w:val="28CEF73A"/>
    <w:rsid w:val="292B6E88"/>
    <w:rsid w:val="294F396F"/>
    <w:rsid w:val="2970FD6A"/>
    <w:rsid w:val="297560DE"/>
    <w:rsid w:val="2999BCA9"/>
    <w:rsid w:val="29BBEE4E"/>
    <w:rsid w:val="29BC3CAF"/>
    <w:rsid w:val="29D98A07"/>
    <w:rsid w:val="29F0A56A"/>
    <w:rsid w:val="2A08A626"/>
    <w:rsid w:val="2A0E8B6B"/>
    <w:rsid w:val="2A0F1ECE"/>
    <w:rsid w:val="2A2441C4"/>
    <w:rsid w:val="2A442C1A"/>
    <w:rsid w:val="2A46BB99"/>
    <w:rsid w:val="2A799E50"/>
    <w:rsid w:val="2A799E50"/>
    <w:rsid w:val="2A8567B6"/>
    <w:rsid w:val="2A89ECDE"/>
    <w:rsid w:val="2ABCF228"/>
    <w:rsid w:val="2AD2A0C6"/>
    <w:rsid w:val="2AD61B4E"/>
    <w:rsid w:val="2AE2C1D0"/>
    <w:rsid w:val="2AE5D8B7"/>
    <w:rsid w:val="2AE74DDC"/>
    <w:rsid w:val="2AE9B07D"/>
    <w:rsid w:val="2AED1578"/>
    <w:rsid w:val="2AEFF25D"/>
    <w:rsid w:val="2B12A03C"/>
    <w:rsid w:val="2B1A2A08"/>
    <w:rsid w:val="2B217C0F"/>
    <w:rsid w:val="2B249E0F"/>
    <w:rsid w:val="2B26AEAD"/>
    <w:rsid w:val="2B39FAA5"/>
    <w:rsid w:val="2B426425"/>
    <w:rsid w:val="2B426425"/>
    <w:rsid w:val="2B487DEE"/>
    <w:rsid w:val="2B55CFB9"/>
    <w:rsid w:val="2B5F40C0"/>
    <w:rsid w:val="2B6774BD"/>
    <w:rsid w:val="2B7B6E3F"/>
    <w:rsid w:val="2B888171"/>
    <w:rsid w:val="2BA9CBCE"/>
    <w:rsid w:val="2BB4705D"/>
    <w:rsid w:val="2BC87FA0"/>
    <w:rsid w:val="2BD61EDA"/>
    <w:rsid w:val="2BDFAD8F"/>
    <w:rsid w:val="2BE7EF04"/>
    <w:rsid w:val="2BEBA0C1"/>
    <w:rsid w:val="2BF7F8BF"/>
    <w:rsid w:val="2BFF4516"/>
    <w:rsid w:val="2C2F2330"/>
    <w:rsid w:val="2C3AA5F6"/>
    <w:rsid w:val="2C437938"/>
    <w:rsid w:val="2C46C785"/>
    <w:rsid w:val="2C4DFC03"/>
    <w:rsid w:val="2C63F79C"/>
    <w:rsid w:val="2C693955"/>
    <w:rsid w:val="2C779C2A"/>
    <w:rsid w:val="2C7A2C34"/>
    <w:rsid w:val="2C7AB6C4"/>
    <w:rsid w:val="2CA5A8FB"/>
    <w:rsid w:val="2CA682B0"/>
    <w:rsid w:val="2CA84A2D"/>
    <w:rsid w:val="2CB9645B"/>
    <w:rsid w:val="2CCA51AD"/>
    <w:rsid w:val="2CDF29E6"/>
    <w:rsid w:val="2CE95C7F"/>
    <w:rsid w:val="2D026AA2"/>
    <w:rsid w:val="2D053180"/>
    <w:rsid w:val="2D0625BD"/>
    <w:rsid w:val="2D0625BD"/>
    <w:rsid w:val="2D32CAA9"/>
    <w:rsid w:val="2D46645A"/>
    <w:rsid w:val="2D6319CB"/>
    <w:rsid w:val="2D7137B4"/>
    <w:rsid w:val="2D720FA9"/>
    <w:rsid w:val="2D794E4C"/>
    <w:rsid w:val="2D7FC7E3"/>
    <w:rsid w:val="2D8F8331"/>
    <w:rsid w:val="2DA4FFCC"/>
    <w:rsid w:val="2DD4378F"/>
    <w:rsid w:val="2DE57162"/>
    <w:rsid w:val="2DEBC88F"/>
    <w:rsid w:val="2DF4A3EE"/>
    <w:rsid w:val="2E0799DC"/>
    <w:rsid w:val="2E3FC104"/>
    <w:rsid w:val="2E635F15"/>
    <w:rsid w:val="2E635F15"/>
    <w:rsid w:val="2EA19711"/>
    <w:rsid w:val="2EA2F8E0"/>
    <w:rsid w:val="2EA4DFDB"/>
    <w:rsid w:val="2EACD951"/>
    <w:rsid w:val="2EB53FAE"/>
    <w:rsid w:val="2EC5E697"/>
    <w:rsid w:val="2ED95566"/>
    <w:rsid w:val="2EE3F9C5"/>
    <w:rsid w:val="2F2A6D18"/>
    <w:rsid w:val="2F718364"/>
    <w:rsid w:val="2F7743E5"/>
    <w:rsid w:val="2F77A1A8"/>
    <w:rsid w:val="2F7D7F06"/>
    <w:rsid w:val="2F8B5065"/>
    <w:rsid w:val="2F900048"/>
    <w:rsid w:val="2F9201C0"/>
    <w:rsid w:val="2FA2F78A"/>
    <w:rsid w:val="2FA55D7A"/>
    <w:rsid w:val="2FACA419"/>
    <w:rsid w:val="2FB364C9"/>
    <w:rsid w:val="2FC4E0F8"/>
    <w:rsid w:val="2FCD82BB"/>
    <w:rsid w:val="2FDD9B5A"/>
    <w:rsid w:val="2FF0963D"/>
    <w:rsid w:val="2FF0963D"/>
    <w:rsid w:val="2FFBC38D"/>
    <w:rsid w:val="300D0B20"/>
    <w:rsid w:val="300D0B20"/>
    <w:rsid w:val="3022B329"/>
    <w:rsid w:val="30237452"/>
    <w:rsid w:val="3029EA3C"/>
    <w:rsid w:val="303BBB85"/>
    <w:rsid w:val="304FAD38"/>
    <w:rsid w:val="305E0E64"/>
    <w:rsid w:val="305FBA4A"/>
    <w:rsid w:val="306363E7"/>
    <w:rsid w:val="30667F53"/>
    <w:rsid w:val="30702E28"/>
    <w:rsid w:val="3076BE5C"/>
    <w:rsid w:val="309D8DE7"/>
    <w:rsid w:val="30A4DE14"/>
    <w:rsid w:val="30A5D241"/>
    <w:rsid w:val="30AF102C"/>
    <w:rsid w:val="30B762D0"/>
    <w:rsid w:val="30E2088C"/>
    <w:rsid w:val="30E22E71"/>
    <w:rsid w:val="30E9E50D"/>
    <w:rsid w:val="30F67829"/>
    <w:rsid w:val="311D92B5"/>
    <w:rsid w:val="3124C48E"/>
    <w:rsid w:val="3124C48E"/>
    <w:rsid w:val="313C4106"/>
    <w:rsid w:val="31491375"/>
    <w:rsid w:val="3149A1FC"/>
    <w:rsid w:val="3171C4A9"/>
    <w:rsid w:val="318E4DF4"/>
    <w:rsid w:val="3194C5AD"/>
    <w:rsid w:val="31A88A59"/>
    <w:rsid w:val="31ABE224"/>
    <w:rsid w:val="31BB3BE6"/>
    <w:rsid w:val="31C14724"/>
    <w:rsid w:val="31C5E04A"/>
    <w:rsid w:val="31CEA710"/>
    <w:rsid w:val="320C2E97"/>
    <w:rsid w:val="32134329"/>
    <w:rsid w:val="32246AFD"/>
    <w:rsid w:val="323E4F2B"/>
    <w:rsid w:val="3240E93B"/>
    <w:rsid w:val="32567C3F"/>
    <w:rsid w:val="32937DCC"/>
    <w:rsid w:val="32A7BA20"/>
    <w:rsid w:val="32BA7469"/>
    <w:rsid w:val="32BC8D63"/>
    <w:rsid w:val="32C4532C"/>
    <w:rsid w:val="32E22978"/>
    <w:rsid w:val="32E22978"/>
    <w:rsid w:val="32EC65C5"/>
    <w:rsid w:val="32F7D297"/>
    <w:rsid w:val="330BFBB0"/>
    <w:rsid w:val="331D7AB1"/>
    <w:rsid w:val="3331CDC5"/>
    <w:rsid w:val="3340DDA7"/>
    <w:rsid w:val="3344C322"/>
    <w:rsid w:val="33566F53"/>
    <w:rsid w:val="33639F0A"/>
    <w:rsid w:val="33925133"/>
    <w:rsid w:val="33D88F0C"/>
    <w:rsid w:val="33E6C3E2"/>
    <w:rsid w:val="33E83D08"/>
    <w:rsid w:val="33F830B8"/>
    <w:rsid w:val="3401FFB1"/>
    <w:rsid w:val="340898D4"/>
    <w:rsid w:val="3409137A"/>
    <w:rsid w:val="340ABFCA"/>
    <w:rsid w:val="340C1046"/>
    <w:rsid w:val="340FF619"/>
    <w:rsid w:val="3410997C"/>
    <w:rsid w:val="3432ED96"/>
    <w:rsid w:val="346C77DD"/>
    <w:rsid w:val="348000EF"/>
    <w:rsid w:val="34A39982"/>
    <w:rsid w:val="34B238D4"/>
    <w:rsid w:val="34BB6B3E"/>
    <w:rsid w:val="34D13B6F"/>
    <w:rsid w:val="34D13B6F"/>
    <w:rsid w:val="34F70C32"/>
    <w:rsid w:val="34F70C32"/>
    <w:rsid w:val="3502BBA8"/>
    <w:rsid w:val="3521FA78"/>
    <w:rsid w:val="3535A238"/>
    <w:rsid w:val="35521C31"/>
    <w:rsid w:val="35553538"/>
    <w:rsid w:val="355B5EE2"/>
    <w:rsid w:val="356636AE"/>
    <w:rsid w:val="357F7814"/>
    <w:rsid w:val="3580B570"/>
    <w:rsid w:val="35828B2C"/>
    <w:rsid w:val="358BEF2A"/>
    <w:rsid w:val="358BEF2A"/>
    <w:rsid w:val="3599B771"/>
    <w:rsid w:val="35AA30FC"/>
    <w:rsid w:val="35BCD176"/>
    <w:rsid w:val="35C0BB73"/>
    <w:rsid w:val="35C70801"/>
    <w:rsid w:val="35DA38A9"/>
    <w:rsid w:val="35DBAE5A"/>
    <w:rsid w:val="35E1986C"/>
    <w:rsid w:val="35E80A3F"/>
    <w:rsid w:val="35E8A0F8"/>
    <w:rsid w:val="35FAF56D"/>
    <w:rsid w:val="35FF1F7A"/>
    <w:rsid w:val="3606D385"/>
    <w:rsid w:val="360BC2CC"/>
    <w:rsid w:val="361CE4C5"/>
    <w:rsid w:val="362D97F4"/>
    <w:rsid w:val="36328C0C"/>
    <w:rsid w:val="363B52F8"/>
    <w:rsid w:val="363BC68F"/>
    <w:rsid w:val="365326C6"/>
    <w:rsid w:val="366EEC32"/>
    <w:rsid w:val="36737659"/>
    <w:rsid w:val="36884C3A"/>
    <w:rsid w:val="36934C0E"/>
    <w:rsid w:val="36AAE82F"/>
    <w:rsid w:val="36D75D4D"/>
    <w:rsid w:val="36EA29CD"/>
    <w:rsid w:val="36FF37CC"/>
    <w:rsid w:val="3711203C"/>
    <w:rsid w:val="37298B64"/>
    <w:rsid w:val="372B7DD1"/>
    <w:rsid w:val="374355A4"/>
    <w:rsid w:val="374E0475"/>
    <w:rsid w:val="3755F8E0"/>
    <w:rsid w:val="375ED90A"/>
    <w:rsid w:val="37759388"/>
    <w:rsid w:val="378C847C"/>
    <w:rsid w:val="37B78FD4"/>
    <w:rsid w:val="37B96A8E"/>
    <w:rsid w:val="37CC0367"/>
    <w:rsid w:val="37F118A0"/>
    <w:rsid w:val="37F6D8B0"/>
    <w:rsid w:val="37F72C19"/>
    <w:rsid w:val="37FC1DB1"/>
    <w:rsid w:val="37FFBDBB"/>
    <w:rsid w:val="381710A1"/>
    <w:rsid w:val="381997A0"/>
    <w:rsid w:val="3822CD0F"/>
    <w:rsid w:val="3830B3D7"/>
    <w:rsid w:val="3853D79E"/>
    <w:rsid w:val="38543890"/>
    <w:rsid w:val="38595FAE"/>
    <w:rsid w:val="38595FAE"/>
    <w:rsid w:val="387A7CA8"/>
    <w:rsid w:val="38904339"/>
    <w:rsid w:val="3897B040"/>
    <w:rsid w:val="389A9358"/>
    <w:rsid w:val="389D92E1"/>
    <w:rsid w:val="38A021D5"/>
    <w:rsid w:val="38AD1B99"/>
    <w:rsid w:val="38C4BD35"/>
    <w:rsid w:val="38C6F194"/>
    <w:rsid w:val="38CB4551"/>
    <w:rsid w:val="38D5C84D"/>
    <w:rsid w:val="38E7CB82"/>
    <w:rsid w:val="3904584F"/>
    <w:rsid w:val="39120ADE"/>
    <w:rsid w:val="3915907D"/>
    <w:rsid w:val="392A34DA"/>
    <w:rsid w:val="393A58C3"/>
    <w:rsid w:val="396A40E8"/>
    <w:rsid w:val="3991014B"/>
    <w:rsid w:val="39B8B900"/>
    <w:rsid w:val="39C16F59"/>
    <w:rsid w:val="3A21D544"/>
    <w:rsid w:val="3A221B7C"/>
    <w:rsid w:val="3A229275"/>
    <w:rsid w:val="3A5A953E"/>
    <w:rsid w:val="3A5BAFAE"/>
    <w:rsid w:val="3A703CCA"/>
    <w:rsid w:val="3A8A88C6"/>
    <w:rsid w:val="3A8B2332"/>
    <w:rsid w:val="3A8BCD0A"/>
    <w:rsid w:val="3A9FC464"/>
    <w:rsid w:val="3AB6326F"/>
    <w:rsid w:val="3AC3657E"/>
    <w:rsid w:val="3ACBF1AF"/>
    <w:rsid w:val="3AD728F2"/>
    <w:rsid w:val="3AE47990"/>
    <w:rsid w:val="3AEFE085"/>
    <w:rsid w:val="3AFAB5F4"/>
    <w:rsid w:val="3B0BD767"/>
    <w:rsid w:val="3B10BF78"/>
    <w:rsid w:val="3B49D8F4"/>
    <w:rsid w:val="3B616A06"/>
    <w:rsid w:val="3B7298EB"/>
    <w:rsid w:val="3B9D6FDA"/>
    <w:rsid w:val="3BA5C396"/>
    <w:rsid w:val="3BA5C396"/>
    <w:rsid w:val="3BCA1F0F"/>
    <w:rsid w:val="3BD4D633"/>
    <w:rsid w:val="3BEBFA23"/>
    <w:rsid w:val="3BF258ED"/>
    <w:rsid w:val="3BF38934"/>
    <w:rsid w:val="3BF38934"/>
    <w:rsid w:val="3BFE4320"/>
    <w:rsid w:val="3C005E02"/>
    <w:rsid w:val="3C1A1C8E"/>
    <w:rsid w:val="3C2914FB"/>
    <w:rsid w:val="3C2A8F38"/>
    <w:rsid w:val="3C36C121"/>
    <w:rsid w:val="3C3D8DBC"/>
    <w:rsid w:val="3C463201"/>
    <w:rsid w:val="3C77C9E2"/>
    <w:rsid w:val="3C7ABF10"/>
    <w:rsid w:val="3C7C4B0D"/>
    <w:rsid w:val="3C872831"/>
    <w:rsid w:val="3C9C17CE"/>
    <w:rsid w:val="3CA54F55"/>
    <w:rsid w:val="3CC65200"/>
    <w:rsid w:val="3CCF5AE3"/>
    <w:rsid w:val="3CCF5AE3"/>
    <w:rsid w:val="3CD7FC3F"/>
    <w:rsid w:val="3CE5A050"/>
    <w:rsid w:val="3CE8EF7C"/>
    <w:rsid w:val="3CF7463F"/>
    <w:rsid w:val="3D05FC75"/>
    <w:rsid w:val="3D0B8DCF"/>
    <w:rsid w:val="3D21933A"/>
    <w:rsid w:val="3D313EDB"/>
    <w:rsid w:val="3D39A05C"/>
    <w:rsid w:val="3D5B8E1F"/>
    <w:rsid w:val="3D69EBB6"/>
    <w:rsid w:val="3DAE1A4E"/>
    <w:rsid w:val="3DB80607"/>
    <w:rsid w:val="3DC74D49"/>
    <w:rsid w:val="3DF1A078"/>
    <w:rsid w:val="3DF7F9A9"/>
    <w:rsid w:val="3DFA3FF4"/>
    <w:rsid w:val="3E0443C0"/>
    <w:rsid w:val="3E1D0FF3"/>
    <w:rsid w:val="3E35DA43"/>
    <w:rsid w:val="3E3B24F7"/>
    <w:rsid w:val="3E3CBB86"/>
    <w:rsid w:val="3E4A9960"/>
    <w:rsid w:val="3E54F839"/>
    <w:rsid w:val="3E71791F"/>
    <w:rsid w:val="3E8252FF"/>
    <w:rsid w:val="3E874C34"/>
    <w:rsid w:val="3EB9CC47"/>
    <w:rsid w:val="3ECE6758"/>
    <w:rsid w:val="3ED57AB5"/>
    <w:rsid w:val="3F0871A1"/>
    <w:rsid w:val="3F1CDB5F"/>
    <w:rsid w:val="3F1F045F"/>
    <w:rsid w:val="3F303A73"/>
    <w:rsid w:val="3F38B823"/>
    <w:rsid w:val="3F6232DF"/>
    <w:rsid w:val="3F6D1D70"/>
    <w:rsid w:val="3F731512"/>
    <w:rsid w:val="3F740E95"/>
    <w:rsid w:val="3F816A2F"/>
    <w:rsid w:val="3F8A36CC"/>
    <w:rsid w:val="3F8B1D17"/>
    <w:rsid w:val="3F97374F"/>
    <w:rsid w:val="3F97FF05"/>
    <w:rsid w:val="3F9D55AE"/>
    <w:rsid w:val="3F9DDD87"/>
    <w:rsid w:val="3FAACABD"/>
    <w:rsid w:val="3FC79BE1"/>
    <w:rsid w:val="3FCC5570"/>
    <w:rsid w:val="3FE078C4"/>
    <w:rsid w:val="3FE078C4"/>
    <w:rsid w:val="3FE85BD5"/>
    <w:rsid w:val="3FF18CC7"/>
    <w:rsid w:val="3FF19BE8"/>
    <w:rsid w:val="400AD974"/>
    <w:rsid w:val="401087B1"/>
    <w:rsid w:val="401C0A87"/>
    <w:rsid w:val="4033A468"/>
    <w:rsid w:val="40525FD9"/>
    <w:rsid w:val="40554A61"/>
    <w:rsid w:val="40559BD5"/>
    <w:rsid w:val="406D2D06"/>
    <w:rsid w:val="40844570"/>
    <w:rsid w:val="408E48B9"/>
    <w:rsid w:val="409813B7"/>
    <w:rsid w:val="40BEE507"/>
    <w:rsid w:val="40E12E91"/>
    <w:rsid w:val="40E6D171"/>
    <w:rsid w:val="40F70812"/>
    <w:rsid w:val="40FBE37F"/>
    <w:rsid w:val="40FBE37F"/>
    <w:rsid w:val="40FEFD70"/>
    <w:rsid w:val="4105EF1D"/>
    <w:rsid w:val="4106F2A4"/>
    <w:rsid w:val="4111E922"/>
    <w:rsid w:val="41143069"/>
    <w:rsid w:val="41486202"/>
    <w:rsid w:val="4156D0CA"/>
    <w:rsid w:val="415DF38A"/>
    <w:rsid w:val="416F3BB8"/>
    <w:rsid w:val="418A5593"/>
    <w:rsid w:val="41984735"/>
    <w:rsid w:val="42040669"/>
    <w:rsid w:val="42117751"/>
    <w:rsid w:val="42203F9F"/>
    <w:rsid w:val="422D4EC2"/>
    <w:rsid w:val="42335E7D"/>
    <w:rsid w:val="4242B161"/>
    <w:rsid w:val="4255CE78"/>
    <w:rsid w:val="425EF7C1"/>
    <w:rsid w:val="426327D4"/>
    <w:rsid w:val="4263540E"/>
    <w:rsid w:val="42752FFB"/>
    <w:rsid w:val="427B69AA"/>
    <w:rsid w:val="428360AB"/>
    <w:rsid w:val="429CA8A2"/>
    <w:rsid w:val="429CE8FC"/>
    <w:rsid w:val="42B7D185"/>
    <w:rsid w:val="42C38952"/>
    <w:rsid w:val="42D6A498"/>
    <w:rsid w:val="42F05EF4"/>
    <w:rsid w:val="42FBEE4C"/>
    <w:rsid w:val="430A4E5F"/>
    <w:rsid w:val="4338EC34"/>
    <w:rsid w:val="433994F8"/>
    <w:rsid w:val="4341D019"/>
    <w:rsid w:val="436D96BF"/>
    <w:rsid w:val="438BBA0E"/>
    <w:rsid w:val="43993426"/>
    <w:rsid w:val="43BA21FA"/>
    <w:rsid w:val="43BE9908"/>
    <w:rsid w:val="43C7C7E8"/>
    <w:rsid w:val="43CA723E"/>
    <w:rsid w:val="43CAEB31"/>
    <w:rsid w:val="43CD6B19"/>
    <w:rsid w:val="43D5968D"/>
    <w:rsid w:val="43E7492A"/>
    <w:rsid w:val="442A2EFF"/>
    <w:rsid w:val="443BE45B"/>
    <w:rsid w:val="44524096"/>
    <w:rsid w:val="4466A3C8"/>
    <w:rsid w:val="4475AED4"/>
    <w:rsid w:val="447F6011"/>
    <w:rsid w:val="4481D12A"/>
    <w:rsid w:val="449B86EE"/>
    <w:rsid w:val="44C71CAB"/>
    <w:rsid w:val="44E959A9"/>
    <w:rsid w:val="44F40B04"/>
    <w:rsid w:val="44FCE86B"/>
    <w:rsid w:val="45073DEC"/>
    <w:rsid w:val="451D4986"/>
    <w:rsid w:val="45821B6A"/>
    <w:rsid w:val="4584667F"/>
    <w:rsid w:val="4584667F"/>
    <w:rsid w:val="4584FEE1"/>
    <w:rsid w:val="459FF501"/>
    <w:rsid w:val="45A1C8AE"/>
    <w:rsid w:val="45A4DAA2"/>
    <w:rsid w:val="45B8F873"/>
    <w:rsid w:val="45D2DD79"/>
    <w:rsid w:val="46034A99"/>
    <w:rsid w:val="460B1C06"/>
    <w:rsid w:val="46135C87"/>
    <w:rsid w:val="461F3088"/>
    <w:rsid w:val="4627422A"/>
    <w:rsid w:val="46346822"/>
    <w:rsid w:val="464FD0E4"/>
    <w:rsid w:val="4661EEEE"/>
    <w:rsid w:val="466588AD"/>
    <w:rsid w:val="4668E2DC"/>
    <w:rsid w:val="467FD08D"/>
    <w:rsid w:val="4684D4C7"/>
    <w:rsid w:val="46A6D6AF"/>
    <w:rsid w:val="46C092E4"/>
    <w:rsid w:val="46C32689"/>
    <w:rsid w:val="46E9AB78"/>
    <w:rsid w:val="46EB9B87"/>
    <w:rsid w:val="46F1194F"/>
    <w:rsid w:val="46F93D7B"/>
    <w:rsid w:val="470CE2D7"/>
    <w:rsid w:val="470EA1F4"/>
    <w:rsid w:val="471446DC"/>
    <w:rsid w:val="4717B7E4"/>
    <w:rsid w:val="47284322"/>
    <w:rsid w:val="472F9CCE"/>
    <w:rsid w:val="4731B217"/>
    <w:rsid w:val="47332BE6"/>
    <w:rsid w:val="474A25CA"/>
    <w:rsid w:val="475749DD"/>
    <w:rsid w:val="476175FB"/>
    <w:rsid w:val="476391C8"/>
    <w:rsid w:val="476A1A67"/>
    <w:rsid w:val="4786C3D3"/>
    <w:rsid w:val="47C4F57F"/>
    <w:rsid w:val="47DCD74D"/>
    <w:rsid w:val="47F55FC2"/>
    <w:rsid w:val="47F5C6F0"/>
    <w:rsid w:val="4836AA08"/>
    <w:rsid w:val="4836E334"/>
    <w:rsid w:val="484A8DEA"/>
    <w:rsid w:val="48617B45"/>
    <w:rsid w:val="488C06EE"/>
    <w:rsid w:val="488CEA0C"/>
    <w:rsid w:val="488CEA0C"/>
    <w:rsid w:val="48E6EE6D"/>
    <w:rsid w:val="48E8EF06"/>
    <w:rsid w:val="48EC7363"/>
    <w:rsid w:val="49033866"/>
    <w:rsid w:val="4905D01F"/>
    <w:rsid w:val="493D46A1"/>
    <w:rsid w:val="49438567"/>
    <w:rsid w:val="49465846"/>
    <w:rsid w:val="494C7F37"/>
    <w:rsid w:val="49505074"/>
    <w:rsid w:val="495862B4"/>
    <w:rsid w:val="4984B59B"/>
    <w:rsid w:val="498F4C5E"/>
    <w:rsid w:val="498F4C5E"/>
    <w:rsid w:val="4990289E"/>
    <w:rsid w:val="499A1396"/>
    <w:rsid w:val="49ABB883"/>
    <w:rsid w:val="49C34419"/>
    <w:rsid w:val="49CC3A84"/>
    <w:rsid w:val="49CCC374"/>
    <w:rsid w:val="49CCF044"/>
    <w:rsid w:val="49D0B31E"/>
    <w:rsid w:val="49D34B9F"/>
    <w:rsid w:val="49D3D20D"/>
    <w:rsid w:val="49DAB8D7"/>
    <w:rsid w:val="49DAD661"/>
    <w:rsid w:val="49E2FD46"/>
    <w:rsid w:val="4A1426BF"/>
    <w:rsid w:val="4A4EAB8F"/>
    <w:rsid w:val="4A5B6646"/>
    <w:rsid w:val="4A66348A"/>
    <w:rsid w:val="4A79CDEC"/>
    <w:rsid w:val="4A890C1A"/>
    <w:rsid w:val="4A93E88A"/>
    <w:rsid w:val="4A9D1352"/>
    <w:rsid w:val="4AA93C10"/>
    <w:rsid w:val="4AC60BFB"/>
    <w:rsid w:val="4AD7897D"/>
    <w:rsid w:val="4AD9EFE4"/>
    <w:rsid w:val="4ADA3753"/>
    <w:rsid w:val="4AE72230"/>
    <w:rsid w:val="4AEB642C"/>
    <w:rsid w:val="4B17411F"/>
    <w:rsid w:val="4B210678"/>
    <w:rsid w:val="4B29B32D"/>
    <w:rsid w:val="4B938A0F"/>
    <w:rsid w:val="4B99C98F"/>
    <w:rsid w:val="4BABC660"/>
    <w:rsid w:val="4BB1F48B"/>
    <w:rsid w:val="4BCC53D5"/>
    <w:rsid w:val="4BDC5199"/>
    <w:rsid w:val="4C0AF8C2"/>
    <w:rsid w:val="4C13D983"/>
    <w:rsid w:val="4C360FF8"/>
    <w:rsid w:val="4C4E0B72"/>
    <w:rsid w:val="4C663C54"/>
    <w:rsid w:val="4C7474E8"/>
    <w:rsid w:val="4C86CFD7"/>
    <w:rsid w:val="4C86CFD7"/>
    <w:rsid w:val="4C884BC0"/>
    <w:rsid w:val="4C948826"/>
    <w:rsid w:val="4C984E6C"/>
    <w:rsid w:val="4CAD8281"/>
    <w:rsid w:val="4CC489B0"/>
    <w:rsid w:val="4CC78046"/>
    <w:rsid w:val="4CC8ADC4"/>
    <w:rsid w:val="4CCD7CC7"/>
    <w:rsid w:val="4CF2CCED"/>
    <w:rsid w:val="4CFDD90F"/>
    <w:rsid w:val="4D14CE6B"/>
    <w:rsid w:val="4D1532AB"/>
    <w:rsid w:val="4D169369"/>
    <w:rsid w:val="4D190790"/>
    <w:rsid w:val="4D3227ED"/>
    <w:rsid w:val="4D36C2EC"/>
    <w:rsid w:val="4D36C2EC"/>
    <w:rsid w:val="4D43C070"/>
    <w:rsid w:val="4D48BDC6"/>
    <w:rsid w:val="4D4D3CF9"/>
    <w:rsid w:val="4D670A7A"/>
    <w:rsid w:val="4D6C9A90"/>
    <w:rsid w:val="4D6F9D8C"/>
    <w:rsid w:val="4D8A3476"/>
    <w:rsid w:val="4DA14955"/>
    <w:rsid w:val="4DB84E5E"/>
    <w:rsid w:val="4DCA2A36"/>
    <w:rsid w:val="4DECBE23"/>
    <w:rsid w:val="4DF04469"/>
    <w:rsid w:val="4DF054AC"/>
    <w:rsid w:val="4DF2755A"/>
    <w:rsid w:val="4E04032D"/>
    <w:rsid w:val="4E0B4CED"/>
    <w:rsid w:val="4E236F34"/>
    <w:rsid w:val="4E2B7E90"/>
    <w:rsid w:val="4E4684F3"/>
    <w:rsid w:val="4E47D7E2"/>
    <w:rsid w:val="4E837708"/>
    <w:rsid w:val="4E8B3B80"/>
    <w:rsid w:val="4ED3FEBE"/>
    <w:rsid w:val="4EDEEF9E"/>
    <w:rsid w:val="4EDFBC2D"/>
    <w:rsid w:val="4EE7D124"/>
    <w:rsid w:val="4EE912A1"/>
    <w:rsid w:val="4F08878E"/>
    <w:rsid w:val="4F0ED3B5"/>
    <w:rsid w:val="4F44FC35"/>
    <w:rsid w:val="4F44FC35"/>
    <w:rsid w:val="4F531F55"/>
    <w:rsid w:val="4F6896DE"/>
    <w:rsid w:val="4F6896DE"/>
    <w:rsid w:val="4F7637B0"/>
    <w:rsid w:val="4F76CC9F"/>
    <w:rsid w:val="4F8538D8"/>
    <w:rsid w:val="4F8F4DB7"/>
    <w:rsid w:val="4FA95A0E"/>
    <w:rsid w:val="4FC684B3"/>
    <w:rsid w:val="4FE3F4A9"/>
    <w:rsid w:val="4FE89B22"/>
    <w:rsid w:val="4FEA96BA"/>
    <w:rsid w:val="4FEB63C5"/>
    <w:rsid w:val="4FEBA827"/>
    <w:rsid w:val="50056575"/>
    <w:rsid w:val="50154EF8"/>
    <w:rsid w:val="501C8D65"/>
    <w:rsid w:val="5036CB57"/>
    <w:rsid w:val="50392ADD"/>
    <w:rsid w:val="50437758"/>
    <w:rsid w:val="504C5462"/>
    <w:rsid w:val="505421F6"/>
    <w:rsid w:val="5059DFE7"/>
    <w:rsid w:val="505A4BD1"/>
    <w:rsid w:val="506395F8"/>
    <w:rsid w:val="507B4F9C"/>
    <w:rsid w:val="509160A4"/>
    <w:rsid w:val="509EAA4C"/>
    <w:rsid w:val="50A8582D"/>
    <w:rsid w:val="50ADCF0A"/>
    <w:rsid w:val="50B77D2C"/>
    <w:rsid w:val="50B77D2C"/>
    <w:rsid w:val="50BAA58E"/>
    <w:rsid w:val="50C6CA9E"/>
    <w:rsid w:val="50D2F5CB"/>
    <w:rsid w:val="50F1D864"/>
    <w:rsid w:val="5105BF51"/>
    <w:rsid w:val="5112BA0B"/>
    <w:rsid w:val="51136164"/>
    <w:rsid w:val="511EFA52"/>
    <w:rsid w:val="511F52D8"/>
    <w:rsid w:val="512E800F"/>
    <w:rsid w:val="5146A45C"/>
    <w:rsid w:val="5148ABD0"/>
    <w:rsid w:val="5171F8F9"/>
    <w:rsid w:val="51B19FCC"/>
    <w:rsid w:val="51BB549F"/>
    <w:rsid w:val="51BBDD9C"/>
    <w:rsid w:val="51C762E2"/>
    <w:rsid w:val="51E3D756"/>
    <w:rsid w:val="51E40215"/>
    <w:rsid w:val="51ECEAA3"/>
    <w:rsid w:val="51ECEAA3"/>
    <w:rsid w:val="51FE7F03"/>
    <w:rsid w:val="5205148D"/>
    <w:rsid w:val="52063889"/>
    <w:rsid w:val="52216A3D"/>
    <w:rsid w:val="52397ECE"/>
    <w:rsid w:val="523A3FCE"/>
    <w:rsid w:val="523B1928"/>
    <w:rsid w:val="524F1D16"/>
    <w:rsid w:val="526FEA2A"/>
    <w:rsid w:val="5270A14A"/>
    <w:rsid w:val="527E6272"/>
    <w:rsid w:val="528DD4AA"/>
    <w:rsid w:val="52979976"/>
    <w:rsid w:val="52A311CE"/>
    <w:rsid w:val="52A3BEAC"/>
    <w:rsid w:val="52B60558"/>
    <w:rsid w:val="52D2F2D4"/>
    <w:rsid w:val="52DCEE31"/>
    <w:rsid w:val="52EFB560"/>
    <w:rsid w:val="52F8936A"/>
    <w:rsid w:val="52FAC2CF"/>
    <w:rsid w:val="530809C6"/>
    <w:rsid w:val="5381AFCA"/>
    <w:rsid w:val="53949725"/>
    <w:rsid w:val="53B06192"/>
    <w:rsid w:val="53BDC186"/>
    <w:rsid w:val="53C072AD"/>
    <w:rsid w:val="53CF0A82"/>
    <w:rsid w:val="53D82792"/>
    <w:rsid w:val="53DB2AA0"/>
    <w:rsid w:val="53DB2AA0"/>
    <w:rsid w:val="53EA68E5"/>
    <w:rsid w:val="53F0208B"/>
    <w:rsid w:val="53FB6885"/>
    <w:rsid w:val="53FBD036"/>
    <w:rsid w:val="5407738F"/>
    <w:rsid w:val="5414B4CE"/>
    <w:rsid w:val="5434E587"/>
    <w:rsid w:val="544135F5"/>
    <w:rsid w:val="545C7F14"/>
    <w:rsid w:val="545C9ED8"/>
    <w:rsid w:val="5461B91D"/>
    <w:rsid w:val="548630A4"/>
    <w:rsid w:val="548BC6EB"/>
    <w:rsid w:val="5493EBA3"/>
    <w:rsid w:val="54A5AB10"/>
    <w:rsid w:val="54AB6329"/>
    <w:rsid w:val="54AC35DF"/>
    <w:rsid w:val="54AC5EF7"/>
    <w:rsid w:val="54AC5EF7"/>
    <w:rsid w:val="54B6876D"/>
    <w:rsid w:val="54C4AD9C"/>
    <w:rsid w:val="54DC5BC0"/>
    <w:rsid w:val="54DEB064"/>
    <w:rsid w:val="54F4BF6E"/>
    <w:rsid w:val="54FC609C"/>
    <w:rsid w:val="550472A9"/>
    <w:rsid w:val="5519847A"/>
    <w:rsid w:val="552E9C39"/>
    <w:rsid w:val="5541EC66"/>
    <w:rsid w:val="554395BF"/>
    <w:rsid w:val="554925B9"/>
    <w:rsid w:val="554CFF3E"/>
    <w:rsid w:val="555C983A"/>
    <w:rsid w:val="555D7F9E"/>
    <w:rsid w:val="5586CD5D"/>
    <w:rsid w:val="55905801"/>
    <w:rsid w:val="55905801"/>
    <w:rsid w:val="55A59A34"/>
    <w:rsid w:val="55B1ED50"/>
    <w:rsid w:val="55BECE0F"/>
    <w:rsid w:val="55DE76EB"/>
    <w:rsid w:val="55EF1A15"/>
    <w:rsid w:val="55F63195"/>
    <w:rsid w:val="55F9464E"/>
    <w:rsid w:val="5601C263"/>
    <w:rsid w:val="56100FF4"/>
    <w:rsid w:val="564145DE"/>
    <w:rsid w:val="564697AA"/>
    <w:rsid w:val="5646E723"/>
    <w:rsid w:val="56502CF6"/>
    <w:rsid w:val="56817AB9"/>
    <w:rsid w:val="5682FEA6"/>
    <w:rsid w:val="569F74FB"/>
    <w:rsid w:val="56ACAA06"/>
    <w:rsid w:val="56AEE5DF"/>
    <w:rsid w:val="56B0058A"/>
    <w:rsid w:val="56DD4D85"/>
    <w:rsid w:val="56E100DD"/>
    <w:rsid w:val="56E3D5B1"/>
    <w:rsid w:val="56E825B0"/>
    <w:rsid w:val="5703A432"/>
    <w:rsid w:val="5708FCE1"/>
    <w:rsid w:val="57153391"/>
    <w:rsid w:val="572A7CBF"/>
    <w:rsid w:val="5736C2DC"/>
    <w:rsid w:val="573CF9E6"/>
    <w:rsid w:val="57490B1C"/>
    <w:rsid w:val="5750189A"/>
    <w:rsid w:val="57ABD243"/>
    <w:rsid w:val="57AD8675"/>
    <w:rsid w:val="57B1D63B"/>
    <w:rsid w:val="57BA4083"/>
    <w:rsid w:val="57BECCA8"/>
    <w:rsid w:val="57C60B3C"/>
    <w:rsid w:val="57D83F52"/>
    <w:rsid w:val="580818AA"/>
    <w:rsid w:val="580818AA"/>
    <w:rsid w:val="58125B35"/>
    <w:rsid w:val="58135799"/>
    <w:rsid w:val="5817F2A5"/>
    <w:rsid w:val="5822B28E"/>
    <w:rsid w:val="58254DD2"/>
    <w:rsid w:val="583A4568"/>
    <w:rsid w:val="5841880E"/>
    <w:rsid w:val="584DDD3D"/>
    <w:rsid w:val="58561F29"/>
    <w:rsid w:val="5868A2CB"/>
    <w:rsid w:val="58699314"/>
    <w:rsid w:val="587AC7E6"/>
    <w:rsid w:val="5891BC41"/>
    <w:rsid w:val="589CB7F1"/>
    <w:rsid w:val="58ACB47B"/>
    <w:rsid w:val="58FF708F"/>
    <w:rsid w:val="59109A41"/>
    <w:rsid w:val="5930BE65"/>
    <w:rsid w:val="5933D4B3"/>
    <w:rsid w:val="593FDADA"/>
    <w:rsid w:val="594BA712"/>
    <w:rsid w:val="5956093D"/>
    <w:rsid w:val="596A3524"/>
    <w:rsid w:val="59914891"/>
    <w:rsid w:val="59AEFFD2"/>
    <w:rsid w:val="59AEFFD2"/>
    <w:rsid w:val="59B78645"/>
    <w:rsid w:val="59EDB129"/>
    <w:rsid w:val="5A011958"/>
    <w:rsid w:val="5A096474"/>
    <w:rsid w:val="5A0F7086"/>
    <w:rsid w:val="5A158BF0"/>
    <w:rsid w:val="5A453712"/>
    <w:rsid w:val="5A55A394"/>
    <w:rsid w:val="5A6A8F43"/>
    <w:rsid w:val="5A6A8F43"/>
    <w:rsid w:val="5A778B89"/>
    <w:rsid w:val="5A8A4040"/>
    <w:rsid w:val="5AAA9E44"/>
    <w:rsid w:val="5AC6AF35"/>
    <w:rsid w:val="5AD0BB92"/>
    <w:rsid w:val="5AE655B1"/>
    <w:rsid w:val="5AE655B1"/>
    <w:rsid w:val="5AEBBFF7"/>
    <w:rsid w:val="5B4E9F30"/>
    <w:rsid w:val="5B561A7C"/>
    <w:rsid w:val="5B5C7044"/>
    <w:rsid w:val="5B6F211D"/>
    <w:rsid w:val="5B6F41FA"/>
    <w:rsid w:val="5B751578"/>
    <w:rsid w:val="5B76CA92"/>
    <w:rsid w:val="5B9F0692"/>
    <w:rsid w:val="5BD958C0"/>
    <w:rsid w:val="5C0B0831"/>
    <w:rsid w:val="5C224408"/>
    <w:rsid w:val="5C259863"/>
    <w:rsid w:val="5C29D08D"/>
    <w:rsid w:val="5C338CD3"/>
    <w:rsid w:val="5C39DE7A"/>
    <w:rsid w:val="5C446E9A"/>
    <w:rsid w:val="5C492C72"/>
    <w:rsid w:val="5C4BB803"/>
    <w:rsid w:val="5C7A5F19"/>
    <w:rsid w:val="5C988828"/>
    <w:rsid w:val="5CA9C33C"/>
    <w:rsid w:val="5CC49AB1"/>
    <w:rsid w:val="5CDAA353"/>
    <w:rsid w:val="5CED94E8"/>
    <w:rsid w:val="5CEDCFD3"/>
    <w:rsid w:val="5D1382B2"/>
    <w:rsid w:val="5D2024C5"/>
    <w:rsid w:val="5D358D99"/>
    <w:rsid w:val="5D8B97AA"/>
    <w:rsid w:val="5DA664F2"/>
    <w:rsid w:val="5DB8CCE3"/>
    <w:rsid w:val="5DCD6F3B"/>
    <w:rsid w:val="5DFD87D5"/>
    <w:rsid w:val="5E0D871C"/>
    <w:rsid w:val="5E25743F"/>
    <w:rsid w:val="5E2CEA00"/>
    <w:rsid w:val="5E54AE51"/>
    <w:rsid w:val="5E607C16"/>
    <w:rsid w:val="5E63AB2B"/>
    <w:rsid w:val="5E758D88"/>
    <w:rsid w:val="5E77FED3"/>
    <w:rsid w:val="5E78029D"/>
    <w:rsid w:val="5E7D434C"/>
    <w:rsid w:val="5E7DBD9D"/>
    <w:rsid w:val="5E8E4910"/>
    <w:rsid w:val="5EA63367"/>
    <w:rsid w:val="5EBEA1AA"/>
    <w:rsid w:val="5EDB0EE1"/>
    <w:rsid w:val="5EE268AC"/>
    <w:rsid w:val="5EE268AC"/>
    <w:rsid w:val="5F0A16B2"/>
    <w:rsid w:val="5F124EDC"/>
    <w:rsid w:val="5F4CF1DF"/>
    <w:rsid w:val="5F4D9BEF"/>
    <w:rsid w:val="5F5AFA62"/>
    <w:rsid w:val="5F6FE8D8"/>
    <w:rsid w:val="5F8CBEC5"/>
    <w:rsid w:val="5F98A9FB"/>
    <w:rsid w:val="5F9A65A9"/>
    <w:rsid w:val="5FAC0DF6"/>
    <w:rsid w:val="5FAFD43E"/>
    <w:rsid w:val="5FB50C4A"/>
    <w:rsid w:val="5FBAAF37"/>
    <w:rsid w:val="5FCC4CD6"/>
    <w:rsid w:val="5FCF33ED"/>
    <w:rsid w:val="5FD0F77A"/>
    <w:rsid w:val="5FE39A02"/>
    <w:rsid w:val="5FEDED57"/>
    <w:rsid w:val="601EA42A"/>
    <w:rsid w:val="6027BA23"/>
    <w:rsid w:val="6031E8BF"/>
    <w:rsid w:val="604DC1C5"/>
    <w:rsid w:val="604DD8D6"/>
    <w:rsid w:val="605DA170"/>
    <w:rsid w:val="607310C5"/>
    <w:rsid w:val="607843FA"/>
    <w:rsid w:val="60916971"/>
    <w:rsid w:val="609F4D23"/>
    <w:rsid w:val="60C7D954"/>
    <w:rsid w:val="60F47314"/>
    <w:rsid w:val="60F88425"/>
    <w:rsid w:val="60F88425"/>
    <w:rsid w:val="60FA6763"/>
    <w:rsid w:val="60FC9309"/>
    <w:rsid w:val="60FC9309"/>
    <w:rsid w:val="610DBE58"/>
    <w:rsid w:val="6113199F"/>
    <w:rsid w:val="6120BEAD"/>
    <w:rsid w:val="6123B6D0"/>
    <w:rsid w:val="614BAFD9"/>
    <w:rsid w:val="6157CEFD"/>
    <w:rsid w:val="617895D9"/>
    <w:rsid w:val="617A78F7"/>
    <w:rsid w:val="61A449C1"/>
    <w:rsid w:val="61ACE83D"/>
    <w:rsid w:val="61ACE83D"/>
    <w:rsid w:val="61C8CFBF"/>
    <w:rsid w:val="61C947C2"/>
    <w:rsid w:val="61D51EB7"/>
    <w:rsid w:val="61DDEE61"/>
    <w:rsid w:val="61F0FE65"/>
    <w:rsid w:val="61F7F907"/>
    <w:rsid w:val="62076714"/>
    <w:rsid w:val="6216FAED"/>
    <w:rsid w:val="621E3DCB"/>
    <w:rsid w:val="623CEA1C"/>
    <w:rsid w:val="625B4CAF"/>
    <w:rsid w:val="62609AB9"/>
    <w:rsid w:val="62609AB9"/>
    <w:rsid w:val="628A8F8D"/>
    <w:rsid w:val="629A9694"/>
    <w:rsid w:val="62A8BEA9"/>
    <w:rsid w:val="62A931DE"/>
    <w:rsid w:val="62B73B33"/>
    <w:rsid w:val="62E3CE2F"/>
    <w:rsid w:val="62EF18AE"/>
    <w:rsid w:val="630DE331"/>
    <w:rsid w:val="63105650"/>
    <w:rsid w:val="6322C890"/>
    <w:rsid w:val="632532CD"/>
    <w:rsid w:val="6328DD5A"/>
    <w:rsid w:val="6331FE5E"/>
    <w:rsid w:val="634A01FF"/>
    <w:rsid w:val="635FA6C6"/>
    <w:rsid w:val="639523C3"/>
    <w:rsid w:val="63A9D70D"/>
    <w:rsid w:val="63AF947D"/>
    <w:rsid w:val="63B24FBA"/>
    <w:rsid w:val="63BC0C05"/>
    <w:rsid w:val="63BC727B"/>
    <w:rsid w:val="63BC727B"/>
    <w:rsid w:val="63C21871"/>
    <w:rsid w:val="63D60427"/>
    <w:rsid w:val="64040543"/>
    <w:rsid w:val="64050D68"/>
    <w:rsid w:val="640A2D99"/>
    <w:rsid w:val="64502B5E"/>
    <w:rsid w:val="646AACAD"/>
    <w:rsid w:val="646FB406"/>
    <w:rsid w:val="647F67CD"/>
    <w:rsid w:val="6492DD21"/>
    <w:rsid w:val="64A212D9"/>
    <w:rsid w:val="64A212D9"/>
    <w:rsid w:val="64A63710"/>
    <w:rsid w:val="64BF77F3"/>
    <w:rsid w:val="64C95054"/>
    <w:rsid w:val="64D0F344"/>
    <w:rsid w:val="64D0F344"/>
    <w:rsid w:val="64D20C6D"/>
    <w:rsid w:val="64E6A32F"/>
    <w:rsid w:val="65049C69"/>
    <w:rsid w:val="6506CD5A"/>
    <w:rsid w:val="65156803"/>
    <w:rsid w:val="652383BE"/>
    <w:rsid w:val="652D5F47"/>
    <w:rsid w:val="653F75FA"/>
    <w:rsid w:val="6547517E"/>
    <w:rsid w:val="654E2769"/>
    <w:rsid w:val="6573DC85"/>
    <w:rsid w:val="657CF03D"/>
    <w:rsid w:val="6583657C"/>
    <w:rsid w:val="658C84DE"/>
    <w:rsid w:val="658EF6FD"/>
    <w:rsid w:val="659EBD09"/>
    <w:rsid w:val="65A2ED38"/>
    <w:rsid w:val="65A8A990"/>
    <w:rsid w:val="65A8A990"/>
    <w:rsid w:val="65B79337"/>
    <w:rsid w:val="65C7B04D"/>
    <w:rsid w:val="65DD7B43"/>
    <w:rsid w:val="65F17420"/>
    <w:rsid w:val="66036DBD"/>
    <w:rsid w:val="660DE8C0"/>
    <w:rsid w:val="66177C10"/>
    <w:rsid w:val="6624E3D9"/>
    <w:rsid w:val="664A0779"/>
    <w:rsid w:val="664C8832"/>
    <w:rsid w:val="665412E1"/>
    <w:rsid w:val="665412E1"/>
    <w:rsid w:val="66665BE7"/>
    <w:rsid w:val="6688B21A"/>
    <w:rsid w:val="66AD7420"/>
    <w:rsid w:val="66B23069"/>
    <w:rsid w:val="66BE60AB"/>
    <w:rsid w:val="66C1F43F"/>
    <w:rsid w:val="66C34538"/>
    <w:rsid w:val="66C82503"/>
    <w:rsid w:val="66CADC32"/>
    <w:rsid w:val="66CFE829"/>
    <w:rsid w:val="66D30CEB"/>
    <w:rsid w:val="6714373A"/>
    <w:rsid w:val="674AA533"/>
    <w:rsid w:val="6752E644"/>
    <w:rsid w:val="675EA9CD"/>
    <w:rsid w:val="677B5D1B"/>
    <w:rsid w:val="6787DE69"/>
    <w:rsid w:val="6792CCFD"/>
    <w:rsid w:val="67AD38C0"/>
    <w:rsid w:val="67B44885"/>
    <w:rsid w:val="67B88D51"/>
    <w:rsid w:val="67E86508"/>
    <w:rsid w:val="682CD437"/>
    <w:rsid w:val="68909E9A"/>
    <w:rsid w:val="68954A9B"/>
    <w:rsid w:val="68FCF389"/>
    <w:rsid w:val="691A930C"/>
    <w:rsid w:val="692D6D0A"/>
    <w:rsid w:val="6970194C"/>
    <w:rsid w:val="69881168"/>
    <w:rsid w:val="6994FB4E"/>
    <w:rsid w:val="6995174A"/>
    <w:rsid w:val="69961BCE"/>
    <w:rsid w:val="69A36938"/>
    <w:rsid w:val="69A9C005"/>
    <w:rsid w:val="69B13D8B"/>
    <w:rsid w:val="69B4D768"/>
    <w:rsid w:val="69DF9978"/>
    <w:rsid w:val="69EC0520"/>
    <w:rsid w:val="6A3B9ACC"/>
    <w:rsid w:val="6A3F7D07"/>
    <w:rsid w:val="6A40807B"/>
    <w:rsid w:val="6A5AE6B0"/>
    <w:rsid w:val="6A5D81F8"/>
    <w:rsid w:val="6AB5B21B"/>
    <w:rsid w:val="6AC353C3"/>
    <w:rsid w:val="6AC3B488"/>
    <w:rsid w:val="6AC7081F"/>
    <w:rsid w:val="6AD589F3"/>
    <w:rsid w:val="6AE1195C"/>
    <w:rsid w:val="6AE62E67"/>
    <w:rsid w:val="6AE9EC5B"/>
    <w:rsid w:val="6AF39DCD"/>
    <w:rsid w:val="6B16712D"/>
    <w:rsid w:val="6B219E68"/>
    <w:rsid w:val="6B2CF7E9"/>
    <w:rsid w:val="6B32C3EA"/>
    <w:rsid w:val="6B4FE39C"/>
    <w:rsid w:val="6B5171F2"/>
    <w:rsid w:val="6B54B674"/>
    <w:rsid w:val="6B7915DD"/>
    <w:rsid w:val="6B8167CF"/>
    <w:rsid w:val="6B9440B1"/>
    <w:rsid w:val="6B9BA59D"/>
    <w:rsid w:val="6BB8396B"/>
    <w:rsid w:val="6BB97032"/>
    <w:rsid w:val="6BD89B9A"/>
    <w:rsid w:val="6BE691F6"/>
    <w:rsid w:val="6BE88C38"/>
    <w:rsid w:val="6BECDD41"/>
    <w:rsid w:val="6BF08F24"/>
    <w:rsid w:val="6C0AB8C4"/>
    <w:rsid w:val="6C33ED6B"/>
    <w:rsid w:val="6C3795A9"/>
    <w:rsid w:val="6C3CAC87"/>
    <w:rsid w:val="6C3DA181"/>
    <w:rsid w:val="6C5A16B5"/>
    <w:rsid w:val="6C5F4AB0"/>
    <w:rsid w:val="6C61AA95"/>
    <w:rsid w:val="6C74883C"/>
    <w:rsid w:val="6C767BDF"/>
    <w:rsid w:val="6C7A8514"/>
    <w:rsid w:val="6C7D5AF2"/>
    <w:rsid w:val="6C89D13B"/>
    <w:rsid w:val="6C8A095C"/>
    <w:rsid w:val="6C9B049C"/>
    <w:rsid w:val="6CA46F68"/>
    <w:rsid w:val="6CAE630D"/>
    <w:rsid w:val="6CAE919A"/>
    <w:rsid w:val="6CB09D11"/>
    <w:rsid w:val="6CB472DD"/>
    <w:rsid w:val="6CBB8203"/>
    <w:rsid w:val="6CCC9193"/>
    <w:rsid w:val="6CCECAA7"/>
    <w:rsid w:val="6CEE445A"/>
    <w:rsid w:val="6CF26E27"/>
    <w:rsid w:val="6CF7CC36"/>
    <w:rsid w:val="6D14B68B"/>
    <w:rsid w:val="6D2227CB"/>
    <w:rsid w:val="6D2556E4"/>
    <w:rsid w:val="6D3062A9"/>
    <w:rsid w:val="6D3D14FE"/>
    <w:rsid w:val="6D784E91"/>
    <w:rsid w:val="6D841ED0"/>
    <w:rsid w:val="6D89BEC1"/>
    <w:rsid w:val="6DBBAE28"/>
    <w:rsid w:val="6DCF6D1B"/>
    <w:rsid w:val="6E2EFD8A"/>
    <w:rsid w:val="6E343B8A"/>
    <w:rsid w:val="6E3753A1"/>
    <w:rsid w:val="6E4E6F23"/>
    <w:rsid w:val="6E563BFC"/>
    <w:rsid w:val="6E57D1EF"/>
    <w:rsid w:val="6E6958AC"/>
    <w:rsid w:val="6E8DAF07"/>
    <w:rsid w:val="6E93409F"/>
    <w:rsid w:val="6EAB4F6E"/>
    <w:rsid w:val="6EB3322A"/>
    <w:rsid w:val="6EBD02AA"/>
    <w:rsid w:val="6ECA9ABF"/>
    <w:rsid w:val="6ED6B727"/>
    <w:rsid w:val="6EE23753"/>
    <w:rsid w:val="6EE75567"/>
    <w:rsid w:val="6EF3549E"/>
    <w:rsid w:val="6EF9531D"/>
    <w:rsid w:val="6F02B931"/>
    <w:rsid w:val="6F1698A8"/>
    <w:rsid w:val="6F21EC28"/>
    <w:rsid w:val="6F316CEE"/>
    <w:rsid w:val="6F97A948"/>
    <w:rsid w:val="6FA516CF"/>
    <w:rsid w:val="6FA98639"/>
    <w:rsid w:val="6FB3FC1E"/>
    <w:rsid w:val="6FE1B86B"/>
    <w:rsid w:val="6FED0604"/>
    <w:rsid w:val="6FEEB9CF"/>
    <w:rsid w:val="701E1518"/>
    <w:rsid w:val="701E4372"/>
    <w:rsid w:val="70404D55"/>
    <w:rsid w:val="70550F5C"/>
    <w:rsid w:val="7058F50B"/>
    <w:rsid w:val="70AC1280"/>
    <w:rsid w:val="70BC037C"/>
    <w:rsid w:val="70C56454"/>
    <w:rsid w:val="70C7FB78"/>
    <w:rsid w:val="70CF4BA1"/>
    <w:rsid w:val="70D2DF7F"/>
    <w:rsid w:val="70D42FE4"/>
    <w:rsid w:val="70DDD916"/>
    <w:rsid w:val="70EEA711"/>
    <w:rsid w:val="70F632F4"/>
    <w:rsid w:val="7121CE4D"/>
    <w:rsid w:val="7121CE4D"/>
    <w:rsid w:val="713E7515"/>
    <w:rsid w:val="7144757E"/>
    <w:rsid w:val="714EFAD6"/>
    <w:rsid w:val="716BA31F"/>
    <w:rsid w:val="7193A585"/>
    <w:rsid w:val="71C57A6B"/>
    <w:rsid w:val="71CE294D"/>
    <w:rsid w:val="71DA4167"/>
    <w:rsid w:val="71DBCAD2"/>
    <w:rsid w:val="722A8E19"/>
    <w:rsid w:val="723116B1"/>
    <w:rsid w:val="72447664"/>
    <w:rsid w:val="724E27C4"/>
    <w:rsid w:val="7253B794"/>
    <w:rsid w:val="7253B794"/>
    <w:rsid w:val="72801E06"/>
    <w:rsid w:val="7289503E"/>
    <w:rsid w:val="728F3EA6"/>
    <w:rsid w:val="72A6878F"/>
    <w:rsid w:val="72BD757A"/>
    <w:rsid w:val="72C5C29F"/>
    <w:rsid w:val="72C8DD89"/>
    <w:rsid w:val="72D3A903"/>
    <w:rsid w:val="72E79245"/>
    <w:rsid w:val="72F141A8"/>
    <w:rsid w:val="72FFBE88"/>
    <w:rsid w:val="730A0E7F"/>
    <w:rsid w:val="732B8E1A"/>
    <w:rsid w:val="733D5EBD"/>
    <w:rsid w:val="7353B7E6"/>
    <w:rsid w:val="73705E90"/>
    <w:rsid w:val="73830BF9"/>
    <w:rsid w:val="73892B9E"/>
    <w:rsid w:val="73D45544"/>
    <w:rsid w:val="73FB16CD"/>
    <w:rsid w:val="740F4BF1"/>
    <w:rsid w:val="741B0060"/>
    <w:rsid w:val="746E4611"/>
    <w:rsid w:val="7476366B"/>
    <w:rsid w:val="74A6A695"/>
    <w:rsid w:val="74ADA8A0"/>
    <w:rsid w:val="74C94B1B"/>
    <w:rsid w:val="74CEFD62"/>
    <w:rsid w:val="74E70DC8"/>
    <w:rsid w:val="74FA3275"/>
    <w:rsid w:val="74FBADCD"/>
    <w:rsid w:val="75051D14"/>
    <w:rsid w:val="750A3BEB"/>
    <w:rsid w:val="750F4315"/>
    <w:rsid w:val="753B380A"/>
    <w:rsid w:val="7559F9BC"/>
    <w:rsid w:val="755DE8CD"/>
    <w:rsid w:val="755FF78F"/>
    <w:rsid w:val="757F1F8F"/>
    <w:rsid w:val="75BF467D"/>
    <w:rsid w:val="75C0DE5B"/>
    <w:rsid w:val="75D2CD72"/>
    <w:rsid w:val="75DDA7B3"/>
    <w:rsid w:val="75E3772D"/>
    <w:rsid w:val="75E99E68"/>
    <w:rsid w:val="75F51FD1"/>
    <w:rsid w:val="76162A30"/>
    <w:rsid w:val="761BD0B0"/>
    <w:rsid w:val="76208C31"/>
    <w:rsid w:val="7620A899"/>
    <w:rsid w:val="76278606"/>
    <w:rsid w:val="76305420"/>
    <w:rsid w:val="76305420"/>
    <w:rsid w:val="7632313C"/>
    <w:rsid w:val="764430EF"/>
    <w:rsid w:val="764FAC39"/>
    <w:rsid w:val="76545F16"/>
    <w:rsid w:val="76556668"/>
    <w:rsid w:val="765762FC"/>
    <w:rsid w:val="767522DE"/>
    <w:rsid w:val="76935C57"/>
    <w:rsid w:val="76A1AE56"/>
    <w:rsid w:val="76A4BC65"/>
    <w:rsid w:val="76B83869"/>
    <w:rsid w:val="76CC0843"/>
    <w:rsid w:val="76E395E5"/>
    <w:rsid w:val="76F1E76E"/>
    <w:rsid w:val="772CFF52"/>
    <w:rsid w:val="772CFF52"/>
    <w:rsid w:val="772D2B48"/>
    <w:rsid w:val="7731BFF5"/>
    <w:rsid w:val="773B8FB8"/>
    <w:rsid w:val="7749D864"/>
    <w:rsid w:val="7755A6F9"/>
    <w:rsid w:val="77577EB8"/>
    <w:rsid w:val="77679527"/>
    <w:rsid w:val="776B8316"/>
    <w:rsid w:val="777135E0"/>
    <w:rsid w:val="777C3274"/>
    <w:rsid w:val="779BF993"/>
    <w:rsid w:val="779F3058"/>
    <w:rsid w:val="77AB38B3"/>
    <w:rsid w:val="77BA0B51"/>
    <w:rsid w:val="77D5E126"/>
    <w:rsid w:val="77D881A9"/>
    <w:rsid w:val="77E31FC7"/>
    <w:rsid w:val="77EB680C"/>
    <w:rsid w:val="77F3EF40"/>
    <w:rsid w:val="77F6068F"/>
    <w:rsid w:val="77F72273"/>
    <w:rsid w:val="7800736D"/>
    <w:rsid w:val="7804A206"/>
    <w:rsid w:val="7813CDE7"/>
    <w:rsid w:val="78167E53"/>
    <w:rsid w:val="782CE338"/>
    <w:rsid w:val="782EBCA5"/>
    <w:rsid w:val="78333A77"/>
    <w:rsid w:val="78333A77"/>
    <w:rsid w:val="783542A3"/>
    <w:rsid w:val="7837DDAE"/>
    <w:rsid w:val="78463DDC"/>
    <w:rsid w:val="785006F1"/>
    <w:rsid w:val="78542D4E"/>
    <w:rsid w:val="7857A8D1"/>
    <w:rsid w:val="7866D350"/>
    <w:rsid w:val="7874A650"/>
    <w:rsid w:val="788EDB90"/>
    <w:rsid w:val="78904FB1"/>
    <w:rsid w:val="78965E55"/>
    <w:rsid w:val="78A5CE31"/>
    <w:rsid w:val="78B999E0"/>
    <w:rsid w:val="78C19698"/>
    <w:rsid w:val="78C5BD88"/>
    <w:rsid w:val="78DEB1A5"/>
    <w:rsid w:val="79008717"/>
    <w:rsid w:val="791D563D"/>
    <w:rsid w:val="793D518A"/>
    <w:rsid w:val="7954F36F"/>
    <w:rsid w:val="7954F36F"/>
    <w:rsid w:val="79806405"/>
    <w:rsid w:val="79831CD6"/>
    <w:rsid w:val="79993640"/>
    <w:rsid w:val="79A2773E"/>
    <w:rsid w:val="79C7639C"/>
    <w:rsid w:val="79DA72D6"/>
    <w:rsid w:val="79F43C4B"/>
    <w:rsid w:val="79FBCAA9"/>
    <w:rsid w:val="7A16AB5A"/>
    <w:rsid w:val="7A23F7BD"/>
    <w:rsid w:val="7A2E69CF"/>
    <w:rsid w:val="7A37E1C4"/>
    <w:rsid w:val="7A69ADFA"/>
    <w:rsid w:val="7A78B5D5"/>
    <w:rsid w:val="7AA13EB3"/>
    <w:rsid w:val="7AAABB2D"/>
    <w:rsid w:val="7ADD891D"/>
    <w:rsid w:val="7ADF389A"/>
    <w:rsid w:val="7B013B69"/>
    <w:rsid w:val="7B17FE6C"/>
    <w:rsid w:val="7B3A4CE0"/>
    <w:rsid w:val="7B55CA61"/>
    <w:rsid w:val="7B681C2D"/>
    <w:rsid w:val="7B7446FC"/>
    <w:rsid w:val="7B77F406"/>
    <w:rsid w:val="7B86C813"/>
    <w:rsid w:val="7B986D47"/>
    <w:rsid w:val="7BA4FC30"/>
    <w:rsid w:val="7BA991F0"/>
    <w:rsid w:val="7BA9A273"/>
    <w:rsid w:val="7BDD53E6"/>
    <w:rsid w:val="7BEA197E"/>
    <w:rsid w:val="7BEFCF29"/>
    <w:rsid w:val="7BF5E26F"/>
    <w:rsid w:val="7BF9B535"/>
    <w:rsid w:val="7C24F557"/>
    <w:rsid w:val="7C372EA4"/>
    <w:rsid w:val="7C53E113"/>
    <w:rsid w:val="7C607BC6"/>
    <w:rsid w:val="7C6BF879"/>
    <w:rsid w:val="7C877C07"/>
    <w:rsid w:val="7C90B5B8"/>
    <w:rsid w:val="7C9786B1"/>
    <w:rsid w:val="7C97FB2D"/>
    <w:rsid w:val="7CA4ED87"/>
    <w:rsid w:val="7CB4AF74"/>
    <w:rsid w:val="7CB5C2F3"/>
    <w:rsid w:val="7CD85C7A"/>
    <w:rsid w:val="7CEFF346"/>
    <w:rsid w:val="7CF19BB9"/>
    <w:rsid w:val="7CFDC40A"/>
    <w:rsid w:val="7D198048"/>
    <w:rsid w:val="7D27BF40"/>
    <w:rsid w:val="7D3FB6F1"/>
    <w:rsid w:val="7D4D1CEF"/>
    <w:rsid w:val="7D5CE3C2"/>
    <w:rsid w:val="7D61D6FE"/>
    <w:rsid w:val="7D6FF9F5"/>
    <w:rsid w:val="7D927DE4"/>
    <w:rsid w:val="7DA33E6F"/>
    <w:rsid w:val="7DA48AFE"/>
    <w:rsid w:val="7DA6D416"/>
    <w:rsid w:val="7DA8190E"/>
    <w:rsid w:val="7DB11B4C"/>
    <w:rsid w:val="7DB21FA3"/>
    <w:rsid w:val="7DB57D6A"/>
    <w:rsid w:val="7DBBD8A5"/>
    <w:rsid w:val="7DC089F5"/>
    <w:rsid w:val="7DD6F96A"/>
    <w:rsid w:val="7DD6F96A"/>
    <w:rsid w:val="7DE16CC5"/>
    <w:rsid w:val="7DE8D6FC"/>
    <w:rsid w:val="7DF84B8D"/>
    <w:rsid w:val="7E2D64F2"/>
    <w:rsid w:val="7E3B920A"/>
    <w:rsid w:val="7E3FF31B"/>
    <w:rsid w:val="7E4017B1"/>
    <w:rsid w:val="7E4131E5"/>
    <w:rsid w:val="7E52D9E1"/>
    <w:rsid w:val="7E580376"/>
    <w:rsid w:val="7E9D996C"/>
    <w:rsid w:val="7EA8F818"/>
    <w:rsid w:val="7EAA8647"/>
    <w:rsid w:val="7EAAE991"/>
    <w:rsid w:val="7EAF5CBC"/>
    <w:rsid w:val="7EB4673B"/>
    <w:rsid w:val="7EC16113"/>
    <w:rsid w:val="7ED965E0"/>
    <w:rsid w:val="7EDC769A"/>
    <w:rsid w:val="7F12498C"/>
    <w:rsid w:val="7F17F6CC"/>
    <w:rsid w:val="7F1E941C"/>
    <w:rsid w:val="7F33D104"/>
    <w:rsid w:val="7F4336FD"/>
    <w:rsid w:val="7F4A6172"/>
    <w:rsid w:val="7F6EF087"/>
    <w:rsid w:val="7F978E76"/>
    <w:rsid w:val="7F9F1343"/>
    <w:rsid w:val="7FA0FCCC"/>
    <w:rsid w:val="7FBBBF3B"/>
    <w:rsid w:val="7FC8EB72"/>
    <w:rsid w:val="7FD060C1"/>
    <w:rsid w:val="7FDEFC20"/>
    <w:rsid w:val="7FF6D58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161E39"/>
  <w15:docId w15:val="{04F99538-67EF-4ED6-ABA0-9B70E914D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hAnsi="Calibri" w:eastAsia="Calibri" w:cs="Calibri"/>
        <w:sz w:val="22"/>
        <w:szCs w:val="22"/>
        <w:lang w:val="es-ES"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lsdException w:name="heading 5" w:uiPriority="9" w:semiHidden="1" w:unhideWhenUsed="1" w:qFormat="1"/>
    <w:lsdException w:name="heading 6" w:uiPriority="9" w:semiHidden="1" w:unhideWhenUsed="1" w:qFormat="1"/>
    <w:lsdException w:name="heading 7" w:uiPriority="9" w:semiHidden="1" w:unhideWhenUsed="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9A7F71"/>
    <w:pPr>
      <w:spacing w:after="0"/>
      <w:jc w:val="both"/>
    </w:pPr>
    <w:rPr>
      <w:rFonts w:ascii="Arial" w:hAnsi="Arial" w:cs="Arial"/>
    </w:rPr>
  </w:style>
  <w:style w:type="paragraph" w:styleId="Ttulo1">
    <w:name w:val="heading 1"/>
    <w:basedOn w:val="Normal"/>
    <w:next w:val="Normal"/>
    <w:qFormat/>
    <w:rsid w:val="00817C9D"/>
    <w:pPr>
      <w:keepNext/>
      <w:keepLines/>
      <w:numPr>
        <w:numId w:val="19"/>
      </w:numPr>
      <w:spacing w:before="240" w:after="120" w:line="240" w:lineRule="auto"/>
      <w:outlineLvl w:val="0"/>
    </w:pPr>
    <w:rPr>
      <w:b/>
      <w:sz w:val="32"/>
      <w:szCs w:val="44"/>
      <w:lang w:val="es-ES_tradnl"/>
    </w:rPr>
  </w:style>
  <w:style w:type="paragraph" w:styleId="Ttulo2">
    <w:name w:val="heading 2"/>
    <w:basedOn w:val="Normal"/>
    <w:next w:val="Normal"/>
    <w:link w:val="Ttulo2Car"/>
    <w:qFormat/>
    <w:rsid w:val="00544608"/>
    <w:pPr>
      <w:keepNext/>
      <w:keepLines/>
      <w:numPr>
        <w:ilvl w:val="1"/>
        <w:numId w:val="19"/>
      </w:numPr>
      <w:spacing w:before="240" w:after="120"/>
      <w:outlineLvl w:val="1"/>
    </w:pPr>
    <w:rPr>
      <w:b/>
      <w:sz w:val="28"/>
      <w:szCs w:val="40"/>
      <w:lang w:val="es-ES_tradnl"/>
    </w:rPr>
  </w:style>
  <w:style w:type="paragraph" w:styleId="Ttulo30">
    <w:name w:val="heading 3"/>
    <w:aliases w:val="Título 4_"/>
    <w:basedOn w:val="Ttulo3"/>
    <w:next w:val="Normal"/>
    <w:qFormat/>
    <w:rsid w:val="00FD0936"/>
    <w:pPr>
      <w:numPr>
        <w:ilvl w:val="3"/>
      </w:numPr>
      <w:outlineLvl w:val="2"/>
    </w:pPr>
  </w:style>
  <w:style w:type="paragraph" w:styleId="Ttulo4">
    <w:name w:val="heading 4"/>
    <w:basedOn w:val="Normal"/>
    <w:next w:val="Normal"/>
    <w:pPr>
      <w:keepNext/>
      <w:keepLines/>
      <w:numPr>
        <w:ilvl w:val="3"/>
        <w:numId w:val="8"/>
      </w:numPr>
      <w:spacing w:before="240" w:after="40"/>
      <w:outlineLvl w:val="3"/>
    </w:pPr>
    <w:rPr>
      <w:b/>
      <w:sz w:val="24"/>
      <w:szCs w:val="24"/>
    </w:rPr>
  </w:style>
  <w:style w:type="paragraph" w:styleId="Ttulo5">
    <w:name w:val="heading 5"/>
    <w:basedOn w:val="Ttulo30"/>
    <w:next w:val="Normal"/>
    <w:qFormat/>
    <w:rsid w:val="00FD0936"/>
    <w:pPr>
      <w:numPr>
        <w:ilvl w:val="4"/>
      </w:numPr>
      <w:outlineLvl w:val="4"/>
    </w:pPr>
  </w:style>
  <w:style w:type="paragraph" w:styleId="Ttulo6">
    <w:name w:val="heading 6"/>
    <w:basedOn w:val="Ttulo5"/>
    <w:next w:val="Normal"/>
    <w:qFormat/>
    <w:rsid w:val="00FD0936"/>
    <w:pPr>
      <w:numPr>
        <w:ilvl w:val="5"/>
      </w:numPr>
      <w:outlineLvl w:val="5"/>
    </w:pPr>
  </w:style>
  <w:style w:type="paragraph" w:styleId="Ttulo7">
    <w:name w:val="heading 7"/>
    <w:basedOn w:val="Normal"/>
    <w:next w:val="Normal"/>
    <w:link w:val="Ttulo7Car"/>
    <w:uiPriority w:val="9"/>
    <w:semiHidden/>
    <w:unhideWhenUsed/>
    <w:rsid w:val="00465266"/>
    <w:pPr>
      <w:keepNext/>
      <w:keepLines/>
      <w:numPr>
        <w:ilvl w:val="6"/>
        <w:numId w:val="8"/>
      </w:numPr>
      <w:spacing w:before="40"/>
      <w:outlineLvl w:val="6"/>
    </w:pPr>
    <w:rPr>
      <w:rFonts w:asciiTheme="majorHAnsi" w:hAnsiTheme="majorHAnsi" w:eastAsiaTheme="majorEastAsia" w:cstheme="majorBidi"/>
      <w:i/>
      <w:iCs/>
      <w:color w:val="1F4D78" w:themeColor="accent1" w:themeShade="7F"/>
    </w:rPr>
  </w:style>
  <w:style w:type="paragraph" w:styleId="Ttulo8">
    <w:name w:val="heading 8"/>
    <w:basedOn w:val="Normal"/>
    <w:next w:val="Normal"/>
    <w:link w:val="Ttulo8Car"/>
    <w:uiPriority w:val="9"/>
    <w:semiHidden/>
    <w:unhideWhenUsed/>
    <w:qFormat/>
    <w:rsid w:val="00465266"/>
    <w:pPr>
      <w:keepNext/>
      <w:keepLines/>
      <w:numPr>
        <w:ilvl w:val="7"/>
        <w:numId w:val="8"/>
      </w:numPr>
      <w:spacing w:before="40"/>
      <w:outlineLvl w:val="7"/>
    </w:pPr>
    <w:rPr>
      <w:rFonts w:asciiTheme="majorHAnsi" w:hAnsiTheme="majorHAnsi" w:eastAsiaTheme="majorEastAsia"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465266"/>
    <w:pPr>
      <w:keepNext/>
      <w:keepLines/>
      <w:numPr>
        <w:ilvl w:val="8"/>
        <w:numId w:val="8"/>
      </w:numPr>
      <w:spacing w:before="40"/>
      <w:outlineLvl w:val="8"/>
    </w:pPr>
    <w:rPr>
      <w:rFonts w:asciiTheme="majorHAnsi" w:hAnsiTheme="majorHAnsi" w:eastAsiaTheme="majorEastAsia" w:cstheme="majorBidi"/>
      <w:i/>
      <w:iCs/>
      <w:color w:val="272727" w:themeColor="text1" w:themeTint="D8"/>
      <w:sz w:val="21"/>
      <w:szCs w:val="21"/>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TableNormal" w:customStyle="1">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line="240" w:lineRule="auto"/>
      <w:jc w:val="center"/>
    </w:pPr>
    <w:rPr>
      <w:b/>
      <w:sz w:val="40"/>
      <w:szCs w:val="40"/>
    </w:rPr>
  </w:style>
  <w:style w:type="character" w:styleId="TabladeContenido" w:customStyle="1">
    <w:name w:val="Tabla de Contenido"/>
    <w:qFormat/>
    <w:rsid w:val="008F6FD7"/>
    <w:rPr>
      <w:rFonts w:cs="Arial"/>
    </w:rPr>
  </w:style>
  <w:style w:type="character" w:styleId="PiedepginaCar" w:customStyle="1">
    <w:name w:val="Pie de página Car"/>
    <w:basedOn w:val="Fuentedeprrafopredeter"/>
    <w:uiPriority w:val="99"/>
  </w:style>
  <w:style w:type="character" w:styleId="EnlacedeInternet" w:customStyle="1">
    <w:name w:val="Enlace de Internet"/>
    <w:rPr>
      <w:color w:val="000080"/>
      <w:u w:val="single"/>
    </w:rPr>
  </w:style>
  <w:style w:type="character" w:styleId="Enlacedelndice" w:customStyle="1">
    <w:name w:val="Enlace del índice"/>
  </w:style>
  <w:style w:type="character" w:styleId="Cabecera2" w:customStyle="1">
    <w:name w:val="Cabecera 2"/>
    <w:qFormat/>
    <w:rsid w:val="008B0599"/>
  </w:style>
  <w:style w:type="character" w:styleId="Ancladenotaalpie" w:customStyle="1">
    <w:name w:val="Ancla de nota al pie"/>
    <w:rPr>
      <w:vertAlign w:val="superscript"/>
    </w:rPr>
  </w:style>
  <w:style w:type="character" w:styleId="Ancladenotafinal" w:customStyle="1">
    <w:name w:val="Ancla de nota final"/>
    <w:rPr>
      <w:vertAlign w:val="superscript"/>
    </w:rPr>
  </w:style>
  <w:style w:type="character" w:styleId="CaracteresInicio1" w:customStyle="1">
    <w:name w:val="Caracteres Inicio 1"/>
    <w:qFormat/>
    <w:rsid w:val="008F6FD7"/>
    <w:rPr>
      <w:rFonts w:eastAsia="Liberation Sans"/>
      <w:b/>
      <w:color w:val="000000"/>
      <w:sz w:val="32"/>
      <w:szCs w:val="32"/>
    </w:rPr>
  </w:style>
  <w:style w:type="paragraph" w:styleId="Ttulo10" w:customStyle="1">
    <w:name w:val="Título1"/>
    <w:basedOn w:val="Normal"/>
    <w:next w:val="Textoindependiente"/>
    <w:rsid w:val="00CC06DE"/>
    <w:rPr>
      <w:b/>
    </w:rPr>
  </w:style>
  <w:style w:type="paragraph" w:styleId="Textoindependiente">
    <w:name w:val="Body Text"/>
    <w:basedOn w:val="Normal"/>
    <w:link w:val="TextoindependienteCar"/>
    <w:pPr>
      <w:spacing w:after="140"/>
    </w:pPr>
  </w:style>
  <w:style w:type="paragraph" w:styleId="Lista">
    <w:name w:val="List"/>
    <w:basedOn w:val="Textoindependiente"/>
    <w:rPr>
      <w:rFonts w:cs="Lohit Devanagari"/>
    </w:rPr>
  </w:style>
  <w:style w:type="paragraph" w:styleId="Descripcin">
    <w:name w:val="caption"/>
    <w:aliases w:val="Caracteres Inicio 3"/>
    <w:basedOn w:val="CaracteresInicio2"/>
    <w:uiPriority w:val="35"/>
    <w:qFormat/>
    <w:rsid w:val="0003231C"/>
    <w:rPr>
      <w:b w:val="0"/>
      <w:bCs/>
    </w:rPr>
  </w:style>
  <w:style w:type="paragraph" w:styleId="ndice" w:customStyle="1">
    <w:name w:val="Índice"/>
    <w:basedOn w:val="Normal"/>
    <w:pPr>
      <w:suppressLineNumbers/>
    </w:pPr>
    <w:rPr>
      <w:rFonts w:cs="Lohit Devanagari"/>
    </w:rPr>
  </w:style>
  <w:style w:type="paragraph" w:styleId="Subttulo">
    <w:name w:val="Subtitle"/>
    <w:basedOn w:val="Normal"/>
    <w:next w:val="Normal"/>
    <w:pPr>
      <w:keepNext/>
      <w:keepLines/>
      <w:spacing w:before="360" w:after="80"/>
    </w:pPr>
    <w:rPr>
      <w:rFonts w:ascii="Georgia" w:hAnsi="Georgia" w:eastAsia="Georgia" w:cs="Georgia"/>
      <w:i/>
      <w:color w:val="666666"/>
      <w:sz w:val="48"/>
      <w:szCs w:val="48"/>
    </w:rPr>
  </w:style>
  <w:style w:type="paragraph" w:styleId="Prrafodelista">
    <w:name w:val="List Paragraph"/>
    <w:basedOn w:val="Normal"/>
    <w:uiPriority w:val="34"/>
    <w:qFormat/>
    <w:pPr>
      <w:ind w:left="720"/>
      <w:contextualSpacing/>
    </w:pPr>
  </w:style>
  <w:style w:type="paragraph" w:styleId="Cabecera1" w:customStyle="1">
    <w:name w:val="Cabecera 1"/>
    <w:basedOn w:val="Normal"/>
    <w:qFormat/>
    <w:rsid w:val="00C00AE2"/>
    <w:pPr>
      <w:jc w:val="center"/>
    </w:pPr>
    <w:rPr>
      <w:b/>
      <w:bCs/>
    </w:rPr>
  </w:style>
  <w:style w:type="paragraph" w:styleId="Encabezado">
    <w:name w:val="header"/>
    <w:basedOn w:val="Normal"/>
    <w:pPr>
      <w:tabs>
        <w:tab w:val="center" w:pos="4419"/>
        <w:tab w:val="right" w:pos="8838"/>
      </w:tabs>
      <w:spacing w:line="240" w:lineRule="auto"/>
    </w:pPr>
  </w:style>
  <w:style w:type="paragraph" w:styleId="Piedepgina">
    <w:name w:val="footer"/>
    <w:basedOn w:val="Normal"/>
    <w:uiPriority w:val="99"/>
    <w:pPr>
      <w:tabs>
        <w:tab w:val="center" w:pos="4419"/>
        <w:tab w:val="right" w:pos="8838"/>
      </w:tabs>
      <w:spacing w:line="240" w:lineRule="auto"/>
    </w:pPr>
  </w:style>
  <w:style w:type="paragraph" w:styleId="Textonotapie">
    <w:name w:val="footnote text"/>
    <w:basedOn w:val="Normal"/>
  </w:style>
  <w:style w:type="paragraph" w:styleId="CaracteresInicio2" w:customStyle="1">
    <w:name w:val="Caracteres Inicio 2"/>
    <w:basedOn w:val="Normal"/>
    <w:qFormat/>
    <w:rsid w:val="0003231C"/>
    <w:rPr>
      <w:b/>
      <w:sz w:val="24"/>
      <w:szCs w:val="24"/>
    </w:rPr>
  </w:style>
  <w:style w:type="paragraph" w:styleId="Encabezadodelista">
    <w:name w:val="toa heading"/>
    <w:basedOn w:val="Ttulodendice"/>
  </w:style>
  <w:style w:type="paragraph" w:styleId="TDC1">
    <w:name w:val="toc 1"/>
    <w:basedOn w:val="ndice"/>
    <w:uiPriority w:val="39"/>
    <w:pPr>
      <w:tabs>
        <w:tab w:val="right" w:leader="dot" w:pos="10541"/>
      </w:tabs>
    </w:pPr>
  </w:style>
  <w:style w:type="paragraph" w:styleId="TDC2">
    <w:name w:val="toc 2"/>
    <w:basedOn w:val="ndice"/>
    <w:uiPriority w:val="39"/>
    <w:pPr>
      <w:tabs>
        <w:tab w:val="right" w:leader="dot" w:pos="10258"/>
      </w:tabs>
      <w:ind w:left="283"/>
    </w:pPr>
  </w:style>
  <w:style w:type="paragraph" w:styleId="Ttulo3" w:customStyle="1">
    <w:name w:val="Título 3_"/>
    <w:basedOn w:val="Ttulo2"/>
    <w:next w:val="Textoindependiente"/>
    <w:qFormat/>
    <w:rsid w:val="00FD0936"/>
    <w:pPr>
      <w:numPr>
        <w:ilvl w:val="2"/>
      </w:numPr>
    </w:pPr>
  </w:style>
  <w:style w:type="paragraph" w:styleId="Ttulodelatabla" w:customStyle="1">
    <w:name w:val="Título de la tabla"/>
    <w:basedOn w:val="CaracteresInicio2"/>
    <w:pPr>
      <w:jc w:val="center"/>
    </w:pPr>
    <w:rPr>
      <w:b w:val="0"/>
      <w:bCs/>
    </w:rPr>
  </w:style>
  <w:style w:type="paragraph" w:styleId="Ttulodendice">
    <w:name w:val="index heading"/>
    <w:basedOn w:val="Ttulo10"/>
    <w:pPr>
      <w:suppressLineNumbers/>
    </w:pPr>
    <w:rPr>
      <w:b w:val="0"/>
      <w:bCs/>
      <w:sz w:val="32"/>
      <w:szCs w:val="32"/>
    </w:rPr>
  </w:style>
  <w:style w:type="table" w:styleId="Tablaconcuadrcula">
    <w:name w:val="Table Grid"/>
    <w:basedOn w:val="Tablanormal"/>
    <w:uiPriority w:val="39"/>
    <w:rsid w:val="00917C6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vnculo">
    <w:name w:val="Hyperlink"/>
    <w:basedOn w:val="Fuentedeprrafopredeter"/>
    <w:uiPriority w:val="99"/>
    <w:unhideWhenUsed/>
    <w:rsid w:val="002F3044"/>
    <w:rPr>
      <w:color w:val="0563C1" w:themeColor="hyperlink"/>
      <w:u w:val="single"/>
    </w:rPr>
  </w:style>
  <w:style w:type="paragraph" w:styleId="NormalWeb">
    <w:name w:val="Normal (Web)"/>
    <w:basedOn w:val="Normal"/>
    <w:uiPriority w:val="99"/>
    <w:semiHidden/>
    <w:unhideWhenUsed/>
    <w:rsid w:val="00564275"/>
    <w:pPr>
      <w:spacing w:before="100" w:beforeAutospacing="1" w:after="100" w:afterAutospacing="1" w:line="240" w:lineRule="auto"/>
    </w:pPr>
    <w:rPr>
      <w:rFonts w:ascii="Times New Roman" w:hAnsi="Times New Roman" w:eastAsia="Times New Roman" w:cs="Times New Roman"/>
      <w:sz w:val="24"/>
      <w:szCs w:val="24"/>
      <w:lang w:val="en-US" w:eastAsia="en-US"/>
    </w:rPr>
  </w:style>
  <w:style w:type="table" w:styleId="a" w:customStyle="1">
    <w:basedOn w:val="TableNormal"/>
    <w:tblPr>
      <w:tblStyleRowBandSize w:val="1"/>
      <w:tblStyleColBandSize w:val="1"/>
      <w:tblCellMar>
        <w:left w:w="115" w:type="dxa"/>
        <w:right w:w="115" w:type="dxa"/>
      </w:tblCellMar>
    </w:tblPr>
  </w:style>
  <w:style w:type="table" w:styleId="a0" w:customStyle="1">
    <w:basedOn w:val="TableNormal"/>
    <w:tblPr>
      <w:tblStyleRowBandSize w:val="1"/>
      <w:tblStyleColBandSize w:val="1"/>
      <w:tblCellMar>
        <w:top w:w="15" w:type="dxa"/>
        <w:left w:w="15" w:type="dxa"/>
        <w:bottom w:w="15" w:type="dxa"/>
        <w:right w:w="15" w:type="dxa"/>
      </w:tblCellMar>
    </w:tblPr>
  </w:style>
  <w:style w:type="table" w:styleId="a1" w:customStyle="1">
    <w:basedOn w:val="TableNormal"/>
    <w:tblPr>
      <w:tblStyleRowBandSize w:val="1"/>
      <w:tblStyleColBandSize w:val="1"/>
      <w:tblCellMar>
        <w:top w:w="15" w:type="dxa"/>
        <w:left w:w="15" w:type="dxa"/>
        <w:bottom w:w="15" w:type="dxa"/>
        <w:right w:w="15" w:type="dxa"/>
      </w:tblCellMar>
    </w:tblPr>
  </w:style>
  <w:style w:type="table" w:styleId="a2" w:customStyle="1">
    <w:basedOn w:val="TableNormal"/>
    <w:tblPr>
      <w:tblStyleRowBandSize w:val="1"/>
      <w:tblStyleColBandSize w:val="1"/>
      <w:tblCellMar>
        <w:left w:w="108" w:type="dxa"/>
        <w:right w:w="108" w:type="dxa"/>
      </w:tblCellMar>
    </w:tblPr>
  </w:style>
  <w:style w:type="table" w:styleId="a3" w:customStyle="1">
    <w:basedOn w:val="TableNormal"/>
    <w:tblPr>
      <w:tblStyleRowBandSize w:val="1"/>
      <w:tblStyleColBandSize w:val="1"/>
      <w:tblCellMar>
        <w:left w:w="108" w:type="dxa"/>
        <w:right w:w="108" w:type="dxa"/>
      </w:tblCellMar>
    </w:tblPr>
  </w:style>
  <w:style w:type="table" w:styleId="a4" w:customStyle="1">
    <w:basedOn w:val="TableNormal"/>
    <w:tblPr>
      <w:tblStyleRowBandSize w:val="1"/>
      <w:tblStyleColBandSize w:val="1"/>
      <w:tblCellMar>
        <w:top w:w="55" w:type="dxa"/>
        <w:left w:w="55" w:type="dxa"/>
        <w:bottom w:w="55" w:type="dxa"/>
        <w:right w:w="55" w:type="dxa"/>
      </w:tblCellMar>
    </w:tblPr>
  </w:style>
  <w:style w:type="table" w:styleId="a5" w:customStyle="1">
    <w:basedOn w:val="TableNormal"/>
    <w:tblPr>
      <w:tblStyleRowBandSize w:val="1"/>
      <w:tblStyleColBandSize w:val="1"/>
      <w:tblCellMar>
        <w:left w:w="108" w:type="dxa"/>
        <w:right w:w="108" w:type="dxa"/>
      </w:tblCellMar>
    </w:tblPr>
  </w:style>
  <w:style w:type="table" w:styleId="a6" w:customStyle="1">
    <w:basedOn w:val="TableNormal"/>
    <w:tblPr>
      <w:tblStyleRowBandSize w:val="1"/>
      <w:tblStyleColBandSize w:val="1"/>
      <w:tblCellMar>
        <w:left w:w="115" w:type="dxa"/>
        <w:right w:w="115" w:type="dxa"/>
      </w:tblCellMar>
    </w:tblPr>
  </w:style>
  <w:style w:type="table" w:styleId="a7" w:customStyle="1">
    <w:basedOn w:val="TableNormal"/>
    <w:tblPr>
      <w:tblStyleRowBandSize w:val="1"/>
      <w:tblStyleColBandSize w:val="1"/>
      <w:tblCellMar>
        <w:left w:w="115" w:type="dxa"/>
        <w:right w:w="115" w:type="dxa"/>
      </w:tblCellMar>
    </w:tblPr>
  </w:style>
  <w:style w:type="paragraph" w:styleId="TtuloTDC">
    <w:name w:val="TOC Heading"/>
    <w:basedOn w:val="Ttulo1"/>
    <w:next w:val="Normal"/>
    <w:uiPriority w:val="39"/>
    <w:unhideWhenUsed/>
    <w:qFormat/>
    <w:rsid w:val="006D32BC"/>
    <w:pPr>
      <w:spacing w:after="0" w:line="259" w:lineRule="auto"/>
      <w:outlineLvl w:val="9"/>
    </w:pPr>
    <w:rPr>
      <w:rFonts w:asciiTheme="majorHAnsi" w:hAnsiTheme="majorHAnsi" w:eastAsiaTheme="majorEastAsia" w:cstheme="majorBidi"/>
      <w:b w:val="0"/>
      <w:color w:val="2E74B5" w:themeColor="accent1" w:themeShade="BF"/>
      <w:szCs w:val="32"/>
      <w:lang w:val="es-CO"/>
    </w:rPr>
  </w:style>
  <w:style w:type="character" w:styleId="TextoindependienteCar" w:customStyle="1">
    <w:name w:val="Texto independiente Car"/>
    <w:basedOn w:val="Fuentedeprrafopredeter"/>
    <w:link w:val="Textoindependiente"/>
    <w:rsid w:val="006D32BC"/>
  </w:style>
  <w:style w:type="paragraph" w:styleId="Textodeglobo">
    <w:name w:val="Balloon Text"/>
    <w:basedOn w:val="Normal"/>
    <w:link w:val="TextodegloboCar"/>
    <w:uiPriority w:val="99"/>
    <w:semiHidden/>
    <w:unhideWhenUsed/>
    <w:rsid w:val="00801153"/>
    <w:pPr>
      <w:spacing w:line="240" w:lineRule="auto"/>
    </w:pPr>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801153"/>
    <w:rPr>
      <w:rFonts w:ascii="Segoe UI" w:hAnsi="Segoe UI" w:cs="Segoe UI"/>
      <w:sz w:val="18"/>
      <w:szCs w:val="18"/>
    </w:rPr>
  </w:style>
  <w:style w:type="character" w:styleId="Ttulo7Car" w:customStyle="1">
    <w:name w:val="Título 7 Car"/>
    <w:basedOn w:val="Fuentedeprrafopredeter"/>
    <w:link w:val="Ttulo7"/>
    <w:uiPriority w:val="9"/>
    <w:semiHidden/>
    <w:rsid w:val="00465266"/>
    <w:rPr>
      <w:rFonts w:asciiTheme="majorHAnsi" w:hAnsiTheme="majorHAnsi" w:eastAsiaTheme="majorEastAsia" w:cstheme="majorBidi"/>
      <w:i/>
      <w:iCs/>
      <w:color w:val="1F4D78" w:themeColor="accent1" w:themeShade="7F"/>
    </w:rPr>
  </w:style>
  <w:style w:type="character" w:styleId="Ttulo8Car" w:customStyle="1">
    <w:name w:val="Título 8 Car"/>
    <w:basedOn w:val="Fuentedeprrafopredeter"/>
    <w:link w:val="Ttulo8"/>
    <w:uiPriority w:val="9"/>
    <w:semiHidden/>
    <w:rsid w:val="00465266"/>
    <w:rPr>
      <w:rFonts w:asciiTheme="majorHAnsi" w:hAnsiTheme="majorHAnsi" w:eastAsiaTheme="majorEastAsia" w:cstheme="majorBidi"/>
      <w:color w:val="272727" w:themeColor="text1" w:themeTint="D8"/>
      <w:sz w:val="21"/>
      <w:szCs w:val="21"/>
    </w:rPr>
  </w:style>
  <w:style w:type="character" w:styleId="Ttulo9Car" w:customStyle="1">
    <w:name w:val="Título 9 Car"/>
    <w:basedOn w:val="Fuentedeprrafopredeter"/>
    <w:link w:val="Ttulo9"/>
    <w:uiPriority w:val="9"/>
    <w:semiHidden/>
    <w:rsid w:val="00465266"/>
    <w:rPr>
      <w:rFonts w:asciiTheme="majorHAnsi" w:hAnsiTheme="majorHAnsi" w:eastAsiaTheme="majorEastAsia" w:cstheme="majorBidi"/>
      <w:i/>
      <w:iCs/>
      <w:color w:val="272727" w:themeColor="text1" w:themeTint="D8"/>
      <w:sz w:val="21"/>
      <w:szCs w:val="21"/>
    </w:rPr>
  </w:style>
  <w:style w:type="paragraph" w:styleId="GrisIndicaciones" w:customStyle="1">
    <w:name w:val="Gris Indicaciones"/>
    <w:basedOn w:val="Normal"/>
    <w:link w:val="GrisIndicacionesCar"/>
    <w:qFormat/>
    <w:rsid w:val="008B0599"/>
    <w:rPr>
      <w:i/>
      <w:color w:val="808080" w:themeColor="background1" w:themeShade="80"/>
      <w:sz w:val="20"/>
      <w:szCs w:val="20"/>
    </w:rPr>
  </w:style>
  <w:style w:type="paragraph" w:styleId="GrisIndicadores" w:customStyle="1">
    <w:name w:val="Gris Indicadores"/>
    <w:basedOn w:val="Normal"/>
    <w:link w:val="GrisIndicadoresCar"/>
    <w:rsid w:val="008B0599"/>
    <w:rPr>
      <w:color w:val="808080" w:themeColor="background1" w:themeShade="80"/>
    </w:rPr>
  </w:style>
  <w:style w:type="character" w:styleId="GrisIndicacionesCar" w:customStyle="1">
    <w:name w:val="Gris Indicaciones Car"/>
    <w:basedOn w:val="Fuentedeprrafopredeter"/>
    <w:link w:val="GrisIndicaciones"/>
    <w:rsid w:val="008B0599"/>
    <w:rPr>
      <w:rFonts w:ascii="Arial" w:hAnsi="Arial" w:cs="Arial"/>
      <w:i/>
      <w:color w:val="808080" w:themeColor="background1" w:themeShade="80"/>
      <w:sz w:val="20"/>
      <w:szCs w:val="20"/>
    </w:rPr>
  </w:style>
  <w:style w:type="paragraph" w:styleId="TDC3">
    <w:name w:val="toc 3"/>
    <w:basedOn w:val="Normal"/>
    <w:next w:val="Normal"/>
    <w:autoRedefine/>
    <w:uiPriority w:val="39"/>
    <w:unhideWhenUsed/>
    <w:rsid w:val="008B0599"/>
    <w:pPr>
      <w:spacing w:after="100"/>
      <w:ind w:left="440"/>
    </w:pPr>
  </w:style>
  <w:style w:type="character" w:styleId="GrisIndicadoresCar" w:customStyle="1">
    <w:name w:val="Gris Indicadores Car"/>
    <w:basedOn w:val="Fuentedeprrafopredeter"/>
    <w:link w:val="GrisIndicadores"/>
    <w:rsid w:val="008B0599"/>
    <w:rPr>
      <w:color w:val="808080" w:themeColor="background1" w:themeShade="80"/>
    </w:rPr>
  </w:style>
  <w:style w:type="paragraph" w:styleId="TDC5">
    <w:name w:val="toc 5"/>
    <w:basedOn w:val="Normal"/>
    <w:next w:val="Normal"/>
    <w:autoRedefine/>
    <w:uiPriority w:val="39"/>
    <w:unhideWhenUsed/>
    <w:rsid w:val="008B0599"/>
    <w:pPr>
      <w:spacing w:after="100"/>
      <w:ind w:left="880"/>
    </w:pPr>
  </w:style>
  <w:style w:type="paragraph" w:styleId="TDC6">
    <w:name w:val="toc 6"/>
    <w:basedOn w:val="Normal"/>
    <w:next w:val="Normal"/>
    <w:autoRedefine/>
    <w:uiPriority w:val="39"/>
    <w:unhideWhenUsed/>
    <w:rsid w:val="008B0599"/>
    <w:pPr>
      <w:spacing w:after="100"/>
      <w:ind w:left="1100"/>
    </w:pPr>
  </w:style>
  <w:style w:type="paragraph" w:styleId="Firmas" w:customStyle="1">
    <w:name w:val="Firmas"/>
    <w:basedOn w:val="Normal"/>
    <w:link w:val="FirmasCar"/>
    <w:qFormat/>
    <w:rsid w:val="001A0960"/>
  </w:style>
  <w:style w:type="character" w:styleId="FirmasCar" w:customStyle="1">
    <w:name w:val="Firmas Car"/>
    <w:basedOn w:val="Fuentedeprrafopredeter"/>
    <w:link w:val="Firmas"/>
    <w:rsid w:val="001A0960"/>
    <w:rPr>
      <w:rFonts w:ascii="Arial" w:hAnsi="Arial" w:cs="Arial"/>
    </w:rPr>
  </w:style>
  <w:style w:type="paragraph" w:styleId="Revisin">
    <w:name w:val="Revision"/>
    <w:hidden/>
    <w:uiPriority w:val="99"/>
    <w:semiHidden/>
    <w:rsid w:val="0097581B"/>
    <w:pPr>
      <w:spacing w:after="0" w:line="240" w:lineRule="auto"/>
    </w:pPr>
    <w:rPr>
      <w:rFonts w:ascii="Arial" w:hAnsi="Arial" w:cs="Arial"/>
    </w:rPr>
  </w:style>
  <w:style w:type="character" w:styleId="Refdenotaalpie">
    <w:name w:val="footnote reference"/>
    <w:basedOn w:val="Fuentedeprrafopredeter"/>
    <w:uiPriority w:val="99"/>
    <w:semiHidden/>
    <w:unhideWhenUsed/>
    <w:rsid w:val="00907B27"/>
    <w:rPr>
      <w:vertAlign w:val="superscript"/>
    </w:rPr>
  </w:style>
  <w:style w:type="paragraph" w:styleId="Cita">
    <w:name w:val="Quote"/>
    <w:basedOn w:val="Textonotapie"/>
    <w:next w:val="Normal"/>
    <w:link w:val="CitaCar"/>
    <w:uiPriority w:val="29"/>
    <w:qFormat/>
    <w:rsid w:val="00907B27"/>
    <w:rPr>
      <w:sz w:val="18"/>
      <w:szCs w:val="18"/>
      <w:lang w:val="es-CO"/>
    </w:rPr>
  </w:style>
  <w:style w:type="character" w:styleId="CitaCar" w:customStyle="1">
    <w:name w:val="Cita Car"/>
    <w:basedOn w:val="Fuentedeprrafopredeter"/>
    <w:link w:val="Cita"/>
    <w:uiPriority w:val="29"/>
    <w:rsid w:val="00907B27"/>
    <w:rPr>
      <w:rFonts w:ascii="Arial" w:hAnsi="Arial" w:cs="Arial"/>
      <w:sz w:val="18"/>
      <w:szCs w:val="18"/>
      <w:lang w:val="es-CO"/>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styleId="TextocomentarioCar" w:customStyle="1">
    <w:name w:val="Texto comentario Car"/>
    <w:basedOn w:val="Fuentedeprrafopredeter"/>
    <w:link w:val="Textocomentario"/>
    <w:uiPriority w:val="99"/>
    <w:semiHidden/>
    <w:rPr>
      <w:rFonts w:ascii="Arial" w:hAnsi="Arial" w:cs="Arial"/>
      <w:sz w:val="20"/>
      <w:szCs w:val="20"/>
    </w:rPr>
  </w:style>
  <w:style w:type="character" w:styleId="Refdecomentario">
    <w:name w:val="annotation reference"/>
    <w:basedOn w:val="Fuentedeprrafopredeter"/>
    <w:uiPriority w:val="99"/>
    <w:semiHidden/>
    <w:unhideWhenUsed/>
    <w:rPr>
      <w:sz w:val="16"/>
      <w:szCs w:val="16"/>
    </w:rPr>
  </w:style>
  <w:style w:type="character" w:styleId="Ttulo2Car" w:customStyle="1">
    <w:name w:val="Título 2 Car"/>
    <w:basedOn w:val="Fuentedeprrafopredeter"/>
    <w:link w:val="Ttulo2"/>
    <w:rsid w:val="00B92521"/>
    <w:rPr>
      <w:rFonts w:ascii="Arial" w:hAnsi="Arial" w:cs="Arial"/>
      <w:b/>
      <w:sz w:val="28"/>
      <w:szCs w:val="40"/>
      <w:lang w:val="es-ES_tradnl"/>
    </w:rPr>
  </w:style>
  <w:style w:type="table" w:styleId="Tablanormal1">
    <w:name w:val="Plain Table 1"/>
    <w:basedOn w:val="Tablanormal"/>
    <w:uiPriority w:val="41"/>
    <w:rsid w:val="008721E8"/>
    <w:pPr>
      <w:spacing w:after="0" w:line="240" w:lineRule="auto"/>
    </w:pPr>
    <w:rPr>
      <w:rFonts w:asciiTheme="minorHAnsi" w:hAnsiTheme="minorHAnsi" w:eastAsiaTheme="minorHAnsi" w:cstheme="minorBidi"/>
      <w:kern w:val="2"/>
      <w:sz w:val="24"/>
      <w:szCs w:val="24"/>
      <w:lang w:val="es-CO" w:eastAsia="en-US"/>
      <w14:ligatures w14:val="standardContextual"/>
    </w:rPr>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styleId="Listaactual1" w:customStyle="1">
    <w:name w:val="Lista actual1"/>
    <w:uiPriority w:val="99"/>
    <w:rsid w:val="0088620F"/>
    <w:pPr>
      <w:numPr>
        <w:numId w:val="24"/>
      </w:numPr>
    </w:pPr>
  </w:style>
  <w:style w:type="paragraph" w:styleId="Asuntodelcomentario">
    <w:name w:val="annotation subject"/>
    <w:basedOn w:val="Textocomentario"/>
    <w:next w:val="Textocomentario"/>
    <w:link w:val="AsuntodelcomentarioCar"/>
    <w:uiPriority w:val="99"/>
    <w:semiHidden/>
    <w:unhideWhenUsed/>
    <w:rsid w:val="00CF7548"/>
    <w:rPr>
      <w:b/>
      <w:bCs/>
    </w:rPr>
  </w:style>
  <w:style w:type="character" w:styleId="AsuntodelcomentarioCar" w:customStyle="1">
    <w:name w:val="Asunto del comentario Car"/>
    <w:basedOn w:val="TextocomentarioCar"/>
    <w:link w:val="Asuntodelcomentario"/>
    <w:uiPriority w:val="99"/>
    <w:semiHidden/>
    <w:rsid w:val="00CF7548"/>
    <w:rPr>
      <w:rFonts w:ascii="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711396">
      <w:bodyDiv w:val="1"/>
      <w:marLeft w:val="0"/>
      <w:marRight w:val="0"/>
      <w:marTop w:val="0"/>
      <w:marBottom w:val="0"/>
      <w:divBdr>
        <w:top w:val="none" w:sz="0" w:space="0" w:color="auto"/>
        <w:left w:val="none" w:sz="0" w:space="0" w:color="auto"/>
        <w:bottom w:val="none" w:sz="0" w:space="0" w:color="auto"/>
        <w:right w:val="none" w:sz="0" w:space="0" w:color="auto"/>
      </w:divBdr>
    </w:div>
    <w:div w:id="849484795">
      <w:bodyDiv w:val="1"/>
      <w:marLeft w:val="0"/>
      <w:marRight w:val="0"/>
      <w:marTop w:val="0"/>
      <w:marBottom w:val="0"/>
      <w:divBdr>
        <w:top w:val="none" w:sz="0" w:space="0" w:color="auto"/>
        <w:left w:val="none" w:sz="0" w:space="0" w:color="auto"/>
        <w:bottom w:val="none" w:sz="0" w:space="0" w:color="auto"/>
        <w:right w:val="none" w:sz="0" w:space="0" w:color="auto"/>
      </w:divBdr>
    </w:div>
    <w:div w:id="1398089670">
      <w:bodyDiv w:val="1"/>
      <w:marLeft w:val="0"/>
      <w:marRight w:val="0"/>
      <w:marTop w:val="0"/>
      <w:marBottom w:val="0"/>
      <w:divBdr>
        <w:top w:val="none" w:sz="0" w:space="0" w:color="auto"/>
        <w:left w:val="none" w:sz="0" w:space="0" w:color="auto"/>
        <w:bottom w:val="none" w:sz="0" w:space="0" w:color="auto"/>
        <w:right w:val="none" w:sz="0" w:space="0" w:color="auto"/>
      </w:divBdr>
    </w:div>
    <w:div w:id="1406024393">
      <w:bodyDiv w:val="1"/>
      <w:marLeft w:val="0"/>
      <w:marRight w:val="0"/>
      <w:marTop w:val="0"/>
      <w:marBottom w:val="0"/>
      <w:divBdr>
        <w:top w:val="none" w:sz="0" w:space="0" w:color="auto"/>
        <w:left w:val="none" w:sz="0" w:space="0" w:color="auto"/>
        <w:bottom w:val="none" w:sz="0" w:space="0" w:color="auto"/>
        <w:right w:val="none" w:sz="0" w:space="0" w:color="auto"/>
      </w:divBdr>
    </w:div>
    <w:div w:id="18100486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2.xml" Id="rId18" /><Relationship Type="http://schemas.openxmlformats.org/officeDocument/2006/relationships/customXml" Target="../customXml/item3.xml" Id="rId3" /><Relationship Type="http://schemas.microsoft.com/office/2011/relationships/people" Target="people.xml" Id="rId21" /><Relationship Type="http://schemas.openxmlformats.org/officeDocument/2006/relationships/styles" Target="styles.xml" Id="rId7" /><Relationship Type="http://schemas.openxmlformats.org/officeDocument/2006/relationships/image" Target="media/image1.png" Id="rId12" /><Relationship Type="http://schemas.openxmlformats.org/officeDocument/2006/relationships/footer" Target="footer1.xml" Id="rId17" /><Relationship Type="http://schemas.microsoft.com/office/2016/09/relationships/commentsIds" Target="commentsIds.xml" Id="R5ac393c70cd0442b"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fontTable" Target="fontTable.xml" Id="rId20" /><Relationship Type="http://schemas.microsoft.com/office/2020/10/relationships/intelligence" Target="intelligence2.xml" Id="R822fc2f34f26435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eader" Target="header1.xml" Id="rId15" /><Relationship Type="http://schemas.microsoft.com/office/2019/05/relationships/documenttasks" Target="documenttasks/documenttasks1.xml" Id="rId23" /><Relationship Type="http://schemas.openxmlformats.org/officeDocument/2006/relationships/footnotes" Target="footnotes.xml" Id="rId10" /><Relationship Type="http://schemas.openxmlformats.org/officeDocument/2006/relationships/hyperlink" Target="https://drive.google.com/drive/folders/1iBFz2DFLdKfvylQgCkMOSR1KoORK3Gqt?usp=sharing" TargetMode="External" Id="rId19" /><Relationship Type="http://schemas.openxmlformats.org/officeDocument/2006/relationships/customXml" Target="../customXml/item4.xml" Id="rId4" /><Relationship Type="http://schemas.openxmlformats.org/officeDocument/2006/relationships/webSettings" Target="webSettings.xml" Id="rId9" /><Relationship Type="http://schemas.microsoft.com/office/2011/relationships/commentsExtended" Target="commentsExtended.xml" Id="rId14" /><Relationship Type="http://schemas.openxmlformats.org/officeDocument/2006/relationships/theme" Target="theme/theme1.xml" Id="rId22" /></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71BCD4A2-A69F-4F79-B4EC-B85F1F3B857E}">
    <t:Anchor>
      <t:Comment id="1723253504"/>
    </t:Anchor>
    <t:History>
      <t:Event id="{A51F7A1D-5856-4D34-9A75-42D97C89D543}" time="2025-05-14T04:02:19.918Z">
        <t:Attribution userId="S::katia.barragan@cundinamarca.gov.co::11cf337a-9fe7-4854-b293-a8de04cd54b8" userProvider="AD" userName="Katia Issabella Barragan Hernandez"/>
        <t:Anchor>
          <t:Comment id="1723253504"/>
        </t:Anchor>
        <t:Create/>
      </t:Event>
      <t:Event id="{775DE37C-C437-4ED6-88F6-F807C78C6415}" time="2025-05-14T04:02:19.918Z">
        <t:Attribution userId="S::katia.barragan@cundinamarca.gov.co::11cf337a-9fe7-4854-b293-a8de04cd54b8" userProvider="AD" userName="Katia Issabella Barragan Hernandez"/>
        <t:Anchor>
          <t:Comment id="1723253504"/>
        </t:Anchor>
        <t:Assign userId="S::paula.forerop@cundinamarca.gov.co::b1e52cf3-bf1d-4c9c-9b22-5b975d18dcc9" userProvider="AD" userName="Paula Andrea Forero Parra"/>
      </t:Event>
      <t:Event id="{F07CDBB0-393F-45B1-B8F4-538460C02301}" time="2025-05-14T04:02:19.918Z">
        <t:Attribution userId="S::katia.barragan@cundinamarca.gov.co::11cf337a-9fe7-4854-b293-a8de04cd54b8" userProvider="AD" userName="Katia Issabella Barragan Hernandez"/>
        <t:Anchor>
          <t:Comment id="1723253504"/>
        </t:Anchor>
        <t:SetTitle title="@Paula Andrea Forero Parra Me surge duda que es R# y C#, podría verse si se puede definir el significado o ampliar el nombre de la columna."/>
      </t:Event>
    </t:History>
  </t:Task>
</t:Task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D631F14DF80E24FB4AF57E917E68DF8" ma:contentTypeVersion="17" ma:contentTypeDescription="Crear nuevo documento." ma:contentTypeScope="" ma:versionID="84d6dbdc8014c312231766d5e7204d7f">
  <xsd:schema xmlns:xsd="http://www.w3.org/2001/XMLSchema" xmlns:xs="http://www.w3.org/2001/XMLSchema" xmlns:p="http://schemas.microsoft.com/office/2006/metadata/properties" xmlns:ns2="a418bcd4-5452-46b9-abae-687471e6eb8c" xmlns:ns3="a667fc92-1df2-4b7e-93f2-6268b04510a2" targetNamespace="http://schemas.microsoft.com/office/2006/metadata/properties" ma:root="true" ma:fieldsID="d0467865d066559a4b04772a828745bc" ns2:_="" ns3:_="">
    <xsd:import namespace="a418bcd4-5452-46b9-abae-687471e6eb8c"/>
    <xsd:import namespace="a667fc92-1df2-4b7e-93f2-6268b04510a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Observaci_x00f3_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2:Descripci_x00f3_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8bcd4-5452-46b9-abae-687471e6e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Observaci_x00f3_n" ma:index="11" nillable="true" ma:displayName="Observación " ma:format="Dropdown" ma:internalName="Observaci_x00f3_n">
      <xsd:simpleType>
        <xsd:restriction base="dms:Text">
          <xsd:maxLength value="255"/>
        </xsd:restriction>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ed5338eb-234c-4fef-9958-0f22ef8cd8c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Descripci_x00f3_n" ma:index="21" nillable="true" ma:displayName="Descripción " ma:format="Dropdown" ma:internalName="Descripci_x00f3_n">
      <xsd:simpleType>
        <xsd:restriction base="dms:Text">
          <xsd:maxLength value="255"/>
        </xsd:restrictio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67fc92-1df2-4b7e-93f2-6268b04510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109e7e8-59e1-4cc9-bc22-d1df10847dae}" ma:internalName="TaxCatchAll" ma:showField="CatchAllData" ma:web="a667fc92-1df2-4b7e-93f2-6268b04510a2">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667fc92-1df2-4b7e-93f2-6268b04510a2" xsi:nil="true"/>
    <Observaci_x00f3_n xmlns="a418bcd4-5452-46b9-abae-687471e6eb8c" xsi:nil="true"/>
    <lcf76f155ced4ddcb4097134ff3c332f xmlns="a418bcd4-5452-46b9-abae-687471e6eb8c">
      <Terms xmlns="http://schemas.microsoft.com/office/infopath/2007/PartnerControls"/>
    </lcf76f155ced4ddcb4097134ff3c332f>
    <Descripci_x00f3_n xmlns="a418bcd4-5452-46b9-abae-687471e6eb8c" xsi:nil="true"/>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g3LSCrpCvqkXwQcf9zTK0Yv0AU/g==">AMUW2mVyfyYU/31BTjb4CBHcYSHumQE0+4FjtOi+lU24Ei8WknMcYiV3x3YKycWyKRVwaqmjaLB2Ipayhr0KPKkIqGmi1M+Tc6XQ703kz/oPnaNGL2CdRmNo+Iq0SI0heFOt76D1WoQbvedoMLhwLzU+1kCkzQjvYhmLp43me3JOIZJZucDcQp08P8CAao7+B1dM4FAqFS7sbQpZxqylCcFTQZeROi9h60qgldaI7ND8+w4zqQfX3pmJfZocucw12NWVgmsBiLmImBv3dyk7XNhLdJvriiTFeD/CXunqFvUYpVRwucEBfBc=</go:docsCustomData>
</go:gDocsCustomXmlDataStorag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206FB-53FC-40F5-AC9F-EB792AEE1C5D}">
  <ds:schemaRefs>
    <ds:schemaRef ds:uri="http://schemas.microsoft.com/sharepoint/v3/contenttype/forms"/>
  </ds:schemaRefs>
</ds:datastoreItem>
</file>

<file path=customXml/itemProps2.xml><?xml version="1.0" encoding="utf-8"?>
<ds:datastoreItem xmlns:ds="http://schemas.openxmlformats.org/officeDocument/2006/customXml" ds:itemID="{645A476C-1C2F-4380-8066-A62598344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8bcd4-5452-46b9-abae-687471e6eb8c"/>
    <ds:schemaRef ds:uri="a667fc92-1df2-4b7e-93f2-6268b0451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DBFF38-DE32-415C-A750-231DC4637DD4}">
  <ds:schemaRefs>
    <ds:schemaRef ds:uri="http://schemas.microsoft.com/office/2006/metadata/properties"/>
    <ds:schemaRef ds:uri="http://schemas.microsoft.com/office/infopath/2007/PartnerControls"/>
    <ds:schemaRef ds:uri="a667fc92-1df2-4b7e-93f2-6268b04510a2"/>
    <ds:schemaRef ds:uri="a418bcd4-5452-46b9-abae-687471e6eb8c"/>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828C5009-972A-454B-B542-29F6998A69E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Yoana Marcela Aguirre Torres</dc:creator>
  <lastModifiedBy>Paula Andrea Forero Parra</lastModifiedBy>
  <revision>17</revision>
  <dcterms:created xsi:type="dcterms:W3CDTF">2026-04-22T15:01:00.0000000Z</dcterms:created>
  <dcterms:modified xsi:type="dcterms:W3CDTF">2026-04-23T21:29:41.8780608Z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0x0101006D631F14DF80E24FB4AF57E917E68DF8</vt:lpwstr>
  </property>
  <property fmtid="{D5CDD505-2E9C-101B-9397-08002B2CF9AE}" pid="10" name="MediaServiceImageTags">
    <vt:lpwstr/>
  </property>
</Properties>
</file>