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695D8" w14:textId="77777777" w:rsidR="00AF6CF4" w:rsidRPr="009A1F5B" w:rsidRDefault="00AF6CF4" w:rsidP="00AF6CF4">
      <w:pPr>
        <w:rPr>
          <w:rFonts w:ascii="Times New Roman" w:hAnsi="Times New Roman" w:cs="Times New Roman"/>
          <w:b/>
          <w:bCs/>
          <w:sz w:val="24"/>
          <w:szCs w:val="24"/>
        </w:rPr>
      </w:pPr>
      <w:r w:rsidRPr="009A1F5B">
        <w:rPr>
          <w:rFonts w:ascii="Times New Roman" w:hAnsi="Times New Roman" w:cs="Times New Roman"/>
          <w:b/>
          <w:bCs/>
          <w:sz w:val="24"/>
          <w:szCs w:val="24"/>
        </w:rPr>
        <w:t>Servicio Tejiendo Interculturalidad</w:t>
      </w:r>
    </w:p>
    <w:p w14:paraId="2F6F7795" w14:textId="77777777" w:rsidR="00AF6CF4" w:rsidRDefault="00AF6CF4" w:rsidP="00AF6CF4">
      <w:pPr>
        <w:rPr>
          <w:rFonts w:ascii="Times New Roman" w:hAnsi="Times New Roman" w:cs="Times New Roman"/>
          <w:b/>
          <w:bCs/>
          <w:sz w:val="24"/>
          <w:szCs w:val="24"/>
        </w:rPr>
      </w:pPr>
      <w:r w:rsidRPr="009A1F5B">
        <w:rPr>
          <w:rFonts w:ascii="Times New Roman" w:hAnsi="Times New Roman" w:cs="Times New Roman"/>
          <w:b/>
          <w:bCs/>
          <w:sz w:val="24"/>
          <w:szCs w:val="24"/>
        </w:rPr>
        <w:t>Descripción Sistemática de las Dimensiones Culturales y Pedagógicas del Proceso Comunitario, vigencia 2026</w:t>
      </w:r>
    </w:p>
    <w:p w14:paraId="624B4932" w14:textId="77777777" w:rsidR="00AF6CF4" w:rsidRDefault="00AF6CF4" w:rsidP="00AF6CF4">
      <w:pPr>
        <w:rPr>
          <w:rFonts w:ascii="Times New Roman" w:hAnsi="Times New Roman" w:cs="Times New Roman"/>
          <w:b/>
          <w:bCs/>
          <w:sz w:val="24"/>
          <w:szCs w:val="24"/>
        </w:rPr>
      </w:pPr>
    </w:p>
    <w:p w14:paraId="7D43FA99" w14:textId="2275B56E" w:rsidR="00AF6CF4" w:rsidRPr="00D1692C" w:rsidRDefault="00AF6CF4" w:rsidP="00AF6CF4">
      <w:pPr>
        <w:rPr>
          <w:rFonts w:ascii="Times New Roman" w:hAnsi="Times New Roman" w:cs="Times New Roman"/>
          <w:sz w:val="24"/>
          <w:szCs w:val="24"/>
        </w:rPr>
      </w:pPr>
      <w:r w:rsidRPr="00D1692C">
        <w:rPr>
          <w:rFonts w:ascii="Times New Roman" w:hAnsi="Times New Roman" w:cs="Times New Roman"/>
          <w:sz w:val="24"/>
          <w:szCs w:val="24"/>
        </w:rPr>
        <w:t>El presente documento presenta una descripción exhaustiva y sistemática de la hebra constitutiva del tejido comunitario —Justicia propia y comunitaria—, así como del eje articulador de educación pertinente, en el marco del servicio Tejiendo Interculturalidad, vigencia 2026. Cada una de estas dimensiones se desarrolló mediante encuentros programados en las veredas de El Crucero, La Colonia, San Isidro y Las Brisas, con la participación activa de la unidad ejecutora propia, niños, niñas, adolescentes, jóvenes, sabedores, sabedoras, matronas y líderes comunitarios. Estos espacios propiciaron el diálogo intergeneracional, la transmisión de saberes ancestrales y la reflexión colectiva sobre prácticas culturales esenciales para el buen vivir. Desde una perspectiva metodológica rigurosa, se analizan los resultados obtenidos, destacando la pertinencia de las intervenciones, la cohesión comunitaria generada y los aprendizajes emergentes que fortalecen la identidad afrodescendiente de la comunidad negra de la cuenca baja del río Calima. Este análisis no solo documenta las actividades realizadas, sino que también subraya su valor como estrategia de preservación cultural y empoderamiento territorial en contextos de diversidad y resistencia.</w:t>
      </w:r>
    </w:p>
    <w:p w14:paraId="062067CB" w14:textId="77777777" w:rsidR="00D1692C" w:rsidRPr="00D1692C" w:rsidRDefault="00D1692C" w:rsidP="00D1692C">
      <w:pPr>
        <w:jc w:val="both"/>
        <w:rPr>
          <w:rFonts w:ascii="Times New Roman" w:hAnsi="Times New Roman" w:cs="Times New Roman"/>
          <w:sz w:val="24"/>
          <w:szCs w:val="24"/>
          <w:lang w:val="es-ES"/>
        </w:rPr>
      </w:pPr>
      <w:r w:rsidRPr="00D1692C">
        <w:rPr>
          <w:rFonts w:ascii="Times New Roman" w:hAnsi="Times New Roman" w:cs="Times New Roman"/>
          <w:sz w:val="24"/>
          <w:szCs w:val="24"/>
          <w:lang w:val="es-ES"/>
        </w:rPr>
        <w:t xml:space="preserve">El programa Tejiendo Interculturalidad representa un esfuerzo significativo por rescatar y fortalecer las prácticas ancestrales de la comunidad negra de la Cuenca Baja del Río Calima, integrando hilos programáticos que articulan la memoria cultural con las necesidades contemporáneas. Estas prácticas, transmitidas históricamente mediante oralidad, observación directa y trabajo colectivo, enfrentan hoy desafíos de modernización relacionados con los cambios y costumbres que provienen de culturas foráneas y pérdida generacional, donde los mayores y las sabedoras no transmiten sus conocimientos, ya sea por falta de interés por parte de las nuevas generaciones o por la carencia de políticas internas o externas que generen espacios intergeneracionales con propósitos educativos o en el peor de los casos, que desde los hogares </w:t>
      </w:r>
      <w:proofErr w:type="spellStart"/>
      <w:r w:rsidRPr="00D1692C">
        <w:rPr>
          <w:rFonts w:ascii="Times New Roman" w:hAnsi="Times New Roman" w:cs="Times New Roman"/>
          <w:sz w:val="24"/>
          <w:szCs w:val="24"/>
          <w:lang w:val="es-ES"/>
        </w:rPr>
        <w:t>calimeños</w:t>
      </w:r>
      <w:proofErr w:type="spellEnd"/>
      <w:r w:rsidRPr="00D1692C">
        <w:rPr>
          <w:rFonts w:ascii="Times New Roman" w:hAnsi="Times New Roman" w:cs="Times New Roman"/>
          <w:sz w:val="24"/>
          <w:szCs w:val="24"/>
          <w:lang w:val="es-ES"/>
        </w:rPr>
        <w:t xml:space="preserve"> se ha ido perdiendo la preponderancia de los matices culturales como la siembra de maíz, arroz, plátano, entre otros, la cría de gallinas ponedoras, cánticos en las festividades o eventos, interpretación de los tiempos lunares, elaboración de canoas, canastos, uso de la hoja de la “jícara” o “</w:t>
      </w:r>
      <w:proofErr w:type="spellStart"/>
      <w:r w:rsidRPr="00D1692C">
        <w:rPr>
          <w:rFonts w:ascii="Times New Roman" w:hAnsi="Times New Roman" w:cs="Times New Roman"/>
          <w:sz w:val="24"/>
          <w:szCs w:val="24"/>
          <w:lang w:val="es-ES"/>
        </w:rPr>
        <w:t>tágua</w:t>
      </w:r>
      <w:proofErr w:type="spellEnd"/>
      <w:r w:rsidRPr="00D1692C">
        <w:rPr>
          <w:rFonts w:ascii="Times New Roman" w:hAnsi="Times New Roman" w:cs="Times New Roman"/>
          <w:sz w:val="24"/>
          <w:szCs w:val="24"/>
          <w:lang w:val="es-ES"/>
        </w:rPr>
        <w:t>”, entre otros elementos que componen nuestra cultura. Sin embargo, mediante métodos como la narración, el aprender-haciendo y la espiritualidad ligada al territorio. El programa del Bienestar familiar “Tejiendo Interculturalidad” no solo se plantea preservar el legado, sino que lo resignifica para garantizar su pervivencia.</w:t>
      </w:r>
    </w:p>
    <w:p w14:paraId="18BE0233" w14:textId="77777777" w:rsidR="00D1692C" w:rsidRDefault="00D1692C" w:rsidP="00AF6CF4">
      <w:pPr>
        <w:rPr>
          <w:rFonts w:ascii="Times New Roman" w:hAnsi="Times New Roman" w:cs="Times New Roman"/>
          <w:sz w:val="24"/>
          <w:szCs w:val="24"/>
        </w:rPr>
      </w:pPr>
    </w:p>
    <w:p w14:paraId="41F41FA9" w14:textId="77777777" w:rsidR="00D1692C" w:rsidRDefault="00D1692C">
      <w:pPr>
        <w:rPr>
          <w:rFonts w:ascii="Times New Roman" w:hAnsi="Times New Roman" w:cs="Times New Roman"/>
          <w:sz w:val="24"/>
          <w:szCs w:val="24"/>
        </w:rPr>
      </w:pPr>
    </w:p>
    <w:p w14:paraId="2F1A48D1" w14:textId="76A20DB0" w:rsidR="00696A6C" w:rsidRDefault="00AF6CF4">
      <w:pPr>
        <w:rPr>
          <w:rFonts w:ascii="Times New Roman" w:hAnsi="Times New Roman" w:cs="Times New Roman"/>
          <w:b/>
          <w:bCs/>
          <w:sz w:val="24"/>
          <w:szCs w:val="24"/>
        </w:rPr>
      </w:pPr>
      <w:r>
        <w:rPr>
          <w:rFonts w:ascii="Times New Roman" w:hAnsi="Times New Roman" w:cs="Times New Roman"/>
          <w:b/>
          <w:bCs/>
          <w:sz w:val="24"/>
          <w:szCs w:val="24"/>
        </w:rPr>
        <w:t>Justicia propia y comunitaria</w:t>
      </w:r>
    </w:p>
    <w:p w14:paraId="350E33A3" w14:textId="7E97E089" w:rsidR="00D1692C" w:rsidRPr="00D1692C" w:rsidRDefault="00D1692C">
      <w:pPr>
        <w:rPr>
          <w:sz w:val="24"/>
          <w:szCs w:val="24"/>
        </w:rPr>
      </w:pPr>
      <w:r w:rsidRPr="00D1692C">
        <w:rPr>
          <w:sz w:val="24"/>
          <w:szCs w:val="24"/>
        </w:rPr>
        <w:t>La hebra de justicia propia y comunitaria representa una dimensión central del tejido intercultural, en tanto hace visible la manera en que las comunidades regulan sus relaciones internas, atienden las tensiones y procuran restaurar la armonía social a partir de principios y prácticas heredadas ancestralmente. Su abordaje permitió comprender que la justicia, en este contexto, no se reduce al castigo o a la sanción, sino que responde a una lógica restaurativa orientada al equilibrio, la conciliación, la palabra y la sanación de los vínculos comunitarios. De ahí que esta hebra cobre especial importancia dentro de los procesos de transmisión cultural, pues permite que las nuevas generaciones conozcan formas propias de resolución de conflictos y se reconozcan como parte de una tradición ética que prioriza el buen vivir y la convivencia armónica.</w:t>
      </w:r>
    </w:p>
    <w:p w14:paraId="238DE0EE" w14:textId="4D6F60A6" w:rsidR="00D1692C" w:rsidRDefault="00D1692C">
      <w:pPr>
        <w:rPr>
          <w:sz w:val="24"/>
          <w:szCs w:val="24"/>
        </w:rPr>
      </w:pPr>
      <w:r w:rsidRPr="00D1692C">
        <w:rPr>
          <w:sz w:val="24"/>
          <w:szCs w:val="24"/>
        </w:rPr>
        <w:t>La justicia ancestral operaba vía crianza colectiva y corrección comunitaria, donde cualquier adulto podía orientar a los niños, niñas, adolescentes y jóvenes con respeto al mayor, forjando carácter responsable mediante proverbios y rituales espirituales. Hoy, el sistema penal formal desplaza estos mecanismos, generando desconfianza y pérdida de autoridad tradicional. Tejiendo Interculturalidad apunta hacia la remembranza e importancia de estos elementos con círculos restaurativos y talleres de pautas éticas ancestrales, integrando la participación en los espacios de formación que no solo garantizan la transmisión de los conocimientos, sino que aclaran las formas en las que estos se pueden implementar.</w:t>
      </w:r>
    </w:p>
    <w:p w14:paraId="44DB9A5E" w14:textId="2DDC10FA" w:rsidR="00D1692C" w:rsidRPr="00D1692C" w:rsidRDefault="0062137C">
      <w:pPr>
        <w:rPr>
          <w:sz w:val="24"/>
          <w:szCs w:val="24"/>
        </w:rPr>
      </w:pPr>
      <w:r w:rsidRPr="0062137C">
        <w:rPr>
          <w:sz w:val="24"/>
          <w:szCs w:val="24"/>
        </w:rPr>
        <w:t>Uno de los aportes más significativos de esta hebra fue la posibilidad de resignificar la noción de justicia desde un horizonte comunitario y culturalmente situado. En lugar de imponer categorías externas, los encuentros facilitaron la recuperación de comprensiones propias sobre la armonización, el perdón, la responsabilidad y la recomposición de los vínculos entre compadres, familiares y compañeros, lo cual favoreció un aprendizaje profundamente contextualizado. Los niños y adolescentes participaron con interés en las actividades propuestas, escucharon con atención las historias y orientaciones de los mayores y, en varios momentos, manifestaron mediante preguntas y comentarios su deseo de comprender mejor cómo se resolvían antes los problemas dentro de la comunidad.</w:t>
      </w:r>
    </w:p>
    <w:sectPr w:rsidR="00D1692C" w:rsidRPr="00D1692C">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F533F" w14:textId="77777777" w:rsidR="003125B2" w:rsidRDefault="003125B2" w:rsidP="00D1692C">
      <w:pPr>
        <w:spacing w:after="0" w:line="240" w:lineRule="auto"/>
      </w:pPr>
      <w:r>
        <w:separator/>
      </w:r>
    </w:p>
  </w:endnote>
  <w:endnote w:type="continuationSeparator" w:id="0">
    <w:p w14:paraId="0149ACB7" w14:textId="77777777" w:rsidR="003125B2" w:rsidRDefault="003125B2" w:rsidP="00D16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FD8DE" w14:textId="77777777" w:rsidR="003125B2" w:rsidRDefault="003125B2" w:rsidP="00D1692C">
      <w:pPr>
        <w:spacing w:after="0" w:line="240" w:lineRule="auto"/>
      </w:pPr>
      <w:r>
        <w:separator/>
      </w:r>
    </w:p>
  </w:footnote>
  <w:footnote w:type="continuationSeparator" w:id="0">
    <w:p w14:paraId="3BF4A162" w14:textId="77777777" w:rsidR="003125B2" w:rsidRDefault="003125B2" w:rsidP="00D16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DB67B" w14:textId="32523015" w:rsidR="00D1692C" w:rsidRDefault="00D1692C">
    <w:pPr>
      <w:pStyle w:val="Encabezado"/>
    </w:pPr>
    <w:r>
      <w:rPr>
        <w:noProof/>
      </w:rPr>
      <w:drawing>
        <wp:anchor distT="0" distB="0" distL="114300" distR="114300" simplePos="0" relativeHeight="251659264" behindDoc="0" locked="0" layoutInCell="1" allowOverlap="1" wp14:anchorId="44FF6F78" wp14:editId="517437B5">
          <wp:simplePos x="0" y="0"/>
          <wp:positionH relativeFrom="margin">
            <wp:align>right</wp:align>
          </wp:positionH>
          <wp:positionV relativeFrom="paragraph">
            <wp:posOffset>159658</wp:posOffset>
          </wp:positionV>
          <wp:extent cx="2060575" cy="780415"/>
          <wp:effectExtent l="0" t="0" r="0" b="635"/>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60575" cy="7804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3A94F5F" wp14:editId="53889153">
          <wp:simplePos x="0" y="0"/>
          <wp:positionH relativeFrom="margin">
            <wp:align>left</wp:align>
          </wp:positionH>
          <wp:positionV relativeFrom="paragraph">
            <wp:posOffset>-123371</wp:posOffset>
          </wp:positionV>
          <wp:extent cx="960120" cy="1107831"/>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960120" cy="110783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1DE"/>
    <w:rsid w:val="003125B2"/>
    <w:rsid w:val="0062137C"/>
    <w:rsid w:val="006821DE"/>
    <w:rsid w:val="00696A6C"/>
    <w:rsid w:val="007E3B01"/>
    <w:rsid w:val="00AF6CF4"/>
    <w:rsid w:val="00C75680"/>
    <w:rsid w:val="00D169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902E0"/>
  <w15:chartTrackingRefBased/>
  <w15:docId w15:val="{76F6A85D-9A5F-4293-BE5C-B2B97B85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CF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692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692C"/>
  </w:style>
  <w:style w:type="paragraph" w:styleId="Piedepgina">
    <w:name w:val="footer"/>
    <w:basedOn w:val="Normal"/>
    <w:link w:val="PiedepginaCar"/>
    <w:uiPriority w:val="99"/>
    <w:unhideWhenUsed/>
    <w:rsid w:val="00D1692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6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07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805</Words>
  <Characters>4430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Riascos</dc:creator>
  <cp:keywords/>
  <dc:description/>
  <cp:lastModifiedBy>Kevin Riascos</cp:lastModifiedBy>
  <cp:revision>4</cp:revision>
  <dcterms:created xsi:type="dcterms:W3CDTF">2026-05-07T02:24:00Z</dcterms:created>
  <dcterms:modified xsi:type="dcterms:W3CDTF">2026-05-07T02:44:00Z</dcterms:modified>
</cp:coreProperties>
</file>