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848" w:type="dxa"/>
        <w:tblInd w:w="-21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70" w:type="dxa"/>
          <w:bottom w:w="0" w:type="dxa"/>
          <w:right w:w="70" w:type="dxa"/>
        </w:tblCellMar>
      </w:tblPr>
      <w:tblGrid>
        <w:gridCol w:w="2552"/>
        <w:gridCol w:w="1985"/>
        <w:gridCol w:w="2977"/>
        <w:gridCol w:w="2334"/>
      </w:tblGrid>
      <w:tr w14:paraId="787467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70" w:type="dxa"/>
            <w:bottom w:w="0" w:type="dxa"/>
            <w:right w:w="70" w:type="dxa"/>
          </w:tblCellMar>
        </w:tblPrEx>
        <w:trPr>
          <w:trHeight w:val="488" w:hRule="atLeast"/>
        </w:trPr>
        <w:tc>
          <w:tcPr>
            <w:tcW w:w="9848" w:type="dxa"/>
            <w:gridSpan w:val="4"/>
            <w:tcBorders>
              <w:top w:val="single" w:color="auto" w:sz="4" w:space="0"/>
              <w:bottom w:val="single" w:color="auto" w:sz="4" w:space="0"/>
            </w:tcBorders>
            <w:shd w:val="clear" w:color="auto" w:fill="D9D9D9"/>
            <w:vAlign w:val="center"/>
          </w:tcPr>
          <w:p w14:paraId="46C115F6">
            <w:pPr>
              <w:keepNext w:val="0"/>
              <w:keepLines w:val="0"/>
              <w:widowControl w:val="0"/>
              <w:suppressLineNumbers w:val="0"/>
              <w:spacing w:before="0" w:beforeAutospacing="0" w:after="0" w:afterAutospacing="0"/>
              <w:ind w:left="0" w:right="0"/>
              <w:jc w:val="center"/>
              <w:rPr>
                <w:rFonts w:hint="eastAsia" w:ascii="Arial Narrow" w:hAnsi="Arial Narrow" w:cs="Arial"/>
                <w:b/>
                <w:kern w:val="2"/>
                <w:sz w:val="20"/>
              </w:rPr>
            </w:pPr>
            <w:bookmarkStart w:id="0" w:name="_Hlk6845106"/>
            <w:r>
              <w:rPr>
                <w:rFonts w:hint="eastAsia" w:ascii="Arial Narrow" w:hAnsi="Arial Narrow" w:cs="Arial"/>
                <w:b/>
                <w:kern w:val="2"/>
                <w:sz w:val="20"/>
              </w:rPr>
              <w:t>INFORMACIÓN GENERAL</w:t>
            </w:r>
          </w:p>
        </w:tc>
      </w:tr>
      <w:tr w14:paraId="55CF6658">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70" w:type="dxa"/>
            <w:bottom w:w="0" w:type="dxa"/>
            <w:right w:w="70" w:type="dxa"/>
          </w:tblCellMar>
        </w:tblPrEx>
        <w:trPr>
          <w:cantSplit/>
          <w:trHeight w:val="192" w:hRule="atLeast"/>
        </w:trPr>
        <w:tc>
          <w:tcPr>
            <w:tcW w:w="9848" w:type="dxa"/>
            <w:gridSpan w:val="4"/>
            <w:tcBorders>
              <w:top w:val="single" w:color="auto" w:sz="4" w:space="0"/>
              <w:left w:val="single" w:color="auto" w:sz="4" w:space="0"/>
              <w:bottom w:val="single" w:color="auto" w:sz="4" w:space="0"/>
              <w:right w:val="single" w:color="auto" w:sz="4" w:space="0"/>
            </w:tcBorders>
            <w:vAlign w:val="center"/>
          </w:tcPr>
          <w:p w14:paraId="64BD8620">
            <w:pPr>
              <w:keepNext w:val="0"/>
              <w:keepLines w:val="0"/>
              <w:widowControl w:val="0"/>
              <w:suppressLineNumbers w:val="0"/>
              <w:tabs>
                <w:tab w:val="left" w:pos="6373"/>
              </w:tabs>
              <w:spacing w:before="0" w:beforeAutospacing="0" w:after="0" w:afterAutospacing="0" w:line="240" w:lineRule="auto"/>
              <w:ind w:left="0" w:right="0"/>
              <w:rPr>
                <w:rFonts w:hint="eastAsia" w:ascii="Arial Narrow" w:hAnsi="Arial Narrow" w:cs="Arial"/>
                <w:bCs/>
                <w:kern w:val="2"/>
                <w:sz w:val="20"/>
              </w:rPr>
            </w:pPr>
          </w:p>
        </w:tc>
      </w:tr>
      <w:tr w14:paraId="0F1754CF">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70" w:type="dxa"/>
            <w:bottom w:w="0" w:type="dxa"/>
            <w:right w:w="70" w:type="dxa"/>
          </w:tblCellMar>
        </w:tblPrEx>
        <w:trPr>
          <w:cantSplit/>
          <w:trHeight w:val="421" w:hRule="atLeast"/>
        </w:trPr>
        <w:tc>
          <w:tcPr>
            <w:tcW w:w="2552" w:type="dxa"/>
            <w:tcBorders>
              <w:top w:val="single" w:color="auto" w:sz="4" w:space="0"/>
              <w:left w:val="single" w:color="auto" w:sz="4" w:space="0"/>
              <w:bottom w:val="single" w:color="auto" w:sz="4" w:space="0"/>
              <w:right w:val="single" w:color="auto" w:sz="4" w:space="0"/>
            </w:tcBorders>
            <w:vAlign w:val="center"/>
          </w:tcPr>
          <w:p w14:paraId="6C73E667">
            <w:pPr>
              <w:keepNext w:val="0"/>
              <w:keepLines w:val="0"/>
              <w:widowControl w:val="0"/>
              <w:suppressLineNumbers w:val="0"/>
              <w:spacing w:before="0" w:beforeAutospacing="0" w:after="0" w:afterAutospacing="0"/>
              <w:ind w:left="0" w:right="0"/>
              <w:rPr>
                <w:rFonts w:hint="eastAsia" w:ascii="Arial Narrow" w:hAnsi="Arial Narrow" w:cs="Arial"/>
                <w:b/>
                <w:kern w:val="2"/>
                <w:sz w:val="20"/>
              </w:rPr>
            </w:pPr>
            <w:r>
              <w:rPr>
                <w:rFonts w:hint="eastAsia" w:ascii="Arial Narrow" w:hAnsi="Arial Narrow" w:cs="Arial"/>
                <w:b/>
                <w:kern w:val="2"/>
                <w:sz w:val="20"/>
              </w:rPr>
              <w:t>Contrato número:</w:t>
            </w:r>
          </w:p>
        </w:tc>
        <w:tc>
          <w:tcPr>
            <w:tcW w:w="1985" w:type="dxa"/>
            <w:tcBorders>
              <w:top w:val="single" w:color="auto" w:sz="4" w:space="0"/>
              <w:left w:val="single" w:color="auto" w:sz="4" w:space="0"/>
              <w:bottom w:val="single" w:color="auto" w:sz="4" w:space="0"/>
              <w:right w:val="single" w:color="auto" w:sz="4" w:space="0"/>
            </w:tcBorders>
            <w:vAlign w:val="center"/>
          </w:tcPr>
          <w:p w14:paraId="355AF2FB">
            <w:pPr>
              <w:keepNext w:val="0"/>
              <w:keepLines w:val="0"/>
              <w:widowControl w:val="0"/>
              <w:suppressLineNumbers w:val="0"/>
              <w:spacing w:before="0" w:beforeAutospacing="0" w:after="0" w:afterAutospacing="0"/>
              <w:ind w:left="0" w:right="0"/>
              <w:jc w:val="center"/>
              <w:rPr>
                <w:rFonts w:hint="eastAsia" w:ascii="Arial Narrow" w:hAnsi="Arial Narrow" w:cs="Arial"/>
                <w:b/>
                <w:kern w:val="2"/>
                <w:sz w:val="20"/>
              </w:rPr>
            </w:pPr>
            <w:r>
              <w:rPr>
                <w:rFonts w:hint="eastAsia" w:ascii="Arial Narrow" w:hAnsi="Arial Narrow" w:cs="Arial"/>
                <w:b/>
                <w:kern w:val="2"/>
                <w:sz w:val="20"/>
              </w:rPr>
              <w:t>AÑO CONTRATO</w:t>
            </w:r>
          </w:p>
        </w:tc>
        <w:tc>
          <w:tcPr>
            <w:tcW w:w="2977" w:type="dxa"/>
            <w:tcBorders>
              <w:top w:val="single" w:color="auto" w:sz="4" w:space="0"/>
              <w:left w:val="single" w:color="auto" w:sz="4" w:space="0"/>
              <w:bottom w:val="single" w:color="auto" w:sz="4" w:space="0"/>
              <w:right w:val="single" w:color="auto" w:sz="4" w:space="0"/>
            </w:tcBorders>
            <w:vAlign w:val="center"/>
          </w:tcPr>
          <w:p w14:paraId="7D2860DF">
            <w:pPr>
              <w:keepNext w:val="0"/>
              <w:keepLines w:val="0"/>
              <w:widowControl w:val="0"/>
              <w:suppressLineNumbers w:val="0"/>
              <w:spacing w:before="0" w:beforeAutospacing="0" w:after="0" w:afterAutospacing="0"/>
              <w:ind w:left="0" w:right="0"/>
              <w:jc w:val="center"/>
              <w:rPr>
                <w:rFonts w:hint="eastAsia" w:ascii="Arial Narrow" w:hAnsi="Arial Narrow" w:cs="Arial"/>
                <w:b/>
                <w:kern w:val="2"/>
                <w:sz w:val="20"/>
              </w:rPr>
            </w:pPr>
            <w:r>
              <w:rPr>
                <w:rFonts w:hint="eastAsia" w:ascii="Arial Narrow" w:hAnsi="Arial Narrow" w:cs="Arial"/>
                <w:b/>
                <w:bCs/>
                <w:kern w:val="2"/>
                <w:sz w:val="20"/>
              </w:rPr>
              <w:t>NOMBRE DEL SUPERVISOR</w:t>
            </w:r>
          </w:p>
        </w:tc>
        <w:tc>
          <w:tcPr>
            <w:tcW w:w="2334" w:type="dxa"/>
            <w:tcBorders>
              <w:top w:val="single" w:color="auto" w:sz="4" w:space="0"/>
              <w:left w:val="single" w:color="auto" w:sz="4" w:space="0"/>
              <w:bottom w:val="single" w:color="auto" w:sz="4" w:space="0"/>
              <w:right w:val="single" w:color="auto" w:sz="4" w:space="0"/>
            </w:tcBorders>
            <w:vAlign w:val="center"/>
          </w:tcPr>
          <w:p w14:paraId="1119351D">
            <w:pPr>
              <w:keepNext w:val="0"/>
              <w:keepLines w:val="0"/>
              <w:widowControl w:val="0"/>
              <w:suppressLineNumbers w:val="0"/>
              <w:tabs>
                <w:tab w:val="left" w:pos="6373"/>
              </w:tabs>
              <w:spacing w:before="0" w:beforeAutospacing="0" w:after="0" w:afterAutospacing="0"/>
              <w:ind w:left="0" w:right="0"/>
              <w:jc w:val="center"/>
              <w:rPr>
                <w:rFonts w:hint="eastAsia" w:ascii="Arial Narrow" w:hAnsi="Arial Narrow" w:cs="Arial"/>
                <w:b/>
                <w:kern w:val="2"/>
                <w:sz w:val="20"/>
              </w:rPr>
            </w:pPr>
            <w:r>
              <w:rPr>
                <w:rFonts w:hint="eastAsia" w:ascii="Arial Narrow" w:hAnsi="Arial Narrow" w:cs="Arial"/>
                <w:b/>
                <w:bCs/>
                <w:kern w:val="2"/>
                <w:sz w:val="20"/>
              </w:rPr>
              <w:t xml:space="preserve">CARGO DEL SUPERVISOR </w:t>
            </w:r>
          </w:p>
        </w:tc>
      </w:tr>
      <w:tr w14:paraId="7711A30C">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70" w:type="dxa"/>
            <w:bottom w:w="0" w:type="dxa"/>
            <w:right w:w="70" w:type="dxa"/>
          </w:tblCellMar>
        </w:tblPrEx>
        <w:trPr>
          <w:cantSplit/>
          <w:trHeight w:val="421" w:hRule="atLeast"/>
        </w:trPr>
        <w:tc>
          <w:tcPr>
            <w:tcW w:w="2552" w:type="dxa"/>
            <w:tcBorders>
              <w:top w:val="single" w:color="auto" w:sz="4" w:space="0"/>
              <w:left w:val="single" w:color="auto" w:sz="4" w:space="0"/>
              <w:bottom w:val="single" w:color="auto" w:sz="4" w:space="0"/>
              <w:right w:val="single" w:color="auto" w:sz="4" w:space="0"/>
            </w:tcBorders>
            <w:vAlign w:val="center"/>
          </w:tcPr>
          <w:p w14:paraId="0D1D3051">
            <w:pPr>
              <w:keepNext w:val="0"/>
              <w:keepLines w:val="0"/>
              <w:widowControl w:val="0"/>
              <w:suppressLineNumbers w:val="0"/>
              <w:spacing w:before="0" w:beforeAutospacing="0" w:after="0" w:afterAutospacing="0"/>
              <w:ind w:left="0" w:right="0"/>
              <w:jc w:val="center"/>
              <w:rPr>
                <w:rFonts w:hint="eastAsia" w:ascii="Arial Narrow" w:hAnsi="Arial Narrow" w:cs="Arial"/>
                <w:kern w:val="2"/>
                <w:sz w:val="20"/>
              </w:rPr>
            </w:pPr>
            <w:r>
              <w:rPr>
                <w:rFonts w:hint="eastAsia" w:ascii="Arial Narrow" w:hAnsi="Arial Narrow" w:cs="Arial"/>
                <w:kern w:val="2"/>
                <w:sz w:val="20"/>
              </w:rPr>
              <w:t>165-2026</w:t>
            </w:r>
          </w:p>
        </w:tc>
        <w:tc>
          <w:tcPr>
            <w:tcW w:w="1985" w:type="dxa"/>
            <w:tcBorders>
              <w:top w:val="single" w:color="auto" w:sz="4" w:space="0"/>
              <w:left w:val="single" w:color="auto" w:sz="4" w:space="0"/>
              <w:bottom w:val="single" w:color="auto" w:sz="4" w:space="0"/>
              <w:right w:val="single" w:color="auto" w:sz="4" w:space="0"/>
            </w:tcBorders>
            <w:vAlign w:val="center"/>
          </w:tcPr>
          <w:p w14:paraId="33D33FDC">
            <w:pPr>
              <w:keepNext w:val="0"/>
              <w:keepLines w:val="0"/>
              <w:widowControl w:val="0"/>
              <w:suppressLineNumbers w:val="0"/>
              <w:spacing w:before="0" w:beforeAutospacing="0" w:after="0" w:afterAutospacing="0"/>
              <w:ind w:left="0" w:right="0"/>
              <w:jc w:val="center"/>
              <w:rPr>
                <w:rFonts w:hint="eastAsia" w:ascii="Arial Narrow" w:hAnsi="Arial Narrow" w:cs="Arial"/>
                <w:kern w:val="2"/>
                <w:sz w:val="20"/>
              </w:rPr>
            </w:pPr>
            <w:r>
              <w:rPr>
                <w:rFonts w:hint="eastAsia" w:ascii="Arial Narrow" w:hAnsi="Arial Narrow" w:cs="Arial"/>
                <w:kern w:val="2"/>
                <w:sz w:val="20"/>
              </w:rPr>
              <w:t>2026</w:t>
            </w:r>
          </w:p>
        </w:tc>
        <w:tc>
          <w:tcPr>
            <w:tcW w:w="2977" w:type="dxa"/>
            <w:tcBorders>
              <w:top w:val="single" w:color="auto" w:sz="4" w:space="0"/>
              <w:left w:val="single" w:color="auto" w:sz="4" w:space="0"/>
              <w:bottom w:val="single" w:color="auto" w:sz="4" w:space="0"/>
              <w:right w:val="single" w:color="auto" w:sz="4" w:space="0"/>
            </w:tcBorders>
            <w:vAlign w:val="center"/>
          </w:tcPr>
          <w:p w14:paraId="4A45A9BF">
            <w:pPr>
              <w:keepNext w:val="0"/>
              <w:keepLines w:val="0"/>
              <w:widowControl w:val="0"/>
              <w:suppressLineNumbers w:val="0"/>
              <w:spacing w:before="0" w:beforeAutospacing="0" w:after="0" w:afterAutospacing="0"/>
              <w:ind w:left="0" w:right="0"/>
              <w:jc w:val="center"/>
              <w:rPr>
                <w:rFonts w:hint="eastAsia" w:ascii="Arial Narrow" w:hAnsi="Arial Narrow" w:cs="Arial"/>
                <w:bCs/>
                <w:kern w:val="2"/>
                <w:sz w:val="20"/>
              </w:rPr>
            </w:pPr>
            <w:r>
              <w:rPr>
                <w:rFonts w:hint="eastAsia" w:ascii="Arial Narrow" w:hAnsi="Arial Narrow" w:cs="Arial"/>
                <w:bCs/>
                <w:kern w:val="2"/>
                <w:sz w:val="20"/>
              </w:rPr>
              <w:t xml:space="preserve">Andrés Mauricio Sarmiento Masmela </w:t>
            </w:r>
          </w:p>
        </w:tc>
        <w:tc>
          <w:tcPr>
            <w:tcW w:w="2334" w:type="dxa"/>
            <w:tcBorders>
              <w:top w:val="single" w:color="auto" w:sz="4" w:space="0"/>
              <w:left w:val="single" w:color="auto" w:sz="4" w:space="0"/>
              <w:bottom w:val="single" w:color="auto" w:sz="4" w:space="0"/>
              <w:right w:val="single" w:color="auto" w:sz="4" w:space="0"/>
            </w:tcBorders>
            <w:vAlign w:val="center"/>
          </w:tcPr>
          <w:p w14:paraId="6D8DE185">
            <w:pPr>
              <w:keepNext w:val="0"/>
              <w:keepLines w:val="0"/>
              <w:widowControl w:val="0"/>
              <w:suppressLineNumbers w:val="0"/>
              <w:tabs>
                <w:tab w:val="left" w:pos="6373"/>
              </w:tabs>
              <w:spacing w:before="0" w:beforeAutospacing="0" w:after="0" w:afterAutospacing="0"/>
              <w:ind w:left="0" w:right="0"/>
              <w:jc w:val="center"/>
              <w:rPr>
                <w:rFonts w:hint="eastAsia" w:ascii="Arial Narrow" w:hAnsi="Arial Narrow" w:cs="Arial"/>
                <w:bCs/>
                <w:kern w:val="2"/>
                <w:sz w:val="20"/>
              </w:rPr>
            </w:pPr>
            <w:r>
              <w:rPr>
                <w:rFonts w:hint="eastAsia" w:ascii="Arial Narrow" w:hAnsi="Arial Narrow" w:cs="Arial"/>
                <w:bCs/>
                <w:kern w:val="2"/>
                <w:sz w:val="20"/>
              </w:rPr>
              <w:t>Subdirector General</w:t>
            </w:r>
          </w:p>
        </w:tc>
      </w:tr>
      <w:tr w14:paraId="7A04CA02">
        <w:tblPrEx>
          <w:tblBorders>
            <w:top w:val="single" w:color="C0C0C0" w:sz="4" w:space="0"/>
            <w:left w:val="single" w:color="C0C0C0" w:sz="4" w:space="0"/>
            <w:bottom w:val="single" w:color="C0C0C0" w:sz="4" w:space="0"/>
            <w:right w:val="single" w:color="C0C0C0" w:sz="4" w:space="0"/>
            <w:insideH w:val="single" w:color="C0C0C0" w:sz="4" w:space="0"/>
            <w:insideV w:val="single" w:color="C0C0C0" w:sz="4" w:space="0"/>
          </w:tblBorders>
          <w:tblCellMar>
            <w:top w:w="0" w:type="dxa"/>
            <w:left w:w="70" w:type="dxa"/>
            <w:bottom w:w="0" w:type="dxa"/>
            <w:right w:w="70" w:type="dxa"/>
          </w:tblCellMar>
        </w:tblPrEx>
        <w:trPr>
          <w:cantSplit/>
          <w:trHeight w:val="988" w:hRule="atLeast"/>
        </w:trPr>
        <w:tc>
          <w:tcPr>
            <w:tcW w:w="9848" w:type="dxa"/>
            <w:gridSpan w:val="4"/>
            <w:tcBorders>
              <w:top w:val="single" w:color="auto" w:sz="4" w:space="0"/>
              <w:left w:val="single" w:color="auto" w:sz="4" w:space="0"/>
              <w:bottom w:val="single" w:color="auto" w:sz="4" w:space="0"/>
              <w:right w:val="single" w:color="auto" w:sz="4" w:space="0"/>
            </w:tcBorders>
            <w:vAlign w:val="center"/>
          </w:tcPr>
          <w:p w14:paraId="42816B79">
            <w:pPr>
              <w:keepNext w:val="0"/>
              <w:keepLines w:val="0"/>
              <w:widowControl/>
              <w:suppressLineNumbers w:val="0"/>
              <w:autoSpaceDE w:val="0"/>
              <w:autoSpaceDN w:val="0"/>
              <w:adjustRightInd w:val="0"/>
              <w:spacing w:before="0" w:beforeAutospacing="0" w:after="0" w:afterAutospacing="0"/>
              <w:ind w:left="0" w:right="0"/>
              <w:jc w:val="both"/>
              <w:rPr>
                <w:rFonts w:hint="eastAsia" w:ascii="Arial Narrow" w:hAnsi="Arial Narrow" w:cs="Arial"/>
                <w:bCs/>
                <w:kern w:val="2"/>
                <w:sz w:val="20"/>
              </w:rPr>
            </w:pPr>
            <w:r>
              <w:rPr>
                <w:rFonts w:hint="eastAsia" w:ascii="Arial Narrow" w:hAnsi="Arial Narrow" w:cs="Arial"/>
                <w:b/>
                <w:bCs/>
                <w:kern w:val="2"/>
                <w:sz w:val="20"/>
              </w:rPr>
              <w:t>Objeto:</w:t>
            </w:r>
            <w:r>
              <w:rPr>
                <w:rFonts w:hint="eastAsia" w:ascii="Arial Narrow" w:hAnsi="Arial Narrow"/>
                <w:kern w:val="2"/>
                <w:sz w:val="18"/>
                <w:lang w:val="es-MX"/>
              </w:rPr>
              <w:t xml:space="preserve"> Prestar servicios profesionales para apoyar las actividades de inspección, vigilancia y control al uso de los recursos asignados por el Gobierno nacional para financiar el PAE, verificando el cumplimiento de las normas, lineamientos y procedimientos relacionados con la planeación, administración y ejecución del programa en las entidades territoriales.</w:t>
            </w:r>
          </w:p>
        </w:tc>
      </w:tr>
      <w:tr w14:paraId="06987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71" w:hRule="atLeast"/>
        </w:trPr>
        <w:tc>
          <w:tcPr>
            <w:tcW w:w="2552" w:type="dxa"/>
            <w:tcBorders>
              <w:top w:val="single" w:color="auto" w:sz="4" w:space="0"/>
              <w:left w:val="single" w:color="auto" w:sz="4" w:space="0"/>
              <w:bottom w:val="single" w:color="auto" w:sz="4" w:space="0"/>
              <w:right w:val="single" w:color="auto" w:sz="4" w:space="0"/>
            </w:tcBorders>
            <w:vAlign w:val="center"/>
          </w:tcPr>
          <w:p w14:paraId="24C6B2C1">
            <w:pPr>
              <w:keepNext w:val="0"/>
              <w:keepLines w:val="0"/>
              <w:widowControl w:val="0"/>
              <w:suppressLineNumbers w:val="0"/>
              <w:spacing w:before="0" w:beforeAutospacing="0" w:after="0" w:afterAutospacing="0"/>
              <w:ind w:left="0" w:right="0"/>
              <w:rPr>
                <w:rFonts w:hint="eastAsia" w:ascii="Arial Narrow" w:hAnsi="Arial Narrow" w:cs="Arial"/>
                <w:b/>
                <w:kern w:val="2"/>
                <w:sz w:val="20"/>
              </w:rPr>
            </w:pPr>
            <w:r>
              <w:rPr>
                <w:rFonts w:hint="eastAsia" w:ascii="Arial Narrow" w:hAnsi="Arial Narrow" w:cs="Arial"/>
                <w:b/>
                <w:kern w:val="2"/>
                <w:sz w:val="20"/>
              </w:rPr>
              <w:t>Nombre del contratista:</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75C44BAF">
            <w:pPr>
              <w:keepNext w:val="0"/>
              <w:keepLines w:val="0"/>
              <w:widowControl w:val="0"/>
              <w:suppressLineNumbers w:val="0"/>
              <w:spacing w:before="0" w:beforeAutospacing="0" w:after="0" w:afterAutospacing="0"/>
              <w:ind w:left="0" w:right="0"/>
              <w:jc w:val="both"/>
              <w:rPr>
                <w:rFonts w:hint="eastAsia" w:ascii="Arial Narrow" w:hAnsi="Arial Narrow" w:cs="Arial"/>
                <w:b/>
                <w:kern w:val="2"/>
                <w:sz w:val="20"/>
              </w:rPr>
            </w:pPr>
            <w:r>
              <w:rPr>
                <w:rFonts w:hint="eastAsia" w:ascii="Arial Narrow" w:hAnsi="Arial Narrow" w:cs="Arial"/>
                <w:kern w:val="2"/>
                <w:sz w:val="20"/>
              </w:rPr>
              <w:t>Dayana Patricia Abril Mendoza</w:t>
            </w:r>
          </w:p>
        </w:tc>
      </w:tr>
      <w:tr w14:paraId="7BB48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63" w:hRule="atLeast"/>
        </w:trPr>
        <w:tc>
          <w:tcPr>
            <w:tcW w:w="2552" w:type="dxa"/>
            <w:tcBorders>
              <w:top w:val="single" w:color="auto" w:sz="4" w:space="0"/>
              <w:left w:val="single" w:color="auto" w:sz="4" w:space="0"/>
              <w:bottom w:val="single" w:color="auto" w:sz="4" w:space="0"/>
              <w:right w:val="single" w:color="auto" w:sz="4" w:space="0"/>
            </w:tcBorders>
            <w:vAlign w:val="center"/>
          </w:tcPr>
          <w:p w14:paraId="21A36486">
            <w:pPr>
              <w:keepNext w:val="0"/>
              <w:keepLines w:val="0"/>
              <w:widowControl w:val="0"/>
              <w:suppressLineNumbers w:val="0"/>
              <w:spacing w:before="0" w:beforeAutospacing="0" w:after="0" w:afterAutospacing="0"/>
              <w:ind w:left="0" w:right="0"/>
              <w:rPr>
                <w:rFonts w:hint="eastAsia" w:ascii="Arial Narrow" w:hAnsi="Arial Narrow" w:cs="Arial"/>
                <w:b/>
                <w:kern w:val="2"/>
                <w:sz w:val="20"/>
              </w:rPr>
            </w:pPr>
            <w:r>
              <w:rPr>
                <w:rFonts w:hint="eastAsia" w:ascii="Arial Narrow" w:hAnsi="Arial Narrow" w:cs="Arial"/>
                <w:b/>
                <w:kern w:val="2"/>
                <w:sz w:val="20"/>
              </w:rPr>
              <w:t xml:space="preserve">Valor del contrato </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145428F9">
            <w:pPr>
              <w:keepNext w:val="0"/>
              <w:keepLines w:val="0"/>
              <w:widowControl w:val="0"/>
              <w:suppressLineNumbers w:val="0"/>
              <w:spacing w:before="0" w:beforeAutospacing="0" w:after="0" w:afterAutospacing="0"/>
              <w:ind w:left="0" w:right="0"/>
              <w:jc w:val="both"/>
              <w:rPr>
                <w:rFonts w:hint="eastAsia" w:ascii="Arial Narrow" w:hAnsi="Arial Narrow" w:cs="Arial"/>
                <w:kern w:val="2"/>
                <w:sz w:val="20"/>
              </w:rPr>
            </w:pPr>
            <w:r>
              <w:rPr>
                <w:rFonts w:hint="eastAsia" w:ascii="Arial Narrow" w:hAnsi="Arial Narrow" w:cs="Arial"/>
                <w:color w:val="A6A6A6" w:themeColor="background1" w:themeShade="A6"/>
                <w:kern w:val="2"/>
                <w:sz w:val="20"/>
              </w:rPr>
              <w:t>Ochenta y dos millones de pesos M/CTE $82.000.000</w:t>
            </w:r>
          </w:p>
        </w:tc>
      </w:tr>
      <w:tr w14:paraId="56C3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56" w:hRule="atLeast"/>
        </w:trPr>
        <w:tc>
          <w:tcPr>
            <w:tcW w:w="2552" w:type="dxa"/>
            <w:tcBorders>
              <w:top w:val="single" w:color="auto" w:sz="4" w:space="0"/>
              <w:left w:val="single" w:color="auto" w:sz="4" w:space="0"/>
              <w:bottom w:val="single" w:color="auto" w:sz="4" w:space="0"/>
              <w:right w:val="single" w:color="auto" w:sz="4" w:space="0"/>
            </w:tcBorders>
            <w:vAlign w:val="center"/>
          </w:tcPr>
          <w:p w14:paraId="5788EB95">
            <w:pPr>
              <w:keepNext w:val="0"/>
              <w:keepLines w:val="0"/>
              <w:widowControl w:val="0"/>
              <w:suppressLineNumbers w:val="0"/>
              <w:spacing w:before="0" w:beforeAutospacing="0" w:after="0" w:afterAutospacing="0"/>
              <w:ind w:left="0" w:right="0"/>
              <w:rPr>
                <w:rFonts w:hint="eastAsia" w:ascii="Arial Narrow" w:hAnsi="Arial Narrow" w:cs="Arial"/>
                <w:b/>
                <w:kern w:val="2"/>
                <w:sz w:val="20"/>
              </w:rPr>
            </w:pPr>
            <w:r>
              <w:rPr>
                <w:rFonts w:hint="eastAsia" w:ascii="Arial Narrow" w:hAnsi="Arial Narrow" w:cs="Arial"/>
                <w:b/>
                <w:kern w:val="2"/>
                <w:sz w:val="20"/>
              </w:rPr>
              <w:t xml:space="preserve">Plazo </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3AC29B0E">
            <w:pPr>
              <w:keepNext w:val="0"/>
              <w:keepLines w:val="0"/>
              <w:widowControl w:val="0"/>
              <w:suppressLineNumbers w:val="0"/>
              <w:spacing w:before="0" w:beforeAutospacing="0" w:after="0" w:afterAutospacing="0"/>
              <w:ind w:left="0" w:right="0"/>
              <w:jc w:val="both"/>
              <w:rPr>
                <w:rFonts w:hint="eastAsia" w:ascii="Arial Narrow" w:hAnsi="Arial Narrow" w:cs="Arial"/>
                <w:kern w:val="2"/>
                <w:sz w:val="20"/>
              </w:rPr>
            </w:pPr>
            <w:r>
              <w:rPr>
                <w:rFonts w:hint="eastAsia" w:ascii="Arial Narrow" w:hAnsi="Arial Narrow" w:cs="Arial"/>
                <w:kern w:val="2"/>
                <w:sz w:val="20"/>
              </w:rPr>
              <w:t>28 de septiembre 2026</w:t>
            </w:r>
          </w:p>
        </w:tc>
      </w:tr>
      <w:tr w14:paraId="18FF5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3" w:hRule="atLeast"/>
        </w:trPr>
        <w:tc>
          <w:tcPr>
            <w:tcW w:w="2552" w:type="dxa"/>
            <w:tcBorders>
              <w:top w:val="single" w:color="auto" w:sz="4" w:space="0"/>
              <w:left w:val="single" w:color="auto" w:sz="4" w:space="0"/>
              <w:bottom w:val="single" w:color="auto" w:sz="4" w:space="0"/>
              <w:right w:val="single" w:color="auto" w:sz="4" w:space="0"/>
            </w:tcBorders>
            <w:vAlign w:val="center"/>
          </w:tcPr>
          <w:p w14:paraId="1B66170A">
            <w:pPr>
              <w:keepNext w:val="0"/>
              <w:keepLines w:val="0"/>
              <w:widowControl w:val="0"/>
              <w:suppressLineNumbers w:val="0"/>
              <w:spacing w:before="0" w:beforeAutospacing="0" w:after="0" w:afterAutospacing="0"/>
              <w:ind w:left="0" w:right="0"/>
              <w:rPr>
                <w:rFonts w:hint="eastAsia" w:ascii="Arial Narrow" w:hAnsi="Arial Narrow" w:cs="Arial"/>
                <w:b/>
                <w:kern w:val="2"/>
                <w:sz w:val="20"/>
              </w:rPr>
            </w:pPr>
            <w:r>
              <w:rPr>
                <w:rFonts w:hint="eastAsia" w:ascii="Arial Narrow" w:hAnsi="Arial Narrow" w:cs="Arial"/>
                <w:b/>
                <w:kern w:val="2"/>
                <w:sz w:val="20"/>
              </w:rPr>
              <w:t>Modificaciones</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368EA291">
            <w:pPr>
              <w:keepNext w:val="0"/>
              <w:keepLines w:val="0"/>
              <w:widowControl w:val="0"/>
              <w:suppressLineNumbers w:val="0"/>
              <w:spacing w:before="0" w:beforeAutospacing="0" w:after="0" w:afterAutospacing="0"/>
              <w:ind w:left="0" w:right="0"/>
              <w:jc w:val="both"/>
              <w:rPr>
                <w:rFonts w:hint="eastAsia" w:ascii="Arial Narrow" w:hAnsi="Arial Narrow" w:cs="Arial"/>
                <w:kern w:val="2"/>
                <w:sz w:val="20"/>
              </w:rPr>
            </w:pPr>
            <w:r>
              <w:rPr>
                <w:rFonts w:hint="eastAsia" w:ascii="Arial Narrow" w:hAnsi="Arial Narrow" w:cs="Arial"/>
                <w:kern w:val="2"/>
                <w:sz w:val="20"/>
              </w:rPr>
              <w:t>No aplica</w:t>
            </w:r>
          </w:p>
        </w:tc>
      </w:tr>
      <w:tr w14:paraId="08E94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3" w:hRule="atLeast"/>
        </w:trPr>
        <w:tc>
          <w:tcPr>
            <w:tcW w:w="2552" w:type="dxa"/>
            <w:tcBorders>
              <w:top w:val="single" w:color="auto" w:sz="4" w:space="0"/>
              <w:left w:val="single" w:color="auto" w:sz="4" w:space="0"/>
              <w:bottom w:val="single" w:color="auto" w:sz="4" w:space="0"/>
              <w:right w:val="single" w:color="auto" w:sz="4" w:space="0"/>
            </w:tcBorders>
            <w:vAlign w:val="center"/>
          </w:tcPr>
          <w:p w14:paraId="16A7B903">
            <w:pPr>
              <w:keepNext w:val="0"/>
              <w:keepLines w:val="0"/>
              <w:widowControl w:val="0"/>
              <w:suppressLineNumbers w:val="0"/>
              <w:spacing w:before="0" w:beforeAutospacing="0" w:after="0" w:afterAutospacing="0"/>
              <w:ind w:left="0" w:right="0"/>
              <w:rPr>
                <w:rFonts w:hint="eastAsia" w:ascii="Arial Narrow" w:hAnsi="Arial Narrow" w:cs="Arial"/>
                <w:b/>
                <w:kern w:val="2"/>
                <w:sz w:val="20"/>
              </w:rPr>
            </w:pPr>
            <w:r>
              <w:rPr>
                <w:rFonts w:hint="eastAsia" w:ascii="Arial Narrow" w:hAnsi="Arial Narrow" w:cs="Arial"/>
                <w:b/>
                <w:kern w:val="2"/>
                <w:sz w:val="20"/>
              </w:rPr>
              <w:t>Garantías</w:t>
            </w:r>
          </w:p>
        </w:tc>
        <w:tc>
          <w:tcPr>
            <w:tcW w:w="7296" w:type="dxa"/>
            <w:gridSpan w:val="3"/>
            <w:tcBorders>
              <w:top w:val="single" w:color="auto" w:sz="4" w:space="0"/>
              <w:left w:val="single" w:color="auto" w:sz="4" w:space="0"/>
              <w:bottom w:val="single" w:color="auto" w:sz="4" w:space="0"/>
              <w:right w:val="single" w:color="auto" w:sz="4" w:space="0"/>
            </w:tcBorders>
            <w:vAlign w:val="center"/>
          </w:tcPr>
          <w:p w14:paraId="3B716981">
            <w:pPr>
              <w:keepNext w:val="0"/>
              <w:keepLines w:val="0"/>
              <w:widowControl w:val="0"/>
              <w:suppressLineNumbers w:val="0"/>
              <w:spacing w:before="0" w:beforeAutospacing="0" w:after="0" w:afterAutospacing="0"/>
              <w:ind w:left="0" w:right="0"/>
              <w:jc w:val="both"/>
              <w:rPr>
                <w:rFonts w:hint="eastAsia" w:ascii="Arial Narrow" w:hAnsi="Arial Narrow" w:cs="Arial"/>
                <w:kern w:val="2"/>
                <w:sz w:val="20"/>
              </w:rPr>
            </w:pPr>
            <w:r>
              <w:rPr>
                <w:rFonts w:hint="eastAsia" w:ascii="Arial Narrow" w:hAnsi="Arial Narrow" w:cs="Arial"/>
                <w:kern w:val="2"/>
                <w:sz w:val="20"/>
              </w:rPr>
              <w:t>Seguros Del Estado-Póliza De Seguro  De Cumplimiento Del  28/01/2026 Al 10 De Febrero De 2027</w:t>
            </w:r>
          </w:p>
        </w:tc>
      </w:tr>
    </w:tbl>
    <w:p w14:paraId="77C76E62">
      <w:pPr>
        <w:widowControl w:val="0"/>
        <w:spacing w:after="0"/>
        <w:jc w:val="both"/>
        <w:rPr>
          <w:rFonts w:ascii="Arial Narrow" w:hAnsi="Arial Narrow" w:cs="Arial"/>
          <w:b/>
          <w:sz w:val="20"/>
        </w:rPr>
      </w:pPr>
    </w:p>
    <w:tbl>
      <w:tblPr>
        <w:tblStyle w:val="6"/>
        <w:tblW w:w="97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81"/>
      </w:tblGrid>
      <w:tr w14:paraId="6733E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3" w:hRule="atLeast"/>
          <w:jc w:val="center"/>
        </w:trPr>
        <w:tc>
          <w:tcPr>
            <w:tcW w:w="9781" w:type="dxa"/>
            <w:vAlign w:val="center"/>
          </w:tcPr>
          <w:p w14:paraId="38E29326">
            <w:pPr>
              <w:keepNext w:val="0"/>
              <w:keepLines w:val="0"/>
              <w:widowControl w:val="0"/>
              <w:suppressLineNumbers w:val="0"/>
              <w:spacing w:before="0" w:beforeAutospacing="0" w:after="0" w:afterAutospacing="0"/>
              <w:ind w:left="0" w:right="0"/>
              <w:jc w:val="both"/>
              <w:rPr>
                <w:rFonts w:hint="eastAsia" w:ascii="Arial Narrow" w:hAnsi="Arial Narrow" w:cs="Arial"/>
                <w:b/>
                <w:kern w:val="2"/>
                <w:sz w:val="20"/>
              </w:rPr>
            </w:pPr>
            <w:r>
              <w:rPr>
                <w:rFonts w:hint="eastAsia" w:ascii="Arial Narrow" w:hAnsi="Arial Narrow" w:cs="Arial"/>
                <w:b/>
                <w:kern w:val="2"/>
                <w:sz w:val="20"/>
              </w:rPr>
              <w:t>EL PRESENTE INFORME DETALLA LA EJECUCIÓN DE LAS OBLIGACIONES CONTRACTUALES POR PARTE DE EL CONTRATISTA, DURANTE EL PERIODO COMPRENDIDO ENTRE EL 1/0</w:t>
            </w:r>
            <w:r>
              <w:rPr>
                <w:rFonts w:hint="default" w:ascii="Arial Narrow" w:hAnsi="Arial Narrow" w:cs="Arial"/>
                <w:b/>
                <w:kern w:val="2"/>
                <w:sz w:val="20"/>
                <w:lang w:val="es-MX"/>
              </w:rPr>
              <w:t>4</w:t>
            </w:r>
            <w:r>
              <w:rPr>
                <w:rFonts w:hint="eastAsia" w:ascii="Arial Narrow" w:hAnsi="Arial Narrow" w:cs="Arial"/>
                <w:b/>
                <w:kern w:val="2"/>
                <w:sz w:val="20"/>
              </w:rPr>
              <w:t>/2026 AL 3</w:t>
            </w:r>
            <w:r>
              <w:rPr>
                <w:rFonts w:hint="default" w:ascii="Arial Narrow" w:hAnsi="Arial Narrow" w:cs="Arial"/>
                <w:b/>
                <w:kern w:val="2"/>
                <w:sz w:val="20"/>
                <w:lang w:val="es-MX"/>
              </w:rPr>
              <w:t>0</w:t>
            </w:r>
            <w:r>
              <w:rPr>
                <w:rFonts w:hint="eastAsia" w:ascii="Arial Narrow" w:hAnsi="Arial Narrow" w:cs="Arial"/>
                <w:b/>
                <w:kern w:val="2"/>
                <w:sz w:val="20"/>
              </w:rPr>
              <w:t>/0</w:t>
            </w:r>
            <w:r>
              <w:rPr>
                <w:rFonts w:hint="default" w:ascii="Arial Narrow" w:hAnsi="Arial Narrow" w:cs="Arial"/>
                <w:b/>
                <w:kern w:val="2"/>
                <w:sz w:val="20"/>
                <w:lang w:val="es-MX"/>
              </w:rPr>
              <w:t>4</w:t>
            </w:r>
            <w:r>
              <w:rPr>
                <w:rFonts w:hint="eastAsia" w:ascii="Arial Narrow" w:hAnsi="Arial Narrow" w:cs="Arial"/>
                <w:b/>
                <w:kern w:val="2"/>
                <w:sz w:val="20"/>
              </w:rPr>
              <w:t>/2026. POR LO ANTERIOR, DESCRIBO A CONTINUACIÓN EL ESTADO DE AVANCE DE EJECUCIÓN DEL OBJETO CONTRACTUAL:</w:t>
            </w:r>
          </w:p>
        </w:tc>
      </w:tr>
    </w:tbl>
    <w:p w14:paraId="4C6C9295">
      <w:pPr>
        <w:widowControl w:val="0"/>
        <w:spacing w:after="0" w:line="240" w:lineRule="auto"/>
        <w:jc w:val="both"/>
        <w:rPr>
          <w:rFonts w:ascii="Arial Narrow" w:hAnsi="Arial Narrow" w:cs="Arial"/>
          <w:sz w:val="20"/>
        </w:rPr>
      </w:pPr>
    </w:p>
    <w:tbl>
      <w:tblPr>
        <w:tblStyle w:val="6"/>
        <w:tblW w:w="9848" w:type="dxa"/>
        <w:tblInd w:w="-2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604"/>
        <w:gridCol w:w="3052"/>
        <w:gridCol w:w="2192"/>
      </w:tblGrid>
      <w:tr w14:paraId="1AC15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53" w:hRule="atLeast"/>
        </w:trPr>
        <w:tc>
          <w:tcPr>
            <w:tcW w:w="7656" w:type="dxa"/>
            <w:gridSpan w:val="2"/>
            <w:vAlign w:val="center"/>
          </w:tcPr>
          <w:p w14:paraId="562F1053">
            <w:pPr>
              <w:keepNext w:val="0"/>
              <w:keepLines w:val="0"/>
              <w:widowControl w:val="0"/>
              <w:suppressLineNumbers w:val="0"/>
              <w:spacing w:before="0" w:beforeAutospacing="0" w:afterAutospacing="0"/>
              <w:ind w:left="0" w:right="0"/>
              <w:jc w:val="center"/>
              <w:rPr>
                <w:rFonts w:hint="eastAsia" w:ascii="Arial Narrow" w:hAnsi="Arial Narrow" w:cs="Arial"/>
                <w:b/>
                <w:kern w:val="2"/>
                <w:sz w:val="20"/>
              </w:rPr>
            </w:pPr>
            <w:r>
              <w:rPr>
                <w:rFonts w:hint="eastAsia" w:ascii="Arial Narrow" w:hAnsi="Arial Narrow" w:cs="Arial"/>
                <w:b/>
                <w:kern w:val="2"/>
                <w:sz w:val="20"/>
              </w:rPr>
              <w:t>Estado de avance de la ejecución física a la fecha (%)</w:t>
            </w:r>
          </w:p>
          <w:p w14:paraId="7C4039EA">
            <w:pPr>
              <w:keepNext w:val="0"/>
              <w:keepLines w:val="0"/>
              <w:widowControl w:val="0"/>
              <w:suppressLineNumbers w:val="0"/>
              <w:spacing w:before="0" w:beforeAutospacing="0" w:afterAutospacing="0"/>
              <w:ind w:left="0" w:right="0"/>
              <w:jc w:val="center"/>
              <w:rPr>
                <w:rFonts w:hint="eastAsia" w:ascii="Arial Narrow" w:hAnsi="Arial Narrow" w:cs="Arial"/>
                <w:b/>
                <w:kern w:val="2"/>
                <w:sz w:val="20"/>
              </w:rPr>
            </w:pPr>
            <w:r>
              <w:rPr>
                <w:rFonts w:hint="eastAsia" w:ascii="Arial Narrow" w:hAnsi="Arial Narrow"/>
                <w:bCs/>
                <w:kern w:val="2"/>
                <w:sz w:val="20"/>
              </w:rPr>
              <w:t>(Avance en el cumplimiento del objeto pactado (entrega de productos y/o servicios / el total del objeto pactado en productos y/o servicios) * 100</w:t>
            </w:r>
          </w:p>
        </w:tc>
        <w:tc>
          <w:tcPr>
            <w:tcW w:w="2192" w:type="dxa"/>
            <w:vAlign w:val="center"/>
          </w:tcPr>
          <w:p w14:paraId="46FAB367">
            <w:pPr>
              <w:keepNext w:val="0"/>
              <w:keepLines w:val="0"/>
              <w:widowControl w:val="0"/>
              <w:suppressLineNumbers w:val="0"/>
              <w:spacing w:before="0" w:beforeAutospacing="0" w:afterAutospacing="0"/>
              <w:ind w:left="0" w:right="0"/>
              <w:jc w:val="center"/>
              <w:rPr>
                <w:rFonts w:hint="eastAsia" w:ascii="Arial Narrow" w:hAnsi="Arial Narrow" w:cs="Arial"/>
                <w:b/>
                <w:kern w:val="2"/>
                <w:sz w:val="20"/>
              </w:rPr>
            </w:pPr>
            <w:r>
              <w:rPr>
                <w:rFonts w:hint="default" w:ascii="Arial Narrow" w:hAnsi="Arial Narrow" w:cs="Arial"/>
                <w:b/>
                <w:kern w:val="2"/>
                <w:sz w:val="20"/>
                <w:lang w:val="es-MX"/>
              </w:rPr>
              <w:t>38</w:t>
            </w:r>
            <w:r>
              <w:rPr>
                <w:rFonts w:hint="eastAsia" w:ascii="Arial Narrow" w:hAnsi="Arial Narrow" w:cs="Arial"/>
                <w:b/>
                <w:kern w:val="2"/>
                <w:sz w:val="20"/>
              </w:rPr>
              <w:t>.</w:t>
            </w:r>
            <w:r>
              <w:rPr>
                <w:rFonts w:hint="default" w:ascii="Arial Narrow" w:hAnsi="Arial Narrow" w:cs="Arial"/>
                <w:b/>
                <w:kern w:val="2"/>
                <w:sz w:val="20"/>
                <w:lang w:val="es-MX"/>
              </w:rPr>
              <w:t>3</w:t>
            </w:r>
            <w:r>
              <w:rPr>
                <w:rFonts w:hint="eastAsia" w:ascii="Arial Narrow" w:hAnsi="Arial Narrow" w:cs="Arial"/>
                <w:b/>
                <w:kern w:val="2"/>
                <w:sz w:val="20"/>
              </w:rPr>
              <w:t>3%</w:t>
            </w:r>
          </w:p>
        </w:tc>
      </w:tr>
      <w:tr w14:paraId="3011D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2" w:hRule="atLeast"/>
        </w:trPr>
        <w:tc>
          <w:tcPr>
            <w:tcW w:w="9848" w:type="dxa"/>
            <w:gridSpan w:val="3"/>
          </w:tcPr>
          <w:p w14:paraId="2F85837B">
            <w:pPr>
              <w:keepNext w:val="0"/>
              <w:keepLines w:val="0"/>
              <w:widowControl w:val="0"/>
              <w:suppressLineNumbers w:val="0"/>
              <w:spacing w:before="0" w:beforeAutospacing="0" w:after="0" w:afterAutospacing="0"/>
              <w:ind w:left="0" w:right="0"/>
              <w:jc w:val="center"/>
              <w:rPr>
                <w:rFonts w:hint="eastAsia" w:ascii="Arial Narrow" w:hAnsi="Arial Narrow" w:cs="Arial"/>
                <w:b/>
                <w:kern w:val="2"/>
                <w:sz w:val="20"/>
              </w:rPr>
            </w:pPr>
            <w:r>
              <w:rPr>
                <w:rFonts w:hint="eastAsia" w:ascii="Arial Narrow" w:hAnsi="Arial Narrow" w:cs="Arial"/>
                <w:b/>
                <w:kern w:val="2"/>
                <w:sz w:val="20"/>
              </w:rPr>
              <w:t>Descripción de la ejecución actual (De acuerdo con el cronograma de actividades):</w:t>
            </w:r>
          </w:p>
        </w:tc>
      </w:tr>
      <w:tr w14:paraId="26F6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53" w:hRule="atLeast"/>
        </w:trPr>
        <w:tc>
          <w:tcPr>
            <w:tcW w:w="9848" w:type="dxa"/>
            <w:gridSpan w:val="3"/>
            <w:shd w:val="clear" w:color="auto" w:fill="D9D9D9"/>
            <w:vAlign w:val="center"/>
          </w:tcPr>
          <w:p w14:paraId="38516E02">
            <w:pPr>
              <w:keepNext w:val="0"/>
              <w:keepLines w:val="0"/>
              <w:widowControl/>
              <w:suppressLineNumbers w:val="0"/>
              <w:spacing w:before="0" w:beforeAutospacing="0" w:after="0" w:afterAutospacing="0"/>
              <w:ind w:left="0" w:right="0"/>
              <w:rPr>
                <w:rFonts w:hint="eastAsia" w:ascii="Arial Narrow" w:hAnsi="Arial Narrow" w:cs="Arial"/>
                <w:b/>
                <w:kern w:val="2"/>
                <w:sz w:val="20"/>
              </w:rPr>
            </w:pPr>
            <w:r>
              <w:rPr>
                <w:rFonts w:hint="eastAsia" w:ascii="Arial Narrow" w:hAnsi="Arial Narrow" w:cs="Arial"/>
                <w:b/>
                <w:kern w:val="2"/>
                <w:sz w:val="20"/>
              </w:rPr>
              <w:t>I. Obligaciones generales del contratista</w:t>
            </w:r>
          </w:p>
        </w:tc>
      </w:tr>
      <w:tr w14:paraId="42C0E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97" w:hRule="atLeast"/>
        </w:trPr>
        <w:tc>
          <w:tcPr>
            <w:tcW w:w="4604" w:type="dxa"/>
            <w:vAlign w:val="center"/>
          </w:tcPr>
          <w:p w14:paraId="49DE01EB">
            <w:pPr>
              <w:keepNext w:val="0"/>
              <w:keepLines w:val="0"/>
              <w:widowControl/>
              <w:suppressLineNumbers w:val="0"/>
              <w:autoSpaceDE w:val="0"/>
              <w:autoSpaceDN w:val="0"/>
              <w:adjustRightInd w:val="0"/>
              <w:spacing w:before="0" w:beforeAutospacing="0" w:after="0" w:afterAutospacing="0"/>
              <w:ind w:left="0" w:right="0"/>
              <w:jc w:val="both"/>
              <w:rPr>
                <w:rFonts w:hint="eastAsia" w:ascii="Arial Narrow" w:hAnsi="Arial Narrow" w:cs="Arial"/>
                <w:b/>
                <w:kern w:val="2"/>
                <w:sz w:val="20"/>
              </w:rPr>
            </w:pPr>
            <w:r>
              <w:rPr>
                <w:rFonts w:hint="eastAsia" w:ascii="Arial Narrow" w:hAnsi="Arial Narrow" w:cs="Arial"/>
                <w:kern w:val="2"/>
                <w:sz w:val="20"/>
                <w:lang w:eastAsia="es-CO"/>
              </w:rPr>
              <w:t>El contratista indica que ha dado estricto cumplimiento a las obligaciones generales, relacionadas en el contrato.</w:t>
            </w:r>
          </w:p>
        </w:tc>
        <w:tc>
          <w:tcPr>
            <w:tcW w:w="5244" w:type="dxa"/>
            <w:gridSpan w:val="2"/>
            <w:vAlign w:val="center"/>
          </w:tcPr>
          <w:p w14:paraId="64FC6BCF">
            <w:pPr>
              <w:keepNext w:val="0"/>
              <w:keepLines w:val="0"/>
              <w:widowControl/>
              <w:suppressLineNumbers w:val="0"/>
              <w:spacing w:before="0" w:beforeAutospacing="0" w:after="0" w:afterAutospacing="0"/>
              <w:ind w:left="0" w:right="0"/>
              <w:rPr>
                <w:rFonts w:hint="eastAsia" w:ascii="Arial Narrow" w:hAnsi="Arial Narrow" w:cs="Arial"/>
                <w:b/>
                <w:kern w:val="2"/>
                <w:sz w:val="20"/>
              </w:rPr>
            </w:pPr>
            <w:r>
              <w:rPr>
                <w:rFonts w:hint="eastAsia" w:ascii="Arial Narrow" w:hAnsi="Arial Narrow" w:cs="Arial"/>
                <w:b/>
                <w:kern w:val="2"/>
                <w:sz w:val="20"/>
              </w:rPr>
              <w:t xml:space="preserve">El contratista cumplió con las obligaciones generales del contrato Sí </w:t>
            </w:r>
            <w:r>
              <w:rPr>
                <w:rFonts w:hint="eastAsia" w:ascii="Arial Narrow" w:hAnsi="Arial Narrow" w:cs="Arial"/>
                <w:b/>
                <w:kern w:val="2"/>
                <w:sz w:val="20"/>
                <w:u w:val="single"/>
              </w:rPr>
              <w:t>__X__</w:t>
            </w:r>
            <w:r>
              <w:rPr>
                <w:rFonts w:hint="eastAsia" w:ascii="Arial Narrow" w:hAnsi="Arial Narrow" w:cs="Arial"/>
                <w:b/>
                <w:kern w:val="2"/>
                <w:sz w:val="20"/>
              </w:rPr>
              <w:t xml:space="preserve"> No____</w:t>
            </w:r>
          </w:p>
        </w:tc>
      </w:tr>
    </w:tbl>
    <w:p w14:paraId="7CE1B6C5">
      <w:pPr>
        <w:widowControl w:val="0"/>
        <w:spacing w:after="0"/>
        <w:rPr>
          <w:rFonts w:ascii="Arial Narrow" w:hAnsi="Arial Narrow" w:cs="Arial"/>
          <w:sz w:val="20"/>
        </w:rPr>
      </w:pPr>
    </w:p>
    <w:tbl>
      <w:tblPr>
        <w:tblStyle w:val="6"/>
        <w:tblW w:w="9796" w:type="dxa"/>
        <w:tblInd w:w="-165"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545"/>
        <w:gridCol w:w="4110"/>
        <w:gridCol w:w="5141"/>
      </w:tblGrid>
      <w:tr w14:paraId="4796932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95" w:hRule="atLeast"/>
        </w:trPr>
        <w:tc>
          <w:tcPr>
            <w:tcW w:w="9796" w:type="dxa"/>
            <w:gridSpan w:val="3"/>
            <w:tcBorders>
              <w:top w:val="single" w:color="auto" w:sz="6" w:space="0"/>
              <w:left w:val="single" w:color="auto" w:sz="6" w:space="0"/>
              <w:bottom w:val="single" w:color="auto" w:sz="6" w:space="0"/>
              <w:right w:val="single" w:color="000000" w:sz="6" w:space="0"/>
            </w:tcBorders>
            <w:shd w:val="clear" w:color="auto" w:fill="D9D9D9"/>
            <w:vAlign w:val="center"/>
          </w:tcPr>
          <w:p w14:paraId="14136857">
            <w:pPr>
              <w:keepNext w:val="0"/>
              <w:keepLines w:val="0"/>
              <w:widowControl w:val="0"/>
              <w:suppressLineNumbers w:val="0"/>
              <w:spacing w:before="0" w:beforeAutospacing="0" w:after="0" w:afterAutospacing="0"/>
              <w:ind w:left="0" w:right="0"/>
              <w:jc w:val="center"/>
              <w:rPr>
                <w:rFonts w:hint="eastAsia" w:ascii="Arial Narrow" w:hAnsi="Arial Narrow" w:cs="Arial"/>
                <w:kern w:val="2"/>
                <w:sz w:val="20"/>
                <w:lang w:val="es-CO"/>
              </w:rPr>
            </w:pPr>
            <w:r>
              <w:rPr>
                <w:rFonts w:hint="eastAsia" w:ascii="Arial Narrow" w:hAnsi="Arial Narrow" w:cs="Arial"/>
                <w:b/>
                <w:bCs/>
                <w:kern w:val="2"/>
                <w:sz w:val="20"/>
              </w:rPr>
              <w:t>II. Obligaciones específicas del contratista</w:t>
            </w:r>
          </w:p>
        </w:tc>
      </w:tr>
      <w:tr w14:paraId="2503711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95" w:hRule="atLeast"/>
        </w:trPr>
        <w:tc>
          <w:tcPr>
            <w:tcW w:w="545" w:type="dxa"/>
            <w:tcBorders>
              <w:top w:val="nil"/>
              <w:left w:val="single" w:color="auto" w:sz="6" w:space="0"/>
              <w:bottom w:val="single" w:color="auto" w:sz="6" w:space="0"/>
              <w:right w:val="single" w:color="auto" w:sz="6" w:space="0"/>
            </w:tcBorders>
            <w:shd w:val="clear" w:color="auto" w:fill="D9D9D9"/>
            <w:vAlign w:val="center"/>
          </w:tcPr>
          <w:p w14:paraId="7698AFFC">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rPr>
              <w:t>No.</w:t>
            </w:r>
            <w:r>
              <w:rPr>
                <w:rFonts w:hint="eastAsia" w:ascii="Arial Narrow" w:hAnsi="Arial Narrow" w:cs="Arial"/>
                <w:kern w:val="2"/>
                <w:sz w:val="20"/>
                <w:lang w:val="es-CO"/>
              </w:rPr>
              <w:t> </w:t>
            </w:r>
          </w:p>
        </w:tc>
        <w:tc>
          <w:tcPr>
            <w:tcW w:w="4110" w:type="dxa"/>
            <w:tcBorders>
              <w:top w:val="nil"/>
              <w:left w:val="nil"/>
              <w:bottom w:val="single" w:color="auto" w:sz="6" w:space="0"/>
              <w:right w:val="single" w:color="auto" w:sz="6" w:space="0"/>
            </w:tcBorders>
            <w:shd w:val="clear" w:color="auto" w:fill="D9D9D9"/>
            <w:vAlign w:val="center"/>
          </w:tcPr>
          <w:p w14:paraId="5AA44ECE">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rPr>
              <w:t>Obligación</w:t>
            </w:r>
            <w:r>
              <w:rPr>
                <w:rFonts w:hint="eastAsia" w:ascii="Arial Narrow" w:hAnsi="Arial Narrow" w:cs="Arial"/>
                <w:kern w:val="2"/>
                <w:sz w:val="20"/>
                <w:lang w:val="es-CO"/>
              </w:rPr>
              <w:t> </w:t>
            </w:r>
          </w:p>
        </w:tc>
        <w:tc>
          <w:tcPr>
            <w:tcW w:w="5141" w:type="dxa"/>
            <w:tcBorders>
              <w:top w:val="nil"/>
              <w:left w:val="nil"/>
              <w:bottom w:val="single" w:color="auto" w:sz="6" w:space="0"/>
              <w:right w:val="single" w:color="auto" w:sz="6" w:space="0"/>
            </w:tcBorders>
            <w:shd w:val="clear" w:color="auto" w:fill="D9D9D9"/>
            <w:vAlign w:val="center"/>
          </w:tcPr>
          <w:p w14:paraId="6C702334">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rPr>
              <w:t>Actividades realizadas</w:t>
            </w:r>
            <w:r>
              <w:rPr>
                <w:rFonts w:hint="eastAsia" w:ascii="Arial Narrow" w:hAnsi="Arial Narrow" w:cs="Arial"/>
                <w:kern w:val="2"/>
                <w:sz w:val="20"/>
                <w:lang w:val="es-CO"/>
              </w:rPr>
              <w:t> </w:t>
            </w:r>
          </w:p>
        </w:tc>
      </w:tr>
      <w:tr w14:paraId="6FEA338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25" w:hRule="atLeast"/>
        </w:trPr>
        <w:tc>
          <w:tcPr>
            <w:tcW w:w="545" w:type="dxa"/>
            <w:vMerge w:val="restart"/>
            <w:tcBorders>
              <w:top w:val="nil"/>
              <w:left w:val="single" w:color="auto" w:sz="6" w:space="0"/>
              <w:bottom w:val="single" w:color="000000" w:sz="6" w:space="0"/>
              <w:right w:val="single" w:color="auto" w:sz="6" w:space="0"/>
            </w:tcBorders>
            <w:vAlign w:val="center"/>
          </w:tcPr>
          <w:p w14:paraId="101621C0">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rPr>
              <w:t>1</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3C19848A">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rPr>
              <w:t>Realizar visitas de inspección y seguimiento a las Entidades Territoriales verificando el cumplimiento de los lineamientos técnicos, administrativos y financieros establecidos por la Unidad Administrativa.</w:t>
            </w:r>
            <w:r>
              <w:rPr>
                <w:rFonts w:hint="eastAsia" w:ascii="Arial Narrow" w:hAnsi="Arial Narrow" w:cs="Arial"/>
                <w:kern w:val="2"/>
                <w:sz w:val="20"/>
                <w:lang w:val="es-CO"/>
              </w:rPr>
              <w:t> </w:t>
            </w:r>
          </w:p>
        </w:tc>
        <w:tc>
          <w:tcPr>
            <w:tcW w:w="5141" w:type="dxa"/>
            <w:tcBorders>
              <w:top w:val="nil"/>
              <w:left w:val="nil"/>
              <w:bottom w:val="single" w:color="auto" w:sz="6" w:space="0"/>
              <w:right w:val="single" w:color="auto" w:sz="6" w:space="0"/>
            </w:tcBorders>
            <w:vAlign w:val="center"/>
          </w:tcPr>
          <w:p w14:paraId="39FE680B">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rPr>
              <w:t>Descripción del avance</w:t>
            </w:r>
            <w:r>
              <w:rPr>
                <w:rFonts w:hint="eastAsia" w:ascii="Arial Narrow" w:hAnsi="Arial Narrow" w:cs="Arial"/>
                <w:kern w:val="2"/>
                <w:sz w:val="20"/>
              </w:rPr>
              <w:t xml:space="preserve">: Durante el mes de </w:t>
            </w:r>
            <w:r>
              <w:rPr>
                <w:rFonts w:hint="default" w:ascii="Arial Narrow" w:hAnsi="Arial Narrow" w:cs="Arial"/>
                <w:kern w:val="2"/>
                <w:sz w:val="20"/>
                <w:lang w:val="es-MX"/>
              </w:rPr>
              <w:t>abril</w:t>
            </w:r>
            <w:r>
              <w:rPr>
                <w:rFonts w:hint="eastAsia" w:ascii="Arial Narrow" w:hAnsi="Arial Narrow" w:cs="Arial"/>
                <w:kern w:val="2"/>
                <w:sz w:val="20"/>
              </w:rPr>
              <w:t xml:space="preserve"> no se desarrollaron acciones relacionadas con esta obligación, en tanto se avanza en la estructuración y ajuste de la metodología que permitirá llevar a cabo las visitas de inspección y seguimiento a las Entidades Territoriales.</w:t>
            </w:r>
          </w:p>
        </w:tc>
      </w:tr>
      <w:tr w14:paraId="21427B4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90" w:hRule="atLeast"/>
        </w:trPr>
        <w:tc>
          <w:tcPr>
            <w:tcW w:w="545" w:type="dxa"/>
            <w:vMerge w:val="continue"/>
            <w:tcBorders>
              <w:top w:val="nil"/>
              <w:left w:val="single" w:color="auto" w:sz="6" w:space="0"/>
              <w:bottom w:val="single" w:color="000000" w:sz="6" w:space="0"/>
              <w:right w:val="single" w:color="auto" w:sz="6" w:space="0"/>
            </w:tcBorders>
            <w:vAlign w:val="center"/>
          </w:tcPr>
          <w:p w14:paraId="06C7B177">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35EFD99A">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4D7BCBB3">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rPr>
              <w:t>Evidencia verificable: </w:t>
            </w:r>
            <w:r>
              <w:rPr>
                <w:rFonts w:hint="eastAsia" w:ascii="Arial Narrow" w:hAnsi="Arial Narrow" w:cs="Arial"/>
                <w:kern w:val="2"/>
                <w:sz w:val="20"/>
              </w:rPr>
              <w:t>N/A</w:t>
            </w:r>
            <w:r>
              <w:rPr>
                <w:rFonts w:hint="eastAsia" w:ascii="Arial Narrow" w:hAnsi="Arial Narrow" w:cs="Arial"/>
                <w:kern w:val="2"/>
                <w:sz w:val="20"/>
                <w:lang w:val="es-CO"/>
              </w:rPr>
              <w:t> </w:t>
            </w:r>
          </w:p>
        </w:tc>
      </w:tr>
      <w:tr w14:paraId="1121FEF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10" w:hRule="atLeast"/>
        </w:trPr>
        <w:tc>
          <w:tcPr>
            <w:tcW w:w="545" w:type="dxa"/>
            <w:vMerge w:val="restart"/>
            <w:tcBorders>
              <w:top w:val="nil"/>
              <w:left w:val="single" w:color="auto" w:sz="6" w:space="0"/>
              <w:bottom w:val="single" w:color="000000" w:sz="6" w:space="0"/>
              <w:right w:val="single" w:color="auto" w:sz="6" w:space="0"/>
            </w:tcBorders>
            <w:vAlign w:val="center"/>
          </w:tcPr>
          <w:p w14:paraId="0E811AAF">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rPr>
              <w:t>2</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09E959A9">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rPr>
              <w:t>Monitorear la ejecución de los recursos asignados a las entidades territoriales para la ejecución del PAE, consolidando información y reportando hallazgos que afecten la transparencia y eficiencia del programa.</w:t>
            </w:r>
            <w:r>
              <w:rPr>
                <w:rFonts w:hint="eastAsia" w:ascii="Arial Narrow" w:hAnsi="Arial Narrow" w:cs="Arial"/>
                <w:kern w:val="2"/>
                <w:sz w:val="20"/>
                <w:lang w:val="es-CO"/>
              </w:rPr>
              <w:t> </w:t>
            </w:r>
          </w:p>
        </w:tc>
        <w:tc>
          <w:tcPr>
            <w:tcW w:w="5141" w:type="dxa"/>
            <w:tcBorders>
              <w:top w:val="nil"/>
              <w:left w:val="nil"/>
              <w:bottom w:val="single" w:color="auto" w:sz="6" w:space="0"/>
              <w:right w:val="single" w:color="auto" w:sz="6" w:space="0"/>
            </w:tcBorders>
            <w:vAlign w:val="center"/>
          </w:tcPr>
          <w:p w14:paraId="582150B4">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Descripción del avance</w:t>
            </w:r>
            <w:r>
              <w:rPr>
                <w:rFonts w:hint="eastAsia" w:ascii="Arial Narrow" w:hAnsi="Arial Narrow" w:cs="Arial"/>
                <w:kern w:val="2"/>
                <w:sz w:val="20"/>
                <w:lang w:val="es-CO"/>
              </w:rPr>
              <w:t>: </w:t>
            </w:r>
            <w:r>
              <w:rPr>
                <w:rFonts w:hint="eastAsia" w:ascii="Arial Narrow" w:hAnsi="Arial Narrow" w:cs="Arial"/>
                <w:kern w:val="2"/>
                <w:sz w:val="20"/>
              </w:rPr>
              <w:t xml:space="preserve">Durante el mes de </w:t>
            </w:r>
            <w:r>
              <w:rPr>
                <w:rFonts w:hint="default" w:ascii="Arial Narrow" w:hAnsi="Arial Narrow" w:cs="Arial"/>
                <w:kern w:val="2"/>
                <w:sz w:val="20"/>
                <w:lang w:val="es-MX"/>
              </w:rPr>
              <w:t>abril</w:t>
            </w:r>
            <w:r>
              <w:rPr>
                <w:rFonts w:hint="eastAsia" w:ascii="Arial Narrow" w:hAnsi="Arial Narrow" w:cs="Arial"/>
                <w:kern w:val="2"/>
                <w:sz w:val="20"/>
              </w:rPr>
              <w:t xml:space="preserve"> no se desarrollaron actividades vinculadas a esta obligación, en razón a que no se llevaron a cabo acciones de monitoreo sobre la ejecución de los recursos dentro de las actividades previstas para este periodo.</w:t>
            </w:r>
          </w:p>
        </w:tc>
      </w:tr>
      <w:tr w14:paraId="60C2D56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30" w:hRule="atLeast"/>
        </w:trPr>
        <w:tc>
          <w:tcPr>
            <w:tcW w:w="545" w:type="dxa"/>
            <w:vMerge w:val="continue"/>
            <w:tcBorders>
              <w:top w:val="nil"/>
              <w:left w:val="single" w:color="auto" w:sz="6" w:space="0"/>
              <w:bottom w:val="single" w:color="000000" w:sz="6" w:space="0"/>
              <w:right w:val="single" w:color="auto" w:sz="6" w:space="0"/>
            </w:tcBorders>
            <w:vAlign w:val="center"/>
          </w:tcPr>
          <w:p w14:paraId="603EB041">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5FFC90BE">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7749AEC6">
            <w:pPr>
              <w:keepNext w:val="0"/>
              <w:keepLines w:val="0"/>
              <w:widowControl w:val="0"/>
              <w:suppressLineNumbers w:val="0"/>
              <w:spacing w:before="0" w:beforeAutospacing="0" w:after="0" w:afterAutospacing="0"/>
              <w:ind w:left="0" w:right="0"/>
              <w:rPr>
                <w:rFonts w:hint="default" w:ascii="Arial Narrow" w:hAnsi="Arial Narrow" w:cs="Arial"/>
                <w:kern w:val="2"/>
                <w:sz w:val="20"/>
                <w:lang w:val="es-MX"/>
              </w:rPr>
            </w:pPr>
            <w:r>
              <w:rPr>
                <w:rFonts w:hint="eastAsia" w:ascii="Arial Narrow" w:hAnsi="Arial Narrow" w:cs="Arial"/>
                <w:b/>
                <w:bCs/>
                <w:kern w:val="2"/>
                <w:sz w:val="20"/>
              </w:rPr>
              <w:t>Evidencia verificable: </w:t>
            </w:r>
            <w:r>
              <w:rPr>
                <w:rFonts w:hint="eastAsia" w:ascii="Arial Narrow" w:hAnsi="Arial Narrow" w:cs="Arial"/>
                <w:kern w:val="2"/>
                <w:sz w:val="20"/>
              </w:rPr>
              <w:t>N/A</w:t>
            </w:r>
            <w:r>
              <w:rPr>
                <w:rFonts w:hint="eastAsia" w:ascii="Arial Narrow" w:hAnsi="Arial Narrow" w:cs="Arial"/>
                <w:kern w:val="2"/>
                <w:sz w:val="20"/>
                <w:lang w:val="es-CO"/>
              </w:rPr>
              <w:t> </w:t>
            </w:r>
            <w:r>
              <w:rPr>
                <w:rFonts w:hint="default" w:ascii="Arial Narrow" w:hAnsi="Arial Narrow" w:cs="Arial"/>
                <w:kern w:val="2"/>
                <w:sz w:val="20"/>
                <w:lang w:val="es-MX"/>
              </w:rPr>
              <w:t xml:space="preserve"> </w:t>
            </w:r>
          </w:p>
        </w:tc>
      </w:tr>
      <w:tr w14:paraId="2A27E5E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935" w:hRule="atLeast"/>
        </w:trPr>
        <w:tc>
          <w:tcPr>
            <w:tcW w:w="545" w:type="dxa"/>
            <w:vMerge w:val="restart"/>
            <w:tcBorders>
              <w:top w:val="nil"/>
              <w:left w:val="single" w:color="auto" w:sz="6" w:space="0"/>
              <w:bottom w:val="single" w:color="000000" w:sz="6" w:space="0"/>
              <w:right w:val="single" w:color="auto" w:sz="6" w:space="0"/>
            </w:tcBorders>
            <w:vAlign w:val="center"/>
          </w:tcPr>
          <w:p w14:paraId="2D815A16">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rPr>
              <w:t>3</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5669C207">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lang w:val="es-CO"/>
              </w:rPr>
              <w:t>Emitir alertas y recomendaciones ante riesgos y posibles desviaciones, en la operación del PAE, definiendo acciones preventivas o correctivas para garantizar la adecuada prestación del servicio. </w:t>
            </w:r>
          </w:p>
        </w:tc>
        <w:tc>
          <w:tcPr>
            <w:tcW w:w="5141" w:type="dxa"/>
            <w:tcBorders>
              <w:top w:val="nil"/>
              <w:left w:val="nil"/>
              <w:bottom w:val="single" w:color="auto" w:sz="6" w:space="0"/>
              <w:right w:val="single" w:color="auto" w:sz="6" w:space="0"/>
            </w:tcBorders>
            <w:vAlign w:val="center"/>
          </w:tcPr>
          <w:p w14:paraId="32455DB0">
            <w:pPr>
              <w:keepNext w:val="0"/>
              <w:keepLines w:val="0"/>
              <w:widowControl w:val="0"/>
              <w:suppressLineNumbers w:val="0"/>
              <w:spacing w:before="0" w:beforeAutospacing="0" w:after="0" w:afterAutospacing="0"/>
              <w:ind w:left="0" w:right="0"/>
              <w:rPr>
                <w:rFonts w:hint="default" w:ascii="Arial Narrow" w:hAnsi="Arial Narrow" w:cs="Arial Narrow"/>
                <w:kern w:val="2"/>
                <w:sz w:val="20"/>
                <w:lang w:val="es-MX"/>
              </w:rPr>
            </w:pPr>
            <w:r>
              <w:rPr>
                <w:rFonts w:hint="default" w:ascii="Arial Narrow" w:hAnsi="Arial Narrow" w:cs="Arial Narrow"/>
                <w:b/>
                <w:bCs/>
                <w:kern w:val="2"/>
                <w:sz w:val="20"/>
                <w:lang w:val="es-CO"/>
              </w:rPr>
              <w:t>Descripción del avance</w:t>
            </w:r>
            <w:r>
              <w:rPr>
                <w:rFonts w:hint="default" w:ascii="Arial Narrow" w:hAnsi="Arial Narrow" w:cs="Arial Narrow"/>
                <w:kern w:val="2"/>
                <w:sz w:val="20"/>
                <w:lang w:val="es-CO"/>
              </w:rPr>
              <w:t>:  </w:t>
            </w:r>
            <w:r>
              <w:rPr>
                <w:rFonts w:hint="default" w:ascii="Arial Narrow" w:hAnsi="Arial Narrow" w:cs="Arial Narrow"/>
                <w:kern w:val="2"/>
                <w:sz w:val="20"/>
              </w:rPr>
              <w:t xml:space="preserve">Con el propósito de identificar riesgos recurrentes y situaciones que puedan afectar la adecuada operación del Programa de Alimentación Escolar (PAE), se llevó a cabo la consolidación y el análisis de los hallazgos reportados </w:t>
            </w:r>
            <w:r>
              <w:rPr>
                <w:rFonts w:hint="default" w:ascii="Arial Narrow" w:hAnsi="Arial Narrow" w:cs="Arial Narrow"/>
                <w:kern w:val="2"/>
                <w:sz w:val="20"/>
                <w:lang w:val="es-MX"/>
              </w:rPr>
              <w:t xml:space="preserve">en un oficio, por una funcionaria del PAE de Girardot , donde da a conocer varias inconsistencias en en la ejecucion del programa, </w:t>
            </w:r>
            <w:r>
              <w:rPr>
                <w:rFonts w:hint="default" w:ascii="Arial Narrow" w:hAnsi="Arial Narrow" w:cs="Arial Narrow"/>
                <w:kern w:val="2"/>
                <w:sz w:val="20"/>
              </w:rPr>
              <w:t>correspondientes a las vigencias 202</w:t>
            </w:r>
            <w:r>
              <w:rPr>
                <w:rFonts w:hint="default" w:ascii="Arial Narrow" w:hAnsi="Arial Narrow" w:cs="Arial Narrow"/>
                <w:kern w:val="2"/>
                <w:sz w:val="20"/>
                <w:lang w:val="es-MX"/>
              </w:rPr>
              <w:t>4,</w:t>
            </w:r>
            <w:r>
              <w:rPr>
                <w:rFonts w:hint="default" w:ascii="Arial Narrow" w:hAnsi="Arial Narrow" w:cs="Arial Narrow"/>
                <w:kern w:val="2"/>
                <w:sz w:val="20"/>
              </w:rPr>
              <w:t xml:space="preserve"> 202</w:t>
            </w:r>
            <w:r>
              <w:rPr>
                <w:rFonts w:hint="default" w:ascii="Arial Narrow" w:hAnsi="Arial Narrow" w:cs="Arial Narrow"/>
                <w:kern w:val="2"/>
                <w:sz w:val="20"/>
                <w:lang w:val="es-MX"/>
              </w:rPr>
              <w:t>5 y 2026.</w:t>
            </w:r>
          </w:p>
        </w:tc>
      </w:tr>
      <w:tr w14:paraId="1098BF1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40" w:hRule="atLeast"/>
        </w:trPr>
        <w:tc>
          <w:tcPr>
            <w:tcW w:w="545" w:type="dxa"/>
            <w:vMerge w:val="continue"/>
            <w:tcBorders>
              <w:top w:val="nil"/>
              <w:left w:val="single" w:color="auto" w:sz="6" w:space="0"/>
              <w:bottom w:val="single" w:color="000000" w:sz="6" w:space="0"/>
              <w:right w:val="single" w:color="auto" w:sz="6" w:space="0"/>
            </w:tcBorders>
            <w:vAlign w:val="center"/>
          </w:tcPr>
          <w:p w14:paraId="57ACAFC1">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16DF6638">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49179739">
            <w:pPr>
              <w:keepNext w:val="0"/>
              <w:keepLines w:val="0"/>
              <w:widowControl/>
              <w:suppressLineNumbers w:val="0"/>
              <w:spacing w:before="0" w:beforeAutospacing="0" w:afterAutospacing="0"/>
              <w:ind w:left="0" w:right="0"/>
              <w:rPr>
                <w:rStyle w:val="9"/>
                <w:rFonts w:hint="default" w:ascii="Arial Narrow" w:hAnsi="Arial Narrow" w:cs="Arial Narrow"/>
                <w:kern w:val="2"/>
                <w:sz w:val="20"/>
                <w:lang w:val="es-MX"/>
              </w:rPr>
            </w:pPr>
            <w:r>
              <w:rPr>
                <w:rFonts w:hint="default" w:ascii="Arial Narrow" w:hAnsi="Arial Narrow" w:cs="Arial Narrow"/>
                <w:b/>
                <w:bCs/>
                <w:kern w:val="2"/>
                <w:sz w:val="20"/>
              </w:rPr>
              <w:t xml:space="preserve">Evidencia verificable: </w:t>
            </w:r>
            <w:r>
              <w:rPr>
                <w:rFonts w:hint="default" w:ascii="Arial Narrow" w:hAnsi="Arial Narrow" w:cs="Arial Narrow"/>
                <w:b/>
                <w:bCs/>
                <w:kern w:val="2"/>
                <w:sz w:val="20"/>
                <w:lang w:val="es-MX"/>
              </w:rPr>
              <w:t xml:space="preserve"> </w:t>
            </w:r>
            <w:r>
              <w:rPr>
                <w:rFonts w:hint="default" w:ascii="Arial Narrow" w:hAnsi="Arial Narrow" w:eastAsia="SimSun" w:cs="Arial Narrow"/>
                <w:kern w:val="2"/>
                <w:sz w:val="24"/>
                <w:szCs w:val="24"/>
              </w:rPr>
              <w:fldChar w:fldCharType="begin"/>
            </w:r>
            <w:r>
              <w:rPr>
                <w:rFonts w:hint="default" w:ascii="Arial Narrow" w:hAnsi="Arial Narrow" w:eastAsia="SimSun" w:cs="Arial Narrow"/>
                <w:kern w:val="2"/>
                <w:sz w:val="24"/>
                <w:szCs w:val="24"/>
              </w:rPr>
              <w:instrText xml:space="preserve"> HYPERLINK "https://alimentosparaaprender.sharepoint.com/sites/subdireccindegestioncorporativa/Documentos compartidos/Forms/AllItems.aspx?id=/sites/subdireccindegestioncorporativa/Documentos compartidos/Gesti%C3%B3n Contractual/240.14. CONTRATOS/240.14.4 Contratos de Prestaci%C3%B3n de Servicios/2026/2. SUBDIRECCI%C3%93N GENERAL/UAPA-OPS-165-2026 DAYANA PATRICIA ABRIL MENDOZA/02. CONTRACTUALES/04. Ejecuci%C3%B3n/ABRIL 2026/Evidencia Obligaci%C3%B3n 3&amp;viewid=07e8a40c-bf62-4edf-b7f8-d4f60619d16c&amp;p=true&amp;ct=1774476363693&amp;or=OWA-NT-Mail&amp;cid=0dc24cac-b836-cbc9-baed-92b3b810b1ed" </w:instrText>
            </w:r>
            <w:r>
              <w:rPr>
                <w:rFonts w:hint="default" w:ascii="Arial Narrow" w:hAnsi="Arial Narrow" w:eastAsia="SimSun" w:cs="Arial Narrow"/>
                <w:kern w:val="2"/>
                <w:sz w:val="24"/>
                <w:szCs w:val="24"/>
              </w:rPr>
              <w:fldChar w:fldCharType="separate"/>
            </w:r>
            <w:r>
              <w:rPr>
                <w:rStyle w:val="10"/>
                <w:rFonts w:hint="default" w:ascii="Arial Narrow" w:hAnsi="Arial Narrow" w:eastAsia="SimSun" w:cs="Arial Narrow"/>
                <w:kern w:val="2"/>
                <w:sz w:val="24"/>
                <w:szCs w:val="24"/>
              </w:rPr>
              <w:t>Subdirección de Gestión Corporativa - Documentos - Evidencia Obligación 3 - Todos los documentos</w:t>
            </w:r>
            <w:r>
              <w:rPr>
                <w:rFonts w:hint="default" w:ascii="Arial Narrow" w:hAnsi="Arial Narrow" w:eastAsia="SimSun" w:cs="Arial Narrow"/>
                <w:kern w:val="2"/>
                <w:sz w:val="24"/>
                <w:szCs w:val="24"/>
              </w:rPr>
              <w:fldChar w:fldCharType="end"/>
            </w:r>
          </w:p>
        </w:tc>
      </w:tr>
      <w:tr w14:paraId="2005D36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0" w:hRule="atLeast"/>
        </w:trPr>
        <w:tc>
          <w:tcPr>
            <w:tcW w:w="545" w:type="dxa"/>
            <w:vMerge w:val="restart"/>
            <w:tcBorders>
              <w:top w:val="nil"/>
              <w:left w:val="single" w:color="auto" w:sz="6" w:space="0"/>
              <w:bottom w:val="single" w:color="000000" w:sz="6" w:space="0"/>
              <w:right w:val="single" w:color="auto" w:sz="6" w:space="0"/>
            </w:tcBorders>
            <w:vAlign w:val="center"/>
          </w:tcPr>
          <w:p w14:paraId="4EE80C41">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rPr>
              <w:t>4</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372B0237">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lang w:val="es-CO"/>
              </w:rPr>
              <w:t>Validar la información reportada por las ETC en los sistemas oficiales y bases de datos, asegurando la calidad del dato, su integridad, pertinencia y consistencia conforme a los lineamientos establecidos. </w:t>
            </w:r>
          </w:p>
        </w:tc>
        <w:tc>
          <w:tcPr>
            <w:tcW w:w="5141" w:type="dxa"/>
            <w:tcBorders>
              <w:top w:val="nil"/>
              <w:left w:val="nil"/>
              <w:bottom w:val="single" w:color="auto" w:sz="6" w:space="0"/>
              <w:right w:val="single" w:color="auto" w:sz="6" w:space="0"/>
            </w:tcBorders>
            <w:vAlign w:val="center"/>
          </w:tcPr>
          <w:p w14:paraId="0800C157">
            <w:pPr>
              <w:keepNext w:val="0"/>
              <w:keepLines w:val="0"/>
              <w:widowControl/>
              <w:suppressLineNumbers w:val="0"/>
              <w:spacing w:before="0" w:beforeAutospacing="0" w:after="160" w:afterAutospacing="0" w:line="276" w:lineRule="auto"/>
              <w:ind w:left="0" w:right="0"/>
              <w:jc w:val="both"/>
              <w:rPr>
                <w:rFonts w:hint="default" w:ascii="Arial Narrow" w:hAnsi="Arial Narrow" w:cs="Arial Narrow"/>
                <w:kern w:val="2"/>
                <w:sz w:val="20"/>
                <w:lang w:val="es-CO"/>
              </w:rPr>
            </w:pPr>
            <w:r>
              <w:rPr>
                <w:rFonts w:hint="default" w:ascii="Arial Narrow" w:hAnsi="Arial Narrow" w:cs="Arial Narrow"/>
                <w:b/>
                <w:bCs/>
                <w:kern w:val="2"/>
                <w:sz w:val="20"/>
              </w:rPr>
              <w:t>Descripción del avance</w:t>
            </w:r>
            <w:r>
              <w:rPr>
                <w:rFonts w:hint="default" w:ascii="Arial Narrow" w:hAnsi="Arial Narrow" w:cs="Arial Narrow"/>
                <w:kern w:val="2"/>
                <w:sz w:val="20"/>
              </w:rPr>
              <w:t>: </w:t>
            </w:r>
            <w:r>
              <w:rPr>
                <w:rFonts w:hint="default" w:ascii="Arial Narrow" w:hAnsi="Arial Narrow" w:eastAsia="Aptos" w:cs="Arial Narrow"/>
                <w:kern w:val="2"/>
                <w:sz w:val="24"/>
                <w:szCs w:val="24"/>
                <w:lang w:val="es-MX" w:eastAsia="zh-CN" w:bidi="ar"/>
              </w:rPr>
              <w:t>Se realizó la búsqueda y verificación documental de los Planes Operativos Anuales de Inspección y Vigilancia (POAIV) correspondientes a las Entidades Territoriales Certificadas (ETC) de Boyacá, Tunja, Vaupés, Duitama y Sogamoso, mediante la revisión de las páginas web oficiales, portales de transparencia y secciones de planeación institucional de cada entidad. Como resultado, se identificó la disponibilidad, publicación y vigencia de los documentos encontrados, así como la inclusión de acciones relacionadas con la inspección, vigilancia y control del sector educativo, especialmente aquellas vinculadas al Programa de Alimentación Escolar (PAE) cuando aplicaba. Igualmente, se dejó registro de los casos en los que no fue posible ubicar información pública disponible o esta se encontraba desactualizada, con el fin de consolidar un diagnóstico comparativo sobre el cumplimiento de las obligaciones de publicidad y seguimiento por parte de las ETC objeto de revisión.</w:t>
            </w:r>
          </w:p>
        </w:tc>
      </w:tr>
      <w:tr w14:paraId="170EED0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0" w:hRule="atLeast"/>
        </w:trPr>
        <w:tc>
          <w:tcPr>
            <w:tcW w:w="545" w:type="dxa"/>
            <w:vMerge w:val="continue"/>
            <w:tcBorders>
              <w:top w:val="nil"/>
              <w:left w:val="single" w:color="auto" w:sz="6" w:space="0"/>
              <w:bottom w:val="single" w:color="000000" w:sz="6" w:space="0"/>
              <w:right w:val="single" w:color="auto" w:sz="6" w:space="0"/>
            </w:tcBorders>
            <w:vAlign w:val="center"/>
          </w:tcPr>
          <w:p w14:paraId="1A8C54D0">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149E7819">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1E7203F7">
            <w:pPr>
              <w:keepNext w:val="0"/>
              <w:keepLines w:val="0"/>
              <w:widowControl w:val="0"/>
              <w:suppressLineNumbers w:val="0"/>
              <w:spacing w:before="0" w:beforeAutospacing="0" w:after="0" w:afterAutospacing="0"/>
              <w:ind w:left="0" w:right="0"/>
              <w:rPr>
                <w:rFonts w:hint="default" w:ascii="Arial Narrow" w:hAnsi="Arial Narrow" w:cs="Arial Narrow"/>
                <w:kern w:val="2"/>
                <w:sz w:val="20"/>
                <w:lang w:val="es-CO"/>
              </w:rPr>
            </w:pPr>
            <w:r>
              <w:rPr>
                <w:rFonts w:hint="default" w:ascii="Arial Narrow" w:hAnsi="Arial Narrow" w:cs="Arial Narrow"/>
                <w:b/>
                <w:bCs/>
                <w:kern w:val="2"/>
                <w:sz w:val="20"/>
              </w:rPr>
              <w:t>Evidencia verificable: </w:t>
            </w:r>
            <w:r>
              <w:rPr>
                <w:rFonts w:hint="default" w:ascii="Arial Narrow" w:hAnsi="Arial Narrow" w:eastAsia="SimSun" w:cs="Arial Narrow"/>
                <w:kern w:val="2"/>
                <w:sz w:val="24"/>
                <w:szCs w:val="24"/>
              </w:rPr>
              <w:fldChar w:fldCharType="begin"/>
            </w:r>
            <w:r>
              <w:rPr>
                <w:rFonts w:hint="default" w:ascii="Arial Narrow" w:hAnsi="Arial Narrow" w:eastAsia="SimSun" w:cs="Arial Narrow"/>
                <w:kern w:val="2"/>
                <w:sz w:val="24"/>
                <w:szCs w:val="24"/>
              </w:rPr>
              <w:instrText xml:space="preserve"> HYPERLINK "https://alimentosparaaprender.sharepoint.com/sites/subdireccindegestioncorporativa/Documentos compartidos/Forms/AllItems.aspx?id=/sites/subdireccindegestioncorporativa/Documentos compartidos/Gesti%C3%B3n Contractual/240.14. CONTRATOS/240.14.4 Contratos de Prestaci%C3%B3n de Servicios/2026/2. SUBDIRECCI%C3%93N GENERAL/UAPA-OPS-165-2026 DAYANA PATRICIA ABRIL MENDOZA/02. CONTRACTUALES/04. Ejecuci%C3%B3n/ABRIL 2026/Evidencia Obligaci%C3%B3n 4&amp;viewid=07e8a40c-bf62-4edf-b7f8-d4f60619d16c&amp;p=true&amp;ct=1774476363693&amp;or=OWA-NT-Mail&amp;cid=0dc24cac-b836-cbc9-baed-92b3b810b1ed" </w:instrText>
            </w:r>
            <w:r>
              <w:rPr>
                <w:rFonts w:hint="default" w:ascii="Arial Narrow" w:hAnsi="Arial Narrow" w:eastAsia="SimSun" w:cs="Arial Narrow"/>
                <w:kern w:val="2"/>
                <w:sz w:val="24"/>
                <w:szCs w:val="24"/>
              </w:rPr>
              <w:fldChar w:fldCharType="separate"/>
            </w:r>
            <w:r>
              <w:rPr>
                <w:rStyle w:val="9"/>
                <w:rFonts w:hint="default" w:ascii="Arial Narrow" w:hAnsi="Arial Narrow" w:eastAsia="SimSun" w:cs="Arial Narrow"/>
                <w:kern w:val="2"/>
                <w:sz w:val="24"/>
                <w:szCs w:val="24"/>
              </w:rPr>
              <w:t>Subdirección de Gestión Corporativa - Documentos - Evidencia Obligación 4 - Todos los documentos</w:t>
            </w:r>
            <w:r>
              <w:rPr>
                <w:rFonts w:hint="default" w:ascii="Arial Narrow" w:hAnsi="Arial Narrow" w:eastAsia="SimSun" w:cs="Arial Narrow"/>
                <w:kern w:val="2"/>
                <w:sz w:val="24"/>
                <w:szCs w:val="24"/>
              </w:rPr>
              <w:fldChar w:fldCharType="end"/>
            </w:r>
          </w:p>
        </w:tc>
      </w:tr>
      <w:tr w14:paraId="65BBBF9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90" w:hRule="atLeast"/>
        </w:trPr>
        <w:tc>
          <w:tcPr>
            <w:tcW w:w="545" w:type="dxa"/>
            <w:vMerge w:val="restart"/>
            <w:tcBorders>
              <w:top w:val="nil"/>
              <w:left w:val="single" w:color="auto" w:sz="6" w:space="0"/>
              <w:bottom w:val="single" w:color="000000" w:sz="6" w:space="0"/>
              <w:right w:val="single" w:color="auto" w:sz="6" w:space="0"/>
            </w:tcBorders>
            <w:vAlign w:val="center"/>
          </w:tcPr>
          <w:p w14:paraId="32A703C6">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5</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4C48968D">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lang w:val="es-CO"/>
              </w:rPr>
              <w:t>Elaborar informes técnicos periódicos sobre las actividades de inspección, vigilancia y control realizadas en las entidades territoriales asignadas, en los formatos y plazos definidos por el supervisor del contrato. </w:t>
            </w:r>
          </w:p>
        </w:tc>
        <w:tc>
          <w:tcPr>
            <w:tcW w:w="5141" w:type="dxa"/>
            <w:tcBorders>
              <w:top w:val="nil"/>
              <w:left w:val="nil"/>
              <w:bottom w:val="single" w:color="auto" w:sz="6" w:space="0"/>
              <w:right w:val="single" w:color="auto" w:sz="6" w:space="0"/>
            </w:tcBorders>
            <w:vAlign w:val="center"/>
          </w:tcPr>
          <w:p w14:paraId="1A31F03E">
            <w:pPr>
              <w:keepNext w:val="0"/>
              <w:keepLines w:val="0"/>
              <w:widowControl w:val="0"/>
              <w:suppressLineNumbers w:val="0"/>
              <w:spacing w:before="0" w:beforeAutospacing="0" w:after="0" w:afterAutospacing="0"/>
              <w:ind w:left="0" w:right="0"/>
              <w:rPr>
                <w:rFonts w:hint="default" w:ascii="Arial Narrow" w:hAnsi="Arial Narrow" w:cs="Arial"/>
                <w:kern w:val="2"/>
                <w:sz w:val="20"/>
                <w:lang w:val="es-MX"/>
              </w:rPr>
            </w:pPr>
            <w:r>
              <w:rPr>
                <w:rFonts w:hint="eastAsia" w:ascii="Arial Narrow" w:hAnsi="Arial Narrow" w:cs="Arial"/>
                <w:b/>
                <w:bCs/>
                <w:kern w:val="2"/>
                <w:sz w:val="20"/>
                <w:lang w:val="es-CO"/>
              </w:rPr>
              <w:t>Descripción del avance</w:t>
            </w:r>
            <w:r>
              <w:rPr>
                <w:rFonts w:hint="eastAsia" w:ascii="Arial Narrow" w:hAnsi="Arial Narrow" w:cs="Arial"/>
                <w:kern w:val="2"/>
                <w:sz w:val="20"/>
                <w:lang w:val="es-CO"/>
              </w:rPr>
              <w:t xml:space="preserve">:  Durante el mes de </w:t>
            </w:r>
            <w:r>
              <w:rPr>
                <w:rFonts w:hint="default" w:ascii="Arial Narrow" w:hAnsi="Arial Narrow" w:cs="Arial"/>
                <w:kern w:val="2"/>
                <w:sz w:val="20"/>
                <w:lang w:val="es-MX"/>
              </w:rPr>
              <w:t>abril</w:t>
            </w:r>
            <w:r>
              <w:rPr>
                <w:rFonts w:hint="eastAsia" w:ascii="Arial Narrow" w:hAnsi="Arial Narrow" w:cs="Arial"/>
                <w:kern w:val="2"/>
                <w:sz w:val="20"/>
                <w:lang w:val="es-CO"/>
              </w:rPr>
              <w:t xml:space="preserve"> no se adelantaron actividades relacionadas con esta obligación</w:t>
            </w:r>
            <w:r>
              <w:rPr>
                <w:rFonts w:hint="default" w:ascii="Arial Narrow" w:hAnsi="Arial Narrow" w:cs="Arial"/>
                <w:kern w:val="2"/>
                <w:sz w:val="20"/>
                <w:lang w:val="es-MX"/>
              </w:rPr>
              <w:t xml:space="preserve">. </w:t>
            </w:r>
          </w:p>
          <w:p w14:paraId="17C46DFA">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r>
      <w:tr w14:paraId="24E91AB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0" w:hRule="atLeast"/>
        </w:trPr>
        <w:tc>
          <w:tcPr>
            <w:tcW w:w="545" w:type="dxa"/>
            <w:vMerge w:val="continue"/>
            <w:tcBorders>
              <w:top w:val="nil"/>
              <w:left w:val="single" w:color="auto" w:sz="6" w:space="0"/>
              <w:bottom w:val="single" w:color="000000" w:sz="6" w:space="0"/>
              <w:right w:val="single" w:color="auto" w:sz="6" w:space="0"/>
            </w:tcBorders>
            <w:vAlign w:val="center"/>
          </w:tcPr>
          <w:p w14:paraId="6EB3329E">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6BA9BAE7">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69741226">
            <w:pPr>
              <w:keepNext w:val="0"/>
              <w:keepLines w:val="0"/>
              <w:widowControl w:val="0"/>
              <w:suppressLineNumbers w:val="0"/>
              <w:spacing w:before="0" w:beforeAutospacing="0" w:after="0" w:afterAutospacing="0"/>
              <w:ind w:left="0" w:right="0"/>
              <w:rPr>
                <w:rFonts w:hint="default" w:ascii="Arial Narrow" w:hAnsi="Arial Narrow" w:cs="Arial"/>
                <w:kern w:val="2"/>
                <w:sz w:val="20"/>
                <w:lang w:val="es-MX"/>
              </w:rPr>
            </w:pPr>
            <w:r>
              <w:rPr>
                <w:rFonts w:hint="eastAsia" w:ascii="Arial Narrow" w:hAnsi="Arial Narrow" w:cs="Arial"/>
                <w:b/>
                <w:bCs/>
                <w:kern w:val="2"/>
                <w:sz w:val="20"/>
                <w:lang w:val="es-CO"/>
              </w:rPr>
              <w:t>Evidencia verificable: </w:t>
            </w:r>
            <w:r>
              <w:rPr>
                <w:rFonts w:hint="default" w:ascii="Arial Narrow" w:hAnsi="Arial Narrow" w:cs="Arial"/>
                <w:b/>
                <w:bCs/>
                <w:kern w:val="2"/>
                <w:sz w:val="20"/>
                <w:lang w:val="es-MX"/>
              </w:rPr>
              <w:t>N/A</w:t>
            </w:r>
          </w:p>
        </w:tc>
      </w:tr>
      <w:tr w14:paraId="4C2D927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70" w:hRule="atLeast"/>
        </w:trPr>
        <w:tc>
          <w:tcPr>
            <w:tcW w:w="545" w:type="dxa"/>
            <w:vMerge w:val="restart"/>
            <w:tcBorders>
              <w:top w:val="nil"/>
              <w:left w:val="single" w:color="auto" w:sz="6" w:space="0"/>
              <w:bottom w:val="single" w:color="000000" w:sz="6" w:space="0"/>
              <w:right w:val="single" w:color="auto" w:sz="6" w:space="0"/>
            </w:tcBorders>
            <w:vAlign w:val="center"/>
          </w:tcPr>
          <w:p w14:paraId="1DB3A3D2">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6</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0FA07CFE">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lang w:val="es-CO"/>
              </w:rPr>
              <w:t>Brindar asistencia técnica a las entidades territoriales en la implementación de los lineamientos del PAE, orientando sobre procesos administrativos, financieros y operativos para mejorar la gestión del programa. </w:t>
            </w:r>
          </w:p>
        </w:tc>
        <w:tc>
          <w:tcPr>
            <w:tcW w:w="5141" w:type="dxa"/>
            <w:tcBorders>
              <w:top w:val="nil"/>
              <w:left w:val="nil"/>
              <w:bottom w:val="single" w:color="auto" w:sz="6" w:space="0"/>
              <w:right w:val="single" w:color="auto" w:sz="6" w:space="0"/>
            </w:tcBorders>
            <w:vAlign w:val="center"/>
          </w:tcPr>
          <w:p w14:paraId="1AE7DD9D">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Descripción del avance</w:t>
            </w:r>
            <w:r>
              <w:rPr>
                <w:rFonts w:hint="eastAsia" w:ascii="Arial Narrow" w:hAnsi="Arial Narrow" w:cs="Arial"/>
                <w:kern w:val="2"/>
                <w:sz w:val="20"/>
                <w:lang w:val="es-CO"/>
              </w:rPr>
              <w:t xml:space="preserve">: Durante el mes de </w:t>
            </w:r>
            <w:r>
              <w:rPr>
                <w:rFonts w:hint="default" w:ascii="Arial Narrow" w:hAnsi="Arial Narrow" w:cs="Arial"/>
                <w:kern w:val="2"/>
                <w:sz w:val="20"/>
                <w:lang w:val="es-MX"/>
              </w:rPr>
              <w:t>abril</w:t>
            </w:r>
            <w:r>
              <w:rPr>
                <w:rFonts w:hint="eastAsia" w:ascii="Arial Narrow" w:hAnsi="Arial Narrow" w:cs="Arial"/>
                <w:kern w:val="2"/>
                <w:sz w:val="20"/>
                <w:lang w:val="es-CO"/>
              </w:rPr>
              <w:t xml:space="preserve"> no se adelantaron actividades relacionadas con esta obligación, dado que no se gestionaron solicitudes de asistencia técnica dentro de las actividades asignadas durante este periodo. </w:t>
            </w:r>
          </w:p>
        </w:tc>
      </w:tr>
      <w:tr w14:paraId="48EEA37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0" w:hRule="atLeast"/>
        </w:trPr>
        <w:tc>
          <w:tcPr>
            <w:tcW w:w="545" w:type="dxa"/>
            <w:vMerge w:val="continue"/>
            <w:tcBorders>
              <w:top w:val="nil"/>
              <w:left w:val="single" w:color="auto" w:sz="6" w:space="0"/>
              <w:bottom w:val="single" w:color="000000" w:sz="6" w:space="0"/>
              <w:right w:val="single" w:color="auto" w:sz="6" w:space="0"/>
            </w:tcBorders>
            <w:vAlign w:val="center"/>
          </w:tcPr>
          <w:p w14:paraId="0B59F066">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14683FDD">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7E66CDB5">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Evidencia verificable: </w:t>
            </w:r>
            <w:r>
              <w:rPr>
                <w:rFonts w:hint="eastAsia" w:ascii="Arial Narrow" w:hAnsi="Arial Narrow" w:cs="Arial"/>
                <w:kern w:val="2"/>
                <w:sz w:val="20"/>
                <w:lang w:val="es-CO"/>
              </w:rPr>
              <w:t> N/A </w:t>
            </w:r>
          </w:p>
        </w:tc>
      </w:tr>
      <w:tr w14:paraId="5F0BD9A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70" w:hRule="atLeast"/>
        </w:trPr>
        <w:tc>
          <w:tcPr>
            <w:tcW w:w="545" w:type="dxa"/>
            <w:vMerge w:val="restart"/>
            <w:tcBorders>
              <w:top w:val="nil"/>
              <w:left w:val="single" w:color="auto" w:sz="6" w:space="0"/>
              <w:bottom w:val="single" w:color="000000" w:sz="6" w:space="0"/>
              <w:right w:val="single" w:color="auto" w:sz="6" w:space="0"/>
            </w:tcBorders>
            <w:vAlign w:val="center"/>
          </w:tcPr>
          <w:p w14:paraId="06012EA6">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7</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76674ECC">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lang w:val="es-CO"/>
              </w:rPr>
              <w:t>Participar en la elaboración de insumos técnicos para informes institucionales, presentaciones y comunicaciones oficiales que sustenten los procesos de la subdirección general. </w:t>
            </w:r>
          </w:p>
        </w:tc>
        <w:tc>
          <w:tcPr>
            <w:tcW w:w="5141" w:type="dxa"/>
            <w:tcBorders>
              <w:top w:val="nil"/>
              <w:left w:val="nil"/>
              <w:bottom w:val="single" w:color="auto" w:sz="6" w:space="0"/>
              <w:right w:val="single" w:color="auto" w:sz="6" w:space="0"/>
            </w:tcBorders>
            <w:vAlign w:val="center"/>
          </w:tcPr>
          <w:p w14:paraId="7446E6A9">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Descripción del avance</w:t>
            </w:r>
            <w:r>
              <w:rPr>
                <w:rFonts w:hint="eastAsia" w:ascii="Arial Narrow" w:hAnsi="Arial Narrow" w:cs="Arial"/>
                <w:kern w:val="2"/>
                <w:sz w:val="20"/>
                <w:lang w:val="es-CO"/>
              </w:rPr>
              <w:t xml:space="preserve">: Durante el mes de </w:t>
            </w:r>
            <w:r>
              <w:rPr>
                <w:rFonts w:hint="default" w:ascii="Arial Narrow" w:hAnsi="Arial Narrow" w:cs="Arial"/>
                <w:kern w:val="2"/>
                <w:sz w:val="20"/>
                <w:lang w:val="es-MX"/>
              </w:rPr>
              <w:t>abril</w:t>
            </w:r>
            <w:r>
              <w:rPr>
                <w:rFonts w:hint="eastAsia" w:ascii="Arial Narrow" w:hAnsi="Arial Narrow" w:cs="Arial"/>
                <w:kern w:val="2"/>
                <w:sz w:val="20"/>
                <w:lang w:val="es-CO"/>
              </w:rPr>
              <w:t xml:space="preserve"> no se adelantaron actividades relacionadas con esta obligación, dado que no se desarrollaron acciones de elaboración de insumos técnicos dentro de las actividades asignadas durante este periodo. </w:t>
            </w:r>
          </w:p>
        </w:tc>
      </w:tr>
      <w:tr w14:paraId="1D1F2EB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20" w:hRule="atLeast"/>
        </w:trPr>
        <w:tc>
          <w:tcPr>
            <w:tcW w:w="545" w:type="dxa"/>
            <w:vMerge w:val="continue"/>
            <w:tcBorders>
              <w:top w:val="nil"/>
              <w:left w:val="single" w:color="auto" w:sz="6" w:space="0"/>
              <w:bottom w:val="single" w:color="000000" w:sz="6" w:space="0"/>
              <w:right w:val="single" w:color="auto" w:sz="6" w:space="0"/>
            </w:tcBorders>
            <w:vAlign w:val="center"/>
          </w:tcPr>
          <w:p w14:paraId="64A9CA09">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60B8AA76">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27705FFD">
            <w:pPr>
              <w:keepNext w:val="0"/>
              <w:keepLines w:val="0"/>
              <w:widowControl w:val="0"/>
              <w:suppressLineNumbers w:val="0"/>
              <w:spacing w:before="0" w:beforeAutospacing="0" w:after="0" w:afterAutospacing="0"/>
              <w:ind w:left="0" w:right="0"/>
              <w:rPr>
                <w:rFonts w:hint="default" w:ascii="Arial Narrow" w:hAnsi="Arial Narrow" w:cs="Arial"/>
                <w:kern w:val="2"/>
                <w:sz w:val="20"/>
                <w:lang w:val="es-MX"/>
              </w:rPr>
            </w:pPr>
            <w:r>
              <w:rPr>
                <w:rFonts w:hint="eastAsia" w:ascii="Arial Narrow" w:hAnsi="Arial Narrow" w:cs="Arial"/>
                <w:b/>
                <w:bCs/>
                <w:kern w:val="2"/>
                <w:sz w:val="20"/>
                <w:lang w:val="es-CO"/>
              </w:rPr>
              <w:t>Evidencia verificable: </w:t>
            </w:r>
            <w:r>
              <w:rPr>
                <w:rFonts w:hint="eastAsia" w:ascii="Arial Narrow" w:hAnsi="Arial Narrow" w:cs="Arial"/>
                <w:kern w:val="2"/>
                <w:sz w:val="20"/>
                <w:lang w:val="es-CO"/>
              </w:rPr>
              <w:t> N/A </w:t>
            </w:r>
            <w:r>
              <w:rPr>
                <w:rFonts w:hint="default" w:ascii="Arial Narrow" w:hAnsi="Arial Narrow" w:cs="Arial"/>
                <w:kern w:val="2"/>
                <w:sz w:val="20"/>
                <w:lang w:val="es-MX"/>
              </w:rPr>
              <w:t xml:space="preserve"> </w:t>
            </w:r>
            <w:bookmarkStart w:id="1" w:name="_GoBack"/>
            <w:bookmarkEnd w:id="1"/>
          </w:p>
        </w:tc>
      </w:tr>
      <w:tr w14:paraId="64A6440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65" w:hRule="atLeast"/>
        </w:trPr>
        <w:tc>
          <w:tcPr>
            <w:tcW w:w="545" w:type="dxa"/>
            <w:vMerge w:val="restart"/>
            <w:tcBorders>
              <w:top w:val="nil"/>
              <w:left w:val="single" w:color="auto" w:sz="6" w:space="0"/>
              <w:bottom w:val="single" w:color="000000" w:sz="6" w:space="0"/>
              <w:right w:val="single" w:color="auto" w:sz="6" w:space="0"/>
            </w:tcBorders>
            <w:vAlign w:val="center"/>
          </w:tcPr>
          <w:p w14:paraId="504F4EEF">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8</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0D9412B9">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lang w:val="es-CO"/>
              </w:rPr>
              <w:t>Acompañar a la Subdirección General en reuniones técnicas o mesas de trabajo relacionadas con la planeación, seguimiento o ajuste de los procesos de la subdirección general. </w:t>
            </w:r>
          </w:p>
        </w:tc>
        <w:tc>
          <w:tcPr>
            <w:tcW w:w="5141" w:type="dxa"/>
            <w:tcBorders>
              <w:top w:val="single" w:color="auto" w:sz="6" w:space="0"/>
              <w:left w:val="single" w:color="auto" w:sz="6" w:space="0"/>
              <w:bottom w:val="single" w:color="auto" w:sz="6" w:space="0"/>
              <w:right w:val="single" w:color="auto" w:sz="6" w:space="0"/>
            </w:tcBorders>
            <w:vAlign w:val="center"/>
          </w:tcPr>
          <w:p w14:paraId="049F0C44">
            <w:pPr>
              <w:keepNext w:val="0"/>
              <w:keepLines w:val="0"/>
              <w:widowControl w:val="0"/>
              <w:suppressLineNumbers w:val="0"/>
              <w:spacing w:before="0" w:beforeAutospacing="0" w:after="0" w:afterAutospacing="0"/>
              <w:ind w:left="0" w:right="0"/>
              <w:rPr>
                <w:rFonts w:hint="default" w:ascii="Arial Narrow" w:hAnsi="Arial Narrow" w:cs="Arial"/>
                <w:kern w:val="2"/>
                <w:sz w:val="20"/>
                <w:lang w:val="es-MX"/>
              </w:rPr>
            </w:pPr>
            <w:r>
              <w:rPr>
                <w:rFonts w:hint="eastAsia" w:ascii="Arial Narrow" w:hAnsi="Arial Narrow" w:cs="Arial"/>
                <w:b/>
                <w:bCs/>
                <w:kern w:val="2"/>
                <w:sz w:val="20"/>
                <w:lang w:val="es-CO"/>
              </w:rPr>
              <w:t>Descripción del avance</w:t>
            </w:r>
            <w:r>
              <w:rPr>
                <w:rFonts w:hint="eastAsia" w:ascii="Arial Narrow" w:hAnsi="Arial Narrow" w:cs="Arial"/>
                <w:kern w:val="2"/>
                <w:sz w:val="20"/>
                <w:lang w:val="es-CO"/>
              </w:rPr>
              <w:t>: </w:t>
            </w:r>
            <w:r>
              <w:rPr>
                <w:rFonts w:hint="default" w:ascii="Arial Narrow" w:hAnsi="Arial Narrow" w:cs="Arial"/>
                <w:kern w:val="2"/>
                <w:sz w:val="20"/>
                <w:lang w:val="es-CO"/>
              </w:rPr>
              <w:t>El día 10 de abril se acompañó a mesa de trabajo, la cual es orientada a la planeación y seguimiento de los procesos a cargo de la dependencia, en la cual se brindó línea técnica respecto de las acciones prioritarias a desarrollar. Durante la jornada se definieron orientaciones para la elaboración y remisión de cartas de reiteración de solicitud de planes de mejoramiento pendientes, así como cartas de presentación dirigidas a las Entidades Territoriales Certificadas. De igual manera, se socializó la importancia de la formulación, adopción y seguimiento del Plan Operativo Anual de Inspección y Vigilancia (POAIV), como instrumento clave para fortalecer las acciones de control, monitoreo y mejora continua en la ejecución del Programa de Alimentación Escolar (PAE).</w:t>
            </w:r>
          </w:p>
        </w:tc>
      </w:tr>
      <w:tr w14:paraId="6EAC1E1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30" w:hRule="atLeast"/>
        </w:trPr>
        <w:tc>
          <w:tcPr>
            <w:tcW w:w="545" w:type="dxa"/>
            <w:vMerge w:val="continue"/>
            <w:tcBorders>
              <w:top w:val="nil"/>
              <w:left w:val="single" w:color="auto" w:sz="6" w:space="0"/>
              <w:bottom w:val="single" w:color="000000" w:sz="6" w:space="0"/>
              <w:right w:val="single" w:color="auto" w:sz="6" w:space="0"/>
            </w:tcBorders>
            <w:vAlign w:val="center"/>
          </w:tcPr>
          <w:p w14:paraId="598B8FC9">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5A17FF6A">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single" w:color="auto" w:sz="6" w:space="0"/>
              <w:left w:val="single" w:color="auto" w:sz="6" w:space="0"/>
              <w:bottom w:val="single" w:color="auto" w:sz="6" w:space="0"/>
              <w:right w:val="single" w:color="auto" w:sz="6" w:space="0"/>
            </w:tcBorders>
            <w:vAlign w:val="center"/>
          </w:tcPr>
          <w:p w14:paraId="65AE66D6">
            <w:pPr>
              <w:keepNext w:val="0"/>
              <w:keepLines w:val="0"/>
              <w:widowControl w:val="0"/>
              <w:suppressLineNumbers w:val="0"/>
              <w:spacing w:before="0" w:beforeAutospacing="0" w:after="0" w:afterAutospacing="0"/>
              <w:ind w:left="0" w:right="0"/>
              <w:rPr>
                <w:rFonts w:hint="default" w:ascii="Arial Narrow" w:hAnsi="Arial Narrow" w:cs="Arial"/>
                <w:kern w:val="2"/>
                <w:sz w:val="20"/>
                <w:lang w:val="es-MX"/>
              </w:rPr>
            </w:pPr>
            <w:r>
              <w:rPr>
                <w:rFonts w:hint="eastAsia" w:ascii="Arial Narrow" w:hAnsi="Arial Narrow" w:cs="Arial"/>
                <w:b/>
                <w:bCs/>
                <w:kern w:val="2"/>
                <w:sz w:val="20"/>
                <w:lang w:val="es-CO"/>
              </w:rPr>
              <w:t>Evidencia verificable:</w:t>
            </w:r>
            <w:r>
              <w:rPr>
                <w:rFonts w:hint="default" w:ascii="Arial Narrow" w:hAnsi="Arial Narrow" w:cs="Arial Narrow"/>
                <w:b/>
                <w:bCs/>
                <w:kern w:val="2"/>
                <w:sz w:val="20"/>
                <w:lang w:val="es-CO"/>
              </w:rPr>
              <w:t> </w:t>
            </w:r>
            <w:r>
              <w:rPr>
                <w:rFonts w:hint="default" w:ascii="Arial Narrow" w:hAnsi="Arial Narrow" w:eastAsia="SimSun" w:cs="Arial Narrow"/>
                <w:kern w:val="2"/>
                <w:sz w:val="24"/>
                <w:szCs w:val="24"/>
              </w:rPr>
              <w:fldChar w:fldCharType="begin"/>
            </w:r>
            <w:r>
              <w:rPr>
                <w:rFonts w:hint="default" w:ascii="Arial Narrow" w:hAnsi="Arial Narrow" w:eastAsia="SimSun" w:cs="Arial Narrow"/>
                <w:kern w:val="2"/>
                <w:sz w:val="24"/>
                <w:szCs w:val="24"/>
              </w:rPr>
              <w:instrText xml:space="preserve"> HYPERLINK "https://alimentosparaaprender.sharepoint.com/sites/subdireccindegestioncorporativa/Documentos compartidos/Forms/AllItems.aspx?id=/sites/subdireccindegestioncorporativa/Documentos compartidos/Gesti%C3%B3n Contractual/240.14. CONTRATOS/240.14.4 Contratos de Prestaci%C3%B3n de Servicios/2026/2. SUBDIRECCI%C3%93N GENERAL/UAPA-OPS-191-2026 DORIS ERCILIA RODRIGUEZ PEREZ/02. CONTRACTUALES/04. Ejecuci%C3%B3n/3. CUENTA ABRIL/Evidencia Obligaci%C3%B3n 8&amp;viewid=07e8a40c-bf62-4edf-b7f8-d4f60619d16c&amp;ct=1777468181484&amp;or=OWA-NT-Mail" </w:instrText>
            </w:r>
            <w:r>
              <w:rPr>
                <w:rFonts w:hint="default" w:ascii="Arial Narrow" w:hAnsi="Arial Narrow" w:eastAsia="SimSun" w:cs="Arial Narrow"/>
                <w:kern w:val="2"/>
                <w:sz w:val="24"/>
                <w:szCs w:val="24"/>
              </w:rPr>
              <w:fldChar w:fldCharType="separate"/>
            </w:r>
            <w:r>
              <w:rPr>
                <w:rStyle w:val="9"/>
                <w:rFonts w:hint="default" w:ascii="Arial Narrow" w:hAnsi="Arial Narrow" w:eastAsia="SimSun" w:cs="Arial Narrow"/>
                <w:kern w:val="2"/>
                <w:sz w:val="24"/>
                <w:szCs w:val="24"/>
              </w:rPr>
              <w:t>Subdirección de Gestión Corporativa - Documentos - Evidencia Obligación 8 - Todos los documentos</w:t>
            </w:r>
            <w:r>
              <w:rPr>
                <w:rFonts w:hint="default" w:ascii="Arial Narrow" w:hAnsi="Arial Narrow" w:eastAsia="SimSun" w:cs="Arial Narrow"/>
                <w:kern w:val="2"/>
                <w:sz w:val="24"/>
                <w:szCs w:val="24"/>
              </w:rPr>
              <w:fldChar w:fldCharType="end"/>
            </w:r>
          </w:p>
        </w:tc>
      </w:tr>
      <w:tr w14:paraId="2B8622E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30" w:hRule="atLeast"/>
        </w:trPr>
        <w:tc>
          <w:tcPr>
            <w:tcW w:w="545" w:type="dxa"/>
            <w:vMerge w:val="restart"/>
            <w:tcBorders>
              <w:top w:val="nil"/>
              <w:left w:val="single" w:color="auto" w:sz="6" w:space="0"/>
              <w:bottom w:val="single" w:color="000000" w:sz="6" w:space="0"/>
              <w:right w:val="single" w:color="auto" w:sz="6" w:space="0"/>
            </w:tcBorders>
            <w:vAlign w:val="center"/>
          </w:tcPr>
          <w:p w14:paraId="5C0A7BD1">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9</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193CF4B1">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lang w:val="es-CO"/>
              </w:rPr>
              <w:t>Realizar sensibilizaciones y asistencias técnica dirigidas las ETC sobre los lineamientos de inspección y vigilancia. </w:t>
            </w:r>
          </w:p>
        </w:tc>
        <w:tc>
          <w:tcPr>
            <w:tcW w:w="5141" w:type="dxa"/>
            <w:tcBorders>
              <w:top w:val="single" w:color="auto" w:sz="6" w:space="0"/>
              <w:left w:val="nil"/>
              <w:bottom w:val="single" w:color="auto" w:sz="6" w:space="0"/>
              <w:right w:val="single" w:color="auto" w:sz="6" w:space="0"/>
            </w:tcBorders>
            <w:vAlign w:val="center"/>
          </w:tcPr>
          <w:p w14:paraId="5283F621">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Descripción del avance</w:t>
            </w:r>
            <w:r>
              <w:rPr>
                <w:rFonts w:hint="eastAsia" w:ascii="Arial Narrow" w:hAnsi="Arial Narrow" w:cs="Arial"/>
                <w:kern w:val="2"/>
                <w:sz w:val="20"/>
                <w:lang w:val="es-CO"/>
              </w:rPr>
              <w:t xml:space="preserve">: Durante el mes de </w:t>
            </w:r>
            <w:r>
              <w:rPr>
                <w:rFonts w:hint="default" w:ascii="Arial Narrow" w:hAnsi="Arial Narrow" w:cs="Arial"/>
                <w:kern w:val="2"/>
                <w:sz w:val="20"/>
                <w:lang w:val="es-MX"/>
              </w:rPr>
              <w:t>abril</w:t>
            </w:r>
            <w:r>
              <w:rPr>
                <w:rFonts w:hint="eastAsia" w:ascii="Arial Narrow" w:hAnsi="Arial Narrow" w:cs="Arial"/>
                <w:kern w:val="2"/>
                <w:sz w:val="20"/>
                <w:lang w:val="es-CO"/>
              </w:rPr>
              <w:t xml:space="preserve"> no se adelantaron actividades relacionadas con esta obligación, dado que no se desarrollaron acciones de sensibilización ni asistencia técnica dentro de las actividades asignadas durante este periodo. </w:t>
            </w:r>
          </w:p>
        </w:tc>
      </w:tr>
      <w:tr w14:paraId="46635AD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0" w:hRule="atLeast"/>
        </w:trPr>
        <w:tc>
          <w:tcPr>
            <w:tcW w:w="545" w:type="dxa"/>
            <w:vMerge w:val="continue"/>
            <w:tcBorders>
              <w:top w:val="nil"/>
              <w:left w:val="single" w:color="auto" w:sz="6" w:space="0"/>
              <w:bottom w:val="single" w:color="000000" w:sz="6" w:space="0"/>
              <w:right w:val="single" w:color="auto" w:sz="6" w:space="0"/>
            </w:tcBorders>
            <w:vAlign w:val="center"/>
          </w:tcPr>
          <w:p w14:paraId="53F70796">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46EADA63">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3AC8DA16">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Evidencia verificable: </w:t>
            </w:r>
            <w:r>
              <w:rPr>
                <w:rFonts w:hint="eastAsia" w:ascii="Arial Narrow" w:hAnsi="Arial Narrow" w:cs="Arial"/>
                <w:kern w:val="2"/>
                <w:sz w:val="20"/>
                <w:lang w:val="es-CO"/>
              </w:rPr>
              <w:t> N/A </w:t>
            </w:r>
          </w:p>
        </w:tc>
      </w:tr>
      <w:tr w14:paraId="760A3D3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90" w:hRule="atLeast"/>
        </w:trPr>
        <w:tc>
          <w:tcPr>
            <w:tcW w:w="545" w:type="dxa"/>
            <w:vMerge w:val="restart"/>
            <w:tcBorders>
              <w:top w:val="nil"/>
              <w:left w:val="single" w:color="auto" w:sz="6" w:space="0"/>
              <w:bottom w:val="single" w:color="000000" w:sz="6" w:space="0"/>
              <w:right w:val="single" w:color="auto" w:sz="6" w:space="0"/>
            </w:tcBorders>
            <w:vAlign w:val="center"/>
          </w:tcPr>
          <w:p w14:paraId="6CA052E0">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10</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5D984FBD">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lang w:val="es-CO"/>
              </w:rPr>
              <w:t>Contribuir al fortalecimiento metodológico, documental y la divulgación de las leyes, normas reglamentarias y demás actos administrativos que sean pertinentes para el ejercicio de la inspección y vigilancia de los recursos asignados por el Gobierno nacional para financiar el PAE. </w:t>
            </w:r>
          </w:p>
        </w:tc>
        <w:tc>
          <w:tcPr>
            <w:tcW w:w="5141" w:type="dxa"/>
            <w:tcBorders>
              <w:top w:val="nil"/>
              <w:left w:val="nil"/>
              <w:bottom w:val="single" w:color="auto" w:sz="6" w:space="0"/>
              <w:right w:val="single" w:color="auto" w:sz="6" w:space="0"/>
            </w:tcBorders>
            <w:vAlign w:val="center"/>
          </w:tcPr>
          <w:p w14:paraId="3737E2F2">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Descripción del avance</w:t>
            </w:r>
            <w:r>
              <w:rPr>
                <w:rFonts w:hint="eastAsia" w:ascii="Arial Narrow" w:hAnsi="Arial Narrow" w:cs="Arial"/>
                <w:kern w:val="2"/>
                <w:sz w:val="20"/>
                <w:lang w:val="es-CO"/>
              </w:rPr>
              <w:t xml:space="preserve">:  Durante el mes de </w:t>
            </w:r>
            <w:r>
              <w:rPr>
                <w:rFonts w:hint="default" w:ascii="Arial Narrow" w:hAnsi="Arial Narrow" w:cs="Arial"/>
                <w:kern w:val="2"/>
                <w:sz w:val="20"/>
                <w:lang w:val="es-MX"/>
              </w:rPr>
              <w:t>abril</w:t>
            </w:r>
            <w:r>
              <w:rPr>
                <w:rFonts w:hint="eastAsia" w:ascii="Arial Narrow" w:hAnsi="Arial Narrow" w:cs="Arial"/>
                <w:kern w:val="2"/>
                <w:sz w:val="20"/>
                <w:lang w:val="es-CO"/>
              </w:rPr>
              <w:t xml:space="preserve"> no se adelantaron actividades relacionadas con esta obligación, en razón a que no se contemplaron acciones de fortalecimiento metodológico, documental ni de divulgación normativa dentro de las actividades asignadas durante este periodo. </w:t>
            </w:r>
          </w:p>
        </w:tc>
      </w:tr>
      <w:tr w14:paraId="5DDE651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0" w:hRule="atLeast"/>
        </w:trPr>
        <w:tc>
          <w:tcPr>
            <w:tcW w:w="545" w:type="dxa"/>
            <w:vMerge w:val="continue"/>
            <w:tcBorders>
              <w:top w:val="nil"/>
              <w:left w:val="single" w:color="auto" w:sz="6" w:space="0"/>
              <w:bottom w:val="single" w:color="000000" w:sz="6" w:space="0"/>
              <w:right w:val="single" w:color="auto" w:sz="6" w:space="0"/>
            </w:tcBorders>
            <w:vAlign w:val="center"/>
          </w:tcPr>
          <w:p w14:paraId="01DB8F59">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5F170280">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10C7D90C">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Evidencia verificable: </w:t>
            </w:r>
            <w:r>
              <w:rPr>
                <w:rFonts w:hint="eastAsia" w:ascii="Arial Narrow" w:hAnsi="Arial Narrow" w:cs="Arial"/>
                <w:kern w:val="2"/>
                <w:sz w:val="20"/>
                <w:lang w:val="es-CO"/>
              </w:rPr>
              <w:t>N/A </w:t>
            </w:r>
          </w:p>
        </w:tc>
      </w:tr>
      <w:tr w14:paraId="6B103A7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50" w:hRule="atLeast"/>
        </w:trPr>
        <w:tc>
          <w:tcPr>
            <w:tcW w:w="545" w:type="dxa"/>
            <w:vMerge w:val="restart"/>
            <w:tcBorders>
              <w:top w:val="nil"/>
              <w:left w:val="single" w:color="auto" w:sz="6" w:space="0"/>
              <w:bottom w:val="single" w:color="000000" w:sz="6" w:space="0"/>
              <w:right w:val="single" w:color="auto" w:sz="6" w:space="0"/>
            </w:tcBorders>
            <w:vAlign w:val="center"/>
          </w:tcPr>
          <w:p w14:paraId="37D92B5A">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11</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2160E92C">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lang w:val="es-CO"/>
              </w:rPr>
              <w:t>Presentar informes periódicos y un informe final de las actividades desarrolladas, conforme a los formatos, cronograma y lineamientos establecidos por el supervisor del contrato. </w:t>
            </w:r>
          </w:p>
        </w:tc>
        <w:tc>
          <w:tcPr>
            <w:tcW w:w="5141" w:type="dxa"/>
            <w:tcBorders>
              <w:top w:val="nil"/>
              <w:left w:val="nil"/>
              <w:bottom w:val="single" w:color="auto" w:sz="6" w:space="0"/>
              <w:right w:val="single" w:color="auto" w:sz="6" w:space="0"/>
            </w:tcBorders>
            <w:vAlign w:val="center"/>
          </w:tcPr>
          <w:p w14:paraId="1DDE0FC8">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Descripción del avance</w:t>
            </w:r>
            <w:r>
              <w:rPr>
                <w:rFonts w:hint="eastAsia" w:ascii="Arial Narrow" w:hAnsi="Arial Narrow" w:cs="Arial"/>
                <w:kern w:val="2"/>
                <w:sz w:val="20"/>
                <w:lang w:val="es-CO"/>
              </w:rPr>
              <w:t xml:space="preserve">: </w:t>
            </w:r>
            <w:r>
              <w:rPr>
                <w:rFonts w:hint="eastAsia" w:ascii="Arial Narrow" w:hAnsi="Arial Narrow" w:cs="Arial"/>
                <w:kern w:val="2"/>
                <w:sz w:val="20"/>
              </w:rPr>
              <w:t xml:space="preserve">Durante el periodo reportado, se elaboró y presentó el informe mensual de actividades correspondiente al mes de </w:t>
            </w:r>
            <w:r>
              <w:rPr>
                <w:rFonts w:hint="default" w:ascii="Arial Narrow" w:hAnsi="Arial Narrow" w:cs="Arial"/>
                <w:kern w:val="2"/>
                <w:sz w:val="20"/>
                <w:lang w:val="es-MX"/>
              </w:rPr>
              <w:t>abril</w:t>
            </w:r>
            <w:r>
              <w:rPr>
                <w:rFonts w:hint="eastAsia" w:ascii="Arial Narrow" w:hAnsi="Arial Narrow" w:cs="Arial"/>
                <w:kern w:val="2"/>
                <w:sz w:val="20"/>
              </w:rPr>
              <w:t xml:space="preserve"> 2026, en cumplimiento de los formatos, cronograma y lineamientos definidos por la supervisión del contrato.</w:t>
            </w:r>
          </w:p>
        </w:tc>
      </w:tr>
      <w:tr w14:paraId="0BDDE32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80" w:hRule="atLeast"/>
        </w:trPr>
        <w:tc>
          <w:tcPr>
            <w:tcW w:w="545" w:type="dxa"/>
            <w:vMerge w:val="continue"/>
            <w:tcBorders>
              <w:top w:val="nil"/>
              <w:left w:val="single" w:color="auto" w:sz="6" w:space="0"/>
              <w:bottom w:val="single" w:color="000000" w:sz="6" w:space="0"/>
              <w:right w:val="single" w:color="auto" w:sz="6" w:space="0"/>
            </w:tcBorders>
            <w:vAlign w:val="center"/>
          </w:tcPr>
          <w:p w14:paraId="68A05DD1">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6B3C12BC">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7AA7A124">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Evidencia verificable: </w:t>
            </w:r>
            <w:r>
              <w:rPr>
                <w:rFonts w:hint="eastAsia" w:ascii="Arial Narrow" w:hAnsi="Arial Narrow" w:cs="Arial"/>
                <w:kern w:val="2"/>
                <w:sz w:val="20"/>
                <w:lang w:val="es-CO"/>
              </w:rPr>
              <w:t xml:space="preserve">  </w:t>
            </w:r>
            <w:r>
              <w:rPr>
                <w:rFonts w:hint="default" w:ascii="Arial Narrow" w:hAnsi="Arial Narrow" w:eastAsia="SimSun" w:cs="Arial Narrow"/>
                <w:kern w:val="2"/>
                <w:sz w:val="24"/>
                <w:szCs w:val="24"/>
              </w:rPr>
              <w:fldChar w:fldCharType="begin"/>
            </w:r>
            <w:r>
              <w:rPr>
                <w:rFonts w:hint="default" w:ascii="Arial Narrow" w:hAnsi="Arial Narrow" w:eastAsia="SimSun" w:cs="Arial Narrow"/>
                <w:kern w:val="2"/>
                <w:sz w:val="24"/>
                <w:szCs w:val="24"/>
              </w:rPr>
              <w:instrText xml:space="preserve"> HYPERLINK "https://alimentosparaaprender.sharepoint.com/sites/subdireccindegestioncorporativa/Documentos compartidos/Forms/AllItems.aspx?id=/sites/subdireccindegestioncorporativa/Documentos compartidos/Gesti%C3%B3n Contractual/240.14. CONTRATOS/240.14.4 Contratos de Prestaci%C3%B3n de Servicios/2026/2. SUBDIRECCI%C3%93N GENERAL/UAPA-OPS-165-2026 DAYANA PATRICIA ABRIL MENDOZA/02. CONTRACTUALES/04. Ejecuci%C3%B3n/ABRIL 2026/Evidencia obligaci%C3%B3n 11&amp;viewid=07e8a40c-bf62-4edf-b7f8-d4f60619d16c&amp;p=true&amp;ct=1774476363693&amp;or=OWA-NT-Mail&amp;cid=0dc24cac-b836-cbc9-baed-92b3b810b1ed" </w:instrText>
            </w:r>
            <w:r>
              <w:rPr>
                <w:rFonts w:hint="default" w:ascii="Arial Narrow" w:hAnsi="Arial Narrow" w:eastAsia="SimSun" w:cs="Arial Narrow"/>
                <w:kern w:val="2"/>
                <w:sz w:val="24"/>
                <w:szCs w:val="24"/>
              </w:rPr>
              <w:fldChar w:fldCharType="separate"/>
            </w:r>
            <w:r>
              <w:rPr>
                <w:rStyle w:val="9"/>
                <w:rFonts w:hint="default" w:ascii="Arial Narrow" w:hAnsi="Arial Narrow" w:eastAsia="SimSun" w:cs="Arial Narrow"/>
                <w:kern w:val="2"/>
                <w:sz w:val="24"/>
                <w:szCs w:val="24"/>
              </w:rPr>
              <w:t>Subdirección de Gestión Corporativa - Documentos - Evidencia obligación 11 - Todos los documentos</w:t>
            </w:r>
            <w:r>
              <w:rPr>
                <w:rFonts w:hint="default" w:ascii="Arial Narrow" w:hAnsi="Arial Narrow" w:eastAsia="SimSun" w:cs="Arial Narrow"/>
                <w:kern w:val="2"/>
                <w:sz w:val="24"/>
                <w:szCs w:val="24"/>
              </w:rPr>
              <w:fldChar w:fldCharType="end"/>
            </w:r>
          </w:p>
        </w:tc>
      </w:tr>
      <w:tr w14:paraId="165B6C1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335" w:hRule="atLeast"/>
        </w:trPr>
        <w:tc>
          <w:tcPr>
            <w:tcW w:w="545" w:type="dxa"/>
            <w:vMerge w:val="restart"/>
            <w:tcBorders>
              <w:top w:val="nil"/>
              <w:left w:val="single" w:color="auto" w:sz="6" w:space="0"/>
              <w:bottom w:val="single" w:color="000000" w:sz="6" w:space="0"/>
              <w:right w:val="single" w:color="auto" w:sz="6" w:space="0"/>
            </w:tcBorders>
            <w:vAlign w:val="center"/>
          </w:tcPr>
          <w:p w14:paraId="5A61345A">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12</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5E2235F6">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lang w:val="es-CO"/>
              </w:rPr>
              <w:t>Participar en reuniones técnicas, mesas de trabajo y espacios interinstitucionales convocados por la Unidad, aportando insumos técnicos y reportes para la toma de decisiones. </w:t>
            </w:r>
          </w:p>
        </w:tc>
        <w:tc>
          <w:tcPr>
            <w:tcW w:w="5141" w:type="dxa"/>
            <w:tcBorders>
              <w:top w:val="nil"/>
              <w:left w:val="nil"/>
              <w:bottom w:val="single" w:color="auto" w:sz="6" w:space="0"/>
              <w:right w:val="single" w:color="auto" w:sz="6" w:space="0"/>
            </w:tcBorders>
            <w:vAlign w:val="center"/>
          </w:tcPr>
          <w:p w14:paraId="617D1354">
            <w:pPr>
              <w:keepNext w:val="0"/>
              <w:keepLines w:val="0"/>
              <w:widowControl w:val="0"/>
              <w:suppressLineNumbers w:val="0"/>
              <w:spacing w:before="0" w:beforeAutospacing="0" w:after="0" w:afterAutospacing="0"/>
              <w:ind w:left="0" w:right="0"/>
              <w:rPr>
                <w:rFonts w:hint="default" w:ascii="Arial Narrow" w:hAnsi="Arial Narrow" w:cs="Arial"/>
                <w:kern w:val="2"/>
                <w:sz w:val="20"/>
                <w:lang w:val="es-MX"/>
              </w:rPr>
            </w:pPr>
            <w:r>
              <w:rPr>
                <w:rFonts w:hint="eastAsia" w:ascii="Arial Narrow" w:hAnsi="Arial Narrow" w:cs="Arial"/>
                <w:b/>
                <w:bCs/>
                <w:kern w:val="2"/>
                <w:sz w:val="20"/>
                <w:lang w:val="es-CO"/>
              </w:rPr>
              <w:t>Descripción del avance</w:t>
            </w:r>
            <w:r>
              <w:rPr>
                <w:rFonts w:hint="eastAsia" w:ascii="Arial Narrow" w:hAnsi="Arial Narrow" w:cs="Arial"/>
                <w:kern w:val="2"/>
                <w:sz w:val="20"/>
                <w:lang w:val="es-CO"/>
              </w:rPr>
              <w:t>:  </w:t>
            </w:r>
            <w:r>
              <w:rPr>
                <w:rFonts w:hint="eastAsia" w:ascii="Arial Narrow" w:hAnsi="Arial Narrow" w:cs="Arial"/>
                <w:kern w:val="2"/>
                <w:sz w:val="20"/>
              </w:rPr>
              <w:t xml:space="preserve">En cumplimiento de la presente obligación, se participó en reuniones técnicas y espacios de trabajo convocados por la Unidad, aportando insumos para el análisis y seguimiento de las actividades. Entre estas se destacan: las sesiones desarrolladas los días </w:t>
            </w:r>
            <w:r>
              <w:rPr>
                <w:rFonts w:hint="default" w:ascii="Arial Narrow" w:hAnsi="Arial Narrow" w:cs="Arial"/>
                <w:kern w:val="2"/>
                <w:sz w:val="20"/>
                <w:lang w:val="es-MX"/>
              </w:rPr>
              <w:t>10,</w:t>
            </w:r>
            <w:r>
              <w:rPr>
                <w:rFonts w:hint="eastAsia" w:ascii="Arial Narrow" w:hAnsi="Arial Narrow" w:cs="Arial"/>
                <w:kern w:val="2"/>
                <w:sz w:val="20"/>
              </w:rPr>
              <w:t>2</w:t>
            </w:r>
            <w:r>
              <w:rPr>
                <w:rFonts w:hint="default" w:ascii="Arial Narrow" w:hAnsi="Arial Narrow" w:cs="Arial"/>
                <w:kern w:val="2"/>
                <w:sz w:val="20"/>
                <w:lang w:val="es-MX"/>
              </w:rPr>
              <w:t>0 y 29</w:t>
            </w:r>
            <w:r>
              <w:rPr>
                <w:rFonts w:hint="eastAsia" w:ascii="Arial Narrow" w:hAnsi="Arial Narrow" w:cs="Arial"/>
                <w:kern w:val="2"/>
                <w:sz w:val="20"/>
              </w:rPr>
              <w:t xml:space="preserve"> de </w:t>
            </w:r>
            <w:r>
              <w:rPr>
                <w:rFonts w:hint="default" w:ascii="Arial Narrow" w:hAnsi="Arial Narrow" w:cs="Arial"/>
                <w:kern w:val="2"/>
                <w:sz w:val="20"/>
                <w:lang w:val="es-MX"/>
              </w:rPr>
              <w:t>abril</w:t>
            </w:r>
            <w:r>
              <w:rPr>
                <w:rFonts w:hint="eastAsia" w:ascii="Arial Narrow" w:hAnsi="Arial Narrow" w:cs="Arial"/>
                <w:kern w:val="2"/>
                <w:sz w:val="20"/>
              </w:rPr>
              <w:t xml:space="preserve"> de 2026, orientadas </w:t>
            </w:r>
            <w:r>
              <w:rPr>
                <w:rFonts w:hint="default" w:ascii="Arial Narrow" w:hAnsi="Arial Narrow" w:cs="Arial"/>
                <w:kern w:val="2"/>
                <w:sz w:val="20"/>
                <w:lang w:val="es-MX"/>
              </w:rPr>
              <w:t>a la solicitud de los planes de mejora de los hallazgos</w:t>
            </w:r>
            <w:r>
              <w:rPr>
                <w:rFonts w:hint="eastAsia" w:ascii="Arial Narrow" w:hAnsi="Arial Narrow" w:cs="Arial"/>
                <w:kern w:val="2"/>
                <w:sz w:val="20"/>
              </w:rPr>
              <w:t xml:space="preserve"> de la Contraloría General de la República correspondientes a las vigencias 2024 y 2025</w:t>
            </w:r>
            <w:r>
              <w:rPr>
                <w:rFonts w:hint="default" w:ascii="Arial Narrow" w:hAnsi="Arial Narrow" w:cs="Arial"/>
                <w:kern w:val="2"/>
                <w:sz w:val="20"/>
                <w:lang w:val="es-MX"/>
              </w:rPr>
              <w:t>.</w:t>
            </w:r>
          </w:p>
          <w:p w14:paraId="16B6DFC6">
            <w:pPr>
              <w:keepNext w:val="0"/>
              <w:keepLines w:val="0"/>
              <w:widowControl w:val="0"/>
              <w:suppressLineNumbers w:val="0"/>
              <w:spacing w:before="0" w:beforeAutospacing="0" w:after="0" w:afterAutospacing="0"/>
              <w:ind w:left="0" w:right="0"/>
              <w:rPr>
                <w:rFonts w:hint="default" w:ascii="Arial Narrow" w:hAnsi="Arial Narrow" w:cs="Arial"/>
                <w:kern w:val="2"/>
                <w:sz w:val="20"/>
                <w:lang w:val="es-MX"/>
              </w:rPr>
            </w:pPr>
            <w:r>
              <w:rPr>
                <w:rFonts w:hint="default" w:ascii="Arial Narrow" w:hAnsi="Arial Narrow" w:cs="Arial"/>
                <w:kern w:val="2"/>
                <w:sz w:val="20"/>
                <w:lang w:val="es-MX"/>
              </w:rPr>
              <w:t xml:space="preserve">Ademas se brindan claridades sobre la creacion y envio de cartas de presentacion a cada una de las ETC asignadas (Boyacá, Sogamo, Duitama, Tunja y Vaupes).  </w:t>
            </w:r>
          </w:p>
        </w:tc>
      </w:tr>
      <w:tr w14:paraId="6DF5463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70" w:hRule="atLeast"/>
        </w:trPr>
        <w:tc>
          <w:tcPr>
            <w:tcW w:w="545" w:type="dxa"/>
            <w:vMerge w:val="continue"/>
            <w:tcBorders>
              <w:top w:val="nil"/>
              <w:left w:val="single" w:color="auto" w:sz="6" w:space="0"/>
              <w:bottom w:val="single" w:color="000000" w:sz="6" w:space="0"/>
              <w:right w:val="single" w:color="auto" w:sz="6" w:space="0"/>
            </w:tcBorders>
            <w:vAlign w:val="center"/>
          </w:tcPr>
          <w:p w14:paraId="4C4F4BE8">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191FE60A">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77C8D08A">
            <w:pPr>
              <w:keepNext w:val="0"/>
              <w:keepLines w:val="0"/>
              <w:widowControl w:val="0"/>
              <w:suppressLineNumbers w:val="0"/>
              <w:spacing w:before="0" w:beforeAutospacing="0" w:after="0" w:afterAutospacing="0"/>
              <w:ind w:left="0" w:right="0"/>
              <w:rPr>
                <w:rFonts w:hint="default" w:ascii="Arial Narrow" w:hAnsi="Arial Narrow" w:cs="Arial Narrow"/>
                <w:kern w:val="2"/>
                <w:sz w:val="20"/>
                <w:lang w:val="es-CO"/>
              </w:rPr>
            </w:pPr>
            <w:r>
              <w:rPr>
                <w:rFonts w:hint="default" w:ascii="Arial Narrow" w:hAnsi="Arial Narrow" w:cs="Arial Narrow"/>
                <w:b/>
                <w:bCs/>
                <w:kern w:val="2"/>
                <w:sz w:val="20"/>
                <w:lang w:val="es-CO"/>
              </w:rPr>
              <w:t>Evidencia verificable: </w:t>
            </w:r>
            <w:r>
              <w:rPr>
                <w:rFonts w:hint="default" w:ascii="Arial Narrow" w:hAnsi="Arial Narrow" w:eastAsia="SimSun" w:cs="Arial Narrow"/>
                <w:b/>
                <w:bCs/>
                <w:kern w:val="2"/>
                <w:sz w:val="20"/>
                <w:lang w:val="es-CO"/>
              </w:rPr>
              <w:t xml:space="preserve"> </w:t>
            </w:r>
            <w:r>
              <w:rPr>
                <w:rFonts w:hint="default" w:ascii="Arial Narrow" w:hAnsi="Arial Narrow" w:eastAsia="SimSun" w:cs="Arial Narrow"/>
                <w:kern w:val="2"/>
                <w:sz w:val="24"/>
                <w:szCs w:val="24"/>
              </w:rPr>
              <w:fldChar w:fldCharType="begin"/>
            </w:r>
            <w:r>
              <w:rPr>
                <w:rFonts w:hint="default" w:ascii="Arial Narrow" w:hAnsi="Arial Narrow" w:eastAsia="SimSun" w:cs="Arial Narrow"/>
                <w:kern w:val="2"/>
                <w:sz w:val="24"/>
                <w:szCs w:val="24"/>
              </w:rPr>
              <w:instrText xml:space="preserve"> HYPERLINK "https://alimentosparaaprender.sharepoint.com/sites/subdireccindegestioncorporativa/Documentos compartidos/Forms/AllItems.aspx?id=/sites/subdireccindegestioncorporativa/Documentos compartidos/Gesti%C3%B3n Contractual/240.14. CONTRATOS/240.14.4 Contratos de Prestaci%C3%B3n de Servicios/2026/2. SUBDIRECCI%C3%93N GENERAL/UAPA-OPS-165-2026 DAYANA PATRICIA ABRIL MENDOZA/02. CONTRACTUALES/04. Ejecuci%C3%B3n/ABRIL 2026/Evidencia Obligaci%C3%B3n 12&amp;viewid=07e8a40c-bf62-4edf-b7f8-d4f60619d16c&amp;p=true&amp;ct=1774476363693&amp;or=OWA-NT-Mail&amp;cid=0dc24cac-b836-cbc9-baed-92b3b810b1ed" </w:instrText>
            </w:r>
            <w:r>
              <w:rPr>
                <w:rFonts w:hint="default" w:ascii="Arial Narrow" w:hAnsi="Arial Narrow" w:eastAsia="SimSun" w:cs="Arial Narrow"/>
                <w:kern w:val="2"/>
                <w:sz w:val="24"/>
                <w:szCs w:val="24"/>
              </w:rPr>
              <w:fldChar w:fldCharType="separate"/>
            </w:r>
            <w:r>
              <w:rPr>
                <w:rStyle w:val="9"/>
                <w:rFonts w:hint="default" w:ascii="Arial Narrow" w:hAnsi="Arial Narrow" w:eastAsia="SimSun" w:cs="Arial Narrow"/>
                <w:kern w:val="2"/>
                <w:sz w:val="24"/>
                <w:szCs w:val="24"/>
              </w:rPr>
              <w:t>Subdirección de Gestión Corporativa - Documentos - Evidencia Obligación 12 - Todos los documentos</w:t>
            </w:r>
            <w:r>
              <w:rPr>
                <w:rFonts w:hint="default" w:ascii="Arial Narrow" w:hAnsi="Arial Narrow" w:eastAsia="SimSun" w:cs="Arial Narrow"/>
                <w:kern w:val="2"/>
                <w:sz w:val="24"/>
                <w:szCs w:val="24"/>
              </w:rPr>
              <w:fldChar w:fldCharType="end"/>
            </w:r>
          </w:p>
        </w:tc>
      </w:tr>
      <w:tr w14:paraId="3DA26C6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10" w:hRule="atLeast"/>
        </w:trPr>
        <w:tc>
          <w:tcPr>
            <w:tcW w:w="545" w:type="dxa"/>
            <w:vMerge w:val="restart"/>
            <w:tcBorders>
              <w:top w:val="nil"/>
              <w:left w:val="single" w:color="auto" w:sz="6" w:space="0"/>
              <w:bottom w:val="single" w:color="000000" w:sz="6" w:space="0"/>
              <w:right w:val="single" w:color="auto" w:sz="6" w:space="0"/>
            </w:tcBorders>
            <w:vAlign w:val="center"/>
          </w:tcPr>
          <w:p w14:paraId="75930D55">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b/>
                <w:bCs/>
                <w:kern w:val="2"/>
                <w:sz w:val="20"/>
                <w:lang w:val="es-CO"/>
              </w:rPr>
              <w:t>13</w:t>
            </w:r>
            <w:r>
              <w:rPr>
                <w:rFonts w:hint="eastAsia" w:ascii="Arial Narrow" w:hAnsi="Arial Narrow" w:cs="Arial"/>
                <w:kern w:val="2"/>
                <w:sz w:val="20"/>
                <w:lang w:val="es-CO"/>
              </w:rPr>
              <w:t> </w:t>
            </w:r>
          </w:p>
        </w:tc>
        <w:tc>
          <w:tcPr>
            <w:tcW w:w="4110" w:type="dxa"/>
            <w:vMerge w:val="restart"/>
            <w:tcBorders>
              <w:top w:val="nil"/>
              <w:left w:val="single" w:color="auto" w:sz="6" w:space="0"/>
              <w:bottom w:val="single" w:color="000000" w:sz="6" w:space="0"/>
              <w:right w:val="single" w:color="auto" w:sz="6" w:space="0"/>
            </w:tcBorders>
            <w:vAlign w:val="center"/>
          </w:tcPr>
          <w:p w14:paraId="25736AFE">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r>
              <w:rPr>
                <w:rFonts w:hint="eastAsia" w:ascii="Arial Narrow" w:hAnsi="Arial Narrow" w:cs="Arial"/>
                <w:kern w:val="2"/>
                <w:sz w:val="20"/>
                <w:lang w:val="es-CO"/>
              </w:rPr>
              <w:t>Ejecutar las demás actividades que le sean asignadas por el supervisor del contrato, siempre que guarden relación con el objeto contractual y se encuentren dentro del marco legal vigente </w:t>
            </w:r>
          </w:p>
        </w:tc>
        <w:tc>
          <w:tcPr>
            <w:tcW w:w="5141" w:type="dxa"/>
            <w:tcBorders>
              <w:top w:val="nil"/>
              <w:left w:val="nil"/>
              <w:bottom w:val="single" w:color="auto" w:sz="6" w:space="0"/>
              <w:right w:val="single" w:color="auto" w:sz="6" w:space="0"/>
            </w:tcBorders>
            <w:vAlign w:val="center"/>
          </w:tcPr>
          <w:p w14:paraId="3AF933AB">
            <w:pPr>
              <w:keepNext w:val="0"/>
              <w:keepLines w:val="0"/>
              <w:widowControl w:val="0"/>
              <w:suppressLineNumbers w:val="0"/>
              <w:spacing w:before="0" w:beforeAutospacing="0" w:after="0" w:afterAutospacing="0"/>
              <w:ind w:left="0" w:right="0"/>
              <w:rPr>
                <w:rFonts w:hint="default" w:ascii="Arial Narrow" w:hAnsi="Arial Narrow" w:cs="Arial"/>
                <w:kern w:val="2"/>
                <w:sz w:val="20"/>
                <w:lang w:val="es-MX"/>
              </w:rPr>
            </w:pPr>
            <w:r>
              <w:rPr>
                <w:rFonts w:hint="eastAsia" w:ascii="Arial Narrow" w:hAnsi="Arial Narrow" w:cs="Arial"/>
                <w:b/>
                <w:bCs/>
                <w:kern w:val="2"/>
                <w:sz w:val="20"/>
                <w:lang w:val="es-CO"/>
              </w:rPr>
              <w:t>Descripción del avance</w:t>
            </w:r>
            <w:r>
              <w:rPr>
                <w:rFonts w:hint="eastAsia" w:ascii="Arial Narrow" w:hAnsi="Arial Narrow" w:cs="Arial"/>
                <w:kern w:val="2"/>
                <w:sz w:val="20"/>
                <w:lang w:val="es-CO"/>
              </w:rPr>
              <w:t>: </w:t>
            </w:r>
            <w:r>
              <w:rPr>
                <w:rFonts w:hint="eastAsia" w:ascii="Arial Narrow" w:hAnsi="Arial Narrow" w:cs="Arial"/>
                <w:kern w:val="2"/>
                <w:sz w:val="20"/>
              </w:rPr>
              <w:t>En cumplimiento de la presente obligación, se elaboraron y radicaron, a través del sistema ORFEO, l</w:t>
            </w:r>
            <w:r>
              <w:rPr>
                <w:rFonts w:hint="default" w:ascii="Arial Narrow" w:hAnsi="Arial Narrow" w:cs="Arial"/>
                <w:kern w:val="2"/>
                <w:sz w:val="20"/>
                <w:lang w:val="es-MX"/>
              </w:rPr>
              <w:t>a</w:t>
            </w:r>
            <w:r>
              <w:rPr>
                <w:rFonts w:hint="eastAsia" w:ascii="Arial Narrow" w:hAnsi="Arial Narrow" w:cs="Arial"/>
                <w:kern w:val="2"/>
                <w:sz w:val="20"/>
              </w:rPr>
              <w:t xml:space="preserve">s </w:t>
            </w:r>
            <w:r>
              <w:rPr>
                <w:rFonts w:hint="default" w:ascii="Arial Narrow" w:hAnsi="Arial Narrow" w:cs="Arial"/>
                <w:kern w:val="2"/>
                <w:sz w:val="20"/>
                <w:lang w:val="es-MX"/>
              </w:rPr>
              <w:t>cartas de presentacion a cada ETC asignada.</w:t>
            </w:r>
          </w:p>
          <w:p w14:paraId="57DC6884">
            <w:pPr>
              <w:keepNext w:val="0"/>
              <w:keepLines w:val="0"/>
              <w:widowControl w:val="0"/>
              <w:suppressLineNumbers w:val="0"/>
              <w:spacing w:before="0" w:beforeAutospacing="0" w:after="0" w:afterAutospacing="0"/>
              <w:ind w:left="0" w:right="0"/>
              <w:rPr>
                <w:rFonts w:hint="default" w:ascii="Arial Narrow" w:hAnsi="Arial Narrow" w:cs="Arial"/>
                <w:kern w:val="2"/>
                <w:sz w:val="20"/>
                <w:lang w:val="es-MX"/>
              </w:rPr>
            </w:pPr>
            <w:r>
              <w:rPr>
                <w:rFonts w:hint="default" w:ascii="Arial Narrow" w:hAnsi="Arial Narrow" w:cs="Arial"/>
                <w:kern w:val="2"/>
                <w:sz w:val="20"/>
                <w:lang w:val="es-MX"/>
              </w:rPr>
              <w:t>Ademas se envia a traves de correo electronico la reiteracion de</w:t>
            </w:r>
            <w:r>
              <w:rPr>
                <w:rFonts w:hint="eastAsia" w:ascii="Arial Narrow" w:hAnsi="Arial Narrow" w:cs="Arial"/>
                <w:kern w:val="2"/>
                <w:sz w:val="20"/>
              </w:rPr>
              <w:t xml:space="preserve"> planes de mejoramiento derivados de la Auditoría de Cumplimiento realizada por la Contraloría General de la República, relacionados con los hallazgos asociados al Programa de Alimentación Escolar (PAE) correspondientes a las vigencias 2023 y 2024. Dichos requerimientos fueron dirigidos a las Entidades Territoriales Certificadas del Departamento de Boyacá, el Departamento de </w:t>
            </w:r>
            <w:r>
              <w:rPr>
                <w:rFonts w:hint="default" w:ascii="Arial Narrow" w:hAnsi="Arial Narrow" w:cs="Arial"/>
                <w:kern w:val="2"/>
                <w:sz w:val="20"/>
                <w:lang w:val="es-MX"/>
              </w:rPr>
              <w:t xml:space="preserve">Vaupes. </w:t>
            </w:r>
          </w:p>
        </w:tc>
      </w:tr>
      <w:tr w14:paraId="595ACC5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30" w:hRule="atLeast"/>
        </w:trPr>
        <w:tc>
          <w:tcPr>
            <w:tcW w:w="545" w:type="dxa"/>
            <w:vMerge w:val="continue"/>
            <w:tcBorders>
              <w:top w:val="nil"/>
              <w:left w:val="single" w:color="auto" w:sz="6" w:space="0"/>
              <w:bottom w:val="single" w:color="000000" w:sz="6" w:space="0"/>
              <w:right w:val="single" w:color="auto" w:sz="6" w:space="0"/>
            </w:tcBorders>
            <w:vAlign w:val="center"/>
          </w:tcPr>
          <w:p w14:paraId="1B25FDE5">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4110" w:type="dxa"/>
            <w:vMerge w:val="continue"/>
            <w:tcBorders>
              <w:top w:val="nil"/>
              <w:left w:val="single" w:color="auto" w:sz="6" w:space="0"/>
              <w:bottom w:val="single" w:color="000000" w:sz="6" w:space="0"/>
              <w:right w:val="single" w:color="auto" w:sz="6" w:space="0"/>
            </w:tcBorders>
            <w:vAlign w:val="center"/>
          </w:tcPr>
          <w:p w14:paraId="1B89F670">
            <w:pPr>
              <w:keepNext w:val="0"/>
              <w:keepLines w:val="0"/>
              <w:widowControl w:val="0"/>
              <w:suppressLineNumbers w:val="0"/>
              <w:spacing w:before="0" w:beforeAutospacing="0" w:after="0" w:afterAutospacing="0"/>
              <w:ind w:left="0" w:right="0"/>
              <w:rPr>
                <w:rFonts w:hint="eastAsia" w:ascii="Arial Narrow" w:hAnsi="Arial Narrow" w:cs="Arial"/>
                <w:kern w:val="2"/>
                <w:sz w:val="20"/>
                <w:lang w:val="es-CO"/>
              </w:rPr>
            </w:pPr>
          </w:p>
        </w:tc>
        <w:tc>
          <w:tcPr>
            <w:tcW w:w="5141" w:type="dxa"/>
            <w:tcBorders>
              <w:top w:val="nil"/>
              <w:left w:val="nil"/>
              <w:bottom w:val="single" w:color="auto" w:sz="6" w:space="0"/>
              <w:right w:val="single" w:color="auto" w:sz="6" w:space="0"/>
            </w:tcBorders>
            <w:vAlign w:val="center"/>
          </w:tcPr>
          <w:p w14:paraId="16BFDBAA">
            <w:pPr>
              <w:keepNext w:val="0"/>
              <w:keepLines w:val="0"/>
              <w:widowControl w:val="0"/>
              <w:suppressLineNumbers w:val="0"/>
              <w:spacing w:before="0" w:beforeAutospacing="0" w:after="0" w:afterAutospacing="0"/>
              <w:ind w:left="0" w:right="0"/>
              <w:rPr>
                <w:rFonts w:hint="default" w:ascii="Arial Narrow" w:hAnsi="Arial Narrow" w:cs="Arial Narrow"/>
                <w:kern w:val="2"/>
                <w:sz w:val="20"/>
                <w:lang w:val="es-CO"/>
              </w:rPr>
            </w:pPr>
            <w:r>
              <w:rPr>
                <w:rFonts w:hint="default" w:ascii="Arial Narrow" w:hAnsi="Arial Narrow" w:cs="Arial Narrow"/>
                <w:b/>
                <w:bCs/>
                <w:kern w:val="2"/>
                <w:sz w:val="20"/>
                <w:lang w:val="es-CO"/>
              </w:rPr>
              <w:t xml:space="preserve">Evidencia verificable: </w:t>
            </w:r>
            <w:r>
              <w:rPr>
                <w:rFonts w:hint="default" w:ascii="Arial Narrow" w:hAnsi="Arial Narrow" w:eastAsia="SimSun" w:cs="Arial Narrow"/>
                <w:kern w:val="2"/>
                <w:sz w:val="24"/>
                <w:szCs w:val="24"/>
              </w:rPr>
              <w:fldChar w:fldCharType="begin"/>
            </w:r>
            <w:r>
              <w:rPr>
                <w:rFonts w:hint="default" w:ascii="Arial Narrow" w:hAnsi="Arial Narrow" w:eastAsia="SimSun" w:cs="Arial Narrow"/>
                <w:kern w:val="2"/>
                <w:sz w:val="24"/>
                <w:szCs w:val="24"/>
              </w:rPr>
              <w:instrText xml:space="preserve"> HYPERLINK "https://alimentosparaaprender.sharepoint.com/sites/subdireccindegestioncorporativa/Documentos compartidos/Forms/AllItems.aspx?id=/sites/subdireccindegestioncorporativa/Documentos compartidos/Gesti%C3%B3n Contractual/240.14. CONTRATOS/240.14.4 Contratos de Prestaci%C3%B3n de Servicios/2026/2. SUBDIRECCI%C3%93N GENERAL/UAPA-OPS-165-2026 DAYANA PATRICIA ABRIL MENDOZA/02. CONTRACTUALES/04. Ejecuci%C3%B3n/ABRIL 2026/Evidencia Obligaci%C3%B3n 13&amp;viewid=07e8a40c-bf62-4edf-b7f8-d4f60619d16c&amp;p=true&amp;ct=1774476363693&amp;or=OWA-NT-Mail&amp;cid=0dc24cac-b836-cbc9-baed-92b3b810b1ed" </w:instrText>
            </w:r>
            <w:r>
              <w:rPr>
                <w:rFonts w:hint="default" w:ascii="Arial Narrow" w:hAnsi="Arial Narrow" w:eastAsia="SimSun" w:cs="Arial Narrow"/>
                <w:kern w:val="2"/>
                <w:sz w:val="24"/>
                <w:szCs w:val="24"/>
              </w:rPr>
              <w:fldChar w:fldCharType="separate"/>
            </w:r>
            <w:r>
              <w:rPr>
                <w:rStyle w:val="9"/>
                <w:rFonts w:hint="default" w:ascii="Arial Narrow" w:hAnsi="Arial Narrow" w:eastAsia="SimSun" w:cs="Arial Narrow"/>
                <w:kern w:val="2"/>
                <w:sz w:val="24"/>
                <w:szCs w:val="24"/>
              </w:rPr>
              <w:t>Subdirección de Gestión Corporativa - Documentos - Evidencia Obligación 13 - Todos los documentos</w:t>
            </w:r>
            <w:r>
              <w:rPr>
                <w:rFonts w:hint="default" w:ascii="Arial Narrow" w:hAnsi="Arial Narrow" w:eastAsia="SimSun" w:cs="Arial Narrow"/>
                <w:kern w:val="2"/>
                <w:sz w:val="24"/>
                <w:szCs w:val="24"/>
              </w:rPr>
              <w:fldChar w:fldCharType="end"/>
            </w:r>
          </w:p>
        </w:tc>
      </w:tr>
    </w:tbl>
    <w:p w14:paraId="34658126">
      <w:pPr>
        <w:widowControl w:val="0"/>
        <w:spacing w:after="0"/>
        <w:rPr>
          <w:rFonts w:ascii="Arial Narrow" w:hAnsi="Arial Narrow" w:cs="Arial"/>
          <w:sz w:val="20"/>
        </w:rPr>
      </w:pPr>
    </w:p>
    <w:p w14:paraId="35186293">
      <w:pPr>
        <w:widowControl w:val="0"/>
        <w:ind w:left="-142"/>
        <w:jc w:val="both"/>
        <w:rPr>
          <w:rFonts w:ascii="Arial Narrow" w:hAnsi="Arial Narrow" w:cs="Arial"/>
          <w:sz w:val="20"/>
        </w:rPr>
      </w:pPr>
      <w:r>
        <w:rPr>
          <w:rFonts w:ascii="Arial Narrow" w:hAnsi="Arial Narrow" w:cs="Arial"/>
          <w:b/>
          <w:sz w:val="20"/>
        </w:rPr>
        <w:t>III. Asignaciones en el Sistema de Gestión Documental:</w:t>
      </w:r>
    </w:p>
    <w:p w14:paraId="038A7E18">
      <w:pPr>
        <w:widowControl w:val="0"/>
        <w:ind w:left="-142"/>
        <w:rPr>
          <w:rFonts w:ascii="Arial Narrow" w:hAnsi="Arial Narrow" w:cs="Arial"/>
          <w:sz w:val="20"/>
        </w:rPr>
      </w:pPr>
      <w:r>
        <w:rPr>
          <w:rFonts w:ascii="Arial Narrow" w:hAnsi="Arial Narrow" w:cs="Arial"/>
          <w:sz w:val="20"/>
        </w:rPr>
        <w:t>Que el estado de mis asignaciones en el Sistema de Gestión Documental es el siguiente:</w:t>
      </w:r>
    </w:p>
    <w:tbl>
      <w:tblPr>
        <w:tblStyle w:val="6"/>
        <w:tblW w:w="9810"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14"/>
        <w:gridCol w:w="1559"/>
        <w:gridCol w:w="6237"/>
      </w:tblGrid>
      <w:tr w14:paraId="06A9E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14" w:type="dxa"/>
            <w:shd w:val="clear" w:color="auto" w:fill="D9D9D9"/>
            <w:vAlign w:val="center"/>
          </w:tcPr>
          <w:p w14:paraId="6241CE66">
            <w:pPr>
              <w:keepNext w:val="0"/>
              <w:keepLines w:val="0"/>
              <w:widowControl w:val="0"/>
              <w:suppressLineNumbers w:val="0"/>
              <w:spacing w:before="0" w:beforeAutospacing="0" w:after="0" w:afterAutospacing="0"/>
              <w:ind w:left="0" w:right="0"/>
              <w:jc w:val="center"/>
              <w:rPr>
                <w:rFonts w:hint="eastAsia" w:ascii="Arial Narrow" w:hAnsi="Arial Narrow" w:cs="Arial"/>
                <w:b/>
                <w:kern w:val="2"/>
                <w:sz w:val="20"/>
              </w:rPr>
            </w:pPr>
            <w:r>
              <w:rPr>
                <w:rFonts w:hint="eastAsia" w:ascii="Arial Narrow" w:hAnsi="Arial Narrow" w:cs="Arial"/>
                <w:b/>
                <w:kern w:val="2"/>
                <w:sz w:val="20"/>
              </w:rPr>
              <w:t>Estado</w:t>
            </w:r>
          </w:p>
        </w:tc>
        <w:tc>
          <w:tcPr>
            <w:tcW w:w="1559" w:type="dxa"/>
            <w:shd w:val="clear" w:color="auto" w:fill="D9D9D9"/>
            <w:vAlign w:val="center"/>
          </w:tcPr>
          <w:p w14:paraId="1197FB98">
            <w:pPr>
              <w:keepNext w:val="0"/>
              <w:keepLines w:val="0"/>
              <w:widowControl w:val="0"/>
              <w:suppressLineNumbers w:val="0"/>
              <w:spacing w:before="0" w:beforeAutospacing="0" w:after="0" w:afterAutospacing="0"/>
              <w:ind w:left="0" w:right="0"/>
              <w:jc w:val="center"/>
              <w:rPr>
                <w:rFonts w:hint="eastAsia" w:ascii="Arial Narrow" w:hAnsi="Arial Narrow" w:cs="Arial"/>
                <w:b/>
                <w:kern w:val="2"/>
                <w:sz w:val="20"/>
              </w:rPr>
            </w:pPr>
            <w:r>
              <w:rPr>
                <w:rFonts w:hint="eastAsia" w:ascii="Arial Narrow" w:hAnsi="Arial Narrow" w:cs="Arial"/>
                <w:b/>
                <w:kern w:val="2"/>
                <w:sz w:val="20"/>
              </w:rPr>
              <w:t>Cantidad</w:t>
            </w:r>
          </w:p>
        </w:tc>
        <w:tc>
          <w:tcPr>
            <w:tcW w:w="6237" w:type="dxa"/>
            <w:shd w:val="clear" w:color="auto" w:fill="D9D9D9"/>
            <w:vAlign w:val="center"/>
          </w:tcPr>
          <w:p w14:paraId="0E9BB636">
            <w:pPr>
              <w:keepNext w:val="0"/>
              <w:keepLines w:val="0"/>
              <w:widowControl w:val="0"/>
              <w:suppressLineNumbers w:val="0"/>
              <w:spacing w:before="0" w:beforeAutospacing="0" w:after="0" w:afterAutospacing="0"/>
              <w:ind w:left="0" w:right="0"/>
              <w:jc w:val="center"/>
              <w:rPr>
                <w:rFonts w:hint="eastAsia" w:ascii="Arial Narrow" w:hAnsi="Arial Narrow" w:cs="Arial"/>
                <w:b/>
                <w:kern w:val="2"/>
                <w:sz w:val="20"/>
              </w:rPr>
            </w:pPr>
            <w:r>
              <w:rPr>
                <w:rFonts w:hint="eastAsia" w:ascii="Arial Narrow" w:hAnsi="Arial Narrow" w:cs="Arial"/>
                <w:b/>
                <w:kern w:val="2"/>
                <w:sz w:val="20"/>
              </w:rPr>
              <w:t>Observación</w:t>
            </w:r>
          </w:p>
        </w:tc>
      </w:tr>
      <w:tr w14:paraId="77C86C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1" w:hRule="atLeast"/>
        </w:trPr>
        <w:tc>
          <w:tcPr>
            <w:tcW w:w="2014" w:type="dxa"/>
            <w:vAlign w:val="center"/>
          </w:tcPr>
          <w:p w14:paraId="4012475F">
            <w:pPr>
              <w:keepNext w:val="0"/>
              <w:keepLines w:val="0"/>
              <w:widowControl w:val="0"/>
              <w:suppressLineNumbers w:val="0"/>
              <w:spacing w:before="0" w:beforeAutospacing="0" w:after="0" w:afterAutospacing="0"/>
              <w:ind w:left="0" w:right="0"/>
              <w:rPr>
                <w:rFonts w:hint="eastAsia" w:ascii="Arial Narrow" w:hAnsi="Arial Narrow" w:cs="Arial"/>
                <w:b/>
                <w:kern w:val="2"/>
                <w:sz w:val="20"/>
              </w:rPr>
            </w:pPr>
            <w:r>
              <w:rPr>
                <w:rFonts w:hint="eastAsia" w:ascii="Arial Narrow" w:hAnsi="Arial Narrow" w:cs="Arial"/>
                <w:kern w:val="2"/>
                <w:sz w:val="20"/>
              </w:rPr>
              <w:t>A tiempo</w:t>
            </w:r>
          </w:p>
        </w:tc>
        <w:tc>
          <w:tcPr>
            <w:tcW w:w="1559" w:type="dxa"/>
            <w:vAlign w:val="center"/>
          </w:tcPr>
          <w:p w14:paraId="1848EDF1">
            <w:pPr>
              <w:keepNext w:val="0"/>
              <w:keepLines w:val="0"/>
              <w:widowControl/>
              <w:suppressLineNumbers w:val="0"/>
              <w:spacing w:before="0" w:beforeAutospacing="0" w:after="0" w:afterAutospacing="0"/>
              <w:ind w:left="0" w:right="0"/>
              <w:jc w:val="center"/>
              <w:rPr>
                <w:rFonts w:hint="eastAsia" w:ascii="Arial Narrow" w:hAnsi="Arial Narrow" w:cs="Arial"/>
                <w:bCs/>
                <w:kern w:val="2"/>
                <w:sz w:val="20"/>
                <w:lang w:eastAsia="es-CO"/>
              </w:rPr>
            </w:pPr>
            <w:r>
              <w:rPr>
                <w:rFonts w:hint="eastAsia" w:ascii="Arial Narrow" w:hAnsi="Arial Narrow" w:cs="Arial"/>
                <w:bCs/>
                <w:kern w:val="2"/>
                <w:sz w:val="20"/>
                <w:lang w:eastAsia="es-CO"/>
              </w:rPr>
              <w:t>N/A</w:t>
            </w:r>
          </w:p>
        </w:tc>
        <w:tc>
          <w:tcPr>
            <w:tcW w:w="6237" w:type="dxa"/>
            <w:vAlign w:val="center"/>
          </w:tcPr>
          <w:p w14:paraId="40DCF5A4">
            <w:pPr>
              <w:keepNext w:val="0"/>
              <w:keepLines w:val="0"/>
              <w:widowControl/>
              <w:suppressLineNumbers w:val="0"/>
              <w:spacing w:before="0" w:beforeAutospacing="0" w:after="0" w:afterAutospacing="0"/>
              <w:ind w:left="0" w:right="0"/>
              <w:jc w:val="center"/>
              <w:rPr>
                <w:rFonts w:hint="eastAsia" w:ascii="Arial Narrow" w:hAnsi="Arial Narrow" w:cs="Arial"/>
                <w:bCs/>
                <w:kern w:val="2"/>
                <w:sz w:val="20"/>
                <w:lang w:eastAsia="es-CO"/>
              </w:rPr>
            </w:pPr>
            <w:r>
              <w:rPr>
                <w:rFonts w:hint="eastAsia" w:ascii="Arial Narrow" w:hAnsi="Arial Narrow" w:cs="Arial"/>
                <w:bCs/>
                <w:kern w:val="2"/>
                <w:sz w:val="20"/>
                <w:lang w:eastAsia="es-CO"/>
              </w:rPr>
              <w:t>N/A</w:t>
            </w:r>
          </w:p>
        </w:tc>
      </w:tr>
      <w:tr w14:paraId="536A4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6" w:hRule="atLeast"/>
        </w:trPr>
        <w:tc>
          <w:tcPr>
            <w:tcW w:w="2014" w:type="dxa"/>
            <w:vAlign w:val="center"/>
          </w:tcPr>
          <w:p w14:paraId="5EEA946C">
            <w:pPr>
              <w:keepNext w:val="0"/>
              <w:keepLines w:val="0"/>
              <w:widowControl w:val="0"/>
              <w:suppressLineNumbers w:val="0"/>
              <w:spacing w:before="0" w:beforeAutospacing="0" w:after="0" w:afterAutospacing="0"/>
              <w:ind w:left="0" w:right="0"/>
              <w:rPr>
                <w:rFonts w:hint="eastAsia" w:ascii="Arial Narrow" w:hAnsi="Arial Narrow" w:cs="Arial"/>
                <w:kern w:val="2"/>
                <w:sz w:val="20"/>
              </w:rPr>
            </w:pPr>
            <w:r>
              <w:rPr>
                <w:rFonts w:hint="eastAsia" w:ascii="Arial Narrow" w:hAnsi="Arial Narrow" w:cs="Arial"/>
                <w:kern w:val="2"/>
                <w:sz w:val="20"/>
              </w:rPr>
              <w:t>Para vencerse</w:t>
            </w:r>
          </w:p>
        </w:tc>
        <w:tc>
          <w:tcPr>
            <w:tcW w:w="1559" w:type="dxa"/>
            <w:vAlign w:val="center"/>
          </w:tcPr>
          <w:p w14:paraId="684CD52A">
            <w:pPr>
              <w:keepNext w:val="0"/>
              <w:keepLines w:val="0"/>
              <w:widowControl/>
              <w:suppressLineNumbers w:val="0"/>
              <w:spacing w:before="0" w:beforeAutospacing="0" w:after="0" w:afterAutospacing="0"/>
              <w:ind w:left="0" w:right="0"/>
              <w:jc w:val="center"/>
              <w:rPr>
                <w:rFonts w:hint="eastAsia" w:ascii="Arial Narrow" w:hAnsi="Arial Narrow" w:cs="Arial"/>
                <w:bCs/>
                <w:kern w:val="2"/>
                <w:sz w:val="20"/>
                <w:lang w:eastAsia="es-CO"/>
              </w:rPr>
            </w:pPr>
            <w:r>
              <w:rPr>
                <w:rFonts w:hint="eastAsia" w:ascii="Arial Narrow" w:hAnsi="Arial Narrow" w:cs="Arial"/>
                <w:bCs/>
                <w:kern w:val="2"/>
                <w:sz w:val="20"/>
                <w:lang w:eastAsia="es-CO"/>
              </w:rPr>
              <w:t>N/A</w:t>
            </w:r>
          </w:p>
        </w:tc>
        <w:tc>
          <w:tcPr>
            <w:tcW w:w="6237" w:type="dxa"/>
          </w:tcPr>
          <w:p w14:paraId="669A959B">
            <w:pPr>
              <w:keepNext w:val="0"/>
              <w:keepLines w:val="0"/>
              <w:widowControl/>
              <w:suppressLineNumbers w:val="0"/>
              <w:spacing w:before="0" w:beforeAutospacing="0" w:after="0" w:afterAutospacing="0"/>
              <w:ind w:left="0" w:right="0"/>
              <w:jc w:val="center"/>
              <w:rPr>
                <w:rFonts w:hint="eastAsia" w:ascii="Arial Narrow" w:hAnsi="Arial Narrow" w:cs="Arial"/>
                <w:kern w:val="2"/>
                <w:sz w:val="20"/>
              </w:rPr>
            </w:pPr>
            <w:r>
              <w:rPr>
                <w:rFonts w:hint="eastAsia" w:ascii="Arial Narrow" w:hAnsi="Arial Narrow" w:cs="Arial"/>
                <w:kern w:val="2"/>
                <w:sz w:val="20"/>
              </w:rPr>
              <w:t xml:space="preserve">N/A </w:t>
            </w:r>
          </w:p>
        </w:tc>
      </w:tr>
      <w:tr w14:paraId="5D928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 w:hRule="atLeast"/>
        </w:trPr>
        <w:tc>
          <w:tcPr>
            <w:tcW w:w="2014" w:type="dxa"/>
            <w:vAlign w:val="center"/>
          </w:tcPr>
          <w:p w14:paraId="2EBEEADF">
            <w:pPr>
              <w:keepNext w:val="0"/>
              <w:keepLines w:val="0"/>
              <w:widowControl w:val="0"/>
              <w:suppressLineNumbers w:val="0"/>
              <w:spacing w:before="0" w:beforeAutospacing="0" w:after="0" w:afterAutospacing="0"/>
              <w:ind w:left="0" w:right="0"/>
              <w:rPr>
                <w:rFonts w:hint="eastAsia" w:ascii="Arial Narrow" w:hAnsi="Arial Narrow" w:cs="Arial"/>
                <w:kern w:val="2"/>
                <w:sz w:val="20"/>
              </w:rPr>
            </w:pPr>
            <w:r>
              <w:rPr>
                <w:rFonts w:hint="eastAsia" w:ascii="Arial Narrow" w:hAnsi="Arial Narrow" w:cs="Arial"/>
                <w:kern w:val="2"/>
                <w:sz w:val="20"/>
              </w:rPr>
              <w:t>Vencido</w:t>
            </w:r>
          </w:p>
        </w:tc>
        <w:tc>
          <w:tcPr>
            <w:tcW w:w="1559" w:type="dxa"/>
            <w:vAlign w:val="center"/>
          </w:tcPr>
          <w:p w14:paraId="6D453C0F">
            <w:pPr>
              <w:keepNext w:val="0"/>
              <w:keepLines w:val="0"/>
              <w:widowControl w:val="0"/>
              <w:suppressLineNumbers w:val="0"/>
              <w:spacing w:before="0" w:beforeAutospacing="0" w:after="0" w:afterAutospacing="0"/>
              <w:ind w:left="0" w:right="0"/>
              <w:jc w:val="center"/>
              <w:rPr>
                <w:rFonts w:hint="eastAsia" w:ascii="Arial Narrow" w:hAnsi="Arial Narrow" w:cs="Arial"/>
                <w:kern w:val="2"/>
                <w:sz w:val="20"/>
              </w:rPr>
            </w:pPr>
            <w:r>
              <w:rPr>
                <w:rFonts w:hint="eastAsia" w:ascii="Arial Narrow" w:hAnsi="Arial Narrow" w:cs="Arial"/>
                <w:kern w:val="2"/>
                <w:sz w:val="20"/>
              </w:rPr>
              <w:t>N/A</w:t>
            </w:r>
          </w:p>
        </w:tc>
        <w:tc>
          <w:tcPr>
            <w:tcW w:w="6237" w:type="dxa"/>
          </w:tcPr>
          <w:p w14:paraId="141DFD7E">
            <w:pPr>
              <w:keepNext w:val="0"/>
              <w:keepLines w:val="0"/>
              <w:widowControl/>
              <w:suppressLineNumbers w:val="0"/>
              <w:spacing w:before="0" w:beforeAutospacing="0" w:after="0" w:afterAutospacing="0"/>
              <w:ind w:left="0" w:right="0"/>
              <w:jc w:val="center"/>
              <w:rPr>
                <w:rFonts w:hint="eastAsia" w:ascii="Arial Narrow" w:hAnsi="Arial Narrow" w:cs="Arial"/>
                <w:kern w:val="2"/>
                <w:sz w:val="20"/>
              </w:rPr>
            </w:pPr>
            <w:r>
              <w:rPr>
                <w:rFonts w:hint="eastAsia" w:ascii="Arial Narrow" w:hAnsi="Arial Narrow" w:cs="Arial"/>
                <w:kern w:val="2"/>
                <w:sz w:val="20"/>
              </w:rPr>
              <w:t>N/A</w:t>
            </w:r>
          </w:p>
        </w:tc>
      </w:tr>
      <w:tr w14:paraId="35C5A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7" w:hRule="atLeast"/>
        </w:trPr>
        <w:tc>
          <w:tcPr>
            <w:tcW w:w="9810" w:type="dxa"/>
            <w:gridSpan w:val="3"/>
            <w:shd w:val="clear" w:color="auto" w:fill="D9D9D9"/>
            <w:vAlign w:val="center"/>
          </w:tcPr>
          <w:p w14:paraId="0FB88B53">
            <w:pPr>
              <w:keepNext w:val="0"/>
              <w:keepLines w:val="0"/>
              <w:widowControl w:val="0"/>
              <w:suppressLineNumbers w:val="0"/>
              <w:spacing w:before="0" w:beforeAutospacing="0" w:after="0" w:afterAutospacing="0"/>
              <w:ind w:left="0" w:right="0"/>
              <w:jc w:val="center"/>
              <w:rPr>
                <w:rFonts w:hint="eastAsia" w:ascii="Arial Narrow" w:hAnsi="Arial Narrow" w:cs="Arial"/>
                <w:kern w:val="2"/>
                <w:sz w:val="20"/>
              </w:rPr>
            </w:pPr>
            <w:r>
              <w:rPr>
                <w:rFonts w:hint="eastAsia" w:ascii="Arial Narrow" w:hAnsi="Arial Narrow" w:cs="Arial"/>
                <w:b/>
                <w:kern w:val="2"/>
                <w:sz w:val="20"/>
              </w:rPr>
              <w:t>IV. Declaraciones</w:t>
            </w:r>
          </w:p>
        </w:tc>
      </w:tr>
    </w:tbl>
    <w:p w14:paraId="79FFAC07">
      <w:pPr>
        <w:widowControl w:val="0"/>
        <w:tabs>
          <w:tab w:val="left" w:pos="1875"/>
        </w:tabs>
        <w:spacing w:after="0" w:line="240" w:lineRule="auto"/>
        <w:rPr>
          <w:rFonts w:ascii="Arial Narrow" w:hAnsi="Arial Narrow" w:cs="Arial"/>
          <w:bCs/>
          <w:iCs/>
          <w:sz w:val="20"/>
        </w:rPr>
      </w:pPr>
    </w:p>
    <w:tbl>
      <w:tblPr>
        <w:tblStyle w:val="6"/>
        <w:tblW w:w="5205" w:type="pct"/>
        <w:tblInd w:w="-147" w:type="dxa"/>
        <w:tblLayout w:type="autofit"/>
        <w:tblCellMar>
          <w:top w:w="0" w:type="dxa"/>
          <w:left w:w="70" w:type="dxa"/>
          <w:bottom w:w="0" w:type="dxa"/>
          <w:right w:w="70" w:type="dxa"/>
        </w:tblCellMar>
      </w:tblPr>
      <w:tblGrid>
        <w:gridCol w:w="9936"/>
      </w:tblGrid>
      <w:tr w14:paraId="4E637240">
        <w:tblPrEx>
          <w:tblCellMar>
            <w:top w:w="0" w:type="dxa"/>
            <w:left w:w="70" w:type="dxa"/>
            <w:bottom w:w="0" w:type="dxa"/>
            <w:right w:w="70" w:type="dxa"/>
          </w:tblCellMar>
        </w:tblPrEx>
        <w:trPr>
          <w:trHeight w:val="20" w:hRule="atLeast"/>
        </w:trPr>
        <w:tc>
          <w:tcPr>
            <w:tcW w:w="5000" w:type="pct"/>
            <w:tcBorders>
              <w:top w:val="single" w:color="auto" w:sz="4" w:space="0"/>
              <w:left w:val="single" w:color="auto" w:sz="4" w:space="0"/>
              <w:bottom w:val="single" w:color="auto" w:sz="4" w:space="0"/>
              <w:right w:val="single" w:color="auto" w:sz="4" w:space="0"/>
            </w:tcBorders>
            <w:vAlign w:val="center"/>
          </w:tcPr>
          <w:p w14:paraId="6077842C">
            <w:pPr>
              <w:keepNext w:val="0"/>
              <w:keepLines w:val="0"/>
              <w:widowControl w:val="0"/>
              <w:suppressLineNumbers w:val="0"/>
              <w:spacing w:before="0" w:beforeAutospacing="0" w:afterAutospacing="0"/>
              <w:ind w:left="0" w:right="0"/>
              <w:jc w:val="both"/>
              <w:rPr>
                <w:rFonts w:hint="eastAsia" w:ascii="Arial Narrow" w:hAnsi="Arial Narrow" w:cs="Arial"/>
                <w:kern w:val="2"/>
                <w:sz w:val="20"/>
                <w:lang w:eastAsia="es-CO"/>
              </w:rPr>
            </w:pPr>
            <w:r>
              <w:rPr>
                <w:rFonts w:hint="eastAsia" w:ascii="Arial Narrow" w:hAnsi="Arial Narrow" w:cs="Arial"/>
                <w:b/>
                <w:kern w:val="2"/>
                <w:sz w:val="20"/>
                <w:lang w:eastAsia="es-CO"/>
              </w:rPr>
              <w:t>EL CONTRATISTA</w:t>
            </w:r>
            <w:r>
              <w:rPr>
                <w:rFonts w:hint="eastAsia" w:ascii="Arial Narrow" w:hAnsi="Arial Narrow" w:cs="Arial"/>
                <w:kern w:val="2"/>
                <w:sz w:val="20"/>
                <w:lang w:eastAsia="es-CO"/>
              </w:rPr>
              <w:t xml:space="preserve"> declara bajo la gravedad del juramento que toda la información relacionada en el presente informe corresponde a las actividades ejecutadas durante el respectivo período y los documentos anexos que soportan el pago de aportes obligatorios al sistema de seguridad social en salud, pensión y riesgos laborales para este mes, corresponden a los que legamente debe efectuar con base en los ingresos provenientes del Contrato y que la planilla aportada está efectivamente pagada y recibida a satisfacción por la entidad encargada de recaudar el pago, de conformidad con lo señalado en el artículo 1 del Decreto 1273 de 2018. </w:t>
            </w:r>
          </w:p>
          <w:p w14:paraId="64168118">
            <w:pPr>
              <w:keepNext w:val="0"/>
              <w:keepLines w:val="0"/>
              <w:widowControl/>
              <w:suppressLineNumbers w:val="0"/>
              <w:spacing w:before="0" w:beforeAutospacing="0" w:afterAutospacing="0"/>
              <w:ind w:left="0" w:right="0"/>
              <w:jc w:val="both"/>
              <w:rPr>
                <w:rFonts w:hint="eastAsia" w:ascii="Arial Narrow" w:hAnsi="Arial Narrow" w:cs="Arial"/>
                <w:kern w:val="2"/>
                <w:sz w:val="20"/>
                <w:lang w:eastAsia="es-CO"/>
              </w:rPr>
            </w:pPr>
            <w:r>
              <w:rPr>
                <w:rFonts w:hint="eastAsia" w:ascii="Arial Narrow" w:hAnsi="Arial Narrow" w:cs="Arial"/>
                <w:kern w:val="2"/>
                <w:sz w:val="20"/>
              </w:rPr>
              <w:t>El presente informe se publicará en la plataforma de SECOP II, y el mismo es autenticado con la remisión desde el usuario del contratista, de acuerdo con lo establecido en la ley 527 de 1999. Para ser aprobado por el respectivo supervisor en dicha plataforma.</w:t>
            </w:r>
          </w:p>
        </w:tc>
      </w:tr>
      <w:bookmarkEnd w:id="0"/>
    </w:tbl>
    <w:p w14:paraId="5822D6BE">
      <w:pPr>
        <w:widowControl w:val="0"/>
        <w:rPr>
          <w:rFonts w:ascii="Arial Narrow" w:hAnsi="Arial Narrow" w:cs="Arial"/>
          <w:sz w:val="20"/>
        </w:rPr>
      </w:pPr>
    </w:p>
    <w:p w14:paraId="73CFB4C1">
      <w:pPr>
        <w:rPr>
          <w:rFonts w:ascii="Arial Narrow" w:hAnsi="Arial Narrow"/>
        </w:rPr>
      </w:pPr>
    </w:p>
    <w:sectPr>
      <w:headerReference r:id="rId5" w:type="default"/>
      <w:footerReference r:id="rId6" w:type="default"/>
      <w:pgSz w:w="12240" w:h="15840"/>
      <w:pgMar w:top="720" w:right="1134" w:bottom="1134" w:left="1701" w:header="662"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Aptos">
    <w:altName w:val="SimSun"/>
    <w:panose1 w:val="00000000000000000000"/>
    <w:charset w:val="86"/>
    <w:family w:val="auto"/>
    <w:pitch w:val="default"/>
    <w:sig w:usb0="00000000" w:usb1="00000000" w:usb2="00000000" w:usb3="00000000" w:csb0="0000019F" w:csb1="00000000"/>
  </w:font>
  <w:font w:name="Segoe UI">
    <w:panose1 w:val="020B0502040204020203"/>
    <w:charset w:val="00"/>
    <w:family w:val="swiss"/>
    <w:pitch w:val="default"/>
    <w:sig w:usb0="E4002EFF" w:usb1="C000E47F" w:usb2="00000009" w:usb3="00000000" w:csb0="200001FF" w:csb1="00000000"/>
  </w:font>
  <w:font w:name="TeXGyreAdventor">
    <w:altName w:val="Times New Roman"/>
    <w:panose1 w:val="00000000000000000000"/>
    <w:charset w:val="00"/>
    <w:family w:val="auto"/>
    <w:pitch w:val="default"/>
    <w:sig w:usb0="00000000" w:usb1="00000000" w:usb2="00000000" w:usb3="00000000" w:csb0="00000000" w:csb1="00000000"/>
  </w:font>
  <w:font w:name="Arial Narrow">
    <w:panose1 w:val="020B0606020202030204"/>
    <w:charset w:val="00"/>
    <w:family w:val="swiss"/>
    <w:pitch w:val="default"/>
    <w:sig w:usb0="00000287" w:usb1="00000800" w:usb2="00000000" w:usb3="00000000" w:csb0="2000009F" w:csb1="DFD70000"/>
  </w:font>
  <w:font w:name="Century Gothic">
    <w:panose1 w:val="020B0502020202020204"/>
    <w:charset w:val="00"/>
    <w:family w:val="swiss"/>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Arial Narrow" w:hAnsi="Arial Narrow"/>
        <w:sz w:val="16"/>
        <w:szCs w:val="16"/>
      </w:rPr>
      <w:id w:val="-1242864922"/>
      <w:docPartObj>
        <w:docPartGallery w:val="autotext"/>
      </w:docPartObj>
    </w:sdtPr>
    <w:sdtEndPr>
      <w:rPr>
        <w:rFonts w:ascii="Arial Narrow" w:hAnsi="Arial Narrow"/>
        <w:sz w:val="16"/>
        <w:szCs w:val="16"/>
      </w:rPr>
    </w:sdtEndPr>
    <w:sdtContent>
      <w:sdt>
        <w:sdtPr>
          <w:rPr>
            <w:rFonts w:ascii="Arial Narrow" w:hAnsi="Arial Narrow"/>
            <w:sz w:val="16"/>
            <w:szCs w:val="16"/>
          </w:rPr>
          <w:id w:val="1552191142"/>
          <w:docPartObj>
            <w:docPartGallery w:val="autotext"/>
          </w:docPartObj>
        </w:sdtPr>
        <w:sdtEndPr>
          <w:rPr>
            <w:rFonts w:ascii="Arial Narrow" w:hAnsi="Arial Narrow"/>
            <w:sz w:val="16"/>
            <w:szCs w:val="16"/>
          </w:rPr>
        </w:sdtEndPr>
        <w:sdtContent>
          <w:p w14:paraId="15C09089">
            <w:pPr>
              <w:pStyle w:val="17"/>
              <w:ind w:right="-234"/>
              <w:jc w:val="right"/>
              <w:rPr>
                <w:rFonts w:ascii="Arial Narrow" w:hAnsi="Arial Narrow"/>
                <w:sz w:val="16"/>
                <w:szCs w:val="16"/>
              </w:rPr>
            </w:pPr>
            <w:r>
              <w:rPr>
                <w:rFonts w:ascii="Arial Narrow" w:hAnsi="Arial Narrow"/>
                <w:sz w:val="16"/>
                <w:szCs w:val="16"/>
              </w:rPr>
              <w:t xml:space="preserve">Página </w:t>
            </w:r>
            <w:r>
              <w:rPr>
                <w:rFonts w:ascii="Arial Narrow" w:hAnsi="Arial Narrow"/>
                <w:b/>
                <w:bCs/>
                <w:sz w:val="16"/>
                <w:szCs w:val="16"/>
              </w:rPr>
              <w:fldChar w:fldCharType="begin"/>
            </w:r>
            <w:r>
              <w:rPr>
                <w:rFonts w:ascii="Arial Narrow" w:hAnsi="Arial Narrow"/>
                <w:b/>
                <w:bCs/>
                <w:sz w:val="16"/>
                <w:szCs w:val="16"/>
              </w:rPr>
              <w:instrText xml:space="preserve">PAGE</w:instrText>
            </w:r>
            <w:r>
              <w:rPr>
                <w:rFonts w:ascii="Arial Narrow" w:hAnsi="Arial Narrow"/>
                <w:b/>
                <w:bCs/>
                <w:sz w:val="16"/>
                <w:szCs w:val="16"/>
              </w:rPr>
              <w:fldChar w:fldCharType="separate"/>
            </w:r>
            <w:r>
              <w:rPr>
                <w:rFonts w:ascii="Arial Narrow" w:hAnsi="Arial Narrow"/>
                <w:b/>
                <w:bCs/>
                <w:sz w:val="16"/>
                <w:szCs w:val="16"/>
              </w:rPr>
              <w:t>5</w:t>
            </w:r>
            <w:r>
              <w:rPr>
                <w:rFonts w:ascii="Arial Narrow" w:hAnsi="Arial Narrow"/>
                <w:b/>
                <w:bCs/>
                <w:sz w:val="16"/>
                <w:szCs w:val="16"/>
              </w:rPr>
              <w:fldChar w:fldCharType="end"/>
            </w:r>
            <w:r>
              <w:rPr>
                <w:rFonts w:ascii="Arial Narrow" w:hAnsi="Arial Narrow"/>
                <w:sz w:val="16"/>
                <w:szCs w:val="16"/>
              </w:rPr>
              <w:t xml:space="preserve"> de </w:t>
            </w:r>
            <w:r>
              <w:rPr>
                <w:rFonts w:ascii="Arial Narrow" w:hAnsi="Arial Narrow"/>
                <w:b/>
                <w:bCs/>
                <w:sz w:val="16"/>
                <w:szCs w:val="16"/>
              </w:rPr>
              <w:fldChar w:fldCharType="begin"/>
            </w:r>
            <w:r>
              <w:rPr>
                <w:rFonts w:ascii="Arial Narrow" w:hAnsi="Arial Narrow"/>
                <w:b/>
                <w:bCs/>
                <w:sz w:val="16"/>
                <w:szCs w:val="16"/>
              </w:rPr>
              <w:instrText xml:space="preserve">NUMPAGES</w:instrText>
            </w:r>
            <w:r>
              <w:rPr>
                <w:rFonts w:ascii="Arial Narrow" w:hAnsi="Arial Narrow"/>
                <w:b/>
                <w:bCs/>
                <w:sz w:val="16"/>
                <w:szCs w:val="16"/>
              </w:rPr>
              <w:fldChar w:fldCharType="separate"/>
            </w:r>
            <w:r>
              <w:rPr>
                <w:rFonts w:ascii="Arial Narrow" w:hAnsi="Arial Narrow"/>
                <w:b/>
                <w:bCs/>
                <w:sz w:val="16"/>
                <w:szCs w:val="16"/>
              </w:rPr>
              <w:t>5</w:t>
            </w:r>
            <w:r>
              <w:rPr>
                <w:rFonts w:ascii="Arial Narrow" w:hAnsi="Arial Narrow"/>
                <w:b/>
                <w:bCs/>
                <w:sz w:val="16"/>
                <w:szCs w:val="16"/>
              </w:rPr>
              <w:fldChar w:fldCharType="end"/>
            </w:r>
          </w:p>
        </w:sdtContent>
      </w:sdt>
    </w:sdtContent>
  </w:sdt>
  <w:p w14:paraId="0558975B">
    <w:pPr>
      <w:pStyle w:val="17"/>
    </w:pPr>
  </w:p>
  <w:p w14:paraId="77CCEDFC"/>
  <w:p w14:paraId="6CD37DF3"/>
  <w:p w14:paraId="511374E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6"/>
      <w:tblW w:w="5259" w:type="pct"/>
      <w:tblCellSpacing w:w="0" w:type="dxa"/>
      <w:tblInd w:w="-269"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2273"/>
      <w:gridCol w:w="4958"/>
      <w:gridCol w:w="2693"/>
    </w:tblGrid>
    <w:tr w14:paraId="6FBAFE2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8" w:hRule="atLeast"/>
        <w:tblCellSpacing w:w="0" w:type="dxa"/>
      </w:trPr>
      <w:tc>
        <w:tcPr>
          <w:tcW w:w="1145" w:type="pct"/>
          <w:vMerge w:val="restart"/>
          <w:tcBorders>
            <w:top w:val="outset" w:color="auto" w:sz="6" w:space="0"/>
            <w:left w:val="outset" w:color="auto" w:sz="6" w:space="0"/>
            <w:bottom w:val="outset" w:color="auto" w:sz="6" w:space="0"/>
            <w:right w:val="outset" w:color="auto" w:sz="6" w:space="0"/>
          </w:tcBorders>
          <w:vAlign w:val="center"/>
        </w:tcPr>
        <w:p w14:paraId="44BEA159">
          <w:pPr>
            <w:pStyle w:val="18"/>
            <w:keepNext w:val="0"/>
            <w:keepLines w:val="0"/>
            <w:suppressLineNumbers w:val="0"/>
            <w:spacing w:before="0" w:beforeAutospacing="0" w:afterAutospacing="0"/>
            <w:ind w:left="-44" w:right="-5"/>
            <w:jc w:val="center"/>
            <w:rPr>
              <w:rFonts w:hint="eastAsia" w:ascii="Century Gothic" w:hAnsi="Century Gothic"/>
              <w:b/>
              <w:kern w:val="2"/>
            </w:rPr>
          </w:pPr>
          <w:r>
            <w:rPr>
              <w:rFonts w:hint="eastAsia" w:ascii="Arial Narrow" w:hAnsi="Arial Narrow"/>
              <w:b/>
              <w:kern w:val="2"/>
              <w:sz w:val="24"/>
              <w:szCs w:val="24"/>
              <w:lang w:val="es-CO" w:eastAsia="es-CO"/>
            </w:rPr>
            <w:drawing>
              <wp:inline distT="0" distB="0" distL="0" distR="0">
                <wp:extent cx="1285875" cy="63754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286715" cy="637956"/>
                        </a:xfrm>
                        <a:prstGeom prst="rect">
                          <a:avLst/>
                        </a:prstGeom>
                        <a:noFill/>
                        <a:ln>
                          <a:noFill/>
                        </a:ln>
                      </pic:spPr>
                    </pic:pic>
                  </a:graphicData>
                </a:graphic>
              </wp:inline>
            </w:drawing>
          </w:r>
          <w:r>
            <w:rPr>
              <w:rFonts w:hint="eastAsia" w:ascii="Century Gothic" w:hAnsi="Century Gothic"/>
              <w:b/>
              <w:kern w:val="2"/>
            </w:rPr>
            <w:t xml:space="preserve"> </w:t>
          </w:r>
        </w:p>
      </w:tc>
      <w:tc>
        <w:tcPr>
          <w:tcW w:w="2498" w:type="pct"/>
          <w:tcBorders>
            <w:top w:val="outset" w:color="auto" w:sz="6" w:space="0"/>
            <w:left w:val="outset" w:color="auto" w:sz="6" w:space="0"/>
            <w:bottom w:val="outset" w:color="auto" w:sz="6" w:space="0"/>
            <w:right w:val="outset" w:color="auto" w:sz="6" w:space="0"/>
          </w:tcBorders>
          <w:shd w:val="clear" w:color="auto" w:fill="8EAADB" w:themeFill="accent5" w:themeFillTint="99"/>
          <w:vAlign w:val="center"/>
        </w:tcPr>
        <w:p w14:paraId="6040A108">
          <w:pPr>
            <w:keepNext w:val="0"/>
            <w:keepLines w:val="0"/>
            <w:widowControl/>
            <w:suppressLineNumbers w:val="0"/>
            <w:spacing w:before="0" w:beforeAutospacing="0" w:after="0" w:afterAutospacing="0" w:line="240" w:lineRule="auto"/>
            <w:ind w:left="0" w:right="0"/>
            <w:jc w:val="center"/>
            <w:rPr>
              <w:rFonts w:hint="eastAsia" w:ascii="Arial Narrow" w:hAnsi="Arial Narrow" w:eastAsia="Times New Roman"/>
              <w:b/>
              <w:bCs/>
              <w:kern w:val="2"/>
              <w:lang w:eastAsia="es-ES"/>
            </w:rPr>
          </w:pPr>
          <w:r>
            <w:rPr>
              <w:rFonts w:hint="eastAsia" w:ascii="Arial Narrow" w:hAnsi="Arial Narrow"/>
              <w:b/>
              <w:kern w:val="2"/>
            </w:rPr>
            <w:t xml:space="preserve">UNIDAD ADMINISTRATIVA ESPECIAL DE ALIMENTACIÓN ESCOLAR </w:t>
          </w:r>
        </w:p>
      </w:tc>
      <w:tc>
        <w:tcPr>
          <w:tcW w:w="1357" w:type="pct"/>
          <w:tcBorders>
            <w:top w:val="outset" w:color="auto" w:sz="6" w:space="0"/>
            <w:left w:val="outset" w:color="auto" w:sz="6" w:space="0"/>
            <w:bottom w:val="outset" w:color="auto" w:sz="6" w:space="0"/>
            <w:right w:val="outset" w:color="auto" w:sz="6" w:space="0"/>
          </w:tcBorders>
          <w:vAlign w:val="center"/>
        </w:tcPr>
        <w:p w14:paraId="2A6E979C">
          <w:pPr>
            <w:keepNext w:val="0"/>
            <w:keepLines w:val="0"/>
            <w:widowControl/>
            <w:suppressLineNumbers w:val="0"/>
            <w:spacing w:before="0" w:beforeAutospacing="0" w:after="0" w:afterAutospacing="0" w:line="240" w:lineRule="auto"/>
            <w:ind w:left="0" w:right="0"/>
            <w:rPr>
              <w:rFonts w:hint="eastAsia" w:ascii="Arial Narrow" w:hAnsi="Arial Narrow" w:eastAsia="Times New Roman"/>
              <w:b/>
              <w:bCs/>
              <w:kern w:val="2"/>
              <w:lang w:eastAsia="es-ES"/>
            </w:rPr>
          </w:pPr>
          <w:r>
            <w:rPr>
              <w:rFonts w:hint="eastAsia" w:ascii="Arial Narrow" w:hAnsi="Arial Narrow" w:eastAsia="Times New Roman"/>
              <w:b/>
              <w:bCs/>
              <w:kern w:val="2"/>
              <w:lang w:eastAsia="es-ES"/>
            </w:rPr>
            <w:t xml:space="preserve">  VERSIÓN: </w:t>
          </w:r>
          <w:r>
            <w:rPr>
              <w:rFonts w:hint="eastAsia" w:ascii="Arial Narrow" w:hAnsi="Arial Narrow" w:eastAsia="Times New Roman"/>
              <w:kern w:val="2"/>
              <w:lang w:eastAsia="es-ES"/>
            </w:rPr>
            <w:t>0</w:t>
          </w:r>
        </w:p>
      </w:tc>
    </w:tr>
    <w:tr w14:paraId="4394F86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67" w:hRule="atLeast"/>
        <w:tblCellSpacing w:w="0" w:type="dxa"/>
      </w:trPr>
      <w:tc>
        <w:tcPr>
          <w:tcW w:w="1145" w:type="pct"/>
          <w:vMerge w:val="continue"/>
          <w:tcBorders>
            <w:top w:val="outset" w:color="auto" w:sz="6" w:space="0"/>
            <w:left w:val="outset" w:color="auto" w:sz="6" w:space="0"/>
            <w:bottom w:val="outset" w:color="auto" w:sz="6" w:space="0"/>
            <w:right w:val="outset" w:color="auto" w:sz="6" w:space="0"/>
          </w:tcBorders>
          <w:vAlign w:val="center"/>
        </w:tcPr>
        <w:p w14:paraId="73B43C9C">
          <w:pPr>
            <w:keepNext w:val="0"/>
            <w:keepLines w:val="0"/>
            <w:widowControl/>
            <w:suppressLineNumbers w:val="0"/>
            <w:spacing w:before="0" w:beforeAutospacing="0" w:after="0" w:afterAutospacing="0" w:line="240" w:lineRule="auto"/>
            <w:ind w:left="0" w:right="0"/>
            <w:rPr>
              <w:rFonts w:hint="eastAsia" w:ascii="Arial Narrow" w:hAnsi="Arial Narrow" w:eastAsia="Times New Roman"/>
              <w:kern w:val="2"/>
              <w:sz w:val="24"/>
              <w:szCs w:val="24"/>
              <w:lang w:eastAsia="es-ES"/>
            </w:rPr>
          </w:pPr>
        </w:p>
      </w:tc>
      <w:tc>
        <w:tcPr>
          <w:tcW w:w="2498" w:type="pct"/>
          <w:tcBorders>
            <w:top w:val="outset" w:color="auto" w:sz="6" w:space="0"/>
            <w:left w:val="outset" w:color="auto" w:sz="6" w:space="0"/>
            <w:bottom w:val="outset" w:color="auto" w:sz="6" w:space="0"/>
            <w:right w:val="outset" w:color="auto" w:sz="6" w:space="0"/>
          </w:tcBorders>
          <w:vAlign w:val="center"/>
        </w:tcPr>
        <w:p w14:paraId="648619D7">
          <w:pPr>
            <w:keepNext w:val="0"/>
            <w:keepLines w:val="0"/>
            <w:widowControl/>
            <w:suppressLineNumbers w:val="0"/>
            <w:spacing w:before="0" w:beforeAutospacing="0" w:after="0" w:afterAutospacing="0" w:line="240" w:lineRule="auto"/>
            <w:ind w:left="106" w:right="0"/>
            <w:jc w:val="center"/>
            <w:rPr>
              <w:rFonts w:hint="eastAsia" w:ascii="Arial Narrow" w:hAnsi="Arial Narrow" w:eastAsia="Times New Roman"/>
              <w:b/>
              <w:bCs/>
              <w:kern w:val="2"/>
              <w:lang w:eastAsia="es-ES"/>
            </w:rPr>
          </w:pPr>
          <w:r>
            <w:rPr>
              <w:rFonts w:hint="eastAsia" w:ascii="Arial Narrow" w:hAnsi="Arial Narrow" w:eastAsia="Times New Roman"/>
              <w:b/>
              <w:bCs/>
              <w:kern w:val="2"/>
              <w:lang w:eastAsia="es-ES"/>
            </w:rPr>
            <w:t xml:space="preserve">PROCESO: </w:t>
          </w:r>
          <w:r>
            <w:rPr>
              <w:rFonts w:hint="eastAsia" w:ascii="Arial Narrow" w:hAnsi="Arial Narrow"/>
              <w:kern w:val="2"/>
            </w:rPr>
            <w:t>Gestión contractual y adquisiciones</w:t>
          </w:r>
        </w:p>
      </w:tc>
      <w:tc>
        <w:tcPr>
          <w:tcW w:w="1357" w:type="pct"/>
          <w:tcBorders>
            <w:top w:val="outset" w:color="auto" w:sz="6" w:space="0"/>
            <w:left w:val="outset" w:color="auto" w:sz="6" w:space="0"/>
            <w:bottom w:val="outset" w:color="auto" w:sz="6" w:space="0"/>
            <w:right w:val="outset" w:color="auto" w:sz="6" w:space="0"/>
          </w:tcBorders>
          <w:vAlign w:val="center"/>
        </w:tcPr>
        <w:p w14:paraId="079A3FF9">
          <w:pPr>
            <w:keepNext w:val="0"/>
            <w:keepLines w:val="0"/>
            <w:widowControl/>
            <w:suppressLineNumbers w:val="0"/>
            <w:spacing w:before="0" w:beforeAutospacing="0" w:after="0" w:afterAutospacing="0" w:line="240" w:lineRule="auto"/>
            <w:ind w:left="0" w:right="0"/>
            <w:rPr>
              <w:rFonts w:hint="eastAsia" w:ascii="Arial Narrow" w:hAnsi="Arial Narrow" w:eastAsia="Times New Roman"/>
              <w:b/>
              <w:bCs/>
              <w:kern w:val="2"/>
              <w:lang w:eastAsia="es-ES"/>
            </w:rPr>
          </w:pPr>
          <w:r>
            <w:rPr>
              <w:rFonts w:hint="eastAsia" w:ascii="Arial Narrow" w:hAnsi="Arial Narrow" w:eastAsia="Times New Roman"/>
              <w:b/>
              <w:bCs/>
              <w:kern w:val="2"/>
              <w:lang w:eastAsia="es-ES"/>
            </w:rPr>
            <w:t xml:space="preserve">  CÓDIGO: </w:t>
          </w:r>
          <w:r>
            <w:rPr>
              <w:rFonts w:hint="eastAsia" w:ascii="Arial Narrow" w:hAnsi="Arial Narrow" w:eastAsia="Times New Roman"/>
              <w:kern w:val="2"/>
              <w:lang w:eastAsia="es-ES"/>
            </w:rPr>
            <w:t>GCA - FR - 13</w:t>
          </w:r>
        </w:p>
      </w:tc>
    </w:tr>
    <w:tr w14:paraId="07F2758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10" w:hRule="atLeast"/>
        <w:tblCellSpacing w:w="0" w:type="dxa"/>
      </w:trPr>
      <w:tc>
        <w:tcPr>
          <w:tcW w:w="3643" w:type="pct"/>
          <w:gridSpan w:val="2"/>
          <w:tcBorders>
            <w:top w:val="outset" w:color="auto" w:sz="6" w:space="0"/>
            <w:left w:val="outset" w:color="auto" w:sz="6" w:space="0"/>
            <w:bottom w:val="outset" w:color="auto" w:sz="6" w:space="0"/>
            <w:right w:val="outset" w:color="auto" w:sz="6" w:space="0"/>
          </w:tcBorders>
          <w:shd w:val="clear" w:color="auto" w:fill="F1F1F1" w:themeFill="background1" w:themeFillShade="F2"/>
          <w:vAlign w:val="center"/>
        </w:tcPr>
        <w:p w14:paraId="5599454B">
          <w:pPr>
            <w:keepNext w:val="0"/>
            <w:keepLines w:val="0"/>
            <w:widowControl w:val="0"/>
            <w:suppressLineNumbers w:val="0"/>
            <w:spacing w:before="0" w:beforeAutospacing="0" w:after="0" w:afterAutospacing="0"/>
            <w:ind w:left="0" w:right="0"/>
            <w:jc w:val="center"/>
            <w:rPr>
              <w:rFonts w:hint="eastAsia" w:ascii="Arial Narrow" w:hAnsi="Arial Narrow"/>
              <w:bCs/>
              <w:kern w:val="2"/>
            </w:rPr>
          </w:pPr>
          <w:r>
            <w:rPr>
              <w:rFonts w:hint="eastAsia" w:ascii="Arial Narrow" w:hAnsi="Arial Narrow" w:eastAsia="Times New Roman"/>
              <w:b/>
              <w:bCs/>
              <w:kern w:val="2"/>
              <w:lang w:eastAsia="es-ES"/>
            </w:rPr>
            <w:t>FORMATO:</w:t>
          </w:r>
          <w:r>
            <w:rPr>
              <w:rFonts w:hint="eastAsia" w:ascii="Arial Narrow" w:hAnsi="Arial Narrow"/>
              <w:bCs/>
              <w:kern w:val="2"/>
            </w:rPr>
            <w:t xml:space="preserve"> Informe de ejecución y cumplimiento de obligaciones </w:t>
          </w:r>
        </w:p>
        <w:p w14:paraId="4509F25D">
          <w:pPr>
            <w:keepNext w:val="0"/>
            <w:keepLines w:val="0"/>
            <w:widowControl w:val="0"/>
            <w:suppressLineNumbers w:val="0"/>
            <w:spacing w:before="0" w:beforeAutospacing="0" w:after="0" w:afterAutospacing="0"/>
            <w:ind w:left="0" w:right="0"/>
            <w:jc w:val="center"/>
            <w:rPr>
              <w:rFonts w:hint="eastAsia" w:ascii="Arial Narrow" w:hAnsi="Arial Narrow"/>
              <w:bCs/>
              <w:kern w:val="2"/>
            </w:rPr>
          </w:pPr>
          <w:r>
            <w:rPr>
              <w:rFonts w:hint="eastAsia" w:ascii="Arial Narrow" w:hAnsi="Arial Narrow"/>
              <w:bCs/>
              <w:kern w:val="2"/>
            </w:rPr>
            <w:t>(CPS y apoyo a la gestión)</w:t>
          </w:r>
        </w:p>
      </w:tc>
      <w:tc>
        <w:tcPr>
          <w:tcW w:w="1357" w:type="pct"/>
          <w:tcBorders>
            <w:top w:val="outset" w:color="auto" w:sz="6" w:space="0"/>
            <w:left w:val="outset" w:color="auto" w:sz="6" w:space="0"/>
            <w:bottom w:val="outset" w:color="auto" w:sz="6" w:space="0"/>
            <w:right w:val="outset" w:color="auto" w:sz="6" w:space="0"/>
          </w:tcBorders>
          <w:vAlign w:val="center"/>
        </w:tcPr>
        <w:p w14:paraId="29A3B20D">
          <w:pPr>
            <w:keepNext w:val="0"/>
            <w:keepLines w:val="0"/>
            <w:widowControl/>
            <w:suppressLineNumbers w:val="0"/>
            <w:spacing w:before="0" w:beforeAutospacing="0" w:after="0" w:afterAutospacing="0" w:line="240" w:lineRule="auto"/>
            <w:ind w:left="0" w:right="0"/>
            <w:rPr>
              <w:rFonts w:hint="eastAsia" w:ascii="Arial Narrow" w:hAnsi="Arial Narrow" w:eastAsia="Times New Roman"/>
              <w:b/>
              <w:bCs/>
              <w:kern w:val="2"/>
              <w:lang w:eastAsia="es-ES"/>
            </w:rPr>
          </w:pPr>
          <w:r>
            <w:rPr>
              <w:rFonts w:hint="eastAsia" w:ascii="Arial Narrow" w:hAnsi="Arial Narrow" w:eastAsia="Times New Roman"/>
              <w:b/>
              <w:bCs/>
              <w:kern w:val="2"/>
              <w:lang w:eastAsia="es-ES"/>
            </w:rPr>
            <w:t xml:space="preserve">  VIGENTE DESDE: </w:t>
          </w:r>
          <w:r>
            <w:rPr>
              <w:rFonts w:hint="eastAsia" w:ascii="Arial Narrow" w:hAnsi="Arial Narrow" w:eastAsia="Times New Roman"/>
              <w:kern w:val="2"/>
              <w:lang w:eastAsia="es-ES"/>
            </w:rPr>
            <w:t>23/05/2025</w:t>
          </w:r>
        </w:p>
      </w:tc>
    </w:tr>
  </w:tbl>
  <w:p w14:paraId="7E3D0582">
    <w:pPr>
      <w:tabs>
        <w:tab w:val="left" w:pos="529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476"/>
    <w:rsid w:val="0000087F"/>
    <w:rsid w:val="00001C00"/>
    <w:rsid w:val="000022BE"/>
    <w:rsid w:val="00002623"/>
    <w:rsid w:val="00007892"/>
    <w:rsid w:val="00011AEA"/>
    <w:rsid w:val="00011B46"/>
    <w:rsid w:val="00013EE9"/>
    <w:rsid w:val="000140DD"/>
    <w:rsid w:val="0001598D"/>
    <w:rsid w:val="000204F6"/>
    <w:rsid w:val="0002267D"/>
    <w:rsid w:val="00025F30"/>
    <w:rsid w:val="0003018C"/>
    <w:rsid w:val="000347D1"/>
    <w:rsid w:val="000356D4"/>
    <w:rsid w:val="000357F5"/>
    <w:rsid w:val="000377D7"/>
    <w:rsid w:val="000379C9"/>
    <w:rsid w:val="000404DC"/>
    <w:rsid w:val="000438E0"/>
    <w:rsid w:val="000464B8"/>
    <w:rsid w:val="00050826"/>
    <w:rsid w:val="000547CC"/>
    <w:rsid w:val="00055D88"/>
    <w:rsid w:val="00055E78"/>
    <w:rsid w:val="00056239"/>
    <w:rsid w:val="00057F24"/>
    <w:rsid w:val="0006276C"/>
    <w:rsid w:val="0006281C"/>
    <w:rsid w:val="00070084"/>
    <w:rsid w:val="00070DEC"/>
    <w:rsid w:val="00075277"/>
    <w:rsid w:val="0007795B"/>
    <w:rsid w:val="00081666"/>
    <w:rsid w:val="00081F60"/>
    <w:rsid w:val="000827AD"/>
    <w:rsid w:val="0008527E"/>
    <w:rsid w:val="00092281"/>
    <w:rsid w:val="0009343B"/>
    <w:rsid w:val="00093D66"/>
    <w:rsid w:val="000A210B"/>
    <w:rsid w:val="000A31A7"/>
    <w:rsid w:val="000A4D0D"/>
    <w:rsid w:val="000A6D27"/>
    <w:rsid w:val="000B11A4"/>
    <w:rsid w:val="000B182B"/>
    <w:rsid w:val="000B3711"/>
    <w:rsid w:val="000B5E17"/>
    <w:rsid w:val="000B7E31"/>
    <w:rsid w:val="000C26B7"/>
    <w:rsid w:val="000C2D5A"/>
    <w:rsid w:val="000C33CD"/>
    <w:rsid w:val="000C539A"/>
    <w:rsid w:val="000C540F"/>
    <w:rsid w:val="000D03B8"/>
    <w:rsid w:val="000D70A6"/>
    <w:rsid w:val="000E3485"/>
    <w:rsid w:val="000E5399"/>
    <w:rsid w:val="000E703A"/>
    <w:rsid w:val="000F0C28"/>
    <w:rsid w:val="000F124F"/>
    <w:rsid w:val="000F1E0E"/>
    <w:rsid w:val="000F1E3A"/>
    <w:rsid w:val="000F258F"/>
    <w:rsid w:val="000F421F"/>
    <w:rsid w:val="000F7284"/>
    <w:rsid w:val="000F767B"/>
    <w:rsid w:val="001006CE"/>
    <w:rsid w:val="001018AD"/>
    <w:rsid w:val="00102E1E"/>
    <w:rsid w:val="00104A12"/>
    <w:rsid w:val="00105279"/>
    <w:rsid w:val="001057AA"/>
    <w:rsid w:val="001068D5"/>
    <w:rsid w:val="0011275A"/>
    <w:rsid w:val="00116DC1"/>
    <w:rsid w:val="001179B3"/>
    <w:rsid w:val="001206FF"/>
    <w:rsid w:val="00121519"/>
    <w:rsid w:val="00122837"/>
    <w:rsid w:val="00122EF6"/>
    <w:rsid w:val="0012391D"/>
    <w:rsid w:val="00124709"/>
    <w:rsid w:val="00125C38"/>
    <w:rsid w:val="001276B5"/>
    <w:rsid w:val="00131476"/>
    <w:rsid w:val="0013351E"/>
    <w:rsid w:val="0013516E"/>
    <w:rsid w:val="00135D53"/>
    <w:rsid w:val="00136BDF"/>
    <w:rsid w:val="00140D60"/>
    <w:rsid w:val="0014120E"/>
    <w:rsid w:val="00141D44"/>
    <w:rsid w:val="00143F1A"/>
    <w:rsid w:val="0014616B"/>
    <w:rsid w:val="00151E55"/>
    <w:rsid w:val="001578E2"/>
    <w:rsid w:val="0016311D"/>
    <w:rsid w:val="00176F7C"/>
    <w:rsid w:val="001816D1"/>
    <w:rsid w:val="0018501E"/>
    <w:rsid w:val="00185C7D"/>
    <w:rsid w:val="00187464"/>
    <w:rsid w:val="00187779"/>
    <w:rsid w:val="00187E28"/>
    <w:rsid w:val="001909B2"/>
    <w:rsid w:val="00192C0F"/>
    <w:rsid w:val="0019742C"/>
    <w:rsid w:val="001A0961"/>
    <w:rsid w:val="001A4595"/>
    <w:rsid w:val="001A4782"/>
    <w:rsid w:val="001A66E0"/>
    <w:rsid w:val="001B1132"/>
    <w:rsid w:val="001B1979"/>
    <w:rsid w:val="001B3069"/>
    <w:rsid w:val="001B41EB"/>
    <w:rsid w:val="001B57AE"/>
    <w:rsid w:val="001B6CCD"/>
    <w:rsid w:val="001C044F"/>
    <w:rsid w:val="001C10CF"/>
    <w:rsid w:val="001C3B3B"/>
    <w:rsid w:val="001C46AF"/>
    <w:rsid w:val="001C48DC"/>
    <w:rsid w:val="001C64DF"/>
    <w:rsid w:val="001C7CB0"/>
    <w:rsid w:val="001D02F4"/>
    <w:rsid w:val="001D2EC8"/>
    <w:rsid w:val="001D390E"/>
    <w:rsid w:val="001D5995"/>
    <w:rsid w:val="001E0FB3"/>
    <w:rsid w:val="001E11CB"/>
    <w:rsid w:val="001E16E9"/>
    <w:rsid w:val="001E1830"/>
    <w:rsid w:val="001E1E5E"/>
    <w:rsid w:val="001E2439"/>
    <w:rsid w:val="001E2DF8"/>
    <w:rsid w:val="001E5511"/>
    <w:rsid w:val="001E641C"/>
    <w:rsid w:val="001F33B1"/>
    <w:rsid w:val="00203442"/>
    <w:rsid w:val="002063E8"/>
    <w:rsid w:val="00206AEF"/>
    <w:rsid w:val="00207BC9"/>
    <w:rsid w:val="002101BD"/>
    <w:rsid w:val="002159E3"/>
    <w:rsid w:val="002166B9"/>
    <w:rsid w:val="002172EF"/>
    <w:rsid w:val="00224838"/>
    <w:rsid w:val="00226D95"/>
    <w:rsid w:val="002311CE"/>
    <w:rsid w:val="002318F6"/>
    <w:rsid w:val="002320CE"/>
    <w:rsid w:val="002345C2"/>
    <w:rsid w:val="002348D4"/>
    <w:rsid w:val="002361F2"/>
    <w:rsid w:val="00242FC8"/>
    <w:rsid w:val="002437A4"/>
    <w:rsid w:val="00245464"/>
    <w:rsid w:val="00245611"/>
    <w:rsid w:val="00246702"/>
    <w:rsid w:val="002469DE"/>
    <w:rsid w:val="002533E4"/>
    <w:rsid w:val="00253F8E"/>
    <w:rsid w:val="002608C9"/>
    <w:rsid w:val="00261575"/>
    <w:rsid w:val="00261755"/>
    <w:rsid w:val="0026402C"/>
    <w:rsid w:val="00267C82"/>
    <w:rsid w:val="00270194"/>
    <w:rsid w:val="00273BF5"/>
    <w:rsid w:val="00277723"/>
    <w:rsid w:val="00283FD5"/>
    <w:rsid w:val="00284066"/>
    <w:rsid w:val="00287F06"/>
    <w:rsid w:val="002918E2"/>
    <w:rsid w:val="00293932"/>
    <w:rsid w:val="00294277"/>
    <w:rsid w:val="00294F17"/>
    <w:rsid w:val="00295867"/>
    <w:rsid w:val="00296AAF"/>
    <w:rsid w:val="00296C01"/>
    <w:rsid w:val="00297F41"/>
    <w:rsid w:val="002A25F7"/>
    <w:rsid w:val="002A26C8"/>
    <w:rsid w:val="002A2FEF"/>
    <w:rsid w:val="002A39BF"/>
    <w:rsid w:val="002A4007"/>
    <w:rsid w:val="002A5378"/>
    <w:rsid w:val="002B02DB"/>
    <w:rsid w:val="002B13B3"/>
    <w:rsid w:val="002B26E7"/>
    <w:rsid w:val="002B2F36"/>
    <w:rsid w:val="002B3CDB"/>
    <w:rsid w:val="002B7CD6"/>
    <w:rsid w:val="002B7FF7"/>
    <w:rsid w:val="002C07C1"/>
    <w:rsid w:val="002C0D22"/>
    <w:rsid w:val="002C212E"/>
    <w:rsid w:val="002C34F3"/>
    <w:rsid w:val="002C3679"/>
    <w:rsid w:val="002C3B6E"/>
    <w:rsid w:val="002C7935"/>
    <w:rsid w:val="002D0739"/>
    <w:rsid w:val="002D37C7"/>
    <w:rsid w:val="002D40B2"/>
    <w:rsid w:val="002D694B"/>
    <w:rsid w:val="002D7804"/>
    <w:rsid w:val="002D7E0F"/>
    <w:rsid w:val="002E03C7"/>
    <w:rsid w:val="002E118B"/>
    <w:rsid w:val="002E521A"/>
    <w:rsid w:val="002F210C"/>
    <w:rsid w:val="002F3A5E"/>
    <w:rsid w:val="002F600F"/>
    <w:rsid w:val="00300315"/>
    <w:rsid w:val="00301764"/>
    <w:rsid w:val="00302C3E"/>
    <w:rsid w:val="0030420E"/>
    <w:rsid w:val="00305573"/>
    <w:rsid w:val="00312054"/>
    <w:rsid w:val="00312979"/>
    <w:rsid w:val="00313D06"/>
    <w:rsid w:val="00314E72"/>
    <w:rsid w:val="003162CA"/>
    <w:rsid w:val="00317899"/>
    <w:rsid w:val="003219D0"/>
    <w:rsid w:val="00322171"/>
    <w:rsid w:val="003316D9"/>
    <w:rsid w:val="00334656"/>
    <w:rsid w:val="0034184F"/>
    <w:rsid w:val="00341955"/>
    <w:rsid w:val="003455DC"/>
    <w:rsid w:val="00350558"/>
    <w:rsid w:val="00350AE4"/>
    <w:rsid w:val="0035547F"/>
    <w:rsid w:val="003564F8"/>
    <w:rsid w:val="00363691"/>
    <w:rsid w:val="00364171"/>
    <w:rsid w:val="003665E9"/>
    <w:rsid w:val="0036712C"/>
    <w:rsid w:val="003703C3"/>
    <w:rsid w:val="00372F1B"/>
    <w:rsid w:val="00373D96"/>
    <w:rsid w:val="00374D76"/>
    <w:rsid w:val="00380E5C"/>
    <w:rsid w:val="0038372E"/>
    <w:rsid w:val="00386A62"/>
    <w:rsid w:val="00390230"/>
    <w:rsid w:val="00394038"/>
    <w:rsid w:val="00395127"/>
    <w:rsid w:val="00397BFF"/>
    <w:rsid w:val="003A1E4E"/>
    <w:rsid w:val="003A4EE1"/>
    <w:rsid w:val="003A616A"/>
    <w:rsid w:val="003B1B2A"/>
    <w:rsid w:val="003B3A58"/>
    <w:rsid w:val="003B7469"/>
    <w:rsid w:val="003B7E13"/>
    <w:rsid w:val="003C0465"/>
    <w:rsid w:val="003C0E4A"/>
    <w:rsid w:val="003C3468"/>
    <w:rsid w:val="003C5F03"/>
    <w:rsid w:val="003D14B1"/>
    <w:rsid w:val="003D26A4"/>
    <w:rsid w:val="003D2900"/>
    <w:rsid w:val="003D33B9"/>
    <w:rsid w:val="003D36E4"/>
    <w:rsid w:val="003D7928"/>
    <w:rsid w:val="003E029C"/>
    <w:rsid w:val="003E4DEE"/>
    <w:rsid w:val="003F166C"/>
    <w:rsid w:val="003F3068"/>
    <w:rsid w:val="003F6BC8"/>
    <w:rsid w:val="003F7A38"/>
    <w:rsid w:val="00407F4E"/>
    <w:rsid w:val="00410B26"/>
    <w:rsid w:val="00411D31"/>
    <w:rsid w:val="004130F8"/>
    <w:rsid w:val="00416E6F"/>
    <w:rsid w:val="004170CF"/>
    <w:rsid w:val="00420B1F"/>
    <w:rsid w:val="00420C76"/>
    <w:rsid w:val="004263B9"/>
    <w:rsid w:val="00430AC0"/>
    <w:rsid w:val="0043477E"/>
    <w:rsid w:val="00435B8D"/>
    <w:rsid w:val="00435D42"/>
    <w:rsid w:val="00435ED1"/>
    <w:rsid w:val="00443184"/>
    <w:rsid w:val="0044346F"/>
    <w:rsid w:val="004572B5"/>
    <w:rsid w:val="00461624"/>
    <w:rsid w:val="00466DBF"/>
    <w:rsid w:val="0047080A"/>
    <w:rsid w:val="0047228A"/>
    <w:rsid w:val="00472B22"/>
    <w:rsid w:val="00473042"/>
    <w:rsid w:val="00477589"/>
    <w:rsid w:val="00480F55"/>
    <w:rsid w:val="004838AD"/>
    <w:rsid w:val="004843CC"/>
    <w:rsid w:val="00487130"/>
    <w:rsid w:val="00490302"/>
    <w:rsid w:val="00490FDF"/>
    <w:rsid w:val="00496249"/>
    <w:rsid w:val="004A0A77"/>
    <w:rsid w:val="004B1183"/>
    <w:rsid w:val="004B2702"/>
    <w:rsid w:val="004B38C5"/>
    <w:rsid w:val="004B735B"/>
    <w:rsid w:val="004C0DAF"/>
    <w:rsid w:val="004C16E5"/>
    <w:rsid w:val="004C249E"/>
    <w:rsid w:val="004C5ACB"/>
    <w:rsid w:val="004C75EB"/>
    <w:rsid w:val="004D16B9"/>
    <w:rsid w:val="004D1CD0"/>
    <w:rsid w:val="004D2874"/>
    <w:rsid w:val="004D2C65"/>
    <w:rsid w:val="004D7DFC"/>
    <w:rsid w:val="004E0089"/>
    <w:rsid w:val="004E3B36"/>
    <w:rsid w:val="004E4325"/>
    <w:rsid w:val="004E4C4A"/>
    <w:rsid w:val="004E50FE"/>
    <w:rsid w:val="004E6433"/>
    <w:rsid w:val="004E7939"/>
    <w:rsid w:val="004F211A"/>
    <w:rsid w:val="004F22A1"/>
    <w:rsid w:val="004F3F67"/>
    <w:rsid w:val="004F6B80"/>
    <w:rsid w:val="00501751"/>
    <w:rsid w:val="00502E84"/>
    <w:rsid w:val="00504DB7"/>
    <w:rsid w:val="00506458"/>
    <w:rsid w:val="0050746A"/>
    <w:rsid w:val="00510737"/>
    <w:rsid w:val="00511C18"/>
    <w:rsid w:val="00515513"/>
    <w:rsid w:val="00516CDD"/>
    <w:rsid w:val="0052301A"/>
    <w:rsid w:val="0052599D"/>
    <w:rsid w:val="00526F12"/>
    <w:rsid w:val="00535706"/>
    <w:rsid w:val="00537030"/>
    <w:rsid w:val="005426C5"/>
    <w:rsid w:val="00543736"/>
    <w:rsid w:val="0054646D"/>
    <w:rsid w:val="00546F64"/>
    <w:rsid w:val="00547585"/>
    <w:rsid w:val="00551444"/>
    <w:rsid w:val="00554C88"/>
    <w:rsid w:val="00557D38"/>
    <w:rsid w:val="00560299"/>
    <w:rsid w:val="00560F8B"/>
    <w:rsid w:val="00564D7C"/>
    <w:rsid w:val="005714EF"/>
    <w:rsid w:val="00571DF3"/>
    <w:rsid w:val="0057217A"/>
    <w:rsid w:val="00576F9D"/>
    <w:rsid w:val="00583D63"/>
    <w:rsid w:val="005850C9"/>
    <w:rsid w:val="00585AC2"/>
    <w:rsid w:val="00585BED"/>
    <w:rsid w:val="00586B2D"/>
    <w:rsid w:val="00586EE8"/>
    <w:rsid w:val="0059097C"/>
    <w:rsid w:val="00590AB2"/>
    <w:rsid w:val="00590E44"/>
    <w:rsid w:val="0059342A"/>
    <w:rsid w:val="005A0A72"/>
    <w:rsid w:val="005A2E04"/>
    <w:rsid w:val="005A4458"/>
    <w:rsid w:val="005B05F5"/>
    <w:rsid w:val="005B169F"/>
    <w:rsid w:val="005B5AB0"/>
    <w:rsid w:val="005C0534"/>
    <w:rsid w:val="005C281B"/>
    <w:rsid w:val="005C4655"/>
    <w:rsid w:val="005C5A85"/>
    <w:rsid w:val="005D41C9"/>
    <w:rsid w:val="005D45AB"/>
    <w:rsid w:val="005D7363"/>
    <w:rsid w:val="005D751B"/>
    <w:rsid w:val="005E22BD"/>
    <w:rsid w:val="005E5800"/>
    <w:rsid w:val="005E6D42"/>
    <w:rsid w:val="005F033E"/>
    <w:rsid w:val="005F1D44"/>
    <w:rsid w:val="005F282D"/>
    <w:rsid w:val="005F65F5"/>
    <w:rsid w:val="005F6DC5"/>
    <w:rsid w:val="00600794"/>
    <w:rsid w:val="00600ECA"/>
    <w:rsid w:val="006010C2"/>
    <w:rsid w:val="00601287"/>
    <w:rsid w:val="0060308E"/>
    <w:rsid w:val="006034CC"/>
    <w:rsid w:val="00603B0B"/>
    <w:rsid w:val="00605C91"/>
    <w:rsid w:val="00611932"/>
    <w:rsid w:val="00615F4A"/>
    <w:rsid w:val="006179D9"/>
    <w:rsid w:val="006202B9"/>
    <w:rsid w:val="00626817"/>
    <w:rsid w:val="006301F9"/>
    <w:rsid w:val="006339E5"/>
    <w:rsid w:val="00637293"/>
    <w:rsid w:val="00641100"/>
    <w:rsid w:val="00642795"/>
    <w:rsid w:val="00642D5A"/>
    <w:rsid w:val="0064341B"/>
    <w:rsid w:val="00643CB3"/>
    <w:rsid w:val="00644FC9"/>
    <w:rsid w:val="00645FEF"/>
    <w:rsid w:val="0064664A"/>
    <w:rsid w:val="0065014B"/>
    <w:rsid w:val="0065077F"/>
    <w:rsid w:val="006525E4"/>
    <w:rsid w:val="00652764"/>
    <w:rsid w:val="00652A74"/>
    <w:rsid w:val="00652C12"/>
    <w:rsid w:val="00656483"/>
    <w:rsid w:val="00660B63"/>
    <w:rsid w:val="00661C81"/>
    <w:rsid w:val="0066326D"/>
    <w:rsid w:val="0066329F"/>
    <w:rsid w:val="00663D34"/>
    <w:rsid w:val="00664431"/>
    <w:rsid w:val="006662C0"/>
    <w:rsid w:val="00671CBA"/>
    <w:rsid w:val="00671D86"/>
    <w:rsid w:val="0067348A"/>
    <w:rsid w:val="00673E39"/>
    <w:rsid w:val="006748D7"/>
    <w:rsid w:val="00674902"/>
    <w:rsid w:val="0068025C"/>
    <w:rsid w:val="0068743D"/>
    <w:rsid w:val="00690320"/>
    <w:rsid w:val="00690D93"/>
    <w:rsid w:val="00692985"/>
    <w:rsid w:val="00692DC2"/>
    <w:rsid w:val="00694946"/>
    <w:rsid w:val="00694F0A"/>
    <w:rsid w:val="00697A59"/>
    <w:rsid w:val="00697C9F"/>
    <w:rsid w:val="006A0FF4"/>
    <w:rsid w:val="006A6182"/>
    <w:rsid w:val="006A678E"/>
    <w:rsid w:val="006B102C"/>
    <w:rsid w:val="006B1F8F"/>
    <w:rsid w:val="006B3D46"/>
    <w:rsid w:val="006B55FE"/>
    <w:rsid w:val="006B73EC"/>
    <w:rsid w:val="006B7BDF"/>
    <w:rsid w:val="006C2E0F"/>
    <w:rsid w:val="006C6916"/>
    <w:rsid w:val="006D103C"/>
    <w:rsid w:val="006D1EDD"/>
    <w:rsid w:val="006D48A3"/>
    <w:rsid w:val="006E4DAD"/>
    <w:rsid w:val="006F30F2"/>
    <w:rsid w:val="006F3A6D"/>
    <w:rsid w:val="006F4375"/>
    <w:rsid w:val="006F6A3E"/>
    <w:rsid w:val="007026DF"/>
    <w:rsid w:val="00705FB5"/>
    <w:rsid w:val="00706488"/>
    <w:rsid w:val="00706D0D"/>
    <w:rsid w:val="00711244"/>
    <w:rsid w:val="0071375E"/>
    <w:rsid w:val="00715516"/>
    <w:rsid w:val="00716E14"/>
    <w:rsid w:val="00720CB1"/>
    <w:rsid w:val="007245E8"/>
    <w:rsid w:val="00726678"/>
    <w:rsid w:val="0073332C"/>
    <w:rsid w:val="007339F0"/>
    <w:rsid w:val="00735220"/>
    <w:rsid w:val="00735829"/>
    <w:rsid w:val="00736251"/>
    <w:rsid w:val="00736BE4"/>
    <w:rsid w:val="0074193A"/>
    <w:rsid w:val="00741DAB"/>
    <w:rsid w:val="00741ED1"/>
    <w:rsid w:val="007424F8"/>
    <w:rsid w:val="0074274F"/>
    <w:rsid w:val="00743AB8"/>
    <w:rsid w:val="00746362"/>
    <w:rsid w:val="0074751F"/>
    <w:rsid w:val="00751392"/>
    <w:rsid w:val="007539A4"/>
    <w:rsid w:val="00754A70"/>
    <w:rsid w:val="007577D4"/>
    <w:rsid w:val="00757909"/>
    <w:rsid w:val="00764F68"/>
    <w:rsid w:val="007667C0"/>
    <w:rsid w:val="00770224"/>
    <w:rsid w:val="00770EC0"/>
    <w:rsid w:val="007711E6"/>
    <w:rsid w:val="0077572A"/>
    <w:rsid w:val="00776CBD"/>
    <w:rsid w:val="00780A28"/>
    <w:rsid w:val="007817F3"/>
    <w:rsid w:val="007843A3"/>
    <w:rsid w:val="007847E6"/>
    <w:rsid w:val="00784F67"/>
    <w:rsid w:val="007859B4"/>
    <w:rsid w:val="00787B3D"/>
    <w:rsid w:val="0079682D"/>
    <w:rsid w:val="00797DD8"/>
    <w:rsid w:val="007A08B8"/>
    <w:rsid w:val="007A286F"/>
    <w:rsid w:val="007A5DAB"/>
    <w:rsid w:val="007A6917"/>
    <w:rsid w:val="007A6AED"/>
    <w:rsid w:val="007A6D6E"/>
    <w:rsid w:val="007B5536"/>
    <w:rsid w:val="007B71A0"/>
    <w:rsid w:val="007B75C2"/>
    <w:rsid w:val="007C11EC"/>
    <w:rsid w:val="007C1AAF"/>
    <w:rsid w:val="007C2A80"/>
    <w:rsid w:val="007C4300"/>
    <w:rsid w:val="007D1254"/>
    <w:rsid w:val="007D6A89"/>
    <w:rsid w:val="007E78AA"/>
    <w:rsid w:val="007E7E93"/>
    <w:rsid w:val="007F2F75"/>
    <w:rsid w:val="007F5DC3"/>
    <w:rsid w:val="007F6E32"/>
    <w:rsid w:val="00801565"/>
    <w:rsid w:val="008102E5"/>
    <w:rsid w:val="008109D8"/>
    <w:rsid w:val="00810B45"/>
    <w:rsid w:val="0081129A"/>
    <w:rsid w:val="008121AB"/>
    <w:rsid w:val="008123F5"/>
    <w:rsid w:val="00816B93"/>
    <w:rsid w:val="00817049"/>
    <w:rsid w:val="0082161E"/>
    <w:rsid w:val="00826073"/>
    <w:rsid w:val="00830F0B"/>
    <w:rsid w:val="0083230F"/>
    <w:rsid w:val="0083475C"/>
    <w:rsid w:val="00834C96"/>
    <w:rsid w:val="008368EA"/>
    <w:rsid w:val="00842D49"/>
    <w:rsid w:val="00843A45"/>
    <w:rsid w:val="00844A8E"/>
    <w:rsid w:val="00844C1E"/>
    <w:rsid w:val="0085043E"/>
    <w:rsid w:val="00852D0E"/>
    <w:rsid w:val="00855261"/>
    <w:rsid w:val="008555DA"/>
    <w:rsid w:val="00855CBD"/>
    <w:rsid w:val="008567C7"/>
    <w:rsid w:val="008601E8"/>
    <w:rsid w:val="00864C03"/>
    <w:rsid w:val="00864FAD"/>
    <w:rsid w:val="008676C3"/>
    <w:rsid w:val="00867E7F"/>
    <w:rsid w:val="0087384E"/>
    <w:rsid w:val="00873C10"/>
    <w:rsid w:val="00875B50"/>
    <w:rsid w:val="008760C5"/>
    <w:rsid w:val="00877CF9"/>
    <w:rsid w:val="00880795"/>
    <w:rsid w:val="008811FB"/>
    <w:rsid w:val="008851CC"/>
    <w:rsid w:val="00885EF2"/>
    <w:rsid w:val="0088685C"/>
    <w:rsid w:val="00887B6F"/>
    <w:rsid w:val="008934E6"/>
    <w:rsid w:val="00895240"/>
    <w:rsid w:val="00897262"/>
    <w:rsid w:val="008A29E5"/>
    <w:rsid w:val="008A309D"/>
    <w:rsid w:val="008A778D"/>
    <w:rsid w:val="008B05DD"/>
    <w:rsid w:val="008B2103"/>
    <w:rsid w:val="008B2264"/>
    <w:rsid w:val="008B2C8D"/>
    <w:rsid w:val="008B6C2B"/>
    <w:rsid w:val="008C409E"/>
    <w:rsid w:val="008C43B6"/>
    <w:rsid w:val="008D10CB"/>
    <w:rsid w:val="008D1ED2"/>
    <w:rsid w:val="008D60C7"/>
    <w:rsid w:val="008E066C"/>
    <w:rsid w:val="008E07CB"/>
    <w:rsid w:val="008E24D3"/>
    <w:rsid w:val="008E64DC"/>
    <w:rsid w:val="008E66AA"/>
    <w:rsid w:val="008E6D00"/>
    <w:rsid w:val="008F0356"/>
    <w:rsid w:val="009005FB"/>
    <w:rsid w:val="00904341"/>
    <w:rsid w:val="00905A26"/>
    <w:rsid w:val="009068C3"/>
    <w:rsid w:val="00910009"/>
    <w:rsid w:val="009161FD"/>
    <w:rsid w:val="0092065B"/>
    <w:rsid w:val="00920C38"/>
    <w:rsid w:val="00922E68"/>
    <w:rsid w:val="00923C32"/>
    <w:rsid w:val="0092415B"/>
    <w:rsid w:val="009263D6"/>
    <w:rsid w:val="009264B2"/>
    <w:rsid w:val="00926583"/>
    <w:rsid w:val="00930C6B"/>
    <w:rsid w:val="00934A8A"/>
    <w:rsid w:val="00936022"/>
    <w:rsid w:val="009417E1"/>
    <w:rsid w:val="00942F13"/>
    <w:rsid w:val="00944172"/>
    <w:rsid w:val="00945117"/>
    <w:rsid w:val="00945C52"/>
    <w:rsid w:val="00946B50"/>
    <w:rsid w:val="00950175"/>
    <w:rsid w:val="00957528"/>
    <w:rsid w:val="0095782D"/>
    <w:rsid w:val="009611E9"/>
    <w:rsid w:val="0096172E"/>
    <w:rsid w:val="00970D0A"/>
    <w:rsid w:val="00972540"/>
    <w:rsid w:val="00973325"/>
    <w:rsid w:val="0097582E"/>
    <w:rsid w:val="00976305"/>
    <w:rsid w:val="00981680"/>
    <w:rsid w:val="00981CDD"/>
    <w:rsid w:val="00983A5E"/>
    <w:rsid w:val="00984FB7"/>
    <w:rsid w:val="0098529E"/>
    <w:rsid w:val="0098586E"/>
    <w:rsid w:val="00987F8B"/>
    <w:rsid w:val="0099070E"/>
    <w:rsid w:val="00990BE1"/>
    <w:rsid w:val="00994498"/>
    <w:rsid w:val="00996EBD"/>
    <w:rsid w:val="00997434"/>
    <w:rsid w:val="009A0406"/>
    <w:rsid w:val="009A4BA5"/>
    <w:rsid w:val="009A4CA5"/>
    <w:rsid w:val="009B1054"/>
    <w:rsid w:val="009B10AC"/>
    <w:rsid w:val="009B23E2"/>
    <w:rsid w:val="009B4BC4"/>
    <w:rsid w:val="009B694A"/>
    <w:rsid w:val="009C4C4B"/>
    <w:rsid w:val="009C59E3"/>
    <w:rsid w:val="009C5E3F"/>
    <w:rsid w:val="009D13F5"/>
    <w:rsid w:val="009D2363"/>
    <w:rsid w:val="009D2FAC"/>
    <w:rsid w:val="009D385D"/>
    <w:rsid w:val="009E165D"/>
    <w:rsid w:val="009E31CB"/>
    <w:rsid w:val="009E539D"/>
    <w:rsid w:val="009E613F"/>
    <w:rsid w:val="009E6708"/>
    <w:rsid w:val="009F06C2"/>
    <w:rsid w:val="009F0F49"/>
    <w:rsid w:val="009F3E0A"/>
    <w:rsid w:val="009F47C6"/>
    <w:rsid w:val="009F4F62"/>
    <w:rsid w:val="00A00F78"/>
    <w:rsid w:val="00A01BB3"/>
    <w:rsid w:val="00A04618"/>
    <w:rsid w:val="00A06377"/>
    <w:rsid w:val="00A131B6"/>
    <w:rsid w:val="00A161EE"/>
    <w:rsid w:val="00A16C30"/>
    <w:rsid w:val="00A174CB"/>
    <w:rsid w:val="00A177BA"/>
    <w:rsid w:val="00A2150C"/>
    <w:rsid w:val="00A246D0"/>
    <w:rsid w:val="00A26D0D"/>
    <w:rsid w:val="00A27592"/>
    <w:rsid w:val="00A32917"/>
    <w:rsid w:val="00A32C47"/>
    <w:rsid w:val="00A36E43"/>
    <w:rsid w:val="00A37A89"/>
    <w:rsid w:val="00A37B2D"/>
    <w:rsid w:val="00A439B6"/>
    <w:rsid w:val="00A50E25"/>
    <w:rsid w:val="00A56CEA"/>
    <w:rsid w:val="00A6698F"/>
    <w:rsid w:val="00A72EF6"/>
    <w:rsid w:val="00A749D3"/>
    <w:rsid w:val="00A7582F"/>
    <w:rsid w:val="00A75A59"/>
    <w:rsid w:val="00A76D1D"/>
    <w:rsid w:val="00A775F3"/>
    <w:rsid w:val="00A77C22"/>
    <w:rsid w:val="00A8071A"/>
    <w:rsid w:val="00A84A7C"/>
    <w:rsid w:val="00A87B58"/>
    <w:rsid w:val="00A95DCD"/>
    <w:rsid w:val="00A96311"/>
    <w:rsid w:val="00A9659E"/>
    <w:rsid w:val="00A97998"/>
    <w:rsid w:val="00AA07ED"/>
    <w:rsid w:val="00AA1035"/>
    <w:rsid w:val="00AA19A4"/>
    <w:rsid w:val="00AA3394"/>
    <w:rsid w:val="00AA48F7"/>
    <w:rsid w:val="00AA7A05"/>
    <w:rsid w:val="00AB0884"/>
    <w:rsid w:val="00AB0DF4"/>
    <w:rsid w:val="00AB350F"/>
    <w:rsid w:val="00AC01F9"/>
    <w:rsid w:val="00AC2A8B"/>
    <w:rsid w:val="00AC3804"/>
    <w:rsid w:val="00AD1FCE"/>
    <w:rsid w:val="00AD5A21"/>
    <w:rsid w:val="00AE0718"/>
    <w:rsid w:val="00AE18BC"/>
    <w:rsid w:val="00AE57FD"/>
    <w:rsid w:val="00AE7BE8"/>
    <w:rsid w:val="00AF0487"/>
    <w:rsid w:val="00AF184A"/>
    <w:rsid w:val="00AF25CA"/>
    <w:rsid w:val="00AF4DF3"/>
    <w:rsid w:val="00AF6B2B"/>
    <w:rsid w:val="00B01F4A"/>
    <w:rsid w:val="00B03986"/>
    <w:rsid w:val="00B03BC5"/>
    <w:rsid w:val="00B11058"/>
    <w:rsid w:val="00B13622"/>
    <w:rsid w:val="00B17F5C"/>
    <w:rsid w:val="00B22096"/>
    <w:rsid w:val="00B2219A"/>
    <w:rsid w:val="00B237DA"/>
    <w:rsid w:val="00B3003F"/>
    <w:rsid w:val="00B30239"/>
    <w:rsid w:val="00B32A3E"/>
    <w:rsid w:val="00B35BAC"/>
    <w:rsid w:val="00B419BC"/>
    <w:rsid w:val="00B42CBF"/>
    <w:rsid w:val="00B4728C"/>
    <w:rsid w:val="00B47934"/>
    <w:rsid w:val="00B50B64"/>
    <w:rsid w:val="00B5167A"/>
    <w:rsid w:val="00B53FA1"/>
    <w:rsid w:val="00B55297"/>
    <w:rsid w:val="00B5744C"/>
    <w:rsid w:val="00B605A7"/>
    <w:rsid w:val="00B675D3"/>
    <w:rsid w:val="00B75A8F"/>
    <w:rsid w:val="00B77220"/>
    <w:rsid w:val="00B77A96"/>
    <w:rsid w:val="00B8031F"/>
    <w:rsid w:val="00B8103C"/>
    <w:rsid w:val="00B85DFA"/>
    <w:rsid w:val="00B86024"/>
    <w:rsid w:val="00B87833"/>
    <w:rsid w:val="00B94E9C"/>
    <w:rsid w:val="00B963CE"/>
    <w:rsid w:val="00B96773"/>
    <w:rsid w:val="00BA1965"/>
    <w:rsid w:val="00BA1C3C"/>
    <w:rsid w:val="00BB2245"/>
    <w:rsid w:val="00BB28E5"/>
    <w:rsid w:val="00BB4754"/>
    <w:rsid w:val="00BB7D63"/>
    <w:rsid w:val="00BB7E68"/>
    <w:rsid w:val="00BC2834"/>
    <w:rsid w:val="00BC4B57"/>
    <w:rsid w:val="00BD0EEC"/>
    <w:rsid w:val="00BD2B79"/>
    <w:rsid w:val="00BD38EA"/>
    <w:rsid w:val="00BD549A"/>
    <w:rsid w:val="00BD5E86"/>
    <w:rsid w:val="00BE00A4"/>
    <w:rsid w:val="00BE02EC"/>
    <w:rsid w:val="00BE3445"/>
    <w:rsid w:val="00BE4AA6"/>
    <w:rsid w:val="00BE5EF6"/>
    <w:rsid w:val="00BE6F04"/>
    <w:rsid w:val="00BF0C5B"/>
    <w:rsid w:val="00BF1B45"/>
    <w:rsid w:val="00BF3956"/>
    <w:rsid w:val="00BF3A19"/>
    <w:rsid w:val="00BF7DA5"/>
    <w:rsid w:val="00C02867"/>
    <w:rsid w:val="00C03086"/>
    <w:rsid w:val="00C03324"/>
    <w:rsid w:val="00C04717"/>
    <w:rsid w:val="00C07F01"/>
    <w:rsid w:val="00C11819"/>
    <w:rsid w:val="00C11A90"/>
    <w:rsid w:val="00C126E0"/>
    <w:rsid w:val="00C1284B"/>
    <w:rsid w:val="00C1334C"/>
    <w:rsid w:val="00C13A0F"/>
    <w:rsid w:val="00C1577F"/>
    <w:rsid w:val="00C1599E"/>
    <w:rsid w:val="00C175ED"/>
    <w:rsid w:val="00C20EB6"/>
    <w:rsid w:val="00C21745"/>
    <w:rsid w:val="00C22D1D"/>
    <w:rsid w:val="00C24E3B"/>
    <w:rsid w:val="00C26C5D"/>
    <w:rsid w:val="00C30A8C"/>
    <w:rsid w:val="00C32D90"/>
    <w:rsid w:val="00C34544"/>
    <w:rsid w:val="00C353C7"/>
    <w:rsid w:val="00C356B9"/>
    <w:rsid w:val="00C3587E"/>
    <w:rsid w:val="00C530DB"/>
    <w:rsid w:val="00C54C91"/>
    <w:rsid w:val="00C55D0C"/>
    <w:rsid w:val="00C566CF"/>
    <w:rsid w:val="00C60E57"/>
    <w:rsid w:val="00C61001"/>
    <w:rsid w:val="00C655F1"/>
    <w:rsid w:val="00C66739"/>
    <w:rsid w:val="00C66A62"/>
    <w:rsid w:val="00C66C1F"/>
    <w:rsid w:val="00C67EB5"/>
    <w:rsid w:val="00C70DD6"/>
    <w:rsid w:val="00C82C57"/>
    <w:rsid w:val="00C82EC0"/>
    <w:rsid w:val="00C86B89"/>
    <w:rsid w:val="00C87200"/>
    <w:rsid w:val="00C87C18"/>
    <w:rsid w:val="00C92463"/>
    <w:rsid w:val="00C940FA"/>
    <w:rsid w:val="00C97A81"/>
    <w:rsid w:val="00CA1A8A"/>
    <w:rsid w:val="00CA256E"/>
    <w:rsid w:val="00CB1D10"/>
    <w:rsid w:val="00CB3F45"/>
    <w:rsid w:val="00CB44A4"/>
    <w:rsid w:val="00CB5170"/>
    <w:rsid w:val="00CB7314"/>
    <w:rsid w:val="00CC191F"/>
    <w:rsid w:val="00CC4A04"/>
    <w:rsid w:val="00CD4309"/>
    <w:rsid w:val="00CD4D41"/>
    <w:rsid w:val="00CD5893"/>
    <w:rsid w:val="00CD660F"/>
    <w:rsid w:val="00CD6756"/>
    <w:rsid w:val="00CD7B4A"/>
    <w:rsid w:val="00CE027A"/>
    <w:rsid w:val="00CE36D7"/>
    <w:rsid w:val="00CE7551"/>
    <w:rsid w:val="00CF02E6"/>
    <w:rsid w:val="00CF10E0"/>
    <w:rsid w:val="00CF3E19"/>
    <w:rsid w:val="00CF4D19"/>
    <w:rsid w:val="00CF4DCB"/>
    <w:rsid w:val="00CF6E41"/>
    <w:rsid w:val="00D043F8"/>
    <w:rsid w:val="00D07BB6"/>
    <w:rsid w:val="00D109BB"/>
    <w:rsid w:val="00D142CF"/>
    <w:rsid w:val="00D15DE0"/>
    <w:rsid w:val="00D228B6"/>
    <w:rsid w:val="00D2459C"/>
    <w:rsid w:val="00D27511"/>
    <w:rsid w:val="00D27702"/>
    <w:rsid w:val="00D30319"/>
    <w:rsid w:val="00D30AC0"/>
    <w:rsid w:val="00D314B1"/>
    <w:rsid w:val="00D358E5"/>
    <w:rsid w:val="00D3664F"/>
    <w:rsid w:val="00D404B4"/>
    <w:rsid w:val="00D47ABA"/>
    <w:rsid w:val="00D518B8"/>
    <w:rsid w:val="00D51C96"/>
    <w:rsid w:val="00D51ECE"/>
    <w:rsid w:val="00D6332C"/>
    <w:rsid w:val="00D700C8"/>
    <w:rsid w:val="00D710EC"/>
    <w:rsid w:val="00D71CF1"/>
    <w:rsid w:val="00D76A31"/>
    <w:rsid w:val="00D81919"/>
    <w:rsid w:val="00D83B74"/>
    <w:rsid w:val="00D855B8"/>
    <w:rsid w:val="00D901FC"/>
    <w:rsid w:val="00D91412"/>
    <w:rsid w:val="00D91D45"/>
    <w:rsid w:val="00D92433"/>
    <w:rsid w:val="00D9405C"/>
    <w:rsid w:val="00D95EB4"/>
    <w:rsid w:val="00DA2378"/>
    <w:rsid w:val="00DB03DA"/>
    <w:rsid w:val="00DB3CA5"/>
    <w:rsid w:val="00DC2F38"/>
    <w:rsid w:val="00DC31BC"/>
    <w:rsid w:val="00DC5F9C"/>
    <w:rsid w:val="00DC7F9B"/>
    <w:rsid w:val="00DD0703"/>
    <w:rsid w:val="00DD0BB5"/>
    <w:rsid w:val="00DD2055"/>
    <w:rsid w:val="00DD3509"/>
    <w:rsid w:val="00DD4E9E"/>
    <w:rsid w:val="00DD7EE4"/>
    <w:rsid w:val="00DE0AE5"/>
    <w:rsid w:val="00DE17F2"/>
    <w:rsid w:val="00DE336C"/>
    <w:rsid w:val="00DE49E7"/>
    <w:rsid w:val="00DE63EF"/>
    <w:rsid w:val="00DF00FA"/>
    <w:rsid w:val="00DF051C"/>
    <w:rsid w:val="00DF2A79"/>
    <w:rsid w:val="00DF59E5"/>
    <w:rsid w:val="00DF67DE"/>
    <w:rsid w:val="00E02179"/>
    <w:rsid w:val="00E0284D"/>
    <w:rsid w:val="00E054DC"/>
    <w:rsid w:val="00E0678C"/>
    <w:rsid w:val="00E11ECD"/>
    <w:rsid w:val="00E13139"/>
    <w:rsid w:val="00E14A2A"/>
    <w:rsid w:val="00E15EC1"/>
    <w:rsid w:val="00E17007"/>
    <w:rsid w:val="00E17288"/>
    <w:rsid w:val="00E21ABE"/>
    <w:rsid w:val="00E277A7"/>
    <w:rsid w:val="00E34CBE"/>
    <w:rsid w:val="00E40161"/>
    <w:rsid w:val="00E411A3"/>
    <w:rsid w:val="00E43724"/>
    <w:rsid w:val="00E457E8"/>
    <w:rsid w:val="00E4764B"/>
    <w:rsid w:val="00E47B23"/>
    <w:rsid w:val="00E51D3D"/>
    <w:rsid w:val="00E53FEF"/>
    <w:rsid w:val="00E55F58"/>
    <w:rsid w:val="00E617E3"/>
    <w:rsid w:val="00E63C6B"/>
    <w:rsid w:val="00E65806"/>
    <w:rsid w:val="00E70186"/>
    <w:rsid w:val="00E70AB4"/>
    <w:rsid w:val="00E720F8"/>
    <w:rsid w:val="00E752E5"/>
    <w:rsid w:val="00E757D5"/>
    <w:rsid w:val="00E766BC"/>
    <w:rsid w:val="00E80AAA"/>
    <w:rsid w:val="00E80ADE"/>
    <w:rsid w:val="00E819CE"/>
    <w:rsid w:val="00E82C93"/>
    <w:rsid w:val="00E8685D"/>
    <w:rsid w:val="00E93572"/>
    <w:rsid w:val="00E93E32"/>
    <w:rsid w:val="00E9430A"/>
    <w:rsid w:val="00E94DDB"/>
    <w:rsid w:val="00E955FE"/>
    <w:rsid w:val="00E968E4"/>
    <w:rsid w:val="00E96CC9"/>
    <w:rsid w:val="00E97B07"/>
    <w:rsid w:val="00EA0605"/>
    <w:rsid w:val="00EA420F"/>
    <w:rsid w:val="00EA770F"/>
    <w:rsid w:val="00EB0B1D"/>
    <w:rsid w:val="00EB2925"/>
    <w:rsid w:val="00EB32A2"/>
    <w:rsid w:val="00EB4032"/>
    <w:rsid w:val="00EB6C05"/>
    <w:rsid w:val="00EC2D79"/>
    <w:rsid w:val="00EC595F"/>
    <w:rsid w:val="00ED2478"/>
    <w:rsid w:val="00ED3151"/>
    <w:rsid w:val="00ED5A65"/>
    <w:rsid w:val="00EE17F4"/>
    <w:rsid w:val="00EE2247"/>
    <w:rsid w:val="00EE35A2"/>
    <w:rsid w:val="00EE6432"/>
    <w:rsid w:val="00EE7066"/>
    <w:rsid w:val="00EE7750"/>
    <w:rsid w:val="00EE7A33"/>
    <w:rsid w:val="00EF03A1"/>
    <w:rsid w:val="00EF3B76"/>
    <w:rsid w:val="00EF6293"/>
    <w:rsid w:val="00F011A4"/>
    <w:rsid w:val="00F01864"/>
    <w:rsid w:val="00F01D4F"/>
    <w:rsid w:val="00F029ED"/>
    <w:rsid w:val="00F0317B"/>
    <w:rsid w:val="00F0330C"/>
    <w:rsid w:val="00F03552"/>
    <w:rsid w:val="00F147E7"/>
    <w:rsid w:val="00F1618E"/>
    <w:rsid w:val="00F20211"/>
    <w:rsid w:val="00F3080B"/>
    <w:rsid w:val="00F30CC8"/>
    <w:rsid w:val="00F4016A"/>
    <w:rsid w:val="00F42F8F"/>
    <w:rsid w:val="00F47825"/>
    <w:rsid w:val="00F47CC9"/>
    <w:rsid w:val="00F50561"/>
    <w:rsid w:val="00F5162E"/>
    <w:rsid w:val="00F53B79"/>
    <w:rsid w:val="00F56D51"/>
    <w:rsid w:val="00F63BE4"/>
    <w:rsid w:val="00F644DF"/>
    <w:rsid w:val="00F66EC5"/>
    <w:rsid w:val="00F67F07"/>
    <w:rsid w:val="00F70165"/>
    <w:rsid w:val="00F70EBF"/>
    <w:rsid w:val="00F71FDD"/>
    <w:rsid w:val="00F72498"/>
    <w:rsid w:val="00F72AE7"/>
    <w:rsid w:val="00F73925"/>
    <w:rsid w:val="00F74D5B"/>
    <w:rsid w:val="00F7719A"/>
    <w:rsid w:val="00F810C7"/>
    <w:rsid w:val="00F81360"/>
    <w:rsid w:val="00F813C6"/>
    <w:rsid w:val="00F85D58"/>
    <w:rsid w:val="00F86BF4"/>
    <w:rsid w:val="00F87296"/>
    <w:rsid w:val="00F873D8"/>
    <w:rsid w:val="00F9118F"/>
    <w:rsid w:val="00F92A16"/>
    <w:rsid w:val="00F93655"/>
    <w:rsid w:val="00F942C9"/>
    <w:rsid w:val="00F95D28"/>
    <w:rsid w:val="00F965EC"/>
    <w:rsid w:val="00FA0022"/>
    <w:rsid w:val="00FA1015"/>
    <w:rsid w:val="00FA44B2"/>
    <w:rsid w:val="00FA6264"/>
    <w:rsid w:val="00FA6716"/>
    <w:rsid w:val="00FA67E4"/>
    <w:rsid w:val="00FA75D2"/>
    <w:rsid w:val="00FB0DFA"/>
    <w:rsid w:val="00FB195F"/>
    <w:rsid w:val="00FB1FF7"/>
    <w:rsid w:val="00FB211B"/>
    <w:rsid w:val="00FB256B"/>
    <w:rsid w:val="00FB4165"/>
    <w:rsid w:val="00FC1987"/>
    <w:rsid w:val="00FC2674"/>
    <w:rsid w:val="00FC3B04"/>
    <w:rsid w:val="00FC4659"/>
    <w:rsid w:val="00FC5180"/>
    <w:rsid w:val="00FC6632"/>
    <w:rsid w:val="00FD2183"/>
    <w:rsid w:val="00FD26AD"/>
    <w:rsid w:val="00FD3409"/>
    <w:rsid w:val="00FD5063"/>
    <w:rsid w:val="00FD603F"/>
    <w:rsid w:val="00FD627E"/>
    <w:rsid w:val="00FE220D"/>
    <w:rsid w:val="00FE2832"/>
    <w:rsid w:val="00FE7196"/>
    <w:rsid w:val="00FF275D"/>
    <w:rsid w:val="00FF2EA3"/>
    <w:rsid w:val="00FF4C5D"/>
    <w:rsid w:val="00FF7636"/>
    <w:rsid w:val="00FF7F07"/>
    <w:rsid w:val="0EC9664D"/>
    <w:rsid w:val="1E8E2DB0"/>
    <w:rsid w:val="29D21406"/>
    <w:rsid w:val="31680440"/>
    <w:rsid w:val="5803595E"/>
    <w:rsid w:val="5D35358F"/>
  </w:rsids>
  <m:mathPr>
    <m:mathFont m:val="Cambria Math"/>
    <m:brkBin m:val="before"/>
    <m:brkBinSub m:val="--"/>
    <m:smallFrac m:val="1"/>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es-ES" w:eastAsia="en-US" w:bidi="ar-SA"/>
    </w:rPr>
  </w:style>
  <w:style w:type="paragraph" w:styleId="2">
    <w:name w:val="heading 1"/>
    <w:basedOn w:val="1"/>
    <w:next w:val="1"/>
    <w:link w:val="36"/>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20"/>
    <w:autoRedefine/>
    <w:qFormat/>
    <w:uiPriority w:val="0"/>
    <w:pPr>
      <w:keepNext/>
      <w:spacing w:after="0" w:line="240" w:lineRule="auto"/>
      <w:outlineLvl w:val="1"/>
    </w:pPr>
    <w:rPr>
      <w:rFonts w:ascii="Arial" w:hAnsi="Arial" w:eastAsia="Times New Roman" w:cs="Arial"/>
      <w:b/>
      <w:spacing w:val="-4"/>
      <w:position w:val="4"/>
      <w:sz w:val="20"/>
      <w:szCs w:val="20"/>
      <w:lang w:eastAsia="es-ES"/>
    </w:rPr>
  </w:style>
  <w:style w:type="paragraph" w:styleId="4">
    <w:name w:val="heading 3"/>
    <w:basedOn w:val="1"/>
    <w:next w:val="1"/>
    <w:link w:val="30"/>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5">
    <w:name w:val="Default Paragraph Font"/>
    <w:semiHidden/>
    <w:unhideWhenUsed/>
    <w:qFormat/>
    <w:uiPriority w:val="1"/>
  </w:style>
  <w:style w:type="table" w:default="1" w:styleId="6">
    <w:name w:val="Normal Table"/>
    <w:semiHidden/>
    <w:unhideWhenUsed/>
    <w:qFormat/>
    <w:uiPriority w:val="99"/>
    <w:pPr>
      <w:keepNext w:val="0"/>
      <w:keepLines w:val="0"/>
      <w:widowControl/>
      <w:suppressLineNumbers w:val="0"/>
      <w:spacing w:before="0" w:beforeAutospacing="0" w:after="160" w:afterAutospacing="0" w:line="276" w:lineRule="auto"/>
      <w:ind w:left="0" w:right="0"/>
    </w:pPr>
    <w:rPr>
      <w:rFonts w:hint="eastAsia" w:ascii="Aptos" w:hAnsi="Aptos" w:eastAsia="Aptos" w:cs="Aptos"/>
      <w:kern w:val="2"/>
      <w:sz w:val="24"/>
      <w:szCs w:val="24"/>
      <w:lang w:eastAsia="en-US"/>
    </w:rPr>
    <w:tblPr>
      <w:tblCellMar>
        <w:top w:w="0" w:type="dxa"/>
        <w:left w:w="100" w:type="dxa"/>
        <w:bottom w:w="0" w:type="dxa"/>
        <w:right w:w="100" w:type="dxa"/>
      </w:tblCellMar>
    </w:tblPr>
  </w:style>
  <w:style w:type="character" w:styleId="7">
    <w:name w:val="annotation reference"/>
    <w:basedOn w:val="5"/>
    <w:semiHidden/>
    <w:unhideWhenUsed/>
    <w:qFormat/>
    <w:uiPriority w:val="99"/>
    <w:rPr>
      <w:sz w:val="16"/>
      <w:szCs w:val="16"/>
    </w:rPr>
  </w:style>
  <w:style w:type="character" w:styleId="8">
    <w:name w:val="footnote reference"/>
    <w:semiHidden/>
    <w:unhideWhenUsed/>
    <w:qFormat/>
    <w:uiPriority w:val="99"/>
    <w:rPr>
      <w:vertAlign w:val="superscript"/>
    </w:rPr>
  </w:style>
  <w:style w:type="character" w:styleId="9">
    <w:name w:val="Hyperlink"/>
    <w:basedOn w:val="5"/>
    <w:unhideWhenUsed/>
    <w:qFormat/>
    <w:uiPriority w:val="99"/>
    <w:rPr>
      <w:color w:val="0000FF"/>
      <w:u w:val="single"/>
    </w:rPr>
  </w:style>
  <w:style w:type="character" w:styleId="10">
    <w:name w:val="FollowedHyperlink"/>
    <w:basedOn w:val="5"/>
    <w:semiHidden/>
    <w:unhideWhenUsed/>
    <w:qFormat/>
    <w:uiPriority w:val="99"/>
    <w:rPr>
      <w:color w:val="954F72" w:themeColor="followedHyperlink"/>
      <w:u w:val="single"/>
      <w14:textFill>
        <w14:solidFill>
          <w14:schemeClr w14:val="folHlink"/>
        </w14:solidFill>
      </w14:textFill>
    </w:rPr>
  </w:style>
  <w:style w:type="paragraph" w:styleId="11">
    <w:name w:val="footnote text"/>
    <w:basedOn w:val="1"/>
    <w:link w:val="38"/>
    <w:semiHidden/>
    <w:unhideWhenUsed/>
    <w:qFormat/>
    <w:uiPriority w:val="99"/>
    <w:pPr>
      <w:spacing w:after="200" w:line="276" w:lineRule="auto"/>
    </w:pPr>
    <w:rPr>
      <w:rFonts w:cs="Times New Roman"/>
      <w:sz w:val="20"/>
      <w:szCs w:val="20"/>
      <w:lang w:val="es-CO"/>
    </w:rPr>
  </w:style>
  <w:style w:type="paragraph" w:styleId="12">
    <w:name w:val="annotation subject"/>
    <w:basedOn w:val="13"/>
    <w:next w:val="13"/>
    <w:link w:val="24"/>
    <w:semiHidden/>
    <w:unhideWhenUsed/>
    <w:qFormat/>
    <w:uiPriority w:val="99"/>
    <w:rPr>
      <w:b/>
      <w:bCs/>
    </w:rPr>
  </w:style>
  <w:style w:type="paragraph" w:styleId="13">
    <w:name w:val="annotation text"/>
    <w:basedOn w:val="1"/>
    <w:link w:val="23"/>
    <w:semiHidden/>
    <w:unhideWhenUsed/>
    <w:qFormat/>
    <w:uiPriority w:val="0"/>
    <w:pPr>
      <w:spacing w:line="240" w:lineRule="auto"/>
    </w:pPr>
    <w:rPr>
      <w:sz w:val="20"/>
      <w:szCs w:val="20"/>
    </w:rPr>
  </w:style>
  <w:style w:type="paragraph" w:styleId="14">
    <w:name w:val="Balloon Text"/>
    <w:basedOn w:val="1"/>
    <w:link w:val="25"/>
    <w:semiHidden/>
    <w:unhideWhenUsed/>
    <w:qFormat/>
    <w:uiPriority w:val="99"/>
    <w:pPr>
      <w:spacing w:after="0" w:line="240" w:lineRule="auto"/>
    </w:pPr>
    <w:rPr>
      <w:rFonts w:ascii="Segoe UI" w:hAnsi="Segoe UI" w:cs="Segoe UI"/>
      <w:sz w:val="18"/>
      <w:szCs w:val="18"/>
    </w:rPr>
  </w:style>
  <w:style w:type="paragraph" w:styleId="15">
    <w:name w:val="header"/>
    <w:basedOn w:val="1"/>
    <w:link w:val="21"/>
    <w:unhideWhenUsed/>
    <w:qFormat/>
    <w:uiPriority w:val="0"/>
    <w:pPr>
      <w:tabs>
        <w:tab w:val="center" w:pos="4252"/>
        <w:tab w:val="right" w:pos="8504"/>
      </w:tabs>
      <w:spacing w:after="0" w:line="240" w:lineRule="auto"/>
    </w:pPr>
  </w:style>
  <w:style w:type="paragraph" w:styleId="16">
    <w:name w:val="Normal (Web)"/>
    <w:basedOn w:val="1"/>
    <w:unhideWhenUsed/>
    <w:qFormat/>
    <w:uiPriority w:val="99"/>
    <w:pPr>
      <w:spacing w:before="100" w:beforeAutospacing="1" w:after="100" w:afterAutospacing="1" w:line="240" w:lineRule="auto"/>
    </w:pPr>
    <w:rPr>
      <w:rFonts w:ascii="Times New Roman" w:hAnsi="Times New Roman" w:cs="Times New Roman" w:eastAsiaTheme="minorEastAsia"/>
      <w:sz w:val="24"/>
      <w:szCs w:val="24"/>
      <w:lang w:val="es-CO" w:eastAsia="es-CO"/>
    </w:rPr>
  </w:style>
  <w:style w:type="paragraph" w:styleId="17">
    <w:name w:val="footer"/>
    <w:basedOn w:val="1"/>
    <w:link w:val="22"/>
    <w:unhideWhenUsed/>
    <w:qFormat/>
    <w:uiPriority w:val="0"/>
    <w:pPr>
      <w:tabs>
        <w:tab w:val="center" w:pos="4252"/>
        <w:tab w:val="right" w:pos="8504"/>
      </w:tabs>
      <w:spacing w:after="0" w:line="240" w:lineRule="auto"/>
    </w:pPr>
  </w:style>
  <w:style w:type="paragraph" w:styleId="18">
    <w:name w:val="Body Text"/>
    <w:basedOn w:val="1"/>
    <w:link w:val="33"/>
    <w:qFormat/>
    <w:uiPriority w:val="1"/>
    <w:pPr>
      <w:widowControl w:val="0"/>
      <w:autoSpaceDE w:val="0"/>
      <w:autoSpaceDN w:val="0"/>
      <w:spacing w:after="0" w:line="240" w:lineRule="auto"/>
    </w:pPr>
    <w:rPr>
      <w:rFonts w:ascii="TeXGyreAdventor" w:hAnsi="TeXGyreAdventor" w:eastAsia="TeXGyreAdventor" w:cs="TeXGyreAdventor"/>
    </w:rPr>
  </w:style>
  <w:style w:type="table" w:styleId="19">
    <w:name w:val="Table Grid"/>
    <w:basedOn w:val="6"/>
    <w:qFormat/>
    <w:uiPriority w:val="59"/>
    <w:pPr>
      <w:spacing w:after="0" w:line="240" w:lineRule="auto"/>
    </w:pPr>
    <w:rPr>
      <w:lang w:val="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Título 2 Car"/>
    <w:basedOn w:val="5"/>
    <w:link w:val="3"/>
    <w:qFormat/>
    <w:uiPriority w:val="0"/>
    <w:rPr>
      <w:rFonts w:ascii="Arial" w:hAnsi="Arial" w:eastAsia="Times New Roman" w:cs="Arial"/>
      <w:b/>
      <w:spacing w:val="-4"/>
      <w:position w:val="4"/>
      <w:sz w:val="20"/>
      <w:szCs w:val="20"/>
      <w:lang w:eastAsia="es-ES"/>
    </w:rPr>
  </w:style>
  <w:style w:type="character" w:customStyle="1" w:styleId="21">
    <w:name w:val="Encabezado Car"/>
    <w:basedOn w:val="5"/>
    <w:link w:val="15"/>
    <w:qFormat/>
    <w:uiPriority w:val="0"/>
  </w:style>
  <w:style w:type="character" w:customStyle="1" w:styleId="22">
    <w:name w:val="Pie de página Car"/>
    <w:basedOn w:val="5"/>
    <w:link w:val="17"/>
    <w:qFormat/>
    <w:uiPriority w:val="0"/>
  </w:style>
  <w:style w:type="character" w:customStyle="1" w:styleId="23">
    <w:name w:val="Texto comentario Car"/>
    <w:basedOn w:val="5"/>
    <w:link w:val="13"/>
    <w:semiHidden/>
    <w:qFormat/>
    <w:uiPriority w:val="0"/>
    <w:rPr>
      <w:sz w:val="20"/>
      <w:szCs w:val="20"/>
    </w:rPr>
  </w:style>
  <w:style w:type="character" w:customStyle="1" w:styleId="24">
    <w:name w:val="Asunto del comentario Car"/>
    <w:basedOn w:val="23"/>
    <w:link w:val="12"/>
    <w:semiHidden/>
    <w:qFormat/>
    <w:uiPriority w:val="99"/>
    <w:rPr>
      <w:b/>
      <w:bCs/>
      <w:sz w:val="20"/>
      <w:szCs w:val="20"/>
    </w:rPr>
  </w:style>
  <w:style w:type="character" w:customStyle="1" w:styleId="25">
    <w:name w:val="Texto de globo Car"/>
    <w:basedOn w:val="5"/>
    <w:link w:val="14"/>
    <w:semiHidden/>
    <w:qFormat/>
    <w:uiPriority w:val="99"/>
    <w:rPr>
      <w:rFonts w:ascii="Segoe UI" w:hAnsi="Segoe UI" w:cs="Segoe UI"/>
      <w:sz w:val="18"/>
      <w:szCs w:val="18"/>
    </w:rPr>
  </w:style>
  <w:style w:type="paragraph" w:styleId="26">
    <w:name w:val="List Paragraph"/>
    <w:basedOn w:val="1"/>
    <w:link w:val="32"/>
    <w:qFormat/>
    <w:uiPriority w:val="34"/>
    <w:pPr>
      <w:ind w:left="720"/>
      <w:contextualSpacing/>
    </w:pPr>
  </w:style>
  <w:style w:type="paragraph" w:styleId="27">
    <w:name w:val="No Spacing"/>
    <w:qFormat/>
    <w:uiPriority w:val="1"/>
    <w:pPr>
      <w:spacing w:after="0" w:line="240" w:lineRule="auto"/>
    </w:pPr>
    <w:rPr>
      <w:rFonts w:asciiTheme="minorHAnsi" w:hAnsiTheme="minorHAnsi" w:eastAsiaTheme="minorHAnsi" w:cstheme="minorBidi"/>
      <w:sz w:val="22"/>
      <w:szCs w:val="22"/>
      <w:lang w:val="es-ES" w:eastAsia="en-US" w:bidi="ar-SA"/>
    </w:rPr>
  </w:style>
  <w:style w:type="paragraph" w:customStyle="1" w:styleId="28">
    <w:name w:val="Revision"/>
    <w:hidden/>
    <w:semiHidden/>
    <w:qFormat/>
    <w:uiPriority w:val="99"/>
    <w:pPr>
      <w:spacing w:after="0" w:line="240" w:lineRule="auto"/>
    </w:pPr>
    <w:rPr>
      <w:rFonts w:asciiTheme="minorHAnsi" w:hAnsiTheme="minorHAnsi" w:eastAsiaTheme="minorHAnsi" w:cstheme="minorBidi"/>
      <w:sz w:val="22"/>
      <w:szCs w:val="22"/>
      <w:lang w:val="es-ES" w:eastAsia="en-US" w:bidi="ar-SA"/>
    </w:rPr>
  </w:style>
  <w:style w:type="table" w:customStyle="1" w:styleId="29">
    <w:name w:val="Tabla con cuadrícula1"/>
    <w:basedOn w:val="6"/>
    <w:qFormat/>
    <w:uiPriority w:val="39"/>
    <w:pPr>
      <w:spacing w:after="0" w:line="240" w:lineRule="auto"/>
    </w:pPr>
    <w:rPr>
      <w:lang w:val="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
    <w:name w:val="Título 3 Car"/>
    <w:basedOn w:val="5"/>
    <w:link w:val="4"/>
    <w:qFormat/>
    <w:uiPriority w:val="9"/>
    <w:rPr>
      <w:rFonts w:asciiTheme="majorHAnsi" w:hAnsiTheme="majorHAnsi" w:eastAsiaTheme="majorEastAsia" w:cstheme="majorBidi"/>
      <w:color w:val="1F4E79" w:themeColor="accent1" w:themeShade="80"/>
      <w:sz w:val="24"/>
      <w:szCs w:val="24"/>
    </w:rPr>
  </w:style>
  <w:style w:type="paragraph" w:customStyle="1" w:styleId="31">
    <w:name w:val="Default"/>
    <w:qFormat/>
    <w:uiPriority w:val="0"/>
    <w:pPr>
      <w:autoSpaceDE w:val="0"/>
      <w:autoSpaceDN w:val="0"/>
      <w:adjustRightInd w:val="0"/>
      <w:spacing w:after="0" w:line="240" w:lineRule="auto"/>
    </w:pPr>
    <w:rPr>
      <w:rFonts w:ascii="Arial" w:hAnsi="Arial" w:cs="Arial" w:eastAsiaTheme="minorHAnsi"/>
      <w:color w:val="000000"/>
      <w:sz w:val="24"/>
      <w:szCs w:val="24"/>
      <w:lang w:val="es-ES" w:eastAsia="en-US" w:bidi="ar-SA"/>
    </w:rPr>
  </w:style>
  <w:style w:type="character" w:customStyle="1" w:styleId="32">
    <w:name w:val="Párrafo de lista Car"/>
    <w:link w:val="26"/>
    <w:qFormat/>
    <w:locked/>
    <w:uiPriority w:val="34"/>
  </w:style>
  <w:style w:type="character" w:customStyle="1" w:styleId="33">
    <w:name w:val="Texto independiente Car"/>
    <w:basedOn w:val="5"/>
    <w:link w:val="18"/>
    <w:qFormat/>
    <w:uiPriority w:val="1"/>
    <w:rPr>
      <w:rFonts w:ascii="TeXGyreAdventor" w:hAnsi="TeXGyreAdventor" w:eastAsia="TeXGyreAdventor" w:cs="TeXGyreAdventor"/>
    </w:rPr>
  </w:style>
  <w:style w:type="character" w:customStyle="1" w:styleId="34">
    <w:name w:val="apple-converted-space"/>
    <w:basedOn w:val="5"/>
    <w:qFormat/>
    <w:uiPriority w:val="0"/>
  </w:style>
  <w:style w:type="table" w:customStyle="1" w:styleId="35">
    <w:name w:val="Tabla con cuadrícula2"/>
    <w:basedOn w:val="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6">
    <w:name w:val="Título 1 Car"/>
    <w:basedOn w:val="5"/>
    <w:link w:val="2"/>
    <w:qFormat/>
    <w:uiPriority w:val="9"/>
    <w:rPr>
      <w:rFonts w:asciiTheme="majorHAnsi" w:hAnsiTheme="majorHAnsi" w:eastAsiaTheme="majorEastAsia" w:cstheme="majorBidi"/>
      <w:color w:val="2E75B6" w:themeColor="accent1" w:themeShade="BF"/>
      <w:sz w:val="32"/>
      <w:szCs w:val="32"/>
    </w:rPr>
  </w:style>
  <w:style w:type="table" w:customStyle="1" w:styleId="37">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38">
    <w:name w:val="Texto nota pie Car"/>
    <w:basedOn w:val="5"/>
    <w:link w:val="11"/>
    <w:semiHidden/>
    <w:qFormat/>
    <w:uiPriority w:val="99"/>
    <w:rPr>
      <w:rFonts w:ascii="Calibri" w:hAnsi="Calibri" w:eastAsia="Calibri" w:cs="Times New Roman"/>
      <w:sz w:val="20"/>
      <w:szCs w:val="20"/>
      <w:lang w:val="es-CO"/>
    </w:rPr>
  </w:style>
  <w:style w:type="character" w:customStyle="1" w:styleId="39">
    <w:name w:val="Unresolved Mention"/>
    <w:basedOn w:val="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db2d03a-b0ac-4019-aba2-8f266c5a37b9">
      <Terms xmlns="http://schemas.microsoft.com/office/infopath/2007/PartnerControls"/>
    </lcf76f155ced4ddcb4097134ff3c332f>
    <TaxCatchAll xmlns="dab95841-2a5b-4d06-988e-dcb998e97977" xsi:nil="true"/>
    <SharedWithUsers xmlns="dab95841-2a5b-4d06-988e-dcb998e97977">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33EF50D634152409E62760EDF6BDEB0" ma:contentTypeVersion="15" ma:contentTypeDescription="Crear nuevo documento." ma:contentTypeScope="" ma:versionID="45244314d5a0afb84ea68795d528fb84">
  <xsd:schema xmlns:xsd="http://www.w3.org/2001/XMLSchema" xmlns:xs="http://www.w3.org/2001/XMLSchema" xmlns:p="http://schemas.microsoft.com/office/2006/metadata/properties" xmlns:ns2="edb2d03a-b0ac-4019-aba2-8f266c5a37b9" xmlns:ns3="dab95841-2a5b-4d06-988e-dcb998e97977" targetNamespace="http://schemas.microsoft.com/office/2006/metadata/properties" ma:root="true" ma:fieldsID="6f427cb62b13873a60dda4620c5def4c" ns2:_="" ns3:_="">
    <xsd:import namespace="edb2d03a-b0ac-4019-aba2-8f266c5a37b9"/>
    <xsd:import namespace="dab95841-2a5b-4d06-988e-dcb998e9797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2d03a-b0ac-4019-aba2-8f266c5a37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3f6cc16-641d-429b-a009-b19071f4101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b95841-2a5b-4d06-988e-dcb998e979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a1d8d6-86e6-4b2c-9465-7d73c19857bf}" ma:internalName="TaxCatchAll" ma:showField="CatchAllData" ma:web="dab95841-2a5b-4d06-988e-dcb998e9797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C13192-0A4A-486D-980B-286D86DBA383}">
  <ds:schemaRefs/>
</ds:datastoreItem>
</file>

<file path=customXml/itemProps2.xml><?xml version="1.0" encoding="utf-8"?>
<ds:datastoreItem xmlns:ds="http://schemas.openxmlformats.org/officeDocument/2006/customXml" ds:itemID="{9EA526C7-6427-4F7C-856D-AFC4D1A55584}">
  <ds:schemaRefs/>
</ds:datastoreItem>
</file>

<file path=customXml/itemProps3.xml><?xml version="1.0" encoding="utf-8"?>
<ds:datastoreItem xmlns:ds="http://schemas.openxmlformats.org/officeDocument/2006/customXml" ds:itemID="{BFC023F5-D684-4A2F-98A9-F8382992E041}">
  <ds:schemaRefs/>
</ds:datastoreItem>
</file>

<file path=customXml/itemProps4.xml><?xml version="1.0" encoding="utf-8"?>
<ds:datastoreItem xmlns:ds="http://schemas.openxmlformats.org/officeDocument/2006/customXml" ds:itemID="{D2900160-737A-4B25-95AE-8C3927CA7FF2}">
  <ds:schemaRefs/>
</ds:datastoreItem>
</file>

<file path=docProps/app.xml><?xml version="1.0" encoding="utf-8"?>
<Properties xmlns="http://schemas.openxmlformats.org/officeDocument/2006/extended-properties" xmlns:vt="http://schemas.openxmlformats.org/officeDocument/2006/docPropsVTypes">
  <Template>Normal</Template>
  <Company>AIDA IVONNE AGUDELO PULIDO</Company>
  <Pages>5</Pages>
  <Words>1570</Words>
  <Characters>9282</Characters>
  <Lines>120</Lines>
  <Paragraphs>34</Paragraphs>
  <TotalTime>74</TotalTime>
  <ScaleCrop>false</ScaleCrop>
  <LinksUpToDate>false</LinksUpToDate>
  <CharactersWithSpaces>10818</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2026-03-25T22:04:00Z</dcterms:created>
  <dc:creator>Aida Paola Guevara Morales</dc:creator>
  <cp:lastModifiedBy>Dayana Abril</cp:lastModifiedBy>
  <cp:lastPrinted>2026-02-06T22:10:00Z</cp:lastPrinted>
  <dcterms:modified xsi:type="dcterms:W3CDTF">2026-05-05T13:05:23Z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0x010100233EF50D634152409E62760EDF6BDEB0</vt:lpwstr>
  </property>
  <property fmtid="{D5CDD505-2E9C-101B-9397-08002B2CF9AE}" pid="3" name="Order">
    <vt:r8>894600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KSOTemplateDocerSaveRecord">
    <vt:lpwstr>eyJoZGlkIjoiMDYyYTQwMDdmZjQ3NTg0ZmZjYjc2NzdiMTg5YWQ2MWUiLCJ1c2VySWQiOiIyMjE2OTQ0NjE4MTA5In0=</vt:lpwstr>
  </property>
  <property fmtid="{D5CDD505-2E9C-101B-9397-08002B2CF9AE}" pid="9" name="KSOProductBuildVer">
    <vt:lpwstr>2058-12.1.0.25862</vt:lpwstr>
  </property>
  <property fmtid="{D5CDD505-2E9C-101B-9397-08002B2CF9AE}" pid="10" name="ICV">
    <vt:lpwstr>AB9A11681B5A4CF4B3E316CEEF7F7AC5_13</vt:lpwstr>
  </property>
</Properties>
</file>