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78BA7" w14:textId="77777777" w:rsidR="00C74620" w:rsidRPr="00F518F9" w:rsidRDefault="00C74620">
      <w:pPr>
        <w:jc w:val="center"/>
        <w:rPr>
          <w:rFonts w:ascii="Verdana" w:eastAsia="Verdana" w:hAnsi="Verdana" w:cs="Verdana"/>
          <w:b/>
          <w:sz w:val="20"/>
          <w:szCs w:val="20"/>
        </w:rPr>
      </w:pPr>
    </w:p>
    <w:p w14:paraId="08953A7F" w14:textId="77777777" w:rsidR="00C74620" w:rsidRPr="00F518F9" w:rsidRDefault="00C0503D">
      <w:pPr>
        <w:jc w:val="center"/>
        <w:rPr>
          <w:rFonts w:ascii="Verdana" w:eastAsia="Verdana" w:hAnsi="Verdana" w:cs="Verdana"/>
          <w:b/>
          <w:sz w:val="20"/>
          <w:szCs w:val="20"/>
        </w:rPr>
      </w:pPr>
      <w:r w:rsidRPr="00F518F9">
        <w:rPr>
          <w:rFonts w:ascii="Verdana" w:eastAsia="Verdana" w:hAnsi="Verdana" w:cs="Verdana"/>
          <w:b/>
          <w:sz w:val="20"/>
          <w:szCs w:val="20"/>
        </w:rPr>
        <w:t>AVISO DE CONVOCATORIA</w:t>
      </w:r>
    </w:p>
    <w:p w14:paraId="5FF1CFC9" w14:textId="77777777" w:rsidR="00C74620" w:rsidRPr="00F518F9" w:rsidRDefault="00C0503D">
      <w:pPr>
        <w:jc w:val="center"/>
        <w:rPr>
          <w:rFonts w:ascii="Verdana" w:eastAsia="Verdana" w:hAnsi="Verdana" w:cs="Verdana"/>
          <w:b/>
          <w:sz w:val="20"/>
          <w:szCs w:val="20"/>
        </w:rPr>
      </w:pPr>
      <w:r w:rsidRPr="00F518F9">
        <w:rPr>
          <w:rFonts w:ascii="Verdana" w:eastAsia="Verdana" w:hAnsi="Verdana" w:cs="Verdana"/>
          <w:b/>
          <w:sz w:val="20"/>
          <w:szCs w:val="20"/>
        </w:rPr>
        <w:t>SELECCIÓN ABREVIADA MEDIANTE SUBASTA INVERSA</w:t>
      </w:r>
    </w:p>
    <w:p w14:paraId="5ABD2DF5" w14:textId="63807609" w:rsidR="00C74620" w:rsidRPr="00F518F9" w:rsidRDefault="00C0503D">
      <w:pPr>
        <w:jc w:val="center"/>
        <w:rPr>
          <w:rFonts w:ascii="Verdana" w:eastAsia="Verdana" w:hAnsi="Verdana" w:cs="Verdana"/>
          <w:b/>
          <w:sz w:val="20"/>
          <w:szCs w:val="20"/>
        </w:rPr>
      </w:pPr>
      <w:r w:rsidRPr="00F518F9">
        <w:rPr>
          <w:rFonts w:ascii="Verdana" w:eastAsia="Verdana" w:hAnsi="Verdana" w:cs="Verdana"/>
          <w:b/>
          <w:sz w:val="20"/>
          <w:szCs w:val="20"/>
        </w:rPr>
        <w:t xml:space="preserve"> SGC-SASI-</w:t>
      </w:r>
      <w:r w:rsidR="00911C58">
        <w:rPr>
          <w:rFonts w:ascii="Verdana" w:eastAsia="Verdana" w:hAnsi="Verdana" w:cs="Verdana"/>
          <w:b/>
          <w:sz w:val="20"/>
          <w:szCs w:val="20"/>
        </w:rPr>
        <w:t>0</w:t>
      </w:r>
      <w:r w:rsidR="004F2320">
        <w:rPr>
          <w:rFonts w:ascii="Verdana" w:eastAsia="Verdana" w:hAnsi="Verdana" w:cs="Verdana"/>
          <w:b/>
          <w:sz w:val="20"/>
          <w:szCs w:val="20"/>
        </w:rPr>
        <w:t>11</w:t>
      </w:r>
      <w:r w:rsidRPr="00F518F9">
        <w:rPr>
          <w:rFonts w:ascii="Verdana" w:eastAsia="Verdana" w:hAnsi="Verdana" w:cs="Verdana"/>
          <w:b/>
          <w:sz w:val="20"/>
          <w:szCs w:val="20"/>
        </w:rPr>
        <w:t>-202</w:t>
      </w:r>
      <w:r w:rsidR="008D4C38" w:rsidRPr="00F518F9">
        <w:rPr>
          <w:rFonts w:ascii="Verdana" w:eastAsia="Verdana" w:hAnsi="Verdana" w:cs="Verdana"/>
          <w:b/>
          <w:sz w:val="20"/>
          <w:szCs w:val="20"/>
        </w:rPr>
        <w:t>6</w:t>
      </w:r>
      <w:r w:rsidR="00EF6DE1">
        <w:rPr>
          <w:rFonts w:ascii="Verdana" w:eastAsia="Verdana" w:hAnsi="Verdana" w:cs="Verdana"/>
          <w:b/>
          <w:sz w:val="20"/>
          <w:szCs w:val="20"/>
        </w:rPr>
        <w:t>.</w:t>
      </w:r>
    </w:p>
    <w:p w14:paraId="2698E4F9" w14:textId="77777777" w:rsidR="00C74620" w:rsidRPr="00F518F9" w:rsidRDefault="00C74620">
      <w:pPr>
        <w:spacing w:after="200"/>
        <w:jc w:val="center"/>
        <w:rPr>
          <w:rFonts w:ascii="Verdana" w:eastAsia="Verdana" w:hAnsi="Verdana" w:cs="Verdana"/>
          <w:b/>
          <w:sz w:val="20"/>
          <w:szCs w:val="20"/>
        </w:rPr>
      </w:pPr>
    </w:p>
    <w:p w14:paraId="5294FD8C" w14:textId="77777777" w:rsidR="00C74620" w:rsidRPr="00F518F9" w:rsidRDefault="00C0503D">
      <w:pPr>
        <w:rPr>
          <w:rFonts w:ascii="Verdana" w:eastAsia="Verdana" w:hAnsi="Verdana" w:cs="Verdana"/>
          <w:sz w:val="20"/>
          <w:szCs w:val="20"/>
        </w:rPr>
      </w:pPr>
      <w:r w:rsidRPr="00F518F9">
        <w:rPr>
          <w:rFonts w:ascii="Verdana" w:eastAsia="Verdana" w:hAnsi="Verdana" w:cs="Verdana"/>
          <w:sz w:val="20"/>
          <w:szCs w:val="20"/>
        </w:rPr>
        <w:t xml:space="preserve">De conformidad con lo dispuesto en el artículo 2.2.1.1.2.1.2 del Decreto 1082 de 2015, el SERVICIO GEOLÓGICO COLOMBIANO convoca a los interesados en participar en el proceso de </w:t>
      </w:r>
    </w:p>
    <w:p w14:paraId="38CFBC93" w14:textId="523D269D" w:rsidR="00C74620" w:rsidRPr="00F518F9" w:rsidRDefault="00C0503D" w:rsidP="008D4C38">
      <w:pPr>
        <w:rPr>
          <w:rFonts w:ascii="Verdana" w:eastAsia="Verdana" w:hAnsi="Verdana" w:cs="Verdana"/>
          <w:b/>
          <w:sz w:val="20"/>
          <w:szCs w:val="20"/>
        </w:rPr>
      </w:pPr>
      <w:r w:rsidRPr="00F518F9">
        <w:rPr>
          <w:rFonts w:ascii="Verdana" w:eastAsia="Verdana" w:hAnsi="Verdana" w:cs="Verdana"/>
          <w:sz w:val="20"/>
          <w:szCs w:val="20"/>
        </w:rPr>
        <w:t xml:space="preserve">Selección Abreviada mediante Subasta Inversa  No. </w:t>
      </w:r>
      <w:r w:rsidRPr="00F518F9">
        <w:rPr>
          <w:rFonts w:ascii="Verdana" w:eastAsia="Verdana" w:hAnsi="Verdana" w:cs="Verdana"/>
          <w:b/>
          <w:sz w:val="20"/>
          <w:szCs w:val="20"/>
        </w:rPr>
        <w:t>SGC-SASI-</w:t>
      </w:r>
      <w:r w:rsidR="00213121" w:rsidRPr="00F518F9">
        <w:rPr>
          <w:rFonts w:ascii="Verdana" w:eastAsia="Verdana" w:hAnsi="Verdana" w:cs="Verdana"/>
          <w:b/>
          <w:sz w:val="20"/>
          <w:szCs w:val="20"/>
        </w:rPr>
        <w:t>0</w:t>
      </w:r>
      <w:r w:rsidR="004F2320">
        <w:rPr>
          <w:rFonts w:ascii="Verdana" w:eastAsia="Verdana" w:hAnsi="Verdana" w:cs="Verdana"/>
          <w:b/>
          <w:sz w:val="20"/>
          <w:szCs w:val="20"/>
        </w:rPr>
        <w:t>11</w:t>
      </w:r>
      <w:r w:rsidRPr="00F518F9">
        <w:rPr>
          <w:rFonts w:ascii="Verdana" w:eastAsia="Verdana" w:hAnsi="Verdana" w:cs="Verdana"/>
          <w:b/>
          <w:sz w:val="20"/>
          <w:szCs w:val="20"/>
        </w:rPr>
        <w:t>-202</w:t>
      </w:r>
      <w:r w:rsidR="008D4C38" w:rsidRPr="00F518F9">
        <w:rPr>
          <w:rFonts w:ascii="Verdana" w:eastAsia="Verdana" w:hAnsi="Verdana" w:cs="Verdana"/>
          <w:b/>
          <w:sz w:val="20"/>
          <w:szCs w:val="20"/>
        </w:rPr>
        <w:t>6</w:t>
      </w:r>
      <w:r w:rsidR="00EF6DE1">
        <w:rPr>
          <w:rFonts w:ascii="Verdana" w:eastAsia="Verdana" w:hAnsi="Verdana" w:cs="Verdana"/>
          <w:b/>
          <w:sz w:val="20"/>
          <w:szCs w:val="20"/>
        </w:rPr>
        <w:t>.</w:t>
      </w:r>
      <w:r w:rsidRPr="00F518F9">
        <w:rPr>
          <w:rFonts w:ascii="Verdana" w:eastAsia="Verdana" w:hAnsi="Verdana" w:cs="Verdana"/>
          <w:sz w:val="20"/>
          <w:szCs w:val="20"/>
        </w:rPr>
        <w:t>, cuyas principales características se describen a continuación:</w:t>
      </w:r>
    </w:p>
    <w:p w14:paraId="14822FA4" w14:textId="77777777" w:rsidR="00C74620" w:rsidRPr="00F518F9" w:rsidRDefault="00C74620">
      <w:pPr>
        <w:ind w:right="-234"/>
        <w:rPr>
          <w:rFonts w:ascii="Verdana" w:eastAsia="Verdana" w:hAnsi="Verdana" w:cs="Verdana"/>
          <w:sz w:val="20"/>
          <w:szCs w:val="20"/>
        </w:rPr>
      </w:pPr>
    </w:p>
    <w:p w14:paraId="616A710E"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NOMBRE Y DIRECCIÓN DE LA ENTIDAD CONTRATANTE</w:t>
      </w:r>
    </w:p>
    <w:p w14:paraId="4B80150E" w14:textId="77777777" w:rsidR="00C74620" w:rsidRPr="00F518F9" w:rsidRDefault="00C74620">
      <w:pPr>
        <w:rPr>
          <w:rFonts w:ascii="Verdana" w:eastAsia="Verdana" w:hAnsi="Verdana" w:cs="Verdana"/>
          <w:sz w:val="20"/>
          <w:szCs w:val="20"/>
        </w:rPr>
      </w:pPr>
    </w:p>
    <w:p w14:paraId="0BB4944E" w14:textId="77777777" w:rsidR="00C74620" w:rsidRPr="00F518F9" w:rsidRDefault="00C0503D">
      <w:pPr>
        <w:rPr>
          <w:rFonts w:ascii="Verdana" w:eastAsia="Verdana" w:hAnsi="Verdana" w:cs="Verdana"/>
          <w:sz w:val="20"/>
          <w:szCs w:val="20"/>
        </w:rPr>
      </w:pPr>
      <w:r w:rsidRPr="00F518F9">
        <w:rPr>
          <w:rFonts w:ascii="Verdana" w:eastAsia="Verdana" w:hAnsi="Verdana" w:cs="Verdana"/>
          <w:sz w:val="20"/>
          <w:szCs w:val="20"/>
        </w:rPr>
        <w:t>EL SERVICIO GEOLÓGICO COLOMBIANO identificado con NIT. 899.999.294-8, ubicado en la Diagonal 53 No.34-53 de la ciudad de Bogotá D.C.</w:t>
      </w:r>
    </w:p>
    <w:p w14:paraId="29AA1C20" w14:textId="77777777" w:rsidR="00C74620" w:rsidRPr="00F518F9" w:rsidRDefault="00C74620">
      <w:pPr>
        <w:rPr>
          <w:rFonts w:ascii="Verdana" w:eastAsia="Verdana" w:hAnsi="Verdana" w:cs="Verdana"/>
          <w:color w:val="000000"/>
          <w:sz w:val="20"/>
          <w:szCs w:val="20"/>
        </w:rPr>
      </w:pPr>
    </w:p>
    <w:p w14:paraId="7E05BC68"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bookmarkStart w:id="0" w:name="_heading=h.l3dxu592fsdp" w:colFirst="0" w:colLast="0"/>
      <w:bookmarkEnd w:id="0"/>
      <w:r w:rsidRPr="00F518F9">
        <w:rPr>
          <w:rFonts w:ascii="Verdana" w:eastAsia="Verdana" w:hAnsi="Verdana" w:cs="Verdana"/>
          <w:b/>
          <w:color w:val="000000"/>
          <w:sz w:val="20"/>
          <w:szCs w:val="20"/>
        </w:rPr>
        <w:t>SITIO DONDE LA ENTIDAD ATENDERÁ A LOS INTERESADOS EN PARTICIPAR EN EL PROCESO DE SELECCIÓN Y DONDE LOS INTERESADOS DEBEN PRESENTAR LOS DOCUMENTOS EN DESARROLLO DEL MISMO</w:t>
      </w:r>
    </w:p>
    <w:p w14:paraId="3D19D83E" w14:textId="77777777" w:rsidR="00C74620" w:rsidRPr="00F518F9" w:rsidRDefault="00C74620">
      <w:pPr>
        <w:rPr>
          <w:rFonts w:ascii="Verdana" w:eastAsia="Verdana" w:hAnsi="Verdana" w:cs="Verdana"/>
          <w:b/>
          <w:color w:val="000000"/>
          <w:sz w:val="20"/>
          <w:szCs w:val="20"/>
        </w:rPr>
      </w:pPr>
    </w:p>
    <w:p w14:paraId="2389A31C" w14:textId="77777777" w:rsidR="00C74620" w:rsidRPr="00F518F9" w:rsidRDefault="00C0503D">
      <w:pPr>
        <w:rPr>
          <w:rFonts w:ascii="Verdana" w:eastAsia="Verdana" w:hAnsi="Verdana" w:cs="Verdana"/>
          <w:color w:val="000000"/>
          <w:sz w:val="20"/>
          <w:szCs w:val="20"/>
        </w:rPr>
      </w:pPr>
      <w:r w:rsidRPr="00F518F9">
        <w:rPr>
          <w:rFonts w:ascii="Verdana" w:eastAsia="Verdana" w:hAnsi="Verdana" w:cs="Verdana"/>
          <w:sz w:val="20"/>
          <w:szCs w:val="20"/>
        </w:rPr>
        <w:t xml:space="preserve">La entidad atenderá a los interesados en participar en el proceso de selección, a través en el Portal Único de Contratación: </w:t>
      </w:r>
      <w:hyperlink r:id="rId8">
        <w:r w:rsidRPr="00F518F9">
          <w:rPr>
            <w:rFonts w:ascii="Verdana" w:eastAsia="Verdana" w:hAnsi="Verdana" w:cs="Verdana"/>
            <w:color w:val="0000FF"/>
            <w:sz w:val="20"/>
            <w:szCs w:val="20"/>
            <w:u w:val="single"/>
          </w:rPr>
          <w:t>www.colombiacompra.gov.co/secop-ii</w:t>
        </w:r>
      </w:hyperlink>
    </w:p>
    <w:p w14:paraId="724321D1" w14:textId="77777777" w:rsidR="00C74620" w:rsidRPr="00F518F9" w:rsidRDefault="00C74620">
      <w:pPr>
        <w:rPr>
          <w:rFonts w:ascii="Verdana" w:eastAsia="Verdana" w:hAnsi="Verdana" w:cs="Verdana"/>
          <w:b/>
          <w:color w:val="000000"/>
          <w:sz w:val="20"/>
          <w:szCs w:val="20"/>
        </w:rPr>
      </w:pPr>
    </w:p>
    <w:p w14:paraId="1475350E" w14:textId="77777777" w:rsidR="00C74620" w:rsidRPr="00F518F9" w:rsidRDefault="00C0503D">
      <w:pPr>
        <w:rPr>
          <w:rFonts w:ascii="Verdana" w:eastAsia="Verdana" w:hAnsi="Verdana" w:cs="Verdana"/>
          <w:color w:val="000000"/>
          <w:sz w:val="20"/>
          <w:szCs w:val="20"/>
        </w:rPr>
      </w:pPr>
      <w:r w:rsidRPr="00F518F9">
        <w:rPr>
          <w:rFonts w:ascii="Verdana" w:eastAsia="Verdana" w:hAnsi="Verdana" w:cs="Verdana"/>
          <w:color w:val="000000"/>
          <w:sz w:val="20"/>
          <w:szCs w:val="20"/>
        </w:rPr>
        <w:t xml:space="preserve">Los documentos que deben presentar los interesados en desarrollo del proceso de selección se recibirán a través de la citada plataforma.  </w:t>
      </w:r>
    </w:p>
    <w:p w14:paraId="6F8123BD" w14:textId="77777777" w:rsidR="00C74620" w:rsidRPr="00F518F9" w:rsidRDefault="00C74620">
      <w:pPr>
        <w:rPr>
          <w:rFonts w:ascii="Verdana" w:eastAsia="Verdana" w:hAnsi="Verdana" w:cs="Verdana"/>
          <w:b/>
          <w:color w:val="000000"/>
          <w:sz w:val="20"/>
          <w:szCs w:val="20"/>
        </w:rPr>
      </w:pPr>
    </w:p>
    <w:p w14:paraId="4844F8B4" w14:textId="77777777" w:rsidR="00C74620" w:rsidRPr="00F518F9" w:rsidRDefault="00C0503D">
      <w:pPr>
        <w:rPr>
          <w:rFonts w:ascii="Verdana" w:eastAsia="Verdana" w:hAnsi="Verdana" w:cs="Verdana"/>
          <w:color w:val="000000"/>
          <w:sz w:val="20"/>
          <w:szCs w:val="20"/>
        </w:rPr>
      </w:pPr>
      <w:r w:rsidRPr="00F518F9">
        <w:rPr>
          <w:rFonts w:ascii="Verdana" w:eastAsia="Verdana" w:hAnsi="Verdana" w:cs="Verdana"/>
          <w:color w:val="000000"/>
          <w:sz w:val="20"/>
          <w:szCs w:val="20"/>
        </w:rPr>
        <w:t xml:space="preserve">En el “Documento adicional al proyecto de pliego de condiciones” y del “Documento adicional pliego de condiciones definitivo, según cada etapa del proceso, se indicará el correo electrónico a través del cual, los interesados pueden comunicarse con la entidad, si la plataforma SECOP II no está disponible, en los casos que apliquen, de acuerdo con el PROTOCOLO DE INDISPONIBILIDAD DEL SECOP II. </w:t>
      </w:r>
    </w:p>
    <w:p w14:paraId="1905F2BA" w14:textId="77777777" w:rsidR="00C74620" w:rsidRPr="00F518F9" w:rsidRDefault="00C74620">
      <w:pPr>
        <w:rPr>
          <w:rFonts w:ascii="Verdana" w:eastAsia="Verdana" w:hAnsi="Verdana" w:cs="Verdana"/>
          <w:color w:val="000000"/>
          <w:sz w:val="20"/>
          <w:szCs w:val="20"/>
        </w:rPr>
      </w:pPr>
    </w:p>
    <w:p w14:paraId="14B5E6C2" w14:textId="77777777" w:rsidR="007D7B01" w:rsidRPr="004E2C0B" w:rsidRDefault="00C0503D" w:rsidP="007D7B01">
      <w:pPr>
        <w:numPr>
          <w:ilvl w:val="0"/>
          <w:numId w:val="1"/>
        </w:numPr>
        <w:pBdr>
          <w:top w:val="nil"/>
          <w:left w:val="nil"/>
          <w:bottom w:val="nil"/>
          <w:right w:val="nil"/>
          <w:between w:val="nil"/>
        </w:pBdr>
        <w:rPr>
          <w:rFonts w:ascii="Verdana" w:eastAsia="Verdana" w:hAnsi="Verdana" w:cs="Verdana"/>
          <w:color w:val="000000"/>
          <w:sz w:val="20"/>
          <w:szCs w:val="20"/>
        </w:rPr>
      </w:pPr>
      <w:r w:rsidRPr="00F518F9">
        <w:rPr>
          <w:rFonts w:ascii="Verdana" w:eastAsia="Verdana" w:hAnsi="Verdana" w:cs="Verdana"/>
          <w:b/>
          <w:color w:val="000000"/>
          <w:sz w:val="20"/>
          <w:szCs w:val="20"/>
        </w:rPr>
        <w:t xml:space="preserve">OBJETO DEL CONTRATO A CELEBRAR: </w:t>
      </w:r>
    </w:p>
    <w:p w14:paraId="6C22B1D4" w14:textId="77777777" w:rsidR="004E2C0B" w:rsidRPr="00F518F9" w:rsidRDefault="004E2C0B" w:rsidP="004E2C0B">
      <w:pPr>
        <w:pBdr>
          <w:top w:val="nil"/>
          <w:left w:val="nil"/>
          <w:bottom w:val="nil"/>
          <w:right w:val="nil"/>
          <w:between w:val="nil"/>
        </w:pBdr>
        <w:ind w:left="720"/>
        <w:rPr>
          <w:rFonts w:ascii="Verdana" w:eastAsia="Verdana" w:hAnsi="Verdana" w:cs="Verdana"/>
          <w:color w:val="000000"/>
          <w:sz w:val="20"/>
          <w:szCs w:val="20"/>
        </w:rPr>
      </w:pPr>
    </w:p>
    <w:p w14:paraId="1467476C" w14:textId="06ABA794" w:rsidR="00EF6DE1" w:rsidRPr="00EF6DE1" w:rsidRDefault="009C5B61" w:rsidP="00EF6DE1">
      <w:pPr>
        <w:spacing w:after="160"/>
        <w:rPr>
          <w:rFonts w:ascii="Verdana" w:eastAsia="Verdana" w:hAnsi="Verdana" w:cs="Verdana"/>
          <w:color w:val="000000"/>
          <w:sz w:val="20"/>
          <w:szCs w:val="20"/>
        </w:rPr>
      </w:pPr>
      <w:r w:rsidRPr="009C5B61">
        <w:rPr>
          <w:rFonts w:ascii="Verdana" w:eastAsia="Verdana" w:hAnsi="Verdana" w:cs="Verdana"/>
          <w:color w:val="000000"/>
          <w:sz w:val="20"/>
          <w:szCs w:val="20"/>
        </w:rPr>
        <w:t>Adquisición e instalación de estantería y/o mobiliario especializado para las distintas áreas del Servicio Geológico Colombiano, conforme a las especificaciones técnicas definidas</w:t>
      </w:r>
      <w:r w:rsidR="00EF6DE1" w:rsidRPr="00EF6DE1">
        <w:rPr>
          <w:rFonts w:ascii="Verdana" w:eastAsia="Verdana" w:hAnsi="Verdana" w:cs="Verdana"/>
          <w:color w:val="000000"/>
          <w:sz w:val="20"/>
          <w:szCs w:val="20"/>
        </w:rPr>
        <w:t>.</w:t>
      </w:r>
    </w:p>
    <w:p w14:paraId="12DE062A" w14:textId="77777777" w:rsidR="00F2190A" w:rsidRPr="00F518F9" w:rsidRDefault="00F2190A">
      <w:pPr>
        <w:rPr>
          <w:rFonts w:ascii="Verdana" w:eastAsia="Verdana" w:hAnsi="Verdana" w:cs="Verdana"/>
          <w:sz w:val="20"/>
          <w:szCs w:val="20"/>
        </w:rPr>
      </w:pPr>
    </w:p>
    <w:p w14:paraId="3A490074"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MODALIDAD DE SELECCIÓN DEL CONTRATISTA</w:t>
      </w:r>
    </w:p>
    <w:p w14:paraId="1DA33A8F" w14:textId="77777777" w:rsidR="00C74620" w:rsidRPr="00F518F9" w:rsidRDefault="00C74620">
      <w:pPr>
        <w:rPr>
          <w:rFonts w:ascii="Verdana" w:eastAsia="Verdana" w:hAnsi="Verdana" w:cs="Verdana"/>
          <w:sz w:val="20"/>
          <w:szCs w:val="20"/>
        </w:rPr>
      </w:pPr>
    </w:p>
    <w:p w14:paraId="1A0A4051" w14:textId="77777777" w:rsidR="00C74620" w:rsidRPr="00F518F9" w:rsidRDefault="00C0503D">
      <w:pPr>
        <w:rPr>
          <w:rFonts w:ascii="Verdana" w:eastAsia="Verdana" w:hAnsi="Verdana" w:cs="Verdana"/>
          <w:sz w:val="20"/>
          <w:szCs w:val="20"/>
        </w:rPr>
      </w:pPr>
      <w:r w:rsidRPr="00F518F9">
        <w:rPr>
          <w:rFonts w:ascii="Verdana" w:eastAsia="Verdana" w:hAnsi="Verdana" w:cs="Verdana"/>
          <w:sz w:val="20"/>
          <w:szCs w:val="20"/>
        </w:rPr>
        <w:t xml:space="preserve"> Selección Abreviada mediante Subasta Inversa Electrónica</w:t>
      </w:r>
    </w:p>
    <w:p w14:paraId="16521807" w14:textId="77777777" w:rsidR="00C74620" w:rsidRPr="00F518F9" w:rsidRDefault="00C74620">
      <w:pPr>
        <w:rPr>
          <w:rFonts w:ascii="Verdana" w:eastAsia="Verdana" w:hAnsi="Verdana" w:cs="Verdana"/>
          <w:b/>
          <w:color w:val="000000"/>
          <w:sz w:val="20"/>
          <w:szCs w:val="20"/>
        </w:rPr>
      </w:pPr>
    </w:p>
    <w:p w14:paraId="66708BA6"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PLAZO ESTIMADO DEL CONTRATO</w:t>
      </w:r>
    </w:p>
    <w:p w14:paraId="06AA479C" w14:textId="77777777" w:rsidR="00C74620" w:rsidRPr="00EF6DE1" w:rsidRDefault="00C74620">
      <w:pPr>
        <w:rPr>
          <w:rFonts w:ascii="Verdana" w:eastAsia="Verdana" w:hAnsi="Verdana" w:cs="Verdana"/>
          <w:sz w:val="20"/>
          <w:szCs w:val="20"/>
        </w:rPr>
      </w:pPr>
    </w:p>
    <w:p w14:paraId="3278904A" w14:textId="77777777" w:rsidR="00EF6DE1" w:rsidRPr="00EF6DE1" w:rsidRDefault="00EF6DE1" w:rsidP="00EF6DE1">
      <w:pPr>
        <w:numPr>
          <w:ilvl w:val="0"/>
          <w:numId w:val="5"/>
        </w:numPr>
        <w:textAlignment w:val="baseline"/>
        <w:rPr>
          <w:rFonts w:ascii="Verdana" w:eastAsia="Verdana" w:hAnsi="Verdana" w:cs="Verdana"/>
          <w:sz w:val="20"/>
          <w:szCs w:val="20"/>
        </w:rPr>
      </w:pPr>
      <w:r w:rsidRPr="00EF6DE1">
        <w:rPr>
          <w:rFonts w:ascii="Verdana" w:eastAsia="Verdana" w:hAnsi="Verdana" w:cs="Verdana"/>
          <w:b/>
          <w:bCs/>
          <w:sz w:val="20"/>
          <w:szCs w:val="20"/>
        </w:rPr>
        <w:t>PLAZO LOTE 1- ESTANTERÍAS SEMI INDUSTRIALES TIPO SEMIPESADO (SG):</w:t>
      </w:r>
      <w:r w:rsidRPr="00EF6DE1">
        <w:rPr>
          <w:rFonts w:ascii="Verdana" w:eastAsia="Verdana" w:hAnsi="Verdana" w:cs="Verdana"/>
          <w:sz w:val="20"/>
          <w:szCs w:val="20"/>
        </w:rPr>
        <w:t xml:space="preserve"> El plazo de ejecución será de TRES (3) meses, contados a partir del cumplimiento de los requisitos de perfeccionamiento y ejecución del contrato. </w:t>
      </w:r>
    </w:p>
    <w:p w14:paraId="56442CF1" w14:textId="5F5CEE6C" w:rsidR="00EF6DE1" w:rsidRPr="00EF6DE1" w:rsidRDefault="00EF6DE1" w:rsidP="00EF6DE1">
      <w:pPr>
        <w:rPr>
          <w:rFonts w:ascii="Verdana" w:eastAsia="Verdana" w:hAnsi="Verdana" w:cs="Verdana"/>
          <w:sz w:val="20"/>
          <w:szCs w:val="20"/>
        </w:rPr>
      </w:pPr>
    </w:p>
    <w:p w14:paraId="5362D78F" w14:textId="77777777" w:rsidR="00EF6DE1" w:rsidRPr="00EF6DE1" w:rsidRDefault="00EF6DE1" w:rsidP="00EF6DE1">
      <w:pPr>
        <w:numPr>
          <w:ilvl w:val="0"/>
          <w:numId w:val="6"/>
        </w:numPr>
        <w:textAlignment w:val="baseline"/>
        <w:rPr>
          <w:rFonts w:ascii="Verdana" w:eastAsia="Verdana" w:hAnsi="Verdana" w:cs="Verdana"/>
          <w:sz w:val="20"/>
          <w:szCs w:val="20"/>
        </w:rPr>
      </w:pPr>
      <w:r w:rsidRPr="00EF6DE1">
        <w:rPr>
          <w:rFonts w:ascii="Verdana" w:eastAsia="Verdana" w:hAnsi="Verdana" w:cs="Verdana"/>
          <w:b/>
          <w:bCs/>
          <w:sz w:val="20"/>
          <w:szCs w:val="20"/>
        </w:rPr>
        <w:t>PLAZO LOTE 2- ESTANTES METÁLICOS MÓVILES PARA EL ALMACENAMIENTO DE LAS CAJAS PLÁSTICAS ESTÁNDAR (DGI):</w:t>
      </w:r>
      <w:r w:rsidRPr="00EF6DE1">
        <w:rPr>
          <w:rFonts w:ascii="Verdana" w:eastAsia="Verdana" w:hAnsi="Verdana" w:cs="Verdana"/>
          <w:sz w:val="20"/>
          <w:szCs w:val="20"/>
        </w:rPr>
        <w:t xml:space="preserve"> El plazo de ejecución será de </w:t>
      </w:r>
      <w:r w:rsidRPr="00EF6DE1">
        <w:rPr>
          <w:rFonts w:ascii="Verdana" w:eastAsia="Verdana" w:hAnsi="Verdana" w:cs="Verdana"/>
          <w:sz w:val="20"/>
          <w:szCs w:val="20"/>
        </w:rPr>
        <w:lastRenderedPageBreak/>
        <w:t>CINCO (5) meses contados a partir del cumplimiento de los requisitos de perfeccionamiento y ejecución, sin sobrepasar el 15 de diciembre del 2026. </w:t>
      </w:r>
    </w:p>
    <w:p w14:paraId="239DBFFF" w14:textId="3AB1D5C6" w:rsidR="00EF6DE1" w:rsidRPr="00EF6DE1" w:rsidRDefault="00EF6DE1" w:rsidP="00EF6DE1">
      <w:pPr>
        <w:ind w:left="720"/>
        <w:textAlignment w:val="baseline"/>
        <w:rPr>
          <w:rFonts w:ascii="Verdana" w:eastAsia="Verdana" w:hAnsi="Verdana" w:cs="Verdana"/>
          <w:sz w:val="20"/>
          <w:szCs w:val="20"/>
        </w:rPr>
      </w:pPr>
      <w:r w:rsidRPr="00EF6DE1">
        <w:rPr>
          <w:rFonts w:ascii="Verdana" w:eastAsia="Verdana" w:hAnsi="Verdana" w:cs="Verdana"/>
          <w:sz w:val="20"/>
          <w:szCs w:val="20"/>
        </w:rPr>
        <w:br/>
      </w:r>
    </w:p>
    <w:p w14:paraId="75DB51AE" w14:textId="77777777" w:rsidR="00EF6DE1" w:rsidRPr="00EF6DE1" w:rsidRDefault="00EF6DE1" w:rsidP="00EF6DE1">
      <w:pPr>
        <w:numPr>
          <w:ilvl w:val="0"/>
          <w:numId w:val="7"/>
        </w:numPr>
        <w:spacing w:after="160"/>
        <w:textAlignment w:val="baseline"/>
        <w:rPr>
          <w:rFonts w:ascii="Verdana" w:eastAsia="Verdana" w:hAnsi="Verdana" w:cs="Verdana"/>
          <w:sz w:val="20"/>
          <w:szCs w:val="20"/>
        </w:rPr>
      </w:pPr>
      <w:r w:rsidRPr="00EF6DE1">
        <w:rPr>
          <w:rFonts w:ascii="Verdana" w:eastAsia="Verdana" w:hAnsi="Verdana" w:cs="Verdana"/>
          <w:b/>
          <w:bCs/>
          <w:sz w:val="20"/>
          <w:szCs w:val="20"/>
        </w:rPr>
        <w:t>PLAZO LOTE 3- ESTANTERÍA INDUSTRIAL Y MOBILIARIO (GEOAMENAZAS y RECURSOS MINERALES):</w:t>
      </w:r>
      <w:r w:rsidRPr="00EF6DE1">
        <w:rPr>
          <w:rFonts w:ascii="Verdana" w:eastAsia="Verdana" w:hAnsi="Verdana" w:cs="Verdana"/>
          <w:sz w:val="20"/>
          <w:szCs w:val="20"/>
        </w:rPr>
        <w:t>El plazo de ejecución será de DOS (2) meses contados a partir del cumplimiento de los requisitos de perfeccionamiento y ejecución.  </w:t>
      </w:r>
    </w:p>
    <w:p w14:paraId="79D97B51" w14:textId="77777777" w:rsidR="00EF6DE1" w:rsidRPr="00EF6DE1" w:rsidRDefault="00EF6DE1" w:rsidP="00EF6DE1">
      <w:pPr>
        <w:spacing w:after="160"/>
        <w:rPr>
          <w:rFonts w:ascii="Verdana" w:eastAsia="Verdana" w:hAnsi="Verdana" w:cs="Verdana"/>
          <w:sz w:val="20"/>
          <w:szCs w:val="20"/>
        </w:rPr>
      </w:pPr>
      <w:r w:rsidRPr="00EF6DE1">
        <w:rPr>
          <w:rFonts w:ascii="Verdana" w:eastAsia="Verdana" w:hAnsi="Verdana" w:cs="Verdana"/>
          <w:sz w:val="20"/>
          <w:szCs w:val="20"/>
        </w:rPr>
        <w:t>Nota: En caso que un solo proponente resulte adjudicatario, el plazo total de ejecución del contrato será de 5 meses; sin embargo, la ejecución por cada lote deberá realizarse en los tiempos aquí definidos. </w:t>
      </w:r>
    </w:p>
    <w:p w14:paraId="275CBD0D" w14:textId="77777777" w:rsidR="00EF6DE1" w:rsidRPr="00EF6DE1" w:rsidRDefault="00EF6DE1" w:rsidP="00EF6DE1"/>
    <w:p w14:paraId="7C733DBF" w14:textId="77777777" w:rsidR="00977F4F" w:rsidRPr="00911C58" w:rsidRDefault="00977F4F" w:rsidP="005E2C20">
      <w:pPr>
        <w:autoSpaceDE w:val="0"/>
        <w:autoSpaceDN w:val="0"/>
        <w:adjustRightInd w:val="0"/>
        <w:rPr>
          <w:rFonts w:ascii="NimbusSans-Regular" w:hAnsi="NimbusSans-Regular" w:cs="NimbusSans-Regular"/>
          <w:sz w:val="17"/>
          <w:szCs w:val="17"/>
          <w:lang w:eastAsia="es-CO"/>
        </w:rPr>
      </w:pPr>
    </w:p>
    <w:p w14:paraId="3CAD371F"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FECHA LÍMITE PARA LA PRESENTACIÓN DE LAS OFERTAS Y LUGAR Y FORMA DE PRESENTACIÓN DE LAS MISMAS.</w:t>
      </w:r>
    </w:p>
    <w:p w14:paraId="5C287933" w14:textId="77777777" w:rsidR="00C74620" w:rsidRPr="00F518F9" w:rsidRDefault="00C74620">
      <w:pPr>
        <w:pBdr>
          <w:top w:val="nil"/>
          <w:left w:val="nil"/>
          <w:bottom w:val="nil"/>
          <w:right w:val="nil"/>
          <w:between w:val="nil"/>
        </w:pBdr>
        <w:ind w:left="720"/>
        <w:rPr>
          <w:rFonts w:ascii="Verdana" w:eastAsia="Verdana" w:hAnsi="Verdana" w:cs="Verdana"/>
          <w:b/>
          <w:color w:val="000000"/>
          <w:sz w:val="20"/>
          <w:szCs w:val="20"/>
        </w:rPr>
      </w:pPr>
    </w:p>
    <w:p w14:paraId="17BE8AAC" w14:textId="77777777" w:rsidR="00C74620" w:rsidRPr="00F518F9" w:rsidRDefault="00C0503D">
      <w:pPr>
        <w:rPr>
          <w:rFonts w:ascii="Verdana" w:eastAsia="Verdana" w:hAnsi="Verdana" w:cs="Verdana"/>
          <w:sz w:val="20"/>
          <w:szCs w:val="20"/>
        </w:rPr>
      </w:pPr>
      <w:r w:rsidRPr="00F518F9">
        <w:rPr>
          <w:rFonts w:ascii="Verdana" w:eastAsia="Verdana" w:hAnsi="Verdana" w:cs="Verdana"/>
          <w:color w:val="000000"/>
          <w:sz w:val="20"/>
          <w:szCs w:val="20"/>
        </w:rPr>
        <w:t xml:space="preserve">La fecha y hora límites para la presentación de las propuestas, serán las que se establecen en la plataforma transaccional de SECOP II, </w:t>
      </w:r>
      <w:r w:rsidRPr="00F518F9">
        <w:rPr>
          <w:rFonts w:ascii="Verdana" w:eastAsia="Verdana" w:hAnsi="Verdana" w:cs="Verdana"/>
          <w:sz w:val="20"/>
          <w:szCs w:val="20"/>
        </w:rPr>
        <w:t>sin perjuicio de las modificaciones a que hubiere lugar en el curso del proceso de selección.</w:t>
      </w:r>
    </w:p>
    <w:p w14:paraId="03DAA69B" w14:textId="77777777" w:rsidR="00C74620" w:rsidRPr="00F518F9" w:rsidRDefault="00C74620">
      <w:pPr>
        <w:rPr>
          <w:rFonts w:ascii="Verdana" w:eastAsia="Verdana" w:hAnsi="Verdana" w:cs="Verdana"/>
          <w:color w:val="000000"/>
          <w:sz w:val="20"/>
          <w:szCs w:val="20"/>
        </w:rPr>
      </w:pPr>
    </w:p>
    <w:p w14:paraId="76362BAC" w14:textId="77777777" w:rsidR="00C74620" w:rsidRPr="00F518F9" w:rsidRDefault="00C0503D">
      <w:pPr>
        <w:rPr>
          <w:rFonts w:ascii="Verdana" w:eastAsia="Verdana" w:hAnsi="Verdana" w:cs="Verdana"/>
          <w:color w:val="000000"/>
          <w:sz w:val="20"/>
          <w:szCs w:val="20"/>
        </w:rPr>
      </w:pPr>
      <w:r w:rsidRPr="00F518F9">
        <w:rPr>
          <w:rFonts w:ascii="Verdana" w:eastAsia="Verdana" w:hAnsi="Verdana" w:cs="Verdana"/>
          <w:color w:val="000000"/>
          <w:sz w:val="20"/>
          <w:szCs w:val="20"/>
        </w:rPr>
        <w:t xml:space="preserve">Las ofertas se deben presentar a través de la plataforma transaccional de SECOP II. </w:t>
      </w:r>
    </w:p>
    <w:p w14:paraId="17365B80" w14:textId="77777777" w:rsidR="00C74620" w:rsidRPr="00F518F9" w:rsidRDefault="00C74620">
      <w:pPr>
        <w:rPr>
          <w:rFonts w:ascii="Verdana" w:eastAsia="Verdana" w:hAnsi="Verdana" w:cs="Verdana"/>
          <w:color w:val="000000"/>
          <w:sz w:val="20"/>
          <w:szCs w:val="20"/>
        </w:rPr>
      </w:pPr>
    </w:p>
    <w:p w14:paraId="1B60F446" w14:textId="77777777" w:rsidR="00C74620" w:rsidRPr="00F518F9" w:rsidRDefault="00C74620">
      <w:pPr>
        <w:ind w:left="360"/>
        <w:rPr>
          <w:rFonts w:ascii="Verdana" w:eastAsia="Verdana" w:hAnsi="Verdana" w:cs="Verdana"/>
          <w:b/>
          <w:color w:val="000000"/>
          <w:sz w:val="20"/>
          <w:szCs w:val="20"/>
        </w:rPr>
      </w:pPr>
    </w:p>
    <w:p w14:paraId="7187F2CD"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 xml:space="preserve">PRESUPUESTO OFICIAL ESTIMADO </w:t>
      </w:r>
    </w:p>
    <w:p w14:paraId="077A865B" w14:textId="77777777" w:rsidR="00C74620" w:rsidRPr="00F518F9" w:rsidRDefault="00C74620">
      <w:pPr>
        <w:ind w:left="360"/>
        <w:rPr>
          <w:rFonts w:ascii="Verdana" w:eastAsia="Verdana" w:hAnsi="Verdana" w:cs="Verdana"/>
          <w:b/>
          <w:color w:val="000000"/>
          <w:sz w:val="20"/>
          <w:szCs w:val="20"/>
        </w:rPr>
      </w:pPr>
    </w:p>
    <w:p w14:paraId="6304FCAE" w14:textId="538B8A35" w:rsidR="00F518F9" w:rsidRDefault="00F518F9" w:rsidP="00477EDA">
      <w:pPr>
        <w:pStyle w:val="Textoindependiente"/>
        <w:spacing w:before="228"/>
        <w:ind w:right="258"/>
        <w:rPr>
          <w:rFonts w:ascii="Verdana" w:hAnsi="Verdana"/>
          <w:spacing w:val="-2"/>
          <w:sz w:val="20"/>
          <w:szCs w:val="20"/>
        </w:rPr>
      </w:pPr>
      <w:r w:rsidRPr="00F518F9">
        <w:rPr>
          <w:rFonts w:ascii="Verdana" w:hAnsi="Verdana"/>
          <w:spacing w:val="-2"/>
          <w:sz w:val="20"/>
          <w:szCs w:val="20"/>
        </w:rPr>
        <w:t xml:space="preserve">El presupuesto oficial para el presente proceso de contratación será hasta la suma de </w:t>
      </w:r>
      <w:r w:rsidR="00477EDA" w:rsidRPr="00477EDA">
        <w:rPr>
          <w:rFonts w:ascii="Verdana" w:hAnsi="Verdana"/>
          <w:b/>
          <w:spacing w:val="-2"/>
          <w:sz w:val="20"/>
          <w:szCs w:val="20"/>
        </w:rPr>
        <w:t>SETECIENTOS VEINTE MILLONES NOVECIENTOS TRECE MIL CUATROCIENTOS UN</w:t>
      </w:r>
      <w:r w:rsidR="00477EDA">
        <w:rPr>
          <w:rFonts w:ascii="Verdana" w:hAnsi="Verdana"/>
          <w:b/>
          <w:spacing w:val="-2"/>
          <w:sz w:val="20"/>
          <w:szCs w:val="20"/>
        </w:rPr>
        <w:t xml:space="preserve"> </w:t>
      </w:r>
      <w:r w:rsidR="00477EDA" w:rsidRPr="00477EDA">
        <w:rPr>
          <w:rFonts w:ascii="Verdana" w:hAnsi="Verdana"/>
          <w:b/>
          <w:spacing w:val="-2"/>
          <w:sz w:val="20"/>
          <w:szCs w:val="20"/>
        </w:rPr>
        <w:t>PESOS M/CTE ($720.913.401)</w:t>
      </w:r>
      <w:r w:rsidR="00E1739A" w:rsidRPr="00EF6DE1">
        <w:rPr>
          <w:rFonts w:ascii="Verdana" w:hAnsi="Verdana"/>
          <w:b/>
          <w:spacing w:val="-2"/>
          <w:sz w:val="20"/>
          <w:szCs w:val="20"/>
        </w:rPr>
        <w:t>,</w:t>
      </w:r>
      <w:r w:rsidRPr="00EF6DE1">
        <w:rPr>
          <w:rFonts w:ascii="Verdana" w:hAnsi="Verdana"/>
          <w:b/>
          <w:spacing w:val="-2"/>
          <w:sz w:val="20"/>
          <w:szCs w:val="20"/>
        </w:rPr>
        <w:t xml:space="preserve"> incluido</w:t>
      </w:r>
      <w:r w:rsidRPr="00F518F9">
        <w:rPr>
          <w:rFonts w:ascii="Verdana" w:hAnsi="Verdana"/>
          <w:spacing w:val="-2"/>
          <w:sz w:val="20"/>
          <w:szCs w:val="20"/>
        </w:rPr>
        <w:t xml:space="preserve"> el IVA y todos los demás gravámenes, costos directos e indirectos y conceptos que conlleve la celebración y ejecución total del contrato que resulte del presente proceso de selección, con base en el análisis del estudio de mercado, el cual se origina en las cotizaciones allegadas y debidamente avaladas por el comité técnico estructurador. </w:t>
      </w:r>
    </w:p>
    <w:p w14:paraId="3C53A36D" w14:textId="77777777" w:rsidR="00896AA2" w:rsidRPr="00896AA2" w:rsidRDefault="00896AA2" w:rsidP="00896AA2">
      <w:pPr>
        <w:rPr>
          <w:rFonts w:ascii="Verdana" w:eastAsia="Arial" w:hAnsi="Verdana" w:cs="Arial"/>
          <w:spacing w:val="-2"/>
          <w:sz w:val="20"/>
          <w:szCs w:val="20"/>
          <w:lang w:val="es-ES" w:eastAsia="es-ES"/>
        </w:rPr>
      </w:pPr>
    </w:p>
    <w:p w14:paraId="6FB15DAB" w14:textId="77777777" w:rsidR="00896AA2" w:rsidRPr="00896AA2" w:rsidRDefault="00896AA2" w:rsidP="00896AA2">
      <w:pPr>
        <w:spacing w:after="200"/>
        <w:jc w:val="both"/>
        <w:rPr>
          <w:rFonts w:ascii="Verdana" w:eastAsia="Arial" w:hAnsi="Verdana" w:cs="Arial"/>
          <w:spacing w:val="-2"/>
          <w:sz w:val="20"/>
          <w:szCs w:val="20"/>
          <w:lang w:val="es-ES" w:eastAsia="es-ES"/>
        </w:rPr>
      </w:pPr>
      <w:r w:rsidRPr="00896AA2">
        <w:rPr>
          <w:rFonts w:ascii="Verdana" w:eastAsia="Arial" w:hAnsi="Verdana" w:cs="Arial"/>
          <w:spacing w:val="-2"/>
          <w:sz w:val="20"/>
          <w:szCs w:val="20"/>
          <w:lang w:val="es-ES" w:eastAsia="es-ES"/>
        </w:rPr>
        <w:t>El proceso incluye tres lotes los cuales se encuentran presupuestados de la siguiente forma:</w:t>
      </w:r>
    </w:p>
    <w:tbl>
      <w:tblPr>
        <w:tblW w:w="0" w:type="auto"/>
        <w:jc w:val="center"/>
        <w:tblCellMar>
          <w:top w:w="15" w:type="dxa"/>
          <w:left w:w="15" w:type="dxa"/>
          <w:bottom w:w="15" w:type="dxa"/>
          <w:right w:w="15" w:type="dxa"/>
        </w:tblCellMar>
        <w:tblLook w:val="04A0" w:firstRow="1" w:lastRow="0" w:firstColumn="1" w:lastColumn="0" w:noHBand="0" w:noVBand="1"/>
      </w:tblPr>
      <w:tblGrid>
        <w:gridCol w:w="998"/>
        <w:gridCol w:w="5166"/>
        <w:gridCol w:w="3232"/>
      </w:tblGrid>
      <w:tr w:rsidR="00896AA2" w:rsidRPr="00896AA2" w14:paraId="1D2412DC" w14:textId="77777777">
        <w:trPr>
          <w:trHeight w:val="328"/>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63577F" w14:textId="77777777" w:rsidR="00896AA2" w:rsidRPr="00896AA2" w:rsidRDefault="00896AA2" w:rsidP="00896AA2">
            <w:pPr>
              <w:spacing w:after="200"/>
              <w:jc w:val="center"/>
            </w:pPr>
            <w:r w:rsidRPr="00896AA2">
              <w:rPr>
                <w:rFonts w:ascii="Arial" w:hAnsi="Arial" w:cs="Arial"/>
                <w:b/>
                <w:bCs/>
                <w:color w:val="000000"/>
                <w:sz w:val="20"/>
                <w:szCs w:val="20"/>
              </w:rPr>
              <w:t>No. LOTE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2045AE" w14:textId="77777777" w:rsidR="00896AA2" w:rsidRPr="00896AA2" w:rsidRDefault="00896AA2" w:rsidP="00896AA2">
            <w:pPr>
              <w:spacing w:after="200"/>
              <w:jc w:val="center"/>
            </w:pPr>
            <w:r w:rsidRPr="00896AA2">
              <w:rPr>
                <w:rFonts w:ascii="Arial" w:hAnsi="Arial" w:cs="Arial"/>
                <w:b/>
                <w:bCs/>
                <w:color w:val="000000"/>
                <w:sz w:val="20"/>
                <w:szCs w:val="20"/>
              </w:rPr>
              <w:t>TIPO ELEMENTO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1DF3F0" w14:textId="77777777" w:rsidR="00896AA2" w:rsidRPr="00896AA2" w:rsidRDefault="00896AA2" w:rsidP="00896AA2">
            <w:pPr>
              <w:spacing w:after="200"/>
              <w:jc w:val="center"/>
            </w:pPr>
            <w:r w:rsidRPr="00896AA2">
              <w:rPr>
                <w:rFonts w:ascii="Arial" w:hAnsi="Arial" w:cs="Arial"/>
                <w:b/>
                <w:bCs/>
                <w:color w:val="000000"/>
                <w:sz w:val="20"/>
                <w:szCs w:val="20"/>
              </w:rPr>
              <w:t>PRESUPUESTO OFICIAL</w:t>
            </w:r>
          </w:p>
        </w:tc>
      </w:tr>
      <w:tr w:rsidR="00896AA2" w:rsidRPr="00896AA2" w14:paraId="537CB0F3" w14:textId="77777777">
        <w:trPr>
          <w:trHeight w:val="55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BF43F24" w14:textId="77777777" w:rsidR="00896AA2" w:rsidRPr="00896AA2" w:rsidRDefault="00896AA2" w:rsidP="00896AA2">
            <w:pPr>
              <w:spacing w:after="200"/>
              <w:jc w:val="center"/>
            </w:pPr>
            <w:r w:rsidRPr="00896AA2">
              <w:rPr>
                <w:rFonts w:ascii="Arial" w:hAnsi="Arial" w:cs="Arial"/>
                <w:color w:val="000000"/>
                <w:sz w:val="20"/>
                <w:szCs w:val="20"/>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4270AEA" w14:textId="77777777" w:rsidR="00896AA2" w:rsidRPr="00896AA2" w:rsidRDefault="00896AA2" w:rsidP="00896AA2">
            <w:pPr>
              <w:spacing w:after="200"/>
              <w:jc w:val="both"/>
            </w:pPr>
            <w:r w:rsidRPr="00896AA2">
              <w:rPr>
                <w:rFonts w:ascii="Arial" w:hAnsi="Arial" w:cs="Arial"/>
                <w:color w:val="000000"/>
                <w:sz w:val="20"/>
                <w:szCs w:val="20"/>
              </w:rPr>
              <w:t>Estantería semiindustrial tipo semi pesado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8DA8DBF" w14:textId="77777777" w:rsidR="00896AA2" w:rsidRPr="00896AA2" w:rsidRDefault="00896AA2" w:rsidP="00896AA2">
            <w:pPr>
              <w:spacing w:after="200"/>
            </w:pPr>
            <w:r w:rsidRPr="00896AA2">
              <w:rPr>
                <w:rFonts w:ascii="Arial" w:hAnsi="Arial" w:cs="Arial"/>
                <w:color w:val="000000"/>
                <w:sz w:val="20"/>
                <w:szCs w:val="20"/>
              </w:rPr>
              <w:t>$                    257.141.592</w:t>
            </w:r>
          </w:p>
        </w:tc>
      </w:tr>
      <w:tr w:rsidR="00896AA2" w:rsidRPr="00896AA2" w14:paraId="5868D8C6" w14:textId="77777777">
        <w:trPr>
          <w:trHeight w:val="318"/>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19D4EF0" w14:textId="77777777" w:rsidR="00896AA2" w:rsidRPr="00896AA2" w:rsidRDefault="00896AA2" w:rsidP="00896AA2">
            <w:pPr>
              <w:spacing w:after="200"/>
              <w:jc w:val="center"/>
            </w:pPr>
            <w:r w:rsidRPr="00896AA2">
              <w:rPr>
                <w:rFonts w:ascii="Arial" w:hAnsi="Arial" w:cs="Arial"/>
                <w:color w:val="000000"/>
                <w:sz w:val="20"/>
                <w:szCs w:val="20"/>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EA4646" w14:textId="77777777" w:rsidR="00896AA2" w:rsidRPr="00896AA2" w:rsidRDefault="00896AA2" w:rsidP="00896AA2">
            <w:pPr>
              <w:spacing w:after="200"/>
              <w:jc w:val="both"/>
            </w:pPr>
            <w:r w:rsidRPr="00896AA2">
              <w:rPr>
                <w:rFonts w:ascii="Arial" w:hAnsi="Arial" w:cs="Arial"/>
                <w:color w:val="000000"/>
                <w:sz w:val="20"/>
                <w:szCs w:val="20"/>
              </w:rPr>
              <w:t>Estantes metálicos móviles para almacenamiento de las cajas plástica estándar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96B349" w14:textId="77777777" w:rsidR="00896AA2" w:rsidRPr="00896AA2" w:rsidRDefault="00896AA2" w:rsidP="00896AA2">
            <w:pPr>
              <w:spacing w:after="200"/>
            </w:pPr>
            <w:r w:rsidRPr="00896AA2">
              <w:rPr>
                <w:rFonts w:ascii="Arial" w:hAnsi="Arial" w:cs="Arial"/>
                <w:color w:val="000000"/>
                <w:sz w:val="20"/>
                <w:szCs w:val="20"/>
              </w:rPr>
              <w:t>$                    361.419.708</w:t>
            </w:r>
          </w:p>
        </w:tc>
      </w:tr>
      <w:tr w:rsidR="00896AA2" w:rsidRPr="00896AA2" w14:paraId="03D68857" w14:textId="77777777">
        <w:trPr>
          <w:trHeight w:val="318"/>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511B4A" w14:textId="77777777" w:rsidR="00896AA2" w:rsidRPr="00896AA2" w:rsidRDefault="00896AA2" w:rsidP="00896AA2">
            <w:pPr>
              <w:spacing w:after="200"/>
              <w:jc w:val="center"/>
            </w:pPr>
            <w:r w:rsidRPr="00896AA2">
              <w:rPr>
                <w:rFonts w:ascii="Arial" w:hAnsi="Arial" w:cs="Arial"/>
                <w:color w:val="000000"/>
                <w:sz w:val="20"/>
                <w:szCs w:val="20"/>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790CD49" w14:textId="77777777" w:rsidR="00896AA2" w:rsidRPr="00896AA2" w:rsidRDefault="00896AA2" w:rsidP="00896AA2">
            <w:pPr>
              <w:spacing w:after="200"/>
              <w:jc w:val="both"/>
            </w:pPr>
            <w:r w:rsidRPr="00896AA2">
              <w:rPr>
                <w:rFonts w:ascii="Arial" w:hAnsi="Arial" w:cs="Arial"/>
                <w:color w:val="000000"/>
                <w:sz w:val="20"/>
                <w:szCs w:val="20"/>
              </w:rPr>
              <w:t>Estantería industrial y mobiliario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9203679" w14:textId="54796519" w:rsidR="00896AA2" w:rsidRPr="00896AA2" w:rsidRDefault="00896AA2" w:rsidP="00896AA2">
            <w:pPr>
              <w:spacing w:after="200"/>
            </w:pPr>
            <w:r w:rsidRPr="00896AA2">
              <w:rPr>
                <w:rFonts w:ascii="Arial" w:hAnsi="Arial" w:cs="Arial"/>
                <w:color w:val="000000"/>
                <w:sz w:val="20"/>
                <w:szCs w:val="20"/>
              </w:rPr>
              <w:t xml:space="preserve">$                     </w:t>
            </w:r>
            <w:r w:rsidR="00A1667F">
              <w:rPr>
                <w:rFonts w:ascii="Arial" w:hAnsi="Arial" w:cs="Arial"/>
                <w:color w:val="000000"/>
                <w:sz w:val="20"/>
                <w:szCs w:val="20"/>
              </w:rPr>
              <w:t>102.352.101</w:t>
            </w:r>
            <w:r w:rsidRPr="00896AA2">
              <w:rPr>
                <w:rFonts w:ascii="Arial" w:hAnsi="Arial" w:cs="Arial"/>
                <w:color w:val="000000"/>
                <w:sz w:val="20"/>
                <w:szCs w:val="20"/>
              </w:rPr>
              <w:t>           </w:t>
            </w:r>
          </w:p>
        </w:tc>
      </w:tr>
      <w:tr w:rsidR="00896AA2" w:rsidRPr="00A1667F" w14:paraId="64349D57" w14:textId="77777777">
        <w:trPr>
          <w:trHeight w:val="260"/>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83936EA" w14:textId="77777777" w:rsidR="00896AA2" w:rsidRPr="00A1667F" w:rsidRDefault="00896AA2" w:rsidP="00896AA2">
            <w:pPr>
              <w:spacing w:after="200"/>
              <w:jc w:val="center"/>
            </w:pPr>
            <w:r w:rsidRPr="00A1667F">
              <w:rPr>
                <w:rFonts w:ascii="Arial" w:hAnsi="Arial" w:cs="Arial"/>
                <w:b/>
                <w:bCs/>
                <w:color w:val="000000"/>
                <w:sz w:val="20"/>
                <w:szCs w:val="20"/>
              </w:rPr>
              <w:t>TOTAL PRESUPUESTO OFICIAL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FC8986" w14:textId="04025A3D" w:rsidR="00896AA2" w:rsidRPr="007E3383" w:rsidRDefault="00A1667F" w:rsidP="00A1667F">
            <w:pPr>
              <w:spacing w:after="200"/>
              <w:jc w:val="center"/>
              <w:rPr>
                <w:sz w:val="22"/>
                <w:szCs w:val="22"/>
              </w:rPr>
            </w:pPr>
            <w:r w:rsidRPr="007E3383">
              <w:rPr>
                <w:sz w:val="22"/>
                <w:szCs w:val="22"/>
              </w:rPr>
              <w:t>$</w:t>
            </w:r>
            <w:r w:rsidR="007E3383" w:rsidRPr="007E3383">
              <w:rPr>
                <w:sz w:val="22"/>
                <w:szCs w:val="22"/>
              </w:rPr>
              <w:t>720.913.401</w:t>
            </w:r>
          </w:p>
        </w:tc>
      </w:tr>
    </w:tbl>
    <w:p w14:paraId="5184ED45" w14:textId="77777777" w:rsidR="00896AA2" w:rsidRPr="00896AA2" w:rsidRDefault="00896AA2" w:rsidP="00896AA2"/>
    <w:p w14:paraId="738F41A9" w14:textId="77777777" w:rsidR="00896AA2" w:rsidRPr="00896AA2" w:rsidRDefault="00896AA2" w:rsidP="00896AA2">
      <w:pPr>
        <w:jc w:val="both"/>
      </w:pPr>
      <w:r w:rsidRPr="00896AA2">
        <w:rPr>
          <w:rFonts w:ascii="Verdana" w:hAnsi="Verdana"/>
          <w:color w:val="000000"/>
          <w:sz w:val="18"/>
          <w:szCs w:val="18"/>
        </w:rPr>
        <w:t xml:space="preserve">El </w:t>
      </w:r>
      <w:r w:rsidRPr="00896AA2">
        <w:rPr>
          <w:rFonts w:ascii="Arial" w:hAnsi="Arial" w:cs="Arial"/>
          <w:color w:val="000000"/>
          <w:sz w:val="20"/>
          <w:szCs w:val="20"/>
        </w:rPr>
        <w:t xml:space="preserve">presente proceso se adelantará por medio de Subasta Inversa; los oferentes presentarán la oferta para lo cual se sugiere atender los valores unitarios techo establecidos por la entidad; el valor de la oferta </w:t>
      </w:r>
      <w:r w:rsidRPr="00896AA2">
        <w:rPr>
          <w:rFonts w:ascii="Arial" w:hAnsi="Arial" w:cs="Arial"/>
          <w:color w:val="000000"/>
          <w:sz w:val="20"/>
          <w:szCs w:val="20"/>
        </w:rPr>
        <w:lastRenderedPageBreak/>
        <w:t>económica deberá ser diligenciado en la plataforma SECOP II, el cual debe incluir la totalidad de ítems requeridos en el presente proceso.</w:t>
      </w:r>
    </w:p>
    <w:p w14:paraId="59D6E92D" w14:textId="77777777" w:rsidR="00896AA2" w:rsidRPr="00896AA2" w:rsidRDefault="00896AA2" w:rsidP="00896AA2"/>
    <w:p w14:paraId="24BC5C0F" w14:textId="77777777" w:rsidR="00896AA2" w:rsidRPr="00896AA2" w:rsidRDefault="00896AA2" w:rsidP="00896AA2">
      <w:pPr>
        <w:jc w:val="both"/>
      </w:pPr>
      <w:r w:rsidRPr="00896AA2">
        <w:rPr>
          <w:rFonts w:ascii="Arial" w:hAnsi="Arial" w:cs="Arial"/>
          <w:color w:val="000000"/>
          <w:sz w:val="20"/>
          <w:szCs w:val="20"/>
        </w:rPr>
        <w:t>La entidad se permite precisar que cada lote es independiente y maneja su propio formato de oferta económica, por lo cual se solicita diligenciar en la plataforma SECOP II la oferta económica de cada lote atendiendo las indicaciones de la entidad.</w:t>
      </w:r>
    </w:p>
    <w:p w14:paraId="692476D3" w14:textId="77777777" w:rsidR="00896AA2" w:rsidRPr="00896AA2" w:rsidRDefault="00896AA2" w:rsidP="00896AA2"/>
    <w:p w14:paraId="36EF7284" w14:textId="77777777" w:rsidR="00896AA2" w:rsidRPr="00896AA2" w:rsidRDefault="00896AA2" w:rsidP="00896AA2">
      <w:pPr>
        <w:ind w:right="38"/>
        <w:jc w:val="both"/>
      </w:pPr>
      <w:r w:rsidRPr="00896AA2">
        <w:rPr>
          <w:rFonts w:ascii="Arial" w:hAnsi="Arial" w:cs="Arial"/>
          <w:color w:val="000000"/>
          <w:sz w:val="20"/>
          <w:szCs w:val="20"/>
        </w:rPr>
        <w:t>Nota No. 1 El proceso se adjudicará por el valor del presupuesto oficial establecido para los lotes No.1 y 2, al proponente que realice el lance válido más bajo durante el evento de subasta inversa electrónica para cada uno de los lotes o en caso de no ser necesario realizarse subasta por el valor de la oferta válida más baja. Respecto al lote No. 3 el proceso se adjudicará por el valor del lance válido más bajo.</w:t>
      </w:r>
    </w:p>
    <w:p w14:paraId="1B090114" w14:textId="77777777" w:rsidR="00896AA2" w:rsidRPr="00896AA2" w:rsidRDefault="00896AA2" w:rsidP="00896AA2"/>
    <w:p w14:paraId="437B2EE9" w14:textId="77777777" w:rsidR="00896AA2" w:rsidRPr="00896AA2" w:rsidRDefault="00896AA2" w:rsidP="00896AA2">
      <w:pPr>
        <w:jc w:val="both"/>
      </w:pPr>
      <w:r w:rsidRPr="00896AA2">
        <w:rPr>
          <w:rFonts w:ascii="Arial" w:hAnsi="Arial" w:cs="Arial"/>
          <w:color w:val="000000"/>
          <w:sz w:val="20"/>
          <w:szCs w:val="20"/>
        </w:rPr>
        <w:t>La Entidad adquirirá Bienes y Servicios acorde a la modalidad de monto agotable, mediante el sistema de precios unitarios fijos, de conformidad con la oferta económica presentada por el proponente para los lote No. 1 y 2.</w:t>
      </w:r>
    </w:p>
    <w:p w14:paraId="67C387E5" w14:textId="77777777" w:rsidR="00896AA2" w:rsidRPr="00896AA2" w:rsidRDefault="00896AA2" w:rsidP="00896AA2"/>
    <w:p w14:paraId="53414192" w14:textId="77777777" w:rsidR="00896AA2" w:rsidRPr="00896AA2" w:rsidRDefault="00896AA2" w:rsidP="00896AA2">
      <w:pPr>
        <w:jc w:val="both"/>
      </w:pPr>
      <w:r w:rsidRPr="00896AA2">
        <w:rPr>
          <w:rFonts w:ascii="Arial" w:hAnsi="Arial" w:cs="Arial"/>
          <w:color w:val="000000"/>
          <w:sz w:val="20"/>
          <w:szCs w:val="20"/>
        </w:rPr>
        <w:t>Nota No. 2 Para los lotes No. 1 y 2 el presupuesto se  ejecutará a monto agotable, toda vez que en la respectiva ejecución se conocerá la necesidad del servicio por parte de la Entidad.</w:t>
      </w:r>
    </w:p>
    <w:p w14:paraId="097D4EAA" w14:textId="77777777" w:rsidR="00896AA2" w:rsidRPr="00896AA2" w:rsidRDefault="00896AA2" w:rsidP="00896AA2"/>
    <w:p w14:paraId="273F9452" w14:textId="2139E94E" w:rsidR="00896AA2" w:rsidRPr="00896AA2" w:rsidRDefault="00896AA2" w:rsidP="00896AA2">
      <w:pPr>
        <w:jc w:val="both"/>
      </w:pPr>
      <w:r w:rsidRPr="00896AA2">
        <w:rPr>
          <w:rFonts w:ascii="Arial" w:hAnsi="Arial" w:cs="Arial"/>
          <w:color w:val="000000"/>
          <w:sz w:val="20"/>
          <w:szCs w:val="20"/>
        </w:rPr>
        <w:t xml:space="preserve">Nota No. </w:t>
      </w:r>
      <w:r>
        <w:rPr>
          <w:rFonts w:ascii="Arial" w:hAnsi="Arial" w:cs="Arial"/>
          <w:color w:val="000000"/>
          <w:sz w:val="20"/>
          <w:szCs w:val="20"/>
        </w:rPr>
        <w:t>3</w:t>
      </w:r>
      <w:r w:rsidRPr="00896AA2">
        <w:rPr>
          <w:rFonts w:ascii="Arial" w:hAnsi="Arial" w:cs="Arial"/>
          <w:color w:val="000000"/>
          <w:sz w:val="20"/>
          <w:szCs w:val="20"/>
        </w:rPr>
        <w:t>: En todo caso, los precios de los ítems son precios de referencia, por lo tanto, el proponente que desee participar en la presente contratación deberá presentar su oferta económica en la plataforma SECOP II, sin sobrepasar el valor de los ítems establecidos, so pena de rechazo de plano de la oferta.</w:t>
      </w:r>
    </w:p>
    <w:p w14:paraId="4D29C8FB" w14:textId="77777777" w:rsidR="00896AA2" w:rsidRPr="00896AA2" w:rsidRDefault="00896AA2" w:rsidP="00896AA2"/>
    <w:p w14:paraId="5710320E" w14:textId="77777777" w:rsidR="00896AA2" w:rsidRPr="00896AA2" w:rsidRDefault="00896AA2" w:rsidP="00896AA2">
      <w:pPr>
        <w:ind w:right="27"/>
        <w:jc w:val="both"/>
      </w:pPr>
      <w:r w:rsidRPr="00896AA2">
        <w:rPr>
          <w:rFonts w:ascii="Arial" w:hAnsi="Arial" w:cs="Arial"/>
          <w:color w:val="000000"/>
          <w:sz w:val="20"/>
          <w:szCs w:val="20"/>
        </w:rPr>
        <w:t>Durante toda la subasta, se tendrá como margen mínimo de mejora de oferta el TRES POR CIENTO (3%), para cada uno de los lotes, sobre la oferta inicial de menor valor de las ofertas habilitadas en relación al VALOR TOTAL INCLUIDO IVA del presupuesto oficial estimado. Los lances que no igualen o superen el margen indicado, no serán válidos.</w:t>
      </w:r>
    </w:p>
    <w:p w14:paraId="0873C031" w14:textId="77777777" w:rsidR="00F518F9" w:rsidRPr="00F518F9" w:rsidRDefault="00F518F9" w:rsidP="007D7B01">
      <w:pPr>
        <w:widowControl w:val="0"/>
        <w:pBdr>
          <w:top w:val="nil"/>
          <w:left w:val="nil"/>
          <w:bottom w:val="nil"/>
          <w:right w:val="nil"/>
          <w:between w:val="nil"/>
        </w:pBdr>
        <w:rPr>
          <w:rFonts w:ascii="Verdana" w:eastAsia="Verdana" w:hAnsi="Verdana" w:cs="Verdana"/>
          <w:color w:val="000000"/>
          <w:sz w:val="20"/>
          <w:szCs w:val="20"/>
        </w:rPr>
      </w:pPr>
    </w:p>
    <w:p w14:paraId="350E0019" w14:textId="77777777" w:rsidR="00C74620" w:rsidRPr="00F518F9" w:rsidRDefault="00C0503D">
      <w:pPr>
        <w:numPr>
          <w:ilvl w:val="0"/>
          <w:numId w:val="1"/>
        </w:numPr>
        <w:pBdr>
          <w:top w:val="nil"/>
          <w:left w:val="nil"/>
          <w:bottom w:val="nil"/>
          <w:right w:val="nil"/>
          <w:between w:val="nil"/>
        </w:pBdr>
        <w:rPr>
          <w:rFonts w:ascii="Verdana" w:eastAsia="Verdana" w:hAnsi="Verdana" w:cs="Verdana"/>
          <w:color w:val="000000"/>
          <w:sz w:val="20"/>
          <w:szCs w:val="20"/>
        </w:rPr>
      </w:pPr>
      <w:r w:rsidRPr="00F518F9">
        <w:rPr>
          <w:rFonts w:ascii="Verdana" w:eastAsia="Verdana" w:hAnsi="Verdana" w:cs="Verdana"/>
          <w:b/>
          <w:color w:val="000000"/>
          <w:sz w:val="20"/>
          <w:szCs w:val="20"/>
        </w:rPr>
        <w:t xml:space="preserve">ACUERDOS COMERCIALES APLICABLES </w:t>
      </w:r>
    </w:p>
    <w:p w14:paraId="75268224" w14:textId="77777777" w:rsidR="00C74620" w:rsidRPr="00F518F9" w:rsidRDefault="00C74620">
      <w:pPr>
        <w:pBdr>
          <w:top w:val="nil"/>
          <w:left w:val="nil"/>
          <w:bottom w:val="nil"/>
          <w:right w:val="nil"/>
          <w:between w:val="nil"/>
        </w:pBdr>
        <w:ind w:left="720"/>
        <w:rPr>
          <w:rFonts w:ascii="Verdana" w:eastAsia="Verdana" w:hAnsi="Verdana" w:cs="Verdana"/>
          <w:b/>
          <w:color w:val="000000"/>
          <w:sz w:val="20"/>
          <w:szCs w:val="20"/>
        </w:rPr>
      </w:pPr>
    </w:p>
    <w:p w14:paraId="615B8EB8" w14:textId="77777777" w:rsidR="00C74620" w:rsidRPr="00F518F9" w:rsidRDefault="00C0503D">
      <w:pPr>
        <w:rPr>
          <w:rFonts w:ascii="Verdana" w:eastAsia="Verdana" w:hAnsi="Verdana" w:cs="Verdana"/>
          <w:sz w:val="20"/>
          <w:szCs w:val="20"/>
        </w:rPr>
      </w:pPr>
      <w:r w:rsidRPr="00F518F9">
        <w:rPr>
          <w:rFonts w:ascii="Verdana" w:eastAsia="Verdana" w:hAnsi="Verdana" w:cs="Verdana"/>
          <w:sz w:val="20"/>
          <w:szCs w:val="20"/>
        </w:rPr>
        <w:t>Los acuerdos comerciales que rigen el presente proceso de selección son aquellos que se encuentran señalados en la plataforma SECOP II.</w:t>
      </w:r>
    </w:p>
    <w:p w14:paraId="107F1B90" w14:textId="77777777" w:rsidR="00C74620" w:rsidRPr="00F518F9" w:rsidRDefault="00C74620">
      <w:pPr>
        <w:rPr>
          <w:rFonts w:ascii="Verdana" w:eastAsia="Verdana" w:hAnsi="Verdana" w:cs="Verdana"/>
          <w:b/>
          <w:sz w:val="20"/>
          <w:szCs w:val="20"/>
        </w:rPr>
      </w:pPr>
    </w:p>
    <w:p w14:paraId="77511A4F"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LIMITACIÓN DE LA CONVOCATORIA A MIPYMES</w:t>
      </w:r>
    </w:p>
    <w:p w14:paraId="7D6B2EF9" w14:textId="77777777" w:rsidR="00C74620" w:rsidRPr="00F518F9" w:rsidRDefault="00C74620">
      <w:pPr>
        <w:rPr>
          <w:rFonts w:ascii="Verdana" w:eastAsia="Verdana" w:hAnsi="Verdana" w:cs="Verdana"/>
          <w:b/>
          <w:sz w:val="20"/>
          <w:szCs w:val="20"/>
        </w:rPr>
      </w:pPr>
    </w:p>
    <w:p w14:paraId="0C2DDD49" w14:textId="355FA63D" w:rsidR="00213121" w:rsidRPr="00F518F9" w:rsidRDefault="00213121" w:rsidP="00213121">
      <w:pPr>
        <w:pStyle w:val="Textoindependiente"/>
        <w:ind w:right="283"/>
        <w:rPr>
          <w:rFonts w:ascii="Verdana" w:hAnsi="Verdana"/>
          <w:sz w:val="20"/>
          <w:szCs w:val="20"/>
        </w:rPr>
      </w:pPr>
      <w:r w:rsidRPr="00F518F9">
        <w:rPr>
          <w:rFonts w:ascii="Verdana" w:hAnsi="Verdana"/>
          <w:sz w:val="20"/>
          <w:szCs w:val="20"/>
        </w:rPr>
        <w:t>Según certificación del Ministerio de Comercio Industria y Turismo – MINCIT, el umbral para limitar los procesos a MYPIME, corresponde a “Umbral PYMES COL $5</w:t>
      </w:r>
      <w:r w:rsidR="00E71791" w:rsidRPr="00F518F9">
        <w:rPr>
          <w:rFonts w:ascii="Verdana" w:hAnsi="Verdana"/>
          <w:sz w:val="20"/>
          <w:szCs w:val="20"/>
        </w:rPr>
        <w:t>11.708.497</w:t>
      </w:r>
      <w:r w:rsidRPr="00F518F9">
        <w:rPr>
          <w:rFonts w:ascii="Verdana" w:hAnsi="Verdana"/>
          <w:sz w:val="20"/>
          <w:szCs w:val="20"/>
        </w:rPr>
        <w:t>”, con una vigencia del 1 de enero del 2025 hasta el 31 de diciembre de 2026.</w:t>
      </w:r>
    </w:p>
    <w:p w14:paraId="479EFC59" w14:textId="59F93EA2" w:rsidR="00213121" w:rsidRPr="00F518F9" w:rsidRDefault="00213121" w:rsidP="00213121">
      <w:pPr>
        <w:pStyle w:val="Textoindependiente"/>
        <w:spacing w:before="230"/>
        <w:ind w:right="286"/>
        <w:rPr>
          <w:rFonts w:ascii="Verdana" w:hAnsi="Verdana"/>
          <w:sz w:val="20"/>
          <w:szCs w:val="20"/>
        </w:rPr>
      </w:pPr>
      <w:r w:rsidRPr="00F518F9">
        <w:rPr>
          <w:rFonts w:ascii="Verdana" w:hAnsi="Verdana"/>
          <w:sz w:val="20"/>
          <w:szCs w:val="20"/>
        </w:rPr>
        <w:t>Por lo anterior, en cumplimiento a lo previsto en los artículos 2.2.1.2.4.2.2. a 2.2.1.2.4.2.4. del Decreto 1082 de 2015 (Artículo 5° del Decreto 1860 de 2021) y teniendo en cuenta que el presupuesto oficial del proceso</w:t>
      </w:r>
      <w:r w:rsidR="00205D00" w:rsidRPr="00F518F9">
        <w:rPr>
          <w:rFonts w:ascii="Verdana" w:hAnsi="Verdana"/>
          <w:sz w:val="20"/>
          <w:szCs w:val="20"/>
        </w:rPr>
        <w:t xml:space="preserve"> no</w:t>
      </w:r>
      <w:r w:rsidRPr="00F518F9">
        <w:rPr>
          <w:rFonts w:ascii="Verdana" w:hAnsi="Verdana"/>
          <w:sz w:val="20"/>
          <w:szCs w:val="20"/>
        </w:rPr>
        <w:t xml:space="preserve"> supera los </w:t>
      </w:r>
      <w:r w:rsidRPr="00F518F9">
        <w:rPr>
          <w:rFonts w:ascii="Verdana" w:hAnsi="Verdana"/>
          <w:b/>
          <w:sz w:val="20"/>
          <w:szCs w:val="20"/>
        </w:rPr>
        <w:t>CIENTO VEINTICINCO MIL DOLARES USD ($125.000),</w:t>
      </w:r>
      <w:r w:rsidRPr="00F518F9">
        <w:rPr>
          <w:rFonts w:ascii="Verdana" w:hAnsi="Verdana"/>
          <w:sz w:val="20"/>
          <w:szCs w:val="20"/>
        </w:rPr>
        <w:t xml:space="preserve"> en este proceso </w:t>
      </w:r>
      <w:r w:rsidRPr="00F518F9">
        <w:rPr>
          <w:rFonts w:ascii="Verdana" w:hAnsi="Verdana"/>
          <w:b/>
          <w:sz w:val="20"/>
          <w:szCs w:val="20"/>
        </w:rPr>
        <w:t>SE REALIZARÁ CONVOCATORIA PARA LIMITAR A MIPYMES</w:t>
      </w:r>
      <w:r w:rsidR="00EF6DE1" w:rsidRPr="00EF6DE1">
        <w:rPr>
          <w:rFonts w:ascii="Verdana" w:hAnsi="Verdana"/>
          <w:sz w:val="20"/>
          <w:szCs w:val="20"/>
        </w:rPr>
        <w:t xml:space="preserve"> </w:t>
      </w:r>
      <w:r w:rsidR="00EF6DE1">
        <w:rPr>
          <w:rFonts w:ascii="Verdana" w:hAnsi="Verdana"/>
          <w:sz w:val="20"/>
          <w:szCs w:val="20"/>
        </w:rPr>
        <w:t>esto atendiendo a los tres lotes ofertados por la entidad</w:t>
      </w:r>
      <w:r w:rsidR="00CF2C0D">
        <w:rPr>
          <w:rFonts w:ascii="Verdana" w:hAnsi="Verdana"/>
          <w:sz w:val="20"/>
          <w:szCs w:val="20"/>
        </w:rPr>
        <w:t>.</w:t>
      </w:r>
    </w:p>
    <w:p w14:paraId="7568E33C" w14:textId="77777777" w:rsidR="00213121" w:rsidRPr="00F518F9" w:rsidRDefault="00213121" w:rsidP="00213121">
      <w:pPr>
        <w:pStyle w:val="Textoindependiente"/>
        <w:spacing w:before="230"/>
        <w:ind w:right="286"/>
        <w:rPr>
          <w:rFonts w:ascii="Verdana" w:hAnsi="Verdana"/>
          <w:sz w:val="20"/>
          <w:szCs w:val="20"/>
        </w:rPr>
      </w:pPr>
    </w:p>
    <w:p w14:paraId="7F8A1B81"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CONDICIONES PARA PARTICIPAR EN EL PROCESO DE CONTRATACIÓN</w:t>
      </w:r>
    </w:p>
    <w:p w14:paraId="704E26E9" w14:textId="77777777" w:rsidR="00C74620" w:rsidRPr="00F518F9" w:rsidRDefault="00C74620">
      <w:pPr>
        <w:pBdr>
          <w:top w:val="nil"/>
          <w:left w:val="nil"/>
          <w:bottom w:val="nil"/>
          <w:right w:val="nil"/>
          <w:between w:val="nil"/>
        </w:pBdr>
        <w:ind w:left="720"/>
        <w:rPr>
          <w:rFonts w:ascii="Verdana" w:eastAsia="Verdana" w:hAnsi="Verdana" w:cs="Verdana"/>
          <w:b/>
          <w:color w:val="000000"/>
          <w:sz w:val="20"/>
          <w:szCs w:val="20"/>
        </w:rPr>
      </w:pPr>
    </w:p>
    <w:p w14:paraId="0137AD03" w14:textId="77777777" w:rsidR="00C74620" w:rsidRPr="00F518F9" w:rsidRDefault="00C0503D">
      <w:pPr>
        <w:rPr>
          <w:rFonts w:ascii="Verdana" w:eastAsia="Verdana" w:hAnsi="Verdana" w:cs="Verdana"/>
          <w:sz w:val="20"/>
          <w:szCs w:val="20"/>
        </w:rPr>
      </w:pPr>
      <w:r w:rsidRPr="00F518F9">
        <w:rPr>
          <w:rFonts w:ascii="Verdana" w:eastAsia="Verdana" w:hAnsi="Verdana" w:cs="Verdana"/>
          <w:sz w:val="20"/>
          <w:szCs w:val="20"/>
        </w:rPr>
        <w:t>Los interesados en el proceso podrán participar con observancia de los requisitos indicados en la Plataforma transaccional de SECOP II.</w:t>
      </w:r>
    </w:p>
    <w:p w14:paraId="4FF50303" w14:textId="77777777" w:rsidR="00C74620" w:rsidRPr="00F518F9" w:rsidRDefault="00C74620">
      <w:pPr>
        <w:rPr>
          <w:rFonts w:ascii="Verdana" w:eastAsia="Verdana" w:hAnsi="Verdana" w:cs="Verdana"/>
          <w:b/>
          <w:sz w:val="20"/>
          <w:szCs w:val="20"/>
          <w:highlight w:val="yellow"/>
        </w:rPr>
      </w:pPr>
    </w:p>
    <w:p w14:paraId="05816967"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INDICACIÓN DE SI EN EL PROCESO HAY LUGAR A PRECALIFICACIÓN</w:t>
      </w:r>
    </w:p>
    <w:p w14:paraId="50B55528" w14:textId="77777777" w:rsidR="00C74620" w:rsidRPr="00F518F9" w:rsidRDefault="00C74620">
      <w:pPr>
        <w:pBdr>
          <w:top w:val="nil"/>
          <w:left w:val="nil"/>
          <w:bottom w:val="nil"/>
          <w:right w:val="nil"/>
          <w:between w:val="nil"/>
        </w:pBdr>
        <w:ind w:left="720"/>
        <w:rPr>
          <w:rFonts w:ascii="Verdana" w:eastAsia="Verdana" w:hAnsi="Verdana" w:cs="Verdana"/>
          <w:b/>
          <w:color w:val="000000"/>
          <w:sz w:val="20"/>
          <w:szCs w:val="20"/>
        </w:rPr>
      </w:pPr>
    </w:p>
    <w:p w14:paraId="5790B6F9" w14:textId="77777777" w:rsidR="00C74620" w:rsidRPr="00F518F9" w:rsidRDefault="00C0503D">
      <w:pPr>
        <w:rPr>
          <w:rFonts w:ascii="Verdana" w:eastAsia="Verdana" w:hAnsi="Verdana" w:cs="Verdana"/>
          <w:color w:val="000000"/>
          <w:sz w:val="20"/>
          <w:szCs w:val="20"/>
        </w:rPr>
      </w:pPr>
      <w:r w:rsidRPr="00F518F9">
        <w:rPr>
          <w:rFonts w:ascii="Verdana" w:eastAsia="Verdana" w:hAnsi="Verdana" w:cs="Verdana"/>
          <w:color w:val="000000"/>
          <w:sz w:val="20"/>
          <w:szCs w:val="20"/>
        </w:rPr>
        <w:t xml:space="preserve">Para el presente proceso de selección </w:t>
      </w:r>
      <w:r w:rsidRPr="00F518F9">
        <w:rPr>
          <w:rFonts w:ascii="Verdana" w:eastAsia="Verdana" w:hAnsi="Verdana" w:cs="Verdana"/>
          <w:b/>
          <w:color w:val="000000"/>
          <w:sz w:val="20"/>
          <w:szCs w:val="20"/>
        </w:rPr>
        <w:t>NO</w:t>
      </w:r>
      <w:r w:rsidRPr="00F518F9">
        <w:rPr>
          <w:rFonts w:ascii="Verdana" w:eastAsia="Verdana" w:hAnsi="Verdana" w:cs="Verdana"/>
          <w:color w:val="000000"/>
          <w:sz w:val="20"/>
          <w:szCs w:val="20"/>
        </w:rPr>
        <w:t xml:space="preserve"> está prevista la precalificación.</w:t>
      </w:r>
    </w:p>
    <w:p w14:paraId="65C84752" w14:textId="77777777" w:rsidR="00C74620" w:rsidRPr="00F518F9" w:rsidRDefault="00C74620">
      <w:pPr>
        <w:rPr>
          <w:rFonts w:ascii="Verdana" w:eastAsia="Verdana" w:hAnsi="Verdana" w:cs="Verdana"/>
          <w:b/>
          <w:sz w:val="20"/>
          <w:szCs w:val="20"/>
        </w:rPr>
      </w:pPr>
    </w:p>
    <w:p w14:paraId="4F64FEF6"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CRONOGRAMA</w:t>
      </w:r>
    </w:p>
    <w:p w14:paraId="70960BF7" w14:textId="77777777" w:rsidR="00C74620" w:rsidRPr="00F518F9" w:rsidRDefault="00C74620">
      <w:pPr>
        <w:pBdr>
          <w:top w:val="nil"/>
          <w:left w:val="nil"/>
          <w:bottom w:val="nil"/>
          <w:right w:val="nil"/>
          <w:between w:val="nil"/>
        </w:pBdr>
        <w:ind w:left="720"/>
        <w:rPr>
          <w:rFonts w:ascii="Verdana" w:eastAsia="Verdana" w:hAnsi="Verdana" w:cs="Verdana"/>
          <w:b/>
          <w:color w:val="000000"/>
          <w:sz w:val="20"/>
          <w:szCs w:val="20"/>
        </w:rPr>
      </w:pPr>
    </w:p>
    <w:p w14:paraId="4755F273" w14:textId="77777777" w:rsidR="00C74620" w:rsidRPr="00F518F9" w:rsidRDefault="00C0503D">
      <w:pPr>
        <w:rPr>
          <w:rFonts w:ascii="Verdana" w:eastAsia="Verdana" w:hAnsi="Verdana" w:cs="Verdana"/>
          <w:sz w:val="20"/>
          <w:szCs w:val="20"/>
        </w:rPr>
      </w:pPr>
      <w:r w:rsidRPr="00F518F9">
        <w:rPr>
          <w:rFonts w:ascii="Verdana" w:eastAsia="Verdana" w:hAnsi="Verdana" w:cs="Verdana"/>
          <w:sz w:val="20"/>
          <w:szCs w:val="20"/>
        </w:rPr>
        <w:t>Sin perjuicio de las modificaciones a que hubiere lugar en el curso del proceso de selección, la plataforma transaccional del SECOP II incorpora el Cronograma correspondiente.</w:t>
      </w:r>
    </w:p>
    <w:p w14:paraId="4742F906" w14:textId="77777777" w:rsidR="00C74620" w:rsidRPr="00F518F9" w:rsidRDefault="00C74620">
      <w:pPr>
        <w:pBdr>
          <w:top w:val="nil"/>
          <w:left w:val="nil"/>
          <w:bottom w:val="nil"/>
          <w:right w:val="nil"/>
          <w:between w:val="nil"/>
        </w:pBdr>
        <w:ind w:left="284"/>
        <w:rPr>
          <w:rFonts w:ascii="Verdana" w:eastAsia="Verdana" w:hAnsi="Verdana" w:cs="Verdana"/>
          <w:color w:val="000000"/>
          <w:sz w:val="20"/>
          <w:szCs w:val="20"/>
        </w:rPr>
      </w:pPr>
    </w:p>
    <w:p w14:paraId="6F582D73"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FORMA COMO LOS INTERESADOS PUEDEN CONSULTAR LOS DOCUMENTOS DEL PROCESO</w:t>
      </w:r>
    </w:p>
    <w:p w14:paraId="24D47F8D" w14:textId="77777777" w:rsidR="00C74620" w:rsidRPr="00F518F9" w:rsidRDefault="00C74620">
      <w:pPr>
        <w:pBdr>
          <w:top w:val="nil"/>
          <w:left w:val="nil"/>
          <w:bottom w:val="nil"/>
          <w:right w:val="nil"/>
          <w:between w:val="nil"/>
        </w:pBdr>
        <w:ind w:left="720"/>
        <w:rPr>
          <w:rFonts w:ascii="Verdana" w:eastAsia="Verdana" w:hAnsi="Verdana" w:cs="Verdana"/>
          <w:b/>
          <w:color w:val="000000"/>
          <w:sz w:val="20"/>
          <w:szCs w:val="20"/>
        </w:rPr>
      </w:pPr>
    </w:p>
    <w:p w14:paraId="072E17EC" w14:textId="77777777" w:rsidR="00C74620" w:rsidRPr="00F518F9" w:rsidRDefault="00C0503D">
      <w:pPr>
        <w:rPr>
          <w:rFonts w:ascii="Verdana" w:eastAsia="Verdana" w:hAnsi="Verdana" w:cs="Verdana"/>
          <w:sz w:val="20"/>
          <w:szCs w:val="20"/>
        </w:rPr>
      </w:pPr>
      <w:r w:rsidRPr="00F518F9">
        <w:rPr>
          <w:rFonts w:ascii="Verdana" w:eastAsia="Verdana" w:hAnsi="Verdana" w:cs="Verdana"/>
          <w:sz w:val="20"/>
          <w:szCs w:val="20"/>
        </w:rPr>
        <w:t xml:space="preserve">Los Documentos del Proceso podrán consultarse a través de Internet en la plataforma transaccional de SECOP II </w:t>
      </w:r>
      <w:hyperlink r:id="rId9">
        <w:r w:rsidRPr="00F518F9">
          <w:rPr>
            <w:rFonts w:ascii="Verdana" w:eastAsia="Verdana" w:hAnsi="Verdana" w:cs="Verdana"/>
            <w:color w:val="0000FF"/>
            <w:sz w:val="20"/>
            <w:szCs w:val="20"/>
            <w:u w:val="single"/>
          </w:rPr>
          <w:t>www.colombiacompra.gov.co</w:t>
        </w:r>
      </w:hyperlink>
      <w:r w:rsidRPr="00F518F9">
        <w:rPr>
          <w:rFonts w:ascii="Verdana" w:eastAsia="Verdana" w:hAnsi="Verdana" w:cs="Verdana"/>
          <w:sz w:val="20"/>
          <w:szCs w:val="20"/>
        </w:rPr>
        <w:t>, considerada para todos los efectos de este proceso como la única válida y vinculante.</w:t>
      </w:r>
    </w:p>
    <w:sectPr w:rsidR="00C74620" w:rsidRPr="00F518F9">
      <w:headerReference w:type="default" r:id="rId10"/>
      <w:pgSz w:w="12242" w:h="15842"/>
      <w:pgMar w:top="1985" w:right="1418" w:bottom="1276" w:left="1418" w:header="779" w:footer="141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F8AD5" w14:textId="77777777" w:rsidR="00F70CC5" w:rsidRDefault="00F70CC5">
      <w:r>
        <w:separator/>
      </w:r>
    </w:p>
  </w:endnote>
  <w:endnote w:type="continuationSeparator" w:id="0">
    <w:p w14:paraId="249E6367" w14:textId="77777777" w:rsidR="00F70CC5" w:rsidRDefault="00F70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MT">
    <w:altName w:val="Arial"/>
    <w:panose1 w:val="020B0604020202020204"/>
    <w:charset w:val="01"/>
    <w:family w:val="swiss"/>
    <w:pitch w:val="variable"/>
  </w:font>
  <w:font w:name="NimbusSans-Bold">
    <w:panose1 w:val="020B0604020202020204"/>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Futura Md BT">
    <w:altName w:val="Lucida Sans Unicode"/>
    <w:panose1 w:val="020B0602020204020303"/>
    <w:charset w:val="00"/>
    <w:family w:val="roman"/>
    <w:notTrueType/>
    <w:pitch w:val="default"/>
  </w:font>
  <w:font w:name="Swis721 Md BT">
    <w:altName w:val="Arial"/>
    <w:panose1 w:val="020B0604020202020204"/>
    <w:charset w:val="00"/>
    <w:family w:val="roman"/>
    <w:notTrueType/>
    <w:pitch w:val="default"/>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w:altName w:val="Times New Roman"/>
    <w:panose1 w:val="020B06040202020202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NimbusSans-Regular">
    <w:altName w:val="Calibri"/>
    <w:panose1 w:val="020B0604020202020204"/>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4F329" w14:textId="77777777" w:rsidR="00F70CC5" w:rsidRDefault="00F70CC5">
      <w:r>
        <w:separator/>
      </w:r>
    </w:p>
  </w:footnote>
  <w:footnote w:type="continuationSeparator" w:id="0">
    <w:p w14:paraId="74961627" w14:textId="77777777" w:rsidR="00F70CC5" w:rsidRDefault="00F70C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4101E" w14:textId="77777777" w:rsidR="00C74620" w:rsidRDefault="00C0503D">
    <w:pPr>
      <w:pBdr>
        <w:top w:val="nil"/>
        <w:left w:val="nil"/>
        <w:bottom w:val="nil"/>
        <w:right w:val="nil"/>
        <w:between w:val="nil"/>
      </w:pBdr>
      <w:tabs>
        <w:tab w:val="center" w:pos="4252"/>
        <w:tab w:val="right" w:pos="8504"/>
      </w:tabs>
      <w:rPr>
        <w:color w:val="000000"/>
        <w:sz w:val="16"/>
        <w:szCs w:val="16"/>
      </w:rPr>
    </w:pPr>
    <w:r>
      <w:rPr>
        <w:noProof/>
        <w:lang w:eastAsia="es-CO"/>
      </w:rPr>
      <w:drawing>
        <wp:anchor distT="0" distB="0" distL="0" distR="0" simplePos="0" relativeHeight="251658240" behindDoc="1" locked="0" layoutInCell="1" hidden="0" allowOverlap="1" wp14:anchorId="40A285A9" wp14:editId="35EE84FA">
          <wp:simplePos x="0" y="0"/>
          <wp:positionH relativeFrom="column">
            <wp:posOffset>2106115</wp:posOffset>
          </wp:positionH>
          <wp:positionV relativeFrom="paragraph">
            <wp:posOffset>5251</wp:posOffset>
          </wp:positionV>
          <wp:extent cx="1642110" cy="673585"/>
          <wp:effectExtent l="0" t="0" r="0" b="0"/>
          <wp:wrapNone/>
          <wp:docPr id="134090608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42110" cy="673585"/>
                  </a:xfrm>
                  <a:prstGeom prst="rect">
                    <a:avLst/>
                  </a:prstGeom>
                  <a:ln/>
                </pic:spPr>
              </pic:pic>
            </a:graphicData>
          </a:graphic>
        </wp:anchor>
      </w:drawing>
    </w:r>
  </w:p>
  <w:p w14:paraId="2CDB00A7" w14:textId="77777777" w:rsidR="00C74620" w:rsidRDefault="00C74620">
    <w:pPr>
      <w:pBdr>
        <w:top w:val="nil"/>
        <w:left w:val="nil"/>
        <w:bottom w:val="nil"/>
        <w:right w:val="nil"/>
        <w:between w:val="nil"/>
      </w:pBdr>
      <w:tabs>
        <w:tab w:val="center" w:pos="4252"/>
        <w:tab w:val="right" w:pos="8504"/>
      </w:tabs>
      <w:rPr>
        <w:color w:val="000000"/>
        <w:sz w:val="16"/>
        <w:szCs w:val="16"/>
      </w:rPr>
    </w:pPr>
  </w:p>
  <w:p w14:paraId="68B4D185" w14:textId="77777777" w:rsidR="00C74620" w:rsidRDefault="00C74620">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86799"/>
    <w:multiLevelType w:val="multilevel"/>
    <w:tmpl w:val="2BAA8228"/>
    <w:lvl w:ilvl="0">
      <w:start w:val="1"/>
      <w:numFmt w:val="decimal"/>
      <w:lvlText w:val="%1."/>
      <w:lvlJc w:val="left"/>
      <w:pPr>
        <w:ind w:left="720" w:hanging="360"/>
      </w:pPr>
      <w:rPr>
        <w:b/>
        <w:color w:val="000000"/>
      </w:rPr>
    </w:lvl>
    <w:lvl w:ilvl="1">
      <w:start w:val="1"/>
      <w:numFmt w:val="lowerLetter"/>
      <w:pStyle w:val="Ttulo2"/>
      <w:lvlText w:val="%2."/>
      <w:lvlJc w:val="left"/>
      <w:pPr>
        <w:ind w:left="1440" w:hanging="360"/>
      </w:pPr>
    </w:lvl>
    <w:lvl w:ilvl="2">
      <w:start w:val="1"/>
      <w:numFmt w:val="lowerRoman"/>
      <w:pStyle w:val="Ttulo3"/>
      <w:lvlText w:val="%3."/>
      <w:lvlJc w:val="right"/>
      <w:pPr>
        <w:ind w:left="2160" w:hanging="180"/>
      </w:pPr>
    </w:lvl>
    <w:lvl w:ilvl="3">
      <w:start w:val="1"/>
      <w:numFmt w:val="decimal"/>
      <w:pStyle w:val="Ttulo4"/>
      <w:lvlText w:val="%4."/>
      <w:lvlJc w:val="left"/>
      <w:pPr>
        <w:ind w:left="2880" w:hanging="360"/>
      </w:pPr>
    </w:lvl>
    <w:lvl w:ilvl="4">
      <w:start w:val="1"/>
      <w:numFmt w:val="lowerLetter"/>
      <w:pStyle w:val="Ttulo5"/>
      <w:lvlText w:val="%5."/>
      <w:lvlJc w:val="left"/>
      <w:pPr>
        <w:ind w:left="3600" w:hanging="360"/>
      </w:pPr>
    </w:lvl>
    <w:lvl w:ilvl="5">
      <w:start w:val="1"/>
      <w:numFmt w:val="lowerRoman"/>
      <w:pStyle w:val="Ttulo6"/>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1" w15:restartNumberingAfterBreak="0">
    <w:nsid w:val="115A6AA8"/>
    <w:multiLevelType w:val="hybridMultilevel"/>
    <w:tmpl w:val="03B6C9DE"/>
    <w:lvl w:ilvl="0" w:tplc="E21001F8">
      <w:numFmt w:val="bullet"/>
      <w:lvlText w:val=""/>
      <w:lvlJc w:val="left"/>
      <w:pPr>
        <w:ind w:left="360" w:hanging="360"/>
      </w:pPr>
      <w:rPr>
        <w:rFonts w:ascii="Symbol" w:eastAsia="Arial MT" w:hAnsi="Symbol" w:cs="NimbusSans-Bold"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8AD5D0D"/>
    <w:multiLevelType w:val="multilevel"/>
    <w:tmpl w:val="1E7CDEBA"/>
    <w:lvl w:ilvl="0">
      <w:start w:val="1"/>
      <w:numFmt w:val="decimal"/>
      <w:pStyle w:val="Listaconvieta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42C617E"/>
    <w:multiLevelType w:val="multilevel"/>
    <w:tmpl w:val="C4D4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F71E73"/>
    <w:multiLevelType w:val="multilevel"/>
    <w:tmpl w:val="ABE86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316A5F"/>
    <w:multiLevelType w:val="multilevel"/>
    <w:tmpl w:val="1DF21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1349138">
    <w:abstractNumId w:val="0"/>
  </w:num>
  <w:num w:numId="2" w16cid:durableId="714543327">
    <w:abstractNumId w:val="2"/>
  </w:num>
  <w:num w:numId="3" w16cid:durableId="9356693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30088482">
    <w:abstractNumId w:val="1"/>
  </w:num>
  <w:num w:numId="5" w16cid:durableId="1613902470">
    <w:abstractNumId w:val="4"/>
  </w:num>
  <w:num w:numId="6" w16cid:durableId="269052870">
    <w:abstractNumId w:val="5"/>
  </w:num>
  <w:num w:numId="7" w16cid:durableId="1824760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620"/>
    <w:rsid w:val="000F4834"/>
    <w:rsid w:val="000F58ED"/>
    <w:rsid w:val="00112616"/>
    <w:rsid w:val="001B589A"/>
    <w:rsid w:val="001F272C"/>
    <w:rsid w:val="00205D00"/>
    <w:rsid w:val="00213121"/>
    <w:rsid w:val="00247A1B"/>
    <w:rsid w:val="0025164B"/>
    <w:rsid w:val="002617FC"/>
    <w:rsid w:val="00293885"/>
    <w:rsid w:val="002C06F7"/>
    <w:rsid w:val="002E5019"/>
    <w:rsid w:val="0036523D"/>
    <w:rsid w:val="00373A40"/>
    <w:rsid w:val="003C013E"/>
    <w:rsid w:val="0042514B"/>
    <w:rsid w:val="00453879"/>
    <w:rsid w:val="00477EDA"/>
    <w:rsid w:val="004A4B24"/>
    <w:rsid w:val="004E2C0B"/>
    <w:rsid w:val="004F2320"/>
    <w:rsid w:val="00596F19"/>
    <w:rsid w:val="005B1848"/>
    <w:rsid w:val="005E2C20"/>
    <w:rsid w:val="0061598D"/>
    <w:rsid w:val="00675094"/>
    <w:rsid w:val="00683A06"/>
    <w:rsid w:val="006D036F"/>
    <w:rsid w:val="006D5CBF"/>
    <w:rsid w:val="007027B4"/>
    <w:rsid w:val="00710E36"/>
    <w:rsid w:val="00744B2A"/>
    <w:rsid w:val="007D5042"/>
    <w:rsid w:val="007D7B01"/>
    <w:rsid w:val="007E3383"/>
    <w:rsid w:val="00805090"/>
    <w:rsid w:val="008237AB"/>
    <w:rsid w:val="00854FCF"/>
    <w:rsid w:val="00896AA2"/>
    <w:rsid w:val="008B0339"/>
    <w:rsid w:val="008D4C38"/>
    <w:rsid w:val="008E24DB"/>
    <w:rsid w:val="00911C58"/>
    <w:rsid w:val="00937991"/>
    <w:rsid w:val="00977F4F"/>
    <w:rsid w:val="00991009"/>
    <w:rsid w:val="009C5B61"/>
    <w:rsid w:val="00A1667F"/>
    <w:rsid w:val="00A55E7E"/>
    <w:rsid w:val="00AA331E"/>
    <w:rsid w:val="00B572F4"/>
    <w:rsid w:val="00BB007B"/>
    <w:rsid w:val="00BD00BB"/>
    <w:rsid w:val="00BF214C"/>
    <w:rsid w:val="00BF4FA9"/>
    <w:rsid w:val="00C0503D"/>
    <w:rsid w:val="00C14053"/>
    <w:rsid w:val="00C50116"/>
    <w:rsid w:val="00C74620"/>
    <w:rsid w:val="00CA0A17"/>
    <w:rsid w:val="00CE55FD"/>
    <w:rsid w:val="00CF2C0D"/>
    <w:rsid w:val="00CF455C"/>
    <w:rsid w:val="00D03E5E"/>
    <w:rsid w:val="00D223AC"/>
    <w:rsid w:val="00D724F5"/>
    <w:rsid w:val="00D74645"/>
    <w:rsid w:val="00DE6B01"/>
    <w:rsid w:val="00E1739A"/>
    <w:rsid w:val="00E71791"/>
    <w:rsid w:val="00EA1DA7"/>
    <w:rsid w:val="00EE1C4A"/>
    <w:rsid w:val="00EF6DE1"/>
    <w:rsid w:val="00F2190A"/>
    <w:rsid w:val="00F40456"/>
    <w:rsid w:val="00F518F9"/>
    <w:rsid w:val="00F51C8C"/>
    <w:rsid w:val="00F70CC5"/>
    <w:rsid w:val="00F960AF"/>
    <w:rsid w:val="00FC4B49"/>
    <w:rsid w:val="00FC4BB6"/>
    <w:rsid w:val="00FD35ED"/>
    <w:rsid w:val="00FE0D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D3024"/>
  <w15:docId w15:val="{E1FEF647-B358-4979-9264-0615B02F9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AA2"/>
    <w:pPr>
      <w:jc w:val="left"/>
    </w:pPr>
    <w:rPr>
      <w:rFonts w:ascii="Times New Roman" w:eastAsia="Times New Roman" w:hAnsi="Times New Roman" w:cs="Times New Roman"/>
      <w:sz w:val="24"/>
      <w:szCs w:val="24"/>
      <w:lang w:val="es-CO" w:eastAsia="es-MX"/>
    </w:rPr>
  </w:style>
  <w:style w:type="paragraph" w:styleId="Ttulo1">
    <w:name w:val="heading 1"/>
    <w:basedOn w:val="Normal"/>
    <w:next w:val="Normal"/>
    <w:uiPriority w:val="9"/>
    <w:qFormat/>
    <w:rsid w:val="00C82329"/>
    <w:pPr>
      <w:keepNext/>
      <w:jc w:val="center"/>
      <w:outlineLvl w:val="0"/>
    </w:pPr>
    <w:rPr>
      <w:rFonts w:ascii="Arial" w:eastAsia="Arial" w:hAnsi="Arial" w:cs="Arial"/>
      <w:b/>
      <w:caps/>
      <w:szCs w:val="22"/>
      <w:lang w:val="es-ES" w:eastAsia="es-ES"/>
    </w:rPr>
  </w:style>
  <w:style w:type="paragraph" w:styleId="Ttulo2">
    <w:name w:val="heading 2"/>
    <w:basedOn w:val="Normal"/>
    <w:next w:val="Normal"/>
    <w:uiPriority w:val="9"/>
    <w:semiHidden/>
    <w:unhideWhenUsed/>
    <w:qFormat/>
    <w:rsid w:val="00983CDC"/>
    <w:pPr>
      <w:keepNext/>
      <w:numPr>
        <w:ilvl w:val="1"/>
        <w:numId w:val="1"/>
      </w:numPr>
      <w:spacing w:before="60" w:after="40"/>
      <w:jc w:val="both"/>
      <w:outlineLvl w:val="1"/>
    </w:pPr>
    <w:rPr>
      <w:rFonts w:ascii="Arial" w:eastAsia="Arial" w:hAnsi="Arial" w:cs="Arial"/>
      <w:b/>
      <w:smallCaps/>
      <w:szCs w:val="22"/>
      <w:lang w:val="es-ES" w:eastAsia="es-ES"/>
    </w:rPr>
  </w:style>
  <w:style w:type="paragraph" w:styleId="Ttulo3">
    <w:name w:val="heading 3"/>
    <w:basedOn w:val="Normal"/>
    <w:next w:val="Normal"/>
    <w:link w:val="Ttulo3Car"/>
    <w:uiPriority w:val="9"/>
    <w:semiHidden/>
    <w:unhideWhenUsed/>
    <w:qFormat/>
    <w:rsid w:val="00F4002B"/>
    <w:pPr>
      <w:keepNext/>
      <w:numPr>
        <w:ilvl w:val="2"/>
        <w:numId w:val="1"/>
      </w:numPr>
      <w:spacing w:before="240" w:after="60"/>
      <w:outlineLvl w:val="2"/>
    </w:pPr>
  </w:style>
  <w:style w:type="paragraph" w:styleId="Ttulo4">
    <w:name w:val="heading 4"/>
    <w:basedOn w:val="Normal"/>
    <w:next w:val="Normal"/>
    <w:uiPriority w:val="9"/>
    <w:semiHidden/>
    <w:unhideWhenUsed/>
    <w:qFormat/>
    <w:rsid w:val="00F4002B"/>
    <w:pPr>
      <w:keepNext/>
      <w:numPr>
        <w:ilvl w:val="3"/>
        <w:numId w:val="1"/>
      </w:numPr>
      <w:spacing w:before="240" w:after="60"/>
      <w:outlineLvl w:val="3"/>
    </w:pPr>
    <w:rPr>
      <w:b/>
    </w:rPr>
  </w:style>
  <w:style w:type="paragraph" w:styleId="Ttulo5">
    <w:name w:val="heading 5"/>
    <w:basedOn w:val="Normal"/>
    <w:next w:val="Normal"/>
    <w:uiPriority w:val="9"/>
    <w:semiHidden/>
    <w:unhideWhenUsed/>
    <w:qFormat/>
    <w:rsid w:val="00F4002B"/>
    <w:pPr>
      <w:numPr>
        <w:ilvl w:val="4"/>
        <w:numId w:val="1"/>
      </w:numPr>
      <w:spacing w:before="240" w:after="60"/>
      <w:outlineLvl w:val="4"/>
    </w:pPr>
  </w:style>
  <w:style w:type="paragraph" w:styleId="Ttulo6">
    <w:name w:val="heading 6"/>
    <w:basedOn w:val="Normal"/>
    <w:next w:val="Normal"/>
    <w:uiPriority w:val="9"/>
    <w:semiHidden/>
    <w:unhideWhenUsed/>
    <w:qFormat/>
    <w:rsid w:val="00F4002B"/>
    <w:pPr>
      <w:numPr>
        <w:ilvl w:val="5"/>
        <w:numId w:val="1"/>
      </w:numPr>
      <w:spacing w:before="240" w:after="60"/>
      <w:outlineLvl w:val="5"/>
    </w:pPr>
    <w:rPr>
      <w:i/>
    </w:rPr>
  </w:style>
  <w:style w:type="paragraph" w:styleId="Ttulo7">
    <w:name w:val="heading 7"/>
    <w:basedOn w:val="Normal"/>
    <w:next w:val="Normal"/>
    <w:qFormat/>
    <w:rsid w:val="00F4002B"/>
    <w:pPr>
      <w:numPr>
        <w:ilvl w:val="6"/>
        <w:numId w:val="1"/>
      </w:numPr>
      <w:spacing w:before="240" w:after="60"/>
      <w:jc w:val="both"/>
      <w:outlineLvl w:val="6"/>
    </w:pPr>
    <w:rPr>
      <w:rFonts w:ascii="Arial" w:eastAsia="Arial" w:hAnsi="Arial" w:cs="Arial"/>
      <w:sz w:val="22"/>
      <w:szCs w:val="22"/>
      <w:lang w:val="es-ES" w:eastAsia="es-ES"/>
    </w:rPr>
  </w:style>
  <w:style w:type="paragraph" w:styleId="Ttulo8">
    <w:name w:val="heading 8"/>
    <w:basedOn w:val="Normal"/>
    <w:next w:val="Normal"/>
    <w:qFormat/>
    <w:rsid w:val="00F4002B"/>
    <w:pPr>
      <w:numPr>
        <w:ilvl w:val="7"/>
        <w:numId w:val="1"/>
      </w:numPr>
      <w:spacing w:before="240" w:after="60"/>
      <w:jc w:val="both"/>
      <w:outlineLvl w:val="7"/>
    </w:pPr>
    <w:rPr>
      <w:rFonts w:ascii="Arial" w:eastAsia="Arial" w:hAnsi="Arial" w:cs="Arial"/>
      <w:i/>
      <w:sz w:val="22"/>
      <w:szCs w:val="22"/>
      <w:lang w:val="es-ES" w:eastAsia="es-ES"/>
    </w:rPr>
  </w:style>
  <w:style w:type="paragraph" w:styleId="Ttulo9">
    <w:name w:val="heading 9"/>
    <w:basedOn w:val="Normal"/>
    <w:next w:val="Normal"/>
    <w:qFormat/>
    <w:rsid w:val="00F4002B"/>
    <w:pPr>
      <w:numPr>
        <w:ilvl w:val="8"/>
        <w:numId w:val="1"/>
      </w:numPr>
      <w:spacing w:before="240" w:after="60"/>
      <w:jc w:val="both"/>
      <w:outlineLvl w:val="8"/>
    </w:pPr>
    <w:rPr>
      <w:rFonts w:ascii="Arial" w:eastAsia="Arial" w:hAnsi="Arial" w:cs="Arial"/>
      <w:b/>
      <w:i/>
      <w:sz w:val="18"/>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835B48"/>
    <w:pPr>
      <w:spacing w:before="240" w:after="60"/>
      <w:jc w:val="center"/>
      <w:outlineLvl w:val="0"/>
    </w:pPr>
    <w:rPr>
      <w:rFonts w:ascii="Arial" w:eastAsia="Arial" w:hAnsi="Arial" w:cs="Arial"/>
      <w:b/>
      <w:bCs/>
      <w:kern w:val="28"/>
      <w:szCs w:val="32"/>
      <w:lang w:val="es-ES" w:eastAsia="es-ES"/>
    </w:rPr>
  </w:style>
  <w:style w:type="paragraph" w:styleId="Encabezado">
    <w:name w:val="header"/>
    <w:aliases w:val="h,h8,h9,h10,h18,encabezado,Encabezado1,Encabezado 2,hd,he,h18 Car Car Car Car Car Car Car Car,h18 Car Car Car Car Car Car Car,h18 Car Car Car,h18 Car Car Car Car Car,Alt Header,Tit 1,AL Encabezado,Encabezado AL,h1,Header Bold,TENDER,*Header"/>
    <w:basedOn w:val="Normal"/>
    <w:link w:val="EncabezadoCar"/>
    <w:qFormat/>
    <w:rsid w:val="00F4002B"/>
    <w:pPr>
      <w:tabs>
        <w:tab w:val="center" w:pos="4252"/>
        <w:tab w:val="right" w:pos="8504"/>
      </w:tabs>
      <w:jc w:val="both"/>
    </w:pPr>
    <w:rPr>
      <w:rFonts w:ascii="Arial" w:eastAsia="Arial" w:hAnsi="Arial" w:cs="Arial"/>
      <w:sz w:val="22"/>
      <w:szCs w:val="22"/>
      <w:lang w:val="es-ES" w:eastAsia="es-ES"/>
    </w:rPr>
  </w:style>
  <w:style w:type="paragraph" w:styleId="Piedepgina">
    <w:name w:val="footer"/>
    <w:basedOn w:val="Normal"/>
    <w:link w:val="PiedepginaCar"/>
    <w:uiPriority w:val="99"/>
    <w:rsid w:val="00F4002B"/>
    <w:pPr>
      <w:tabs>
        <w:tab w:val="center" w:pos="4252"/>
        <w:tab w:val="right" w:pos="8504"/>
      </w:tabs>
      <w:jc w:val="both"/>
    </w:pPr>
    <w:rPr>
      <w:rFonts w:ascii="Arial" w:eastAsia="Arial" w:hAnsi="Arial" w:cs="Arial"/>
      <w:sz w:val="22"/>
      <w:szCs w:val="22"/>
      <w:lang w:val="es-ES" w:eastAsia="es-ES"/>
    </w:rPr>
  </w:style>
  <w:style w:type="paragraph" w:styleId="Textoindependiente">
    <w:name w:val="Body Text"/>
    <w:aliases w:val="Texto independiente Car Car Car Car,Texto independiente Car Car Car"/>
    <w:basedOn w:val="Normal"/>
    <w:link w:val="TextoindependienteCar"/>
    <w:uiPriority w:val="99"/>
    <w:rsid w:val="00F4002B"/>
    <w:pPr>
      <w:jc w:val="both"/>
    </w:pPr>
    <w:rPr>
      <w:rFonts w:ascii="Futura Md BT" w:eastAsia="Arial" w:hAnsi="Futura Md BT" w:cs="Arial"/>
      <w:szCs w:val="22"/>
      <w:lang w:val="es-ES" w:eastAsia="es-ES"/>
    </w:rPr>
  </w:style>
  <w:style w:type="character" w:styleId="Nmerodepgina">
    <w:name w:val="page number"/>
    <w:basedOn w:val="Fuentedeprrafopredeter"/>
    <w:rsid w:val="00F4002B"/>
  </w:style>
  <w:style w:type="character" w:styleId="Hipervnculo">
    <w:name w:val="Hyperlink"/>
    <w:uiPriority w:val="99"/>
    <w:rsid w:val="00983CDC"/>
    <w:rPr>
      <w:caps/>
      <w:color w:val="0000FF"/>
      <w:u w:val="single"/>
    </w:rPr>
  </w:style>
  <w:style w:type="paragraph" w:styleId="Sangradetextonormal">
    <w:name w:val="Body Text Indent"/>
    <w:basedOn w:val="Normal"/>
    <w:rsid w:val="00F4002B"/>
    <w:pPr>
      <w:spacing w:before="240"/>
      <w:ind w:left="284"/>
      <w:jc w:val="both"/>
    </w:pPr>
    <w:rPr>
      <w:rFonts w:ascii="Swis721 Md BT" w:eastAsia="Arial" w:hAnsi="Swis721 Md BT" w:cs="Arial"/>
      <w:sz w:val="22"/>
      <w:szCs w:val="22"/>
      <w:lang w:val="es-MX" w:eastAsia="es-ES"/>
    </w:rPr>
  </w:style>
  <w:style w:type="paragraph" w:styleId="Textoindependiente2">
    <w:name w:val="Body Text 2"/>
    <w:basedOn w:val="Normal"/>
    <w:rsid w:val="00F4002B"/>
    <w:pPr>
      <w:jc w:val="both"/>
    </w:pPr>
    <w:rPr>
      <w:rFonts w:ascii="Arial" w:eastAsia="Arial" w:hAnsi="Arial" w:cs="Arial"/>
      <w:szCs w:val="22"/>
      <w:lang w:val="es-MX" w:eastAsia="es-ES"/>
    </w:rPr>
  </w:style>
  <w:style w:type="character" w:styleId="Textoennegrita">
    <w:name w:val="Strong"/>
    <w:uiPriority w:val="22"/>
    <w:qFormat/>
    <w:rsid w:val="00F4002B"/>
    <w:rPr>
      <w:b/>
    </w:rPr>
  </w:style>
  <w:style w:type="paragraph" w:styleId="Sangra2detindependiente">
    <w:name w:val="Body Text Indent 2"/>
    <w:basedOn w:val="Normal"/>
    <w:rsid w:val="00F4002B"/>
    <w:pPr>
      <w:tabs>
        <w:tab w:val="left" w:pos="284"/>
      </w:tabs>
      <w:ind w:left="284" w:hanging="284"/>
      <w:jc w:val="both"/>
    </w:pPr>
    <w:rPr>
      <w:rFonts w:ascii="Arial" w:eastAsia="Arial" w:hAnsi="Arial" w:cs="Arial"/>
      <w:snapToGrid w:val="0"/>
      <w:szCs w:val="22"/>
      <w:lang w:val="es-ES_tradnl" w:eastAsia="es-ES"/>
    </w:rPr>
  </w:style>
  <w:style w:type="paragraph" w:styleId="Sangra3detindependiente">
    <w:name w:val="Body Text Indent 3"/>
    <w:basedOn w:val="Normal"/>
    <w:rsid w:val="00F4002B"/>
    <w:pPr>
      <w:tabs>
        <w:tab w:val="num" w:pos="284"/>
      </w:tabs>
      <w:ind w:left="284"/>
      <w:jc w:val="both"/>
    </w:pPr>
    <w:rPr>
      <w:rFonts w:ascii="Arial" w:eastAsia="Arial" w:hAnsi="Arial" w:cs="Arial"/>
      <w:snapToGrid w:val="0"/>
      <w:szCs w:val="22"/>
      <w:lang w:val="es-ES_tradnl" w:eastAsia="es-ES"/>
    </w:rPr>
  </w:style>
  <w:style w:type="paragraph" w:styleId="Descripcin">
    <w:name w:val="caption"/>
    <w:basedOn w:val="Normal"/>
    <w:next w:val="Normal"/>
    <w:qFormat/>
    <w:rsid w:val="00F4002B"/>
    <w:pPr>
      <w:jc w:val="center"/>
    </w:pPr>
    <w:rPr>
      <w:rFonts w:ascii="Arial" w:eastAsia="Arial" w:hAnsi="Arial" w:cs="Arial"/>
      <w:b/>
      <w:sz w:val="22"/>
      <w:szCs w:val="22"/>
      <w:lang w:val="es-ES" w:eastAsia="es-ES"/>
    </w:rPr>
  </w:style>
  <w:style w:type="paragraph" w:styleId="TDC1">
    <w:name w:val="toc 1"/>
    <w:basedOn w:val="Normal"/>
    <w:next w:val="Normal"/>
    <w:autoRedefine/>
    <w:uiPriority w:val="39"/>
    <w:rsid w:val="00B00546"/>
    <w:pPr>
      <w:spacing w:before="120"/>
    </w:pPr>
    <w:rPr>
      <w:rFonts w:ascii="Arial" w:eastAsia="Arial" w:hAnsi="Arial" w:cs="Arial"/>
      <w:b/>
      <w:bCs/>
      <w:sz w:val="20"/>
      <w:szCs w:val="22"/>
      <w:lang w:val="es-ES" w:eastAsia="es-ES"/>
    </w:rPr>
  </w:style>
  <w:style w:type="paragraph" w:styleId="Textodeglobo">
    <w:name w:val="Balloon Text"/>
    <w:basedOn w:val="Normal"/>
    <w:link w:val="TextodegloboCar"/>
    <w:rsid w:val="00B714E5"/>
    <w:pPr>
      <w:jc w:val="both"/>
    </w:pPr>
    <w:rPr>
      <w:rFonts w:ascii="Tahoma" w:eastAsia="Arial" w:hAnsi="Tahoma" w:cs="Arial"/>
      <w:sz w:val="16"/>
      <w:szCs w:val="16"/>
      <w:lang w:val="es-ES" w:eastAsia="es-ES"/>
    </w:rPr>
  </w:style>
  <w:style w:type="character" w:customStyle="1" w:styleId="TextodegloboCar">
    <w:name w:val="Texto de globo Car"/>
    <w:link w:val="Textodeglobo"/>
    <w:rsid w:val="00B714E5"/>
    <w:rPr>
      <w:rFonts w:ascii="Tahoma" w:hAnsi="Tahoma" w:cs="Tahoma"/>
      <w:sz w:val="16"/>
      <w:szCs w:val="16"/>
      <w:lang w:val="es-ES" w:eastAsia="es-ES"/>
    </w:rPr>
  </w:style>
  <w:style w:type="paragraph" w:styleId="TDC3">
    <w:name w:val="toc 3"/>
    <w:basedOn w:val="Normal"/>
    <w:next w:val="Normal"/>
    <w:autoRedefine/>
    <w:uiPriority w:val="39"/>
    <w:rsid w:val="00B00546"/>
    <w:pPr>
      <w:ind w:left="440"/>
    </w:pPr>
    <w:rPr>
      <w:rFonts w:ascii="Arial" w:eastAsia="Arial" w:hAnsi="Arial" w:cs="Arial"/>
      <w:sz w:val="20"/>
      <w:szCs w:val="22"/>
      <w:lang w:val="es-ES" w:eastAsia="es-ES"/>
    </w:rPr>
  </w:style>
  <w:style w:type="paragraph" w:styleId="NormalWeb">
    <w:name w:val="Normal (Web)"/>
    <w:aliases w:val="Normal (Web) Car Car"/>
    <w:basedOn w:val="Normal"/>
    <w:link w:val="NormalWebCar"/>
    <w:uiPriority w:val="99"/>
    <w:unhideWhenUsed/>
    <w:rsid w:val="00F53451"/>
    <w:pPr>
      <w:spacing w:before="100" w:beforeAutospacing="1" w:after="100" w:afterAutospacing="1"/>
      <w:jc w:val="both"/>
    </w:pPr>
    <w:rPr>
      <w:rFonts w:ascii="Arial" w:eastAsia="Arial" w:hAnsi="Arial" w:cs="Arial"/>
      <w:lang w:eastAsia="es-CO"/>
    </w:rPr>
  </w:style>
  <w:style w:type="character" w:customStyle="1" w:styleId="TtuloCar">
    <w:name w:val="Título Car"/>
    <w:link w:val="Ttulo"/>
    <w:rsid w:val="00835B48"/>
    <w:rPr>
      <w:rFonts w:ascii="Arial" w:hAnsi="Arial"/>
      <w:b/>
      <w:bCs/>
      <w:kern w:val="28"/>
      <w:sz w:val="24"/>
      <w:szCs w:val="32"/>
      <w:lang w:val="es-ES" w:eastAsia="es-ES"/>
    </w:rPr>
  </w:style>
  <w:style w:type="paragraph" w:customStyle="1" w:styleId="EstiloIzquierda03">
    <w:name w:val="Estilo Izquierda:  0.3&quot;"/>
    <w:basedOn w:val="Normal"/>
    <w:rsid w:val="005A4168"/>
    <w:pPr>
      <w:ind w:left="432"/>
      <w:jc w:val="both"/>
    </w:pPr>
    <w:rPr>
      <w:rFonts w:ascii="Arial" w:eastAsia="Arial" w:hAnsi="Arial" w:cs="Arial"/>
      <w:sz w:val="22"/>
      <w:szCs w:val="22"/>
      <w:lang w:val="es-ES" w:eastAsia="es-ES"/>
    </w:rPr>
  </w:style>
  <w:style w:type="table" w:styleId="Tablaconcuadrcula">
    <w:name w:val="Table Grid"/>
    <w:basedOn w:val="Tablanormal"/>
    <w:uiPriority w:val="39"/>
    <w:rsid w:val="00C468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577C1A"/>
    <w:pPr>
      <w:ind w:left="283" w:hanging="283"/>
      <w:contextualSpacing/>
      <w:jc w:val="both"/>
    </w:pPr>
    <w:rPr>
      <w:rFonts w:ascii="Arial" w:eastAsia="Arial" w:hAnsi="Arial" w:cs="Arial"/>
      <w:sz w:val="22"/>
      <w:szCs w:val="22"/>
      <w:lang w:val="es-ES" w:eastAsia="es-ES"/>
    </w:rPr>
  </w:style>
  <w:style w:type="paragraph" w:styleId="Listaconvietas2">
    <w:name w:val="List Bullet 2"/>
    <w:basedOn w:val="Normal"/>
    <w:rsid w:val="00577C1A"/>
    <w:pPr>
      <w:numPr>
        <w:numId w:val="2"/>
      </w:numPr>
      <w:contextualSpacing/>
      <w:jc w:val="both"/>
    </w:pPr>
    <w:rPr>
      <w:rFonts w:ascii="Arial" w:eastAsia="Arial" w:hAnsi="Arial" w:cs="Arial"/>
      <w:sz w:val="22"/>
      <w:szCs w:val="22"/>
      <w:lang w:val="es-ES" w:eastAsia="es-ES"/>
    </w:rPr>
  </w:style>
  <w:style w:type="paragraph" w:styleId="TDC2">
    <w:name w:val="toc 2"/>
    <w:basedOn w:val="Normal"/>
    <w:next w:val="Normal"/>
    <w:autoRedefine/>
    <w:uiPriority w:val="39"/>
    <w:rsid w:val="00B00546"/>
    <w:pPr>
      <w:ind w:left="220"/>
    </w:pPr>
    <w:rPr>
      <w:rFonts w:ascii="Arial" w:eastAsia="Arial" w:hAnsi="Arial" w:cs="Arial"/>
      <w:i/>
      <w:iCs/>
      <w:sz w:val="20"/>
      <w:szCs w:val="22"/>
      <w:lang w:val="es-ES"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1"/>
    <w:qFormat/>
    <w:rsid w:val="008E4D85"/>
    <w:pPr>
      <w:ind w:left="720"/>
      <w:contextualSpacing/>
      <w:jc w:val="both"/>
    </w:pPr>
    <w:rPr>
      <w:rFonts w:ascii="Arial" w:eastAsia="Arial" w:hAnsi="Arial" w:cs="Arial"/>
      <w:sz w:val="22"/>
      <w:szCs w:val="22"/>
      <w:lang w:val="es-ES" w:eastAsia="es-ES"/>
    </w:rPr>
  </w:style>
  <w:style w:type="paragraph" w:styleId="TDC4">
    <w:name w:val="toc 4"/>
    <w:basedOn w:val="Normal"/>
    <w:next w:val="Normal"/>
    <w:autoRedefine/>
    <w:rsid w:val="00B00546"/>
    <w:pPr>
      <w:ind w:left="660"/>
    </w:pPr>
    <w:rPr>
      <w:rFonts w:ascii="Arial" w:eastAsia="Arial" w:hAnsi="Arial" w:cs="Arial"/>
      <w:sz w:val="20"/>
      <w:szCs w:val="22"/>
      <w:lang w:val="es-ES" w:eastAsia="es-ES"/>
    </w:rPr>
  </w:style>
  <w:style w:type="paragraph" w:styleId="TDC5">
    <w:name w:val="toc 5"/>
    <w:basedOn w:val="Normal"/>
    <w:next w:val="Normal"/>
    <w:autoRedefine/>
    <w:rsid w:val="00B00546"/>
    <w:pPr>
      <w:ind w:left="880"/>
    </w:pPr>
    <w:rPr>
      <w:rFonts w:asciiTheme="minorHAnsi" w:eastAsia="Arial" w:hAnsiTheme="minorHAnsi" w:cs="Arial"/>
      <w:sz w:val="20"/>
      <w:szCs w:val="22"/>
      <w:lang w:val="es-ES" w:eastAsia="es-ES"/>
    </w:rPr>
  </w:style>
  <w:style w:type="paragraph" w:styleId="TDC6">
    <w:name w:val="toc 6"/>
    <w:basedOn w:val="Normal"/>
    <w:next w:val="Normal"/>
    <w:autoRedefine/>
    <w:rsid w:val="00B00546"/>
    <w:pPr>
      <w:ind w:left="1100"/>
    </w:pPr>
    <w:rPr>
      <w:rFonts w:asciiTheme="minorHAnsi" w:eastAsia="Arial" w:hAnsiTheme="minorHAnsi" w:cs="Arial"/>
      <w:sz w:val="20"/>
      <w:szCs w:val="22"/>
      <w:lang w:val="es-ES" w:eastAsia="es-ES"/>
    </w:rPr>
  </w:style>
  <w:style w:type="paragraph" w:styleId="TDC7">
    <w:name w:val="toc 7"/>
    <w:basedOn w:val="Normal"/>
    <w:next w:val="Normal"/>
    <w:autoRedefine/>
    <w:rsid w:val="00B00546"/>
    <w:pPr>
      <w:ind w:left="1320"/>
    </w:pPr>
    <w:rPr>
      <w:rFonts w:asciiTheme="minorHAnsi" w:eastAsia="Arial" w:hAnsiTheme="minorHAnsi" w:cs="Arial"/>
      <w:sz w:val="20"/>
      <w:szCs w:val="22"/>
      <w:lang w:val="es-ES" w:eastAsia="es-ES"/>
    </w:rPr>
  </w:style>
  <w:style w:type="paragraph" w:styleId="TDC8">
    <w:name w:val="toc 8"/>
    <w:basedOn w:val="Normal"/>
    <w:next w:val="Normal"/>
    <w:autoRedefine/>
    <w:rsid w:val="00B00546"/>
    <w:pPr>
      <w:ind w:left="1540"/>
    </w:pPr>
    <w:rPr>
      <w:rFonts w:asciiTheme="minorHAnsi" w:eastAsia="Arial" w:hAnsiTheme="minorHAnsi" w:cs="Arial"/>
      <w:sz w:val="20"/>
      <w:szCs w:val="22"/>
      <w:lang w:val="es-ES" w:eastAsia="es-ES"/>
    </w:rPr>
  </w:style>
  <w:style w:type="paragraph" w:styleId="TDC9">
    <w:name w:val="toc 9"/>
    <w:basedOn w:val="Normal"/>
    <w:next w:val="Normal"/>
    <w:autoRedefine/>
    <w:rsid w:val="00B00546"/>
    <w:pPr>
      <w:ind w:left="1760"/>
    </w:pPr>
    <w:rPr>
      <w:rFonts w:asciiTheme="minorHAnsi" w:eastAsia="Arial" w:hAnsiTheme="minorHAnsi" w:cs="Arial"/>
      <w:sz w:val="20"/>
      <w:szCs w:val="22"/>
      <w:lang w:val="es-ES" w:eastAsia="es-ES"/>
    </w:rPr>
  </w:style>
  <w:style w:type="character" w:customStyle="1" w:styleId="PiedepginaCar">
    <w:name w:val="Pie de página Car"/>
    <w:basedOn w:val="Fuentedeprrafopredeter"/>
    <w:link w:val="Piedepgina"/>
    <w:uiPriority w:val="99"/>
    <w:rsid w:val="00FC6926"/>
    <w:rPr>
      <w:rFonts w:ascii="Arial" w:hAnsi="Arial"/>
      <w:sz w:val="22"/>
      <w:lang w:val="es-ES" w:eastAsia="es-ES"/>
    </w:rPr>
  </w:style>
  <w:style w:type="character" w:customStyle="1" w:styleId="TextoindependienteCar">
    <w:name w:val="Texto independiente Car"/>
    <w:aliases w:val="Texto independiente Car Car Car Car Car,Texto independiente Car Car Car Car1"/>
    <w:basedOn w:val="Fuentedeprrafopredeter"/>
    <w:link w:val="Textoindependiente"/>
    <w:uiPriority w:val="99"/>
    <w:rsid w:val="00FC6926"/>
    <w:rPr>
      <w:rFonts w:ascii="Futura Md BT" w:hAnsi="Futura Md BT"/>
      <w:sz w:val="24"/>
      <w:lang w:val="es-ES" w:eastAsia="es-ES"/>
    </w:rPr>
  </w:style>
  <w:style w:type="character" w:styleId="Refdecomentario">
    <w:name w:val="annotation reference"/>
    <w:basedOn w:val="Fuentedeprrafopredeter"/>
    <w:rsid w:val="001A04EB"/>
    <w:rPr>
      <w:sz w:val="16"/>
      <w:szCs w:val="16"/>
    </w:rPr>
  </w:style>
  <w:style w:type="paragraph" w:styleId="Textocomentario">
    <w:name w:val="annotation text"/>
    <w:basedOn w:val="Normal"/>
    <w:link w:val="TextocomentarioCar"/>
    <w:rsid w:val="001A04EB"/>
    <w:pPr>
      <w:jc w:val="both"/>
    </w:pPr>
    <w:rPr>
      <w:rFonts w:ascii="Arial" w:eastAsia="Arial" w:hAnsi="Arial" w:cs="Arial"/>
      <w:sz w:val="20"/>
      <w:szCs w:val="22"/>
      <w:lang w:val="es-ES" w:eastAsia="es-ES"/>
    </w:rPr>
  </w:style>
  <w:style w:type="character" w:customStyle="1" w:styleId="TextocomentarioCar">
    <w:name w:val="Texto comentario Car"/>
    <w:basedOn w:val="Fuentedeprrafopredeter"/>
    <w:link w:val="Textocomentario"/>
    <w:rsid w:val="001A04EB"/>
    <w:rPr>
      <w:rFonts w:ascii="Arial" w:hAnsi="Arial"/>
      <w:lang w:val="es-ES" w:eastAsia="es-ES"/>
    </w:rPr>
  </w:style>
  <w:style w:type="paragraph" w:styleId="Asuntodelcomentario">
    <w:name w:val="annotation subject"/>
    <w:basedOn w:val="Textocomentario"/>
    <w:next w:val="Textocomentario"/>
    <w:link w:val="AsuntodelcomentarioCar"/>
    <w:rsid w:val="001A04EB"/>
    <w:rPr>
      <w:b/>
      <w:bCs/>
    </w:rPr>
  </w:style>
  <w:style w:type="character" w:customStyle="1" w:styleId="AsuntodelcomentarioCar">
    <w:name w:val="Asunto del comentario Car"/>
    <w:basedOn w:val="TextocomentarioCar"/>
    <w:link w:val="Asuntodelcomentario"/>
    <w:rsid w:val="001A04EB"/>
    <w:rPr>
      <w:rFonts w:ascii="Arial" w:hAnsi="Arial"/>
      <w:b/>
      <w:bCs/>
      <w:lang w:val="es-ES" w:eastAsia="es-ES"/>
    </w:rPr>
  </w:style>
  <w:style w:type="paragraph" w:customStyle="1" w:styleId="Default">
    <w:name w:val="Default"/>
    <w:link w:val="DefaultCar"/>
    <w:qFormat/>
    <w:rsid w:val="00E341E1"/>
    <w:pPr>
      <w:autoSpaceDE w:val="0"/>
      <w:autoSpaceDN w:val="0"/>
      <w:adjustRightInd w:val="0"/>
    </w:pPr>
    <w:rPr>
      <w:color w:val="000000"/>
      <w:sz w:val="24"/>
      <w:szCs w:val="24"/>
    </w:rPr>
  </w:style>
  <w:style w:type="paragraph" w:customStyle="1" w:styleId="CM42">
    <w:name w:val="CM42"/>
    <w:basedOn w:val="Default"/>
    <w:next w:val="Default"/>
    <w:uiPriority w:val="99"/>
    <w:rsid w:val="00E341E1"/>
    <w:rPr>
      <w:color w:val="auto"/>
    </w:rPr>
  </w:style>
  <w:style w:type="character" w:customStyle="1" w:styleId="apple-converted-space">
    <w:name w:val="apple-converted-space"/>
    <w:basedOn w:val="Fuentedeprrafopredeter"/>
    <w:rsid w:val="00697312"/>
  </w:style>
  <w:style w:type="character" w:customStyle="1" w:styleId="Ttulo3Car">
    <w:name w:val="Título 3 Car"/>
    <w:basedOn w:val="Fuentedeprrafopredeter"/>
    <w:link w:val="Ttulo3"/>
    <w:rsid w:val="00546D09"/>
    <w:rPr>
      <w:rFonts w:ascii="Arial" w:hAnsi="Arial"/>
      <w:sz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082ED5"/>
    <w:rPr>
      <w:rFonts w:ascii="Arial" w:hAnsi="Arial"/>
      <w:sz w:val="22"/>
      <w:lang w:val="es-ES" w:eastAsia="es-ES"/>
    </w:r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rsid w:val="00215153"/>
    <w:rPr>
      <w:rFonts w:ascii="Arial" w:hAnsi="Arial"/>
      <w:sz w:val="22"/>
      <w:lang w:val="es-ES" w:eastAsia="es-ES"/>
    </w:rPr>
  </w:style>
  <w:style w:type="character" w:customStyle="1" w:styleId="leidos">
    <w:name w:val="leidos"/>
    <w:basedOn w:val="Fuentedeprrafopredeter"/>
    <w:rsid w:val="008E40AF"/>
  </w:style>
  <w:style w:type="paragraph" w:styleId="Listaconvietas">
    <w:name w:val="List Bullet"/>
    <w:basedOn w:val="Normal"/>
    <w:uiPriority w:val="99"/>
    <w:unhideWhenUsed/>
    <w:rsid w:val="008F356D"/>
    <w:pPr>
      <w:tabs>
        <w:tab w:val="num" w:pos="720"/>
      </w:tabs>
      <w:ind w:left="720" w:hanging="720"/>
      <w:contextualSpacing/>
    </w:pPr>
    <w:rPr>
      <w:rFonts w:eastAsia="Arial" w:cs="Arial"/>
      <w:lang w:val="es-ES" w:eastAsia="es-ES"/>
    </w:rPr>
  </w:style>
  <w:style w:type="paragraph" w:styleId="Textonotapie">
    <w:name w:val="footnote text"/>
    <w:aliases w:val=" Car3 Car,Car3 Car,ft,Car3 Car Car Car Car,Car Car Car Car Car Car Car Car,Car3,Car31,Car Car1,Car Car Car Car Car Car Car,texto de nota al pie,Footnote Text Char Char,Footnote Text1 Char,Footnote Text Char Char Char Ch,Car3 Car Car Car"/>
    <w:basedOn w:val="Normal"/>
    <w:link w:val="TextonotapieCar1"/>
    <w:uiPriority w:val="99"/>
    <w:qFormat/>
    <w:rsid w:val="005D2E4C"/>
    <w:rPr>
      <w:rFonts w:ascii="Arial Narrow" w:eastAsia="Arial" w:hAnsi="Arial Narrow" w:cs="Arial"/>
      <w:sz w:val="22"/>
      <w:szCs w:val="22"/>
      <w:lang w:eastAsia="es-ES"/>
    </w:rPr>
  </w:style>
  <w:style w:type="character" w:customStyle="1" w:styleId="TextonotapieCar">
    <w:name w:val="Texto nota pie Car"/>
    <w:aliases w:val="Footnote Text Char Char Char Char Char Car,Footnote Text Char Char Char Char Car,Footnote reference Car,FA Fu Car,Footnote Text1 Char Car,Footnote Text Char Car,Car11 Car Car Car Car Car,Car1 Car Car Car,Car Car Car Car Car,ft Car Car"/>
    <w:basedOn w:val="Fuentedeprrafopredeter"/>
    <w:uiPriority w:val="99"/>
    <w:qFormat/>
    <w:rsid w:val="005D2E4C"/>
    <w:rPr>
      <w:rFonts w:ascii="Arial" w:hAnsi="Arial"/>
      <w:lang w:val="es-ES" w:eastAsia="es-ES"/>
    </w:rPr>
  </w:style>
  <w:style w:type="character" w:customStyle="1" w:styleId="TextonotapieCar1">
    <w:name w:val="Texto nota pie Car1"/>
    <w:aliases w:val=" Car3 Car Car,Car3 Car Car,ft Car,Car3 Car Car Car Car Car,Car Car Car Car Car Car Car Car Car,Car3 Car1,Car31 Car,Car Car1 Car,Car Car Car Car Car Car Car Car1,texto de nota al pie Car,Footnote Text Char Char Car"/>
    <w:link w:val="Textonotapie"/>
    <w:uiPriority w:val="99"/>
    <w:rsid w:val="005D2E4C"/>
    <w:rPr>
      <w:rFonts w:ascii="Arial Narrow" w:hAnsi="Arial Narrow"/>
      <w:sz w:val="22"/>
      <w:szCs w:val="22"/>
      <w:lang w:eastAsia="es-ES"/>
    </w:rPr>
  </w:style>
  <w:style w:type="character" w:styleId="nfasis">
    <w:name w:val="Emphasis"/>
    <w:uiPriority w:val="20"/>
    <w:qFormat/>
    <w:rsid w:val="006E3D16"/>
    <w:rPr>
      <w:rFonts w:cs="Times New Roman"/>
      <w:i/>
      <w:iCs/>
    </w:rPr>
  </w:style>
  <w:style w:type="paragraph" w:customStyle="1" w:styleId="Sinespaciado1">
    <w:name w:val="Sin espaciado1"/>
    <w:link w:val="NoSpacingChar"/>
    <w:qFormat/>
    <w:rsid w:val="006E3D16"/>
    <w:rPr>
      <w:rFonts w:ascii="Calibri" w:hAnsi="Calibri"/>
      <w:lang w:eastAsia="en-US"/>
    </w:rPr>
  </w:style>
  <w:style w:type="character" w:customStyle="1" w:styleId="NoSpacingChar">
    <w:name w:val="No Spacing Char"/>
    <w:link w:val="Sinespaciado1"/>
    <w:qFormat/>
    <w:locked/>
    <w:rsid w:val="006E3D16"/>
    <w:rPr>
      <w:rFonts w:ascii="Calibri" w:hAnsi="Calibri"/>
      <w:sz w:val="22"/>
      <w:lang w:val="es-ES" w:eastAsia="en-US"/>
    </w:rPr>
  </w:style>
  <w:style w:type="character" w:customStyle="1" w:styleId="DefaultCar">
    <w:name w:val="Default Car"/>
    <w:link w:val="Default"/>
    <w:locked/>
    <w:rsid w:val="006200EB"/>
    <w:rPr>
      <w:rFonts w:ascii="Arial" w:hAnsi="Arial" w:cs="Arial"/>
      <w:color w:val="000000"/>
      <w:sz w:val="24"/>
      <w:szCs w:val="24"/>
    </w:rPr>
  </w:style>
  <w:style w:type="paragraph" w:customStyle="1" w:styleId="xmsonormal">
    <w:name w:val="x_msonormal"/>
    <w:basedOn w:val="Normal"/>
    <w:qFormat/>
    <w:rsid w:val="00983693"/>
    <w:pPr>
      <w:spacing w:before="100" w:beforeAutospacing="1" w:after="100" w:afterAutospacing="1"/>
    </w:pPr>
    <w:rPr>
      <w:rFonts w:ascii="Times" w:eastAsia="Arial" w:hAnsi="Times" w:cs="Arial"/>
      <w:sz w:val="20"/>
      <w:szCs w:val="22"/>
      <w:lang w:val="en-US" w:eastAsia="en-US"/>
    </w:rPr>
  </w:style>
  <w:style w:type="character" w:styleId="Refdenotaalpie">
    <w:name w:val="footnote reference"/>
    <w:aliases w:val="referencia nota al pie,Pie de pagina,Texto de nota al pie,Footnotes refss,Appel note de bas de page,Footnote number,BVI fnr,f,BVI fnr Car Car,BVI fnr Car Car Car Car,Ref. de nota al pie2,Nota de pie,normal,Referencia nota al pie,Ref"/>
    <w:uiPriority w:val="99"/>
    <w:unhideWhenUsed/>
    <w:qFormat/>
    <w:rsid w:val="00983693"/>
    <w:rPr>
      <w:rFonts w:ascii="Times New Roman" w:hAnsi="Times New Roman" w:cs="Times New Roman" w:hint="default"/>
      <w:vertAlign w:val="superscript"/>
    </w:rPr>
  </w:style>
  <w:style w:type="character" w:customStyle="1" w:styleId="Ancladenotaalpie">
    <w:name w:val="Ancla de nota al pie"/>
    <w:rsid w:val="00983693"/>
    <w:rPr>
      <w:vertAlign w:val="superscript"/>
    </w:rPr>
  </w:style>
  <w:style w:type="paragraph" w:customStyle="1" w:styleId="Style5">
    <w:name w:val="Style5"/>
    <w:basedOn w:val="Normal"/>
    <w:uiPriority w:val="99"/>
    <w:rsid w:val="004152A0"/>
    <w:pPr>
      <w:widowControl w:val="0"/>
      <w:autoSpaceDE w:val="0"/>
      <w:autoSpaceDN w:val="0"/>
      <w:adjustRightInd w:val="0"/>
      <w:spacing w:line="252" w:lineRule="exact"/>
      <w:jc w:val="both"/>
    </w:pPr>
    <w:rPr>
      <w:rFonts w:ascii="Arial" w:eastAsia="Arial" w:hAnsi="Arial" w:cs="Arial"/>
      <w:lang w:eastAsia="es-CO"/>
    </w:rPr>
  </w:style>
  <w:style w:type="table" w:customStyle="1" w:styleId="12">
    <w:name w:val="12"/>
    <w:basedOn w:val="Tablanormal"/>
    <w:rsid w:val="0090495F"/>
    <w:tblPr>
      <w:tblStyleRowBandSize w:val="1"/>
      <w:tblStyleColBandSize w:val="1"/>
      <w:tblCellMar>
        <w:left w:w="115" w:type="dxa"/>
        <w:right w:w="115" w:type="dxa"/>
      </w:tblCellMar>
    </w:tblPr>
  </w:style>
  <w:style w:type="paragraph" w:customStyle="1" w:styleId="Cuerpodeltexto1">
    <w:name w:val="Cuerpo del texto1"/>
    <w:basedOn w:val="Normal"/>
    <w:rsid w:val="006121C1"/>
    <w:pPr>
      <w:widowControl w:val="0"/>
      <w:shd w:val="clear" w:color="auto" w:fill="FFFFFF"/>
      <w:spacing w:before="2820" w:after="3060" w:line="240" w:lineRule="atLeast"/>
      <w:ind w:hanging="720"/>
      <w:jc w:val="center"/>
    </w:pPr>
    <w:rPr>
      <w:rFonts w:ascii="Arial Narrow" w:eastAsia="Arial" w:hAnsi="Arial Narrow" w:cs="Arial"/>
      <w:sz w:val="23"/>
      <w:szCs w:val="23"/>
      <w:lang w:val="x-none" w:eastAsia="x-none"/>
    </w:rPr>
  </w:style>
  <w:style w:type="paragraph" w:customStyle="1" w:styleId="paragraph">
    <w:name w:val="paragraph"/>
    <w:basedOn w:val="Normal"/>
    <w:rsid w:val="00226C56"/>
    <w:pPr>
      <w:spacing w:before="100" w:beforeAutospacing="1" w:after="100" w:afterAutospacing="1"/>
    </w:pPr>
    <w:rPr>
      <w:rFonts w:eastAsia="Arial" w:cs="Arial"/>
      <w:lang w:eastAsia="es-CO"/>
    </w:rPr>
  </w:style>
  <w:style w:type="character" w:customStyle="1" w:styleId="normaltextrun">
    <w:name w:val="normaltextrun"/>
    <w:basedOn w:val="Fuentedeprrafopredeter"/>
    <w:rsid w:val="00226C56"/>
  </w:style>
  <w:style w:type="character" w:customStyle="1" w:styleId="eop">
    <w:name w:val="eop"/>
    <w:basedOn w:val="Fuentedeprrafopredeter"/>
    <w:rsid w:val="00226C56"/>
  </w:style>
  <w:style w:type="character" w:customStyle="1" w:styleId="NormalWebCar">
    <w:name w:val="Normal (Web) Car"/>
    <w:aliases w:val="Normal (Web) Car Car Car"/>
    <w:link w:val="NormalWeb"/>
    <w:uiPriority w:val="99"/>
    <w:rsid w:val="008C5D9A"/>
    <w:rPr>
      <w:rFonts w:ascii="Arial" w:hAnsi="Arial"/>
      <w:sz w:val="24"/>
      <w:szCs w:val="24"/>
    </w:rPr>
  </w:style>
  <w:style w:type="character" w:customStyle="1" w:styleId="Mencinsinresolver1">
    <w:name w:val="Mención sin resolver1"/>
    <w:basedOn w:val="Fuentedeprrafopredeter"/>
    <w:uiPriority w:val="99"/>
    <w:semiHidden/>
    <w:unhideWhenUsed/>
    <w:rsid w:val="00294177"/>
    <w:rPr>
      <w:color w:val="605E5C"/>
      <w:shd w:val="clear" w:color="auto" w:fill="E1DFDD"/>
    </w:rPr>
  </w:style>
  <w:style w:type="paragraph" w:styleId="Subttulo">
    <w:name w:val="Subtitle"/>
    <w:basedOn w:val="Normal"/>
    <w:next w:val="Normal"/>
    <w:uiPriority w:val="11"/>
    <w:qFormat/>
    <w:pPr>
      <w:keepNext/>
      <w:keepLines/>
      <w:spacing w:before="360" w:after="80"/>
      <w:jc w:val="both"/>
    </w:pPr>
    <w:rPr>
      <w:rFonts w:ascii="Georgia" w:eastAsia="Georgia" w:hAnsi="Georgia" w:cs="Georgia"/>
      <w:i/>
      <w:color w:val="666666"/>
      <w:sz w:val="48"/>
      <w:szCs w:val="4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bAbi86PnC2P2hivuiURX3YIuHQ==">CgMxLjAyDmgubDNkeHU1OTJmc2RwOAByITFHSnhYQVp2aFhPV1d1dGpZa0dxVktoWGVpT2p4OGVrSA==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4</Pages>
  <Words>1255</Words>
  <Characters>6769</Characters>
  <Application>Microsoft Office Word</Application>
  <DocSecurity>0</DocSecurity>
  <Lines>173</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carlosfcampos</dc:creator>
  <cp:lastModifiedBy>Miguel Angel Huertas Pineda</cp:lastModifiedBy>
  <cp:revision>30</cp:revision>
  <cp:lastPrinted>2025-05-28T02:36:00Z</cp:lastPrinted>
  <dcterms:created xsi:type="dcterms:W3CDTF">2026-03-30T23:01:00Z</dcterms:created>
  <dcterms:modified xsi:type="dcterms:W3CDTF">2026-05-21T01:40:00Z</dcterms:modified>
</cp:coreProperties>
</file>