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51992" w14:textId="77777777" w:rsidR="00EB2215" w:rsidRPr="00410327" w:rsidRDefault="00EB2215" w:rsidP="00EB2215">
      <w:pPr>
        <w:suppressAutoHyphens/>
        <w:jc w:val="center"/>
        <w:rPr>
          <w:rFonts w:ascii="Tahoma" w:hAnsi="Tahoma" w:cs="Tahoma"/>
          <w:b/>
          <w:color w:val="000000" w:themeColor="text1"/>
          <w:sz w:val="20"/>
          <w:szCs w:val="20"/>
          <w:lang w:eastAsia="ar-SA"/>
        </w:rPr>
      </w:pPr>
      <w:r w:rsidRPr="00410327">
        <w:rPr>
          <w:rFonts w:ascii="Tahoma" w:hAnsi="Tahoma" w:cs="Tahoma"/>
          <w:b/>
          <w:color w:val="000000" w:themeColor="text1"/>
          <w:sz w:val="20"/>
          <w:szCs w:val="20"/>
          <w:lang w:eastAsia="ar-SA"/>
        </w:rPr>
        <w:t>CONVOCATORIA PÚBLICA PARA OFERTAR</w:t>
      </w:r>
    </w:p>
    <w:p w14:paraId="02730036" w14:textId="77777777" w:rsidR="00EB2215" w:rsidRPr="00410327" w:rsidRDefault="00EB2215" w:rsidP="00EB2215">
      <w:pPr>
        <w:suppressAutoHyphens/>
        <w:jc w:val="center"/>
        <w:rPr>
          <w:rFonts w:ascii="Tahoma" w:hAnsi="Tahoma" w:cs="Tahoma"/>
          <w:b/>
          <w:color w:val="000000" w:themeColor="text1"/>
          <w:sz w:val="20"/>
          <w:szCs w:val="20"/>
          <w:lang w:eastAsia="ar-SA"/>
        </w:rPr>
      </w:pPr>
    </w:p>
    <w:p w14:paraId="10DBC900" w14:textId="02330752" w:rsidR="00EB2215" w:rsidRPr="00410327" w:rsidRDefault="00EB2215" w:rsidP="00EB2215">
      <w:pPr>
        <w:suppressAutoHyphens/>
        <w:jc w:val="center"/>
        <w:rPr>
          <w:rFonts w:ascii="Tahoma" w:hAnsi="Tahoma" w:cs="Tahoma"/>
          <w:b/>
          <w:color w:val="000000" w:themeColor="text1"/>
          <w:sz w:val="20"/>
          <w:szCs w:val="20"/>
          <w:lang w:eastAsia="ar-SA"/>
        </w:rPr>
      </w:pPr>
      <w:r w:rsidRPr="004E49E0">
        <w:rPr>
          <w:rFonts w:ascii="Tahoma" w:hAnsi="Tahoma" w:cs="Tahoma"/>
          <w:b/>
          <w:color w:val="000000" w:themeColor="text1"/>
          <w:sz w:val="20"/>
          <w:szCs w:val="20"/>
          <w:lang w:eastAsia="ar-SA"/>
        </w:rPr>
        <w:t xml:space="preserve">SELECCIÓN ABREVIADA DE MENOR CUANTÍA </w:t>
      </w:r>
      <w:r w:rsidR="004E49E0" w:rsidRPr="004E49E0">
        <w:rPr>
          <w:rFonts w:ascii="Tahoma" w:hAnsi="Tahoma" w:cs="Tahoma"/>
          <w:b/>
          <w:color w:val="000000" w:themeColor="text1"/>
          <w:sz w:val="20"/>
          <w:szCs w:val="20"/>
          <w:lang w:eastAsia="ar-SA"/>
        </w:rPr>
        <w:t>76</w:t>
      </w:r>
      <w:r w:rsidRPr="004E49E0">
        <w:rPr>
          <w:rFonts w:ascii="Tahoma" w:hAnsi="Tahoma" w:cs="Tahoma"/>
          <w:b/>
          <w:color w:val="000000" w:themeColor="text1"/>
          <w:sz w:val="20"/>
          <w:szCs w:val="20"/>
          <w:lang w:eastAsia="ar-SA"/>
        </w:rPr>
        <w:t xml:space="preserve"> DE 2026</w:t>
      </w:r>
    </w:p>
    <w:p w14:paraId="5ABAAD03" w14:textId="77777777" w:rsidR="00EB2215" w:rsidRPr="00410327" w:rsidRDefault="00EB2215" w:rsidP="00EB2215">
      <w:pPr>
        <w:ind w:left="360"/>
        <w:jc w:val="both"/>
        <w:rPr>
          <w:rFonts w:ascii="Tahoma" w:hAnsi="Tahoma" w:cs="Tahoma"/>
          <w:color w:val="000000" w:themeColor="text1"/>
          <w:sz w:val="20"/>
          <w:szCs w:val="20"/>
        </w:rPr>
      </w:pPr>
    </w:p>
    <w:p w14:paraId="468C3CC8" w14:textId="77777777" w:rsidR="00EB2215" w:rsidRPr="00410327" w:rsidRDefault="00EB2215" w:rsidP="00EB2215">
      <w:pPr>
        <w:jc w:val="both"/>
        <w:rPr>
          <w:rFonts w:ascii="Tahoma" w:hAnsi="Tahoma" w:cs="Tahoma"/>
          <w:bCs/>
          <w:color w:val="000000" w:themeColor="text1"/>
          <w:sz w:val="20"/>
          <w:szCs w:val="20"/>
        </w:rPr>
      </w:pPr>
    </w:p>
    <w:p w14:paraId="0D04A5B1" w14:textId="77777777" w:rsidR="00EB2215" w:rsidRPr="00410327" w:rsidRDefault="00EB2215" w:rsidP="00EB2215">
      <w:pPr>
        <w:suppressAutoHyphens/>
        <w:jc w:val="both"/>
        <w:rPr>
          <w:rFonts w:ascii="Tahoma" w:hAnsi="Tahoma" w:cs="Tahoma"/>
          <w:color w:val="000000" w:themeColor="text1"/>
          <w:sz w:val="20"/>
          <w:szCs w:val="20"/>
          <w:lang w:eastAsia="ar-SA"/>
        </w:rPr>
      </w:pPr>
      <w:r w:rsidRPr="00410327">
        <w:rPr>
          <w:rFonts w:ascii="Tahoma" w:hAnsi="Tahoma" w:cs="Tahoma"/>
          <w:color w:val="000000" w:themeColor="text1"/>
          <w:sz w:val="20"/>
          <w:szCs w:val="20"/>
          <w:lang w:eastAsia="ar-SA"/>
        </w:rPr>
        <w:t>El presente aviso se publica de conformidad con lo establecido en el artículo 2.2.1.1.2.1.2 y 2.2.1.1.1.7.1 del Decreto 1082 de 2015. (Reglas de publicidad y demás normas concordantes)</w:t>
      </w:r>
    </w:p>
    <w:p w14:paraId="06553366" w14:textId="77777777" w:rsidR="00EB2215" w:rsidRPr="00410327" w:rsidRDefault="00EB2215" w:rsidP="00EB2215">
      <w:pPr>
        <w:suppressAutoHyphens/>
        <w:jc w:val="both"/>
        <w:rPr>
          <w:rFonts w:ascii="Tahoma" w:hAnsi="Tahoma" w:cs="Tahoma"/>
          <w:color w:val="000000" w:themeColor="text1"/>
          <w:sz w:val="20"/>
          <w:szCs w:val="20"/>
          <w:lang w:eastAsia="ar-SA"/>
        </w:rPr>
      </w:pPr>
    </w:p>
    <w:p w14:paraId="0DA17719" w14:textId="77777777" w:rsidR="00EB2215" w:rsidRPr="00410327" w:rsidRDefault="00EB2215" w:rsidP="00EB2215">
      <w:pPr>
        <w:suppressAutoHyphens/>
        <w:jc w:val="both"/>
        <w:rPr>
          <w:rFonts w:ascii="Tahoma" w:hAnsi="Tahoma" w:cs="Tahoma"/>
          <w:color w:val="000000" w:themeColor="text1"/>
          <w:sz w:val="20"/>
          <w:szCs w:val="20"/>
          <w:lang w:eastAsia="ar-SA"/>
        </w:rPr>
      </w:pPr>
    </w:p>
    <w:p w14:paraId="06629F8D" w14:textId="77777777" w:rsidR="00EB2215" w:rsidRDefault="00EB2215" w:rsidP="00EB2215">
      <w:pPr>
        <w:suppressAutoHyphens/>
        <w:jc w:val="center"/>
        <w:rPr>
          <w:rFonts w:ascii="Tahoma" w:hAnsi="Tahoma" w:cs="Tahoma"/>
          <w:b/>
          <w:bCs/>
          <w:color w:val="000000" w:themeColor="text1"/>
          <w:sz w:val="20"/>
          <w:szCs w:val="20"/>
          <w:lang w:eastAsia="ar-SA"/>
        </w:rPr>
      </w:pPr>
      <w:r w:rsidRPr="00410327">
        <w:rPr>
          <w:rFonts w:ascii="Tahoma" w:hAnsi="Tahoma" w:cs="Tahoma"/>
          <w:b/>
          <w:bCs/>
          <w:color w:val="000000" w:themeColor="text1"/>
          <w:sz w:val="20"/>
          <w:szCs w:val="20"/>
          <w:lang w:eastAsia="ar-SA"/>
        </w:rPr>
        <w:t>LA COMISIÓN DE REGULACIÓN DE COMUNICACIONES – CRC</w:t>
      </w:r>
    </w:p>
    <w:p w14:paraId="108F90CF" w14:textId="77777777" w:rsidR="00EB2215" w:rsidRPr="00410327" w:rsidRDefault="00EB2215" w:rsidP="00EB2215">
      <w:pPr>
        <w:suppressAutoHyphens/>
        <w:jc w:val="center"/>
        <w:rPr>
          <w:rFonts w:ascii="Tahoma" w:hAnsi="Tahoma" w:cs="Tahoma"/>
          <w:b/>
          <w:bCs/>
          <w:color w:val="000000" w:themeColor="text1"/>
          <w:sz w:val="20"/>
          <w:szCs w:val="20"/>
          <w:lang w:eastAsia="ar-SA"/>
        </w:rPr>
      </w:pPr>
    </w:p>
    <w:p w14:paraId="6EB30B98" w14:textId="77777777" w:rsidR="00EB2215" w:rsidRPr="00410327" w:rsidRDefault="00EB2215" w:rsidP="00EB2215">
      <w:pPr>
        <w:suppressAutoHyphens/>
        <w:jc w:val="center"/>
        <w:rPr>
          <w:rFonts w:ascii="Tahoma" w:hAnsi="Tahoma" w:cs="Tahoma"/>
          <w:b/>
          <w:bCs/>
          <w:color w:val="000000" w:themeColor="text1"/>
          <w:sz w:val="20"/>
          <w:szCs w:val="20"/>
          <w:lang w:eastAsia="ar-SA"/>
        </w:rPr>
      </w:pPr>
      <w:r w:rsidRPr="00410327">
        <w:rPr>
          <w:rFonts w:ascii="Tahoma" w:hAnsi="Tahoma" w:cs="Tahoma"/>
          <w:b/>
          <w:bCs/>
          <w:color w:val="000000" w:themeColor="text1"/>
          <w:sz w:val="20"/>
          <w:szCs w:val="20"/>
          <w:lang w:eastAsia="ar-SA"/>
        </w:rPr>
        <w:t>INFORMA:</w:t>
      </w:r>
    </w:p>
    <w:p w14:paraId="65D0C179" w14:textId="77777777" w:rsidR="00EB2215" w:rsidRPr="00410327" w:rsidRDefault="00EB2215" w:rsidP="00EB2215">
      <w:pPr>
        <w:suppressAutoHyphens/>
        <w:jc w:val="both"/>
        <w:rPr>
          <w:rFonts w:ascii="Tahoma" w:hAnsi="Tahoma" w:cs="Tahoma"/>
          <w:b/>
          <w:bCs/>
          <w:color w:val="000000" w:themeColor="text1"/>
          <w:sz w:val="20"/>
          <w:szCs w:val="20"/>
          <w:lang w:eastAsia="ar-SA"/>
        </w:rPr>
      </w:pPr>
    </w:p>
    <w:p w14:paraId="149B3785" w14:textId="77777777" w:rsidR="00EB2215" w:rsidRPr="00410327" w:rsidRDefault="00EB2215" w:rsidP="00EB2215">
      <w:pPr>
        <w:suppressAutoHyphens/>
        <w:jc w:val="both"/>
        <w:rPr>
          <w:rFonts w:ascii="Tahoma" w:hAnsi="Tahoma" w:cs="Tahoma"/>
          <w:bCs/>
          <w:color w:val="000000" w:themeColor="text1"/>
          <w:sz w:val="20"/>
          <w:szCs w:val="20"/>
          <w:lang w:eastAsia="ar-SA"/>
        </w:rPr>
      </w:pPr>
      <w:r w:rsidRPr="00410327">
        <w:rPr>
          <w:rFonts w:ascii="Tahoma" w:hAnsi="Tahoma" w:cs="Tahoma"/>
          <w:bCs/>
          <w:color w:val="000000" w:themeColor="text1"/>
          <w:sz w:val="20"/>
          <w:szCs w:val="20"/>
          <w:lang w:eastAsia="ar-SA"/>
        </w:rPr>
        <w:t>Que se encuentra interesada en contratar el siguiente servicio:</w:t>
      </w:r>
    </w:p>
    <w:p w14:paraId="21ADA6C3" w14:textId="77777777" w:rsidR="00EB2215" w:rsidRPr="00410327" w:rsidRDefault="00EB2215" w:rsidP="00EB2215">
      <w:pPr>
        <w:suppressAutoHyphens/>
        <w:jc w:val="both"/>
        <w:rPr>
          <w:rFonts w:ascii="Tahoma" w:hAnsi="Tahoma" w:cs="Tahoma"/>
          <w:bCs/>
          <w:color w:val="000000" w:themeColor="text1"/>
          <w:sz w:val="20"/>
          <w:szCs w:val="20"/>
          <w:lang w:eastAsia="ar-SA"/>
        </w:rPr>
      </w:pPr>
    </w:p>
    <w:p w14:paraId="1DE33838" w14:textId="77777777" w:rsidR="00EB2215" w:rsidRPr="00410327" w:rsidRDefault="00EB2215" w:rsidP="00EB2215">
      <w:pPr>
        <w:jc w:val="both"/>
        <w:rPr>
          <w:rFonts w:ascii="Tahoma" w:hAnsi="Tahoma" w:cs="Tahoma"/>
          <w:sz w:val="20"/>
          <w:szCs w:val="20"/>
          <w:lang w:val="es-CO"/>
        </w:rPr>
      </w:pPr>
      <w:r w:rsidRPr="00410327">
        <w:rPr>
          <w:rFonts w:ascii="Tahoma" w:hAnsi="Tahoma" w:cs="Tahoma"/>
          <w:b/>
          <w:color w:val="000000" w:themeColor="text1"/>
          <w:sz w:val="20"/>
          <w:szCs w:val="20"/>
        </w:rPr>
        <w:t xml:space="preserve">1. OBJETO: </w:t>
      </w:r>
      <w:bookmarkStart w:id="0" w:name="_Hlk131170931"/>
      <w:r w:rsidRPr="00E76966">
        <w:rPr>
          <w:rFonts w:ascii="Tahoma" w:hAnsi="Tahoma" w:cs="Tahoma"/>
          <w:sz w:val="20"/>
          <w:szCs w:val="20"/>
          <w:lang w:val="es-MX"/>
        </w:rPr>
        <w:t>Contratar la póliza de Responsabilidad Civil de Datos - CYBER, de la Comisión de Regulación de Comunicaciones (CRC).</w:t>
      </w:r>
    </w:p>
    <w:bookmarkEnd w:id="0"/>
    <w:p w14:paraId="30F08AB8" w14:textId="77777777" w:rsidR="00EB2215" w:rsidRPr="00410327" w:rsidRDefault="00EB2215" w:rsidP="00EB2215">
      <w:pPr>
        <w:jc w:val="both"/>
        <w:rPr>
          <w:rFonts w:ascii="Tahoma" w:hAnsi="Tahoma" w:cs="Tahoma"/>
          <w:b/>
          <w:bCs/>
          <w:color w:val="000000" w:themeColor="text1"/>
          <w:sz w:val="20"/>
          <w:szCs w:val="20"/>
          <w:lang w:eastAsia="ar-SA"/>
        </w:rPr>
      </w:pPr>
    </w:p>
    <w:p w14:paraId="17068E89" w14:textId="77777777" w:rsidR="00EB2215" w:rsidRPr="00410327" w:rsidRDefault="00EB2215" w:rsidP="00EB2215">
      <w:pPr>
        <w:widowControl w:val="0"/>
        <w:ind w:right="-11"/>
        <w:jc w:val="both"/>
        <w:rPr>
          <w:rFonts w:ascii="Tahoma" w:hAnsi="Tahoma" w:cs="Tahoma"/>
          <w:color w:val="000000" w:themeColor="text1"/>
          <w:sz w:val="20"/>
          <w:szCs w:val="20"/>
        </w:rPr>
      </w:pPr>
      <w:r w:rsidRPr="00410327">
        <w:rPr>
          <w:rFonts w:ascii="Tahoma" w:hAnsi="Tahoma" w:cs="Tahoma"/>
          <w:b/>
          <w:bCs/>
          <w:color w:val="000000" w:themeColor="text1"/>
          <w:sz w:val="20"/>
          <w:szCs w:val="20"/>
          <w:lang w:eastAsia="ar-SA"/>
        </w:rPr>
        <w:t>1.2</w:t>
      </w:r>
      <w:r w:rsidRPr="00410327">
        <w:rPr>
          <w:rFonts w:ascii="Tahoma" w:hAnsi="Tahoma" w:cs="Tahoma"/>
          <w:color w:val="000000" w:themeColor="text1"/>
          <w:sz w:val="20"/>
          <w:szCs w:val="20"/>
          <w:lang w:eastAsia="ar-SA"/>
        </w:rPr>
        <w:t xml:space="preserve">. </w:t>
      </w:r>
      <w:r w:rsidRPr="00410327">
        <w:rPr>
          <w:rFonts w:ascii="Tahoma" w:hAnsi="Tahoma" w:cs="Tahoma"/>
          <w:b/>
          <w:color w:val="000000" w:themeColor="text1"/>
          <w:sz w:val="20"/>
          <w:szCs w:val="20"/>
        </w:rPr>
        <w:t xml:space="preserve"> CLASIFICADOR DE BIENES Y SERVICIOS (</w:t>
      </w:r>
      <w:r w:rsidRPr="00410327">
        <w:rPr>
          <w:rFonts w:ascii="Tahoma" w:hAnsi="Tahoma" w:cs="Tahoma"/>
          <w:b/>
          <w:bCs/>
          <w:color w:val="000000" w:themeColor="text1"/>
          <w:sz w:val="20"/>
          <w:szCs w:val="20"/>
        </w:rPr>
        <w:t xml:space="preserve">UNSPSC): </w:t>
      </w:r>
      <w:r w:rsidRPr="00410327">
        <w:rPr>
          <w:rFonts w:ascii="Tahoma" w:hAnsi="Tahoma" w:cs="Tahoma"/>
          <w:color w:val="000000" w:themeColor="text1"/>
          <w:sz w:val="20"/>
          <w:szCs w:val="20"/>
        </w:rPr>
        <w:t xml:space="preserve">El presente objeto contractual se encuentra codificado bajo los siguientes lineamientos: </w:t>
      </w:r>
    </w:p>
    <w:p w14:paraId="7196E181" w14:textId="77777777" w:rsidR="00EB2215" w:rsidRPr="00410327" w:rsidRDefault="00EB2215" w:rsidP="00EB2215">
      <w:pPr>
        <w:widowControl w:val="0"/>
        <w:ind w:right="-11"/>
        <w:jc w:val="both"/>
        <w:rPr>
          <w:rFonts w:ascii="Tahoma" w:hAnsi="Tahoma" w:cs="Tahoma"/>
          <w:color w:val="000000" w:themeColor="text1"/>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79"/>
        <w:gridCol w:w="2079"/>
        <w:gridCol w:w="2817"/>
      </w:tblGrid>
      <w:tr w:rsidR="00EB2215" w:rsidRPr="00270C68" w14:paraId="6172F73A" w14:textId="77777777" w:rsidTr="00A800DF">
        <w:trPr>
          <w:trHeight w:val="242"/>
          <w:jc w:val="center"/>
        </w:trPr>
        <w:tc>
          <w:tcPr>
            <w:tcW w:w="903" w:type="pct"/>
            <w:shd w:val="clear" w:color="auto" w:fill="C6D9F1" w:themeFill="text2" w:themeFillTint="33"/>
          </w:tcPr>
          <w:p w14:paraId="4455F37F" w14:textId="77777777" w:rsidR="00EB2215" w:rsidRPr="00270C68" w:rsidRDefault="00EB2215" w:rsidP="00A800DF">
            <w:pPr>
              <w:contextualSpacing/>
              <w:jc w:val="center"/>
              <w:rPr>
                <w:rFonts w:ascii="Tahoma" w:hAnsi="Tahoma" w:cs="Tahoma"/>
                <w:b/>
                <w:sz w:val="20"/>
                <w:szCs w:val="20"/>
                <w:lang w:val="es-ES_tradnl" w:eastAsia="es-ES_tradnl"/>
              </w:rPr>
            </w:pPr>
            <w:bookmarkStart w:id="1" w:name="_Toc13230249"/>
            <w:r w:rsidRPr="00270C68">
              <w:rPr>
                <w:rFonts w:ascii="Tahoma" w:hAnsi="Tahoma" w:cs="Tahoma"/>
                <w:b/>
                <w:sz w:val="20"/>
                <w:szCs w:val="20"/>
                <w:lang w:val="es-ES_tradnl" w:eastAsia="es-ES_tradnl"/>
              </w:rPr>
              <w:t>Grupo</w:t>
            </w:r>
            <w:bookmarkEnd w:id="1"/>
          </w:p>
        </w:tc>
        <w:tc>
          <w:tcPr>
            <w:tcW w:w="1262" w:type="pct"/>
            <w:shd w:val="clear" w:color="auto" w:fill="C6D9F1" w:themeFill="text2" w:themeFillTint="33"/>
            <w:hideMark/>
          </w:tcPr>
          <w:p w14:paraId="306B1CB0" w14:textId="77777777" w:rsidR="00EB2215" w:rsidRPr="00270C68" w:rsidRDefault="00EB2215" w:rsidP="00A800DF">
            <w:pPr>
              <w:contextualSpacing/>
              <w:jc w:val="center"/>
              <w:rPr>
                <w:rFonts w:ascii="Tahoma" w:hAnsi="Tahoma" w:cs="Tahoma"/>
                <w:b/>
                <w:sz w:val="20"/>
                <w:szCs w:val="20"/>
                <w:lang w:val="es-ES_tradnl" w:eastAsia="es-ES_tradnl"/>
              </w:rPr>
            </w:pPr>
            <w:bookmarkStart w:id="2" w:name="_Toc13230250"/>
            <w:r w:rsidRPr="00270C68">
              <w:rPr>
                <w:rFonts w:ascii="Tahoma" w:hAnsi="Tahoma" w:cs="Tahoma"/>
                <w:b/>
                <w:sz w:val="20"/>
                <w:szCs w:val="20"/>
                <w:lang w:val="es-ES_tradnl" w:eastAsia="es-ES_tradnl"/>
              </w:rPr>
              <w:t>Segmento</w:t>
            </w:r>
            <w:bookmarkEnd w:id="2"/>
          </w:p>
        </w:tc>
        <w:tc>
          <w:tcPr>
            <w:tcW w:w="1204" w:type="pct"/>
            <w:shd w:val="clear" w:color="auto" w:fill="C6D9F1" w:themeFill="text2" w:themeFillTint="33"/>
            <w:hideMark/>
          </w:tcPr>
          <w:p w14:paraId="183865B4" w14:textId="77777777" w:rsidR="00EB2215" w:rsidRPr="00270C68" w:rsidRDefault="00EB2215" w:rsidP="00A800DF">
            <w:pPr>
              <w:contextualSpacing/>
              <w:jc w:val="center"/>
              <w:rPr>
                <w:rFonts w:ascii="Tahoma" w:hAnsi="Tahoma" w:cs="Tahoma"/>
                <w:b/>
                <w:sz w:val="20"/>
                <w:szCs w:val="20"/>
                <w:lang w:val="es-ES_tradnl" w:eastAsia="es-ES_tradnl"/>
              </w:rPr>
            </w:pPr>
            <w:bookmarkStart w:id="3" w:name="_Toc13230251"/>
            <w:r w:rsidRPr="00270C68">
              <w:rPr>
                <w:rFonts w:ascii="Tahoma" w:hAnsi="Tahoma" w:cs="Tahoma"/>
                <w:b/>
                <w:sz w:val="20"/>
                <w:szCs w:val="20"/>
                <w:lang w:val="es-ES_tradnl" w:eastAsia="es-ES_tradnl"/>
              </w:rPr>
              <w:t>Familia</w:t>
            </w:r>
            <w:bookmarkEnd w:id="3"/>
          </w:p>
        </w:tc>
        <w:tc>
          <w:tcPr>
            <w:tcW w:w="1631" w:type="pct"/>
            <w:shd w:val="clear" w:color="auto" w:fill="C6D9F1" w:themeFill="text2" w:themeFillTint="33"/>
            <w:hideMark/>
          </w:tcPr>
          <w:p w14:paraId="46A27518" w14:textId="77777777" w:rsidR="00EB2215" w:rsidRPr="00270C68" w:rsidRDefault="00EB2215" w:rsidP="00A800DF">
            <w:pPr>
              <w:contextualSpacing/>
              <w:jc w:val="center"/>
              <w:rPr>
                <w:rFonts w:ascii="Tahoma" w:hAnsi="Tahoma" w:cs="Tahoma"/>
                <w:b/>
                <w:sz w:val="20"/>
                <w:szCs w:val="20"/>
                <w:lang w:val="es-ES_tradnl" w:eastAsia="es-ES_tradnl"/>
              </w:rPr>
            </w:pPr>
            <w:bookmarkStart w:id="4" w:name="_Toc13230252"/>
            <w:r w:rsidRPr="00270C68">
              <w:rPr>
                <w:rFonts w:ascii="Tahoma" w:hAnsi="Tahoma" w:cs="Tahoma"/>
                <w:b/>
                <w:sz w:val="20"/>
                <w:szCs w:val="20"/>
                <w:lang w:val="es-ES_tradnl" w:eastAsia="es-ES_tradnl"/>
              </w:rPr>
              <w:t>Clase</w:t>
            </w:r>
            <w:bookmarkEnd w:id="4"/>
          </w:p>
        </w:tc>
      </w:tr>
      <w:tr w:rsidR="00EB2215" w:rsidRPr="00270C68" w14:paraId="356942CF" w14:textId="77777777" w:rsidTr="00A800DF">
        <w:trPr>
          <w:trHeight w:val="694"/>
          <w:jc w:val="center"/>
        </w:trPr>
        <w:tc>
          <w:tcPr>
            <w:tcW w:w="903" w:type="pct"/>
            <w:vAlign w:val="center"/>
          </w:tcPr>
          <w:p w14:paraId="1283604A" w14:textId="77777777" w:rsidR="00EB2215" w:rsidRPr="00270C68" w:rsidRDefault="00EB2215" w:rsidP="00A800DF">
            <w:pPr>
              <w:contextualSpacing/>
              <w:jc w:val="center"/>
              <w:rPr>
                <w:rFonts w:ascii="Tahoma" w:hAnsi="Tahoma" w:cs="Tahoma"/>
                <w:bCs/>
                <w:sz w:val="20"/>
                <w:szCs w:val="20"/>
                <w:lang w:val="es-ES_tradnl" w:eastAsia="es-ES_tradnl"/>
              </w:rPr>
            </w:pPr>
            <w:bookmarkStart w:id="5" w:name="_Toc13230254"/>
            <w:r w:rsidRPr="00270C68">
              <w:rPr>
                <w:rFonts w:ascii="Tahoma" w:hAnsi="Tahoma" w:cs="Tahoma"/>
                <w:bCs/>
                <w:sz w:val="20"/>
                <w:szCs w:val="20"/>
                <w:lang w:val="es-ES_tradnl" w:eastAsia="es-ES_tradnl"/>
              </w:rPr>
              <w:t>(F) Servicios</w:t>
            </w:r>
            <w:bookmarkEnd w:id="5"/>
          </w:p>
        </w:tc>
        <w:tc>
          <w:tcPr>
            <w:tcW w:w="1262" w:type="pct"/>
            <w:vAlign w:val="center"/>
            <w:hideMark/>
          </w:tcPr>
          <w:p w14:paraId="55119FCB" w14:textId="77777777" w:rsidR="00EB2215" w:rsidRPr="00270C68" w:rsidRDefault="00EB2215" w:rsidP="00A800DF">
            <w:pPr>
              <w:contextualSpacing/>
              <w:jc w:val="center"/>
              <w:rPr>
                <w:rFonts w:ascii="Tahoma" w:hAnsi="Tahoma" w:cs="Tahoma"/>
                <w:bCs/>
                <w:sz w:val="20"/>
                <w:szCs w:val="20"/>
                <w:lang w:val="es-ES_tradnl" w:eastAsia="es-ES_tradnl"/>
              </w:rPr>
            </w:pPr>
            <w:bookmarkStart w:id="6" w:name="_Toc13230255"/>
            <w:r w:rsidRPr="00270C68">
              <w:rPr>
                <w:rFonts w:ascii="Tahoma" w:hAnsi="Tahoma" w:cs="Tahoma"/>
                <w:bCs/>
                <w:sz w:val="20"/>
                <w:szCs w:val="20"/>
                <w:lang w:val="es-ES_tradnl" w:eastAsia="es-ES_tradnl"/>
              </w:rPr>
              <w:t>(84) Servicios Financieros y de Seguros</w:t>
            </w:r>
            <w:bookmarkEnd w:id="6"/>
          </w:p>
        </w:tc>
        <w:tc>
          <w:tcPr>
            <w:tcW w:w="1204" w:type="pct"/>
            <w:vAlign w:val="center"/>
          </w:tcPr>
          <w:p w14:paraId="202C0F55" w14:textId="77777777" w:rsidR="00EB2215" w:rsidRPr="00270C68" w:rsidRDefault="00EB2215" w:rsidP="00A800DF">
            <w:pPr>
              <w:contextualSpacing/>
              <w:jc w:val="center"/>
              <w:rPr>
                <w:rFonts w:ascii="Tahoma" w:hAnsi="Tahoma" w:cs="Tahoma"/>
                <w:bCs/>
                <w:sz w:val="20"/>
                <w:szCs w:val="20"/>
                <w:lang w:val="es-ES_tradnl" w:eastAsia="es-ES_tradnl"/>
              </w:rPr>
            </w:pPr>
            <w:bookmarkStart w:id="7" w:name="_Toc13230256"/>
            <w:r w:rsidRPr="00270C68">
              <w:rPr>
                <w:rFonts w:ascii="Tahoma" w:hAnsi="Tahoma" w:cs="Tahoma"/>
                <w:bCs/>
                <w:sz w:val="20"/>
                <w:szCs w:val="20"/>
                <w:lang w:val="es-ES_tradnl" w:eastAsia="es-ES_tradnl"/>
              </w:rPr>
              <w:t>(13) Servicios de Seguros y Pensiones</w:t>
            </w:r>
            <w:bookmarkEnd w:id="7"/>
          </w:p>
        </w:tc>
        <w:tc>
          <w:tcPr>
            <w:tcW w:w="1631" w:type="pct"/>
            <w:vAlign w:val="center"/>
            <w:hideMark/>
          </w:tcPr>
          <w:p w14:paraId="5554E886" w14:textId="77777777" w:rsidR="00EB2215" w:rsidRPr="00270C68" w:rsidRDefault="00EB2215" w:rsidP="00A800DF">
            <w:pPr>
              <w:contextualSpacing/>
              <w:jc w:val="center"/>
              <w:rPr>
                <w:rFonts w:ascii="Tahoma" w:hAnsi="Tahoma" w:cs="Tahoma"/>
                <w:bCs/>
                <w:sz w:val="20"/>
                <w:szCs w:val="20"/>
                <w:lang w:val="es-ES_tradnl" w:eastAsia="es-ES_tradnl"/>
              </w:rPr>
            </w:pPr>
            <w:bookmarkStart w:id="8" w:name="_Toc13230257"/>
            <w:r w:rsidRPr="00270C68">
              <w:rPr>
                <w:rFonts w:ascii="Tahoma" w:hAnsi="Tahoma" w:cs="Tahoma"/>
                <w:bCs/>
                <w:sz w:val="20"/>
                <w:szCs w:val="20"/>
                <w:lang w:val="es-ES_tradnl" w:eastAsia="es-ES_tradnl"/>
              </w:rPr>
              <w:t>(15) Servicios de Seguros para Estructuras y propiedades y posiciones</w:t>
            </w:r>
            <w:bookmarkEnd w:id="8"/>
          </w:p>
        </w:tc>
      </w:tr>
      <w:tr w:rsidR="00EB2215" w:rsidRPr="00270C68" w14:paraId="48B5F6CA" w14:textId="77777777" w:rsidTr="00A800DF">
        <w:trPr>
          <w:trHeight w:val="620"/>
          <w:jc w:val="center"/>
        </w:trPr>
        <w:tc>
          <w:tcPr>
            <w:tcW w:w="903" w:type="pct"/>
            <w:vAlign w:val="center"/>
          </w:tcPr>
          <w:p w14:paraId="2234C8C8" w14:textId="77777777" w:rsidR="00EB2215" w:rsidRPr="00270C68" w:rsidRDefault="00EB2215" w:rsidP="00A800DF">
            <w:pPr>
              <w:contextualSpacing/>
              <w:jc w:val="center"/>
              <w:rPr>
                <w:rFonts w:ascii="Tahoma" w:hAnsi="Tahoma" w:cs="Tahoma"/>
                <w:bCs/>
                <w:sz w:val="20"/>
                <w:szCs w:val="20"/>
                <w:lang w:val="es-ES_tradnl" w:eastAsia="es-ES_tradnl"/>
              </w:rPr>
            </w:pPr>
            <w:r w:rsidRPr="00270C68">
              <w:rPr>
                <w:rFonts w:ascii="Tahoma" w:hAnsi="Tahoma" w:cs="Tahoma"/>
                <w:bCs/>
                <w:sz w:val="20"/>
                <w:szCs w:val="20"/>
                <w:lang w:val="es-ES_tradnl" w:eastAsia="es-ES_tradnl"/>
              </w:rPr>
              <w:t>(F) Servicios</w:t>
            </w:r>
          </w:p>
        </w:tc>
        <w:tc>
          <w:tcPr>
            <w:tcW w:w="1262" w:type="pct"/>
            <w:vAlign w:val="center"/>
            <w:hideMark/>
          </w:tcPr>
          <w:p w14:paraId="5E07625E" w14:textId="77777777" w:rsidR="00EB2215" w:rsidRPr="00270C68" w:rsidRDefault="00EB2215" w:rsidP="00A800DF">
            <w:pPr>
              <w:contextualSpacing/>
              <w:jc w:val="center"/>
              <w:rPr>
                <w:rFonts w:ascii="Tahoma" w:hAnsi="Tahoma" w:cs="Tahoma"/>
                <w:bCs/>
                <w:sz w:val="20"/>
                <w:szCs w:val="20"/>
                <w:lang w:val="es-ES_tradnl" w:eastAsia="es-ES_tradnl"/>
              </w:rPr>
            </w:pPr>
            <w:r w:rsidRPr="00270C68">
              <w:rPr>
                <w:rFonts w:ascii="Tahoma" w:hAnsi="Tahoma" w:cs="Tahoma"/>
                <w:bCs/>
                <w:sz w:val="20"/>
                <w:szCs w:val="20"/>
                <w:lang w:val="es-ES_tradnl" w:eastAsia="es-ES_tradnl"/>
              </w:rPr>
              <w:t>(84) Servicios Financieros y de Seguros</w:t>
            </w:r>
          </w:p>
        </w:tc>
        <w:tc>
          <w:tcPr>
            <w:tcW w:w="1204" w:type="pct"/>
            <w:vAlign w:val="center"/>
          </w:tcPr>
          <w:p w14:paraId="5C559573" w14:textId="77777777" w:rsidR="00EB2215" w:rsidRPr="00270C68" w:rsidRDefault="00EB2215" w:rsidP="00A800DF">
            <w:pPr>
              <w:contextualSpacing/>
              <w:jc w:val="center"/>
              <w:rPr>
                <w:rFonts w:ascii="Tahoma" w:hAnsi="Tahoma" w:cs="Tahoma"/>
                <w:bCs/>
                <w:sz w:val="20"/>
                <w:szCs w:val="20"/>
                <w:lang w:val="es-ES_tradnl" w:eastAsia="es-ES_tradnl"/>
              </w:rPr>
            </w:pPr>
            <w:r w:rsidRPr="00270C68">
              <w:rPr>
                <w:rFonts w:ascii="Tahoma" w:hAnsi="Tahoma" w:cs="Tahoma"/>
                <w:bCs/>
                <w:sz w:val="20"/>
                <w:szCs w:val="20"/>
                <w:lang w:val="es-ES_tradnl" w:eastAsia="es-ES_tradnl"/>
              </w:rPr>
              <w:t>(13) Servicios de Seguros y Pensiones</w:t>
            </w:r>
          </w:p>
        </w:tc>
        <w:tc>
          <w:tcPr>
            <w:tcW w:w="1631" w:type="pct"/>
            <w:vAlign w:val="center"/>
            <w:hideMark/>
          </w:tcPr>
          <w:p w14:paraId="5A534CCB" w14:textId="77777777" w:rsidR="00EB2215" w:rsidRPr="00270C68" w:rsidRDefault="00EB2215" w:rsidP="00A800DF">
            <w:pPr>
              <w:contextualSpacing/>
              <w:jc w:val="center"/>
              <w:rPr>
                <w:rFonts w:ascii="Tahoma" w:hAnsi="Tahoma" w:cs="Tahoma"/>
                <w:bCs/>
                <w:sz w:val="20"/>
                <w:szCs w:val="20"/>
                <w:lang w:val="es-ES_tradnl" w:eastAsia="es-ES_tradnl"/>
              </w:rPr>
            </w:pPr>
            <w:r w:rsidRPr="00270C68">
              <w:rPr>
                <w:rFonts w:ascii="Tahoma" w:hAnsi="Tahoma" w:cs="Tahoma"/>
                <w:bCs/>
                <w:sz w:val="20"/>
                <w:szCs w:val="20"/>
                <w:lang w:val="es-ES_tradnl" w:eastAsia="es-ES_tradnl"/>
              </w:rPr>
              <w:t xml:space="preserve">(16) </w:t>
            </w:r>
            <w:r w:rsidRPr="00270C68">
              <w:rPr>
                <w:rFonts w:ascii="Tahoma" w:hAnsi="Tahoma" w:cs="Tahoma"/>
                <w:bCs/>
                <w:sz w:val="20"/>
                <w:szCs w:val="20"/>
                <w:lang w:val="es-CO" w:eastAsia="es-ES_tradnl"/>
              </w:rPr>
              <w:t>Seguros de vida, salud y accidentes</w:t>
            </w:r>
          </w:p>
        </w:tc>
      </w:tr>
    </w:tbl>
    <w:p w14:paraId="07C98492" w14:textId="77777777" w:rsidR="00EB2215" w:rsidRPr="00410327" w:rsidRDefault="00EB2215" w:rsidP="00EB2215">
      <w:pPr>
        <w:widowControl w:val="0"/>
        <w:ind w:right="-11"/>
        <w:jc w:val="both"/>
        <w:rPr>
          <w:rFonts w:ascii="Tahoma" w:hAnsi="Tahoma" w:cs="Tahoma"/>
          <w:color w:val="000000" w:themeColor="text1"/>
          <w:sz w:val="20"/>
          <w:szCs w:val="20"/>
        </w:rPr>
      </w:pPr>
    </w:p>
    <w:p w14:paraId="58EF78B4" w14:textId="77777777" w:rsidR="00EB2215" w:rsidRPr="00410327" w:rsidRDefault="00EB2215" w:rsidP="00EB2215">
      <w:pPr>
        <w:widowControl w:val="0"/>
        <w:ind w:right="-11"/>
        <w:jc w:val="both"/>
        <w:rPr>
          <w:rFonts w:ascii="Tahoma" w:hAnsi="Tahoma" w:cs="Tahoma"/>
          <w:color w:val="000000" w:themeColor="text1"/>
          <w:sz w:val="20"/>
          <w:szCs w:val="20"/>
        </w:rPr>
      </w:pPr>
    </w:p>
    <w:p w14:paraId="75F67CE9" w14:textId="77777777" w:rsidR="00EB2215" w:rsidRPr="00410327" w:rsidRDefault="00EB2215" w:rsidP="00EB2215">
      <w:pPr>
        <w:jc w:val="both"/>
        <w:rPr>
          <w:rFonts w:ascii="Tahoma" w:hAnsi="Tahoma" w:cs="Tahoma"/>
          <w:color w:val="000000" w:themeColor="text1"/>
          <w:sz w:val="20"/>
          <w:szCs w:val="20"/>
          <w:lang w:val="es-ES_tradnl"/>
        </w:rPr>
      </w:pPr>
      <w:r w:rsidRPr="00410327">
        <w:rPr>
          <w:rFonts w:ascii="Tahoma" w:hAnsi="Tahoma" w:cs="Tahoma"/>
          <w:b/>
          <w:bCs/>
          <w:color w:val="000000" w:themeColor="text1"/>
          <w:sz w:val="20"/>
          <w:szCs w:val="20"/>
        </w:rPr>
        <w:t xml:space="preserve">2. CONSULTA DE DOCUMENTOS Y OBSERVACIONES: </w:t>
      </w:r>
      <w:r w:rsidRPr="00410327">
        <w:rPr>
          <w:rFonts w:ascii="Tahoma" w:hAnsi="Tahoma" w:cs="Tahoma"/>
          <w:color w:val="000000" w:themeColor="text1"/>
          <w:sz w:val="20"/>
          <w:szCs w:val="20"/>
        </w:rPr>
        <w:t xml:space="preserve">Las personas interesadas en consultar los Estudios y Documentos Previos, el Proyecto de Pliego de Condiciones, el Pliego de Condiciones Definitivo, adendas si a ello hay lugar y en general todos y cada uno de los documentos publicados por la CRC en virtud del proceso en comento; lo podrán hacer a través de </w:t>
      </w:r>
      <w:r w:rsidRPr="00410327">
        <w:rPr>
          <w:rFonts w:ascii="Tahoma" w:hAnsi="Tahoma" w:cs="Tahoma"/>
          <w:color w:val="000000" w:themeColor="text1"/>
          <w:sz w:val="20"/>
          <w:szCs w:val="20"/>
          <w:lang w:val="es-ES_tradnl"/>
        </w:rPr>
        <w:t xml:space="preserve">la página de contratación estatal </w:t>
      </w:r>
      <w:hyperlink r:id="rId8" w:history="1">
        <w:r w:rsidRPr="00410327">
          <w:rPr>
            <w:rFonts w:ascii="Tahoma" w:hAnsi="Tahoma" w:cs="Tahoma"/>
            <w:color w:val="000000" w:themeColor="text1"/>
            <w:sz w:val="20"/>
            <w:szCs w:val="20"/>
            <w:u w:val="single"/>
            <w:lang w:val="es-ES_tradnl"/>
          </w:rPr>
          <w:t>www.colombiacompra.gov.co</w:t>
        </w:r>
      </w:hyperlink>
      <w:r w:rsidRPr="00410327">
        <w:rPr>
          <w:rFonts w:ascii="Tahoma" w:hAnsi="Tahoma" w:cs="Tahoma"/>
          <w:color w:val="000000" w:themeColor="text1"/>
          <w:sz w:val="20"/>
          <w:szCs w:val="20"/>
          <w:u w:val="single"/>
          <w:lang w:val="es-ES_tradnl"/>
        </w:rPr>
        <w:t xml:space="preserve"> – Secop II. </w:t>
      </w:r>
    </w:p>
    <w:p w14:paraId="0C22E997" w14:textId="77777777" w:rsidR="00EB2215" w:rsidRPr="00410327" w:rsidRDefault="00EB2215" w:rsidP="00EB2215">
      <w:pPr>
        <w:suppressAutoHyphens/>
        <w:jc w:val="both"/>
        <w:rPr>
          <w:rFonts w:ascii="Tahoma" w:hAnsi="Tahoma" w:cs="Tahoma"/>
          <w:color w:val="000000" w:themeColor="text1"/>
          <w:sz w:val="20"/>
          <w:szCs w:val="20"/>
          <w:lang w:eastAsia="ar-SA"/>
        </w:rPr>
      </w:pPr>
    </w:p>
    <w:p w14:paraId="3267EB8C" w14:textId="77777777" w:rsidR="00EB2215" w:rsidRPr="00410327" w:rsidRDefault="00EB2215" w:rsidP="00EB2215">
      <w:pPr>
        <w:suppressAutoHyphens/>
        <w:jc w:val="both"/>
        <w:rPr>
          <w:rFonts w:ascii="Tahoma" w:hAnsi="Tahoma" w:cs="Tahoma"/>
          <w:color w:val="000000" w:themeColor="text1"/>
          <w:sz w:val="20"/>
          <w:szCs w:val="20"/>
          <w:lang w:eastAsia="ar-SA"/>
        </w:rPr>
      </w:pPr>
      <w:r w:rsidRPr="00410327">
        <w:rPr>
          <w:rFonts w:ascii="Tahoma" w:hAnsi="Tahoma" w:cs="Tahoma"/>
          <w:color w:val="000000" w:themeColor="text1"/>
          <w:sz w:val="20"/>
          <w:szCs w:val="20"/>
          <w:lang w:eastAsia="ar-SA"/>
        </w:rPr>
        <w:t>Igualmente, podrán presentar observaciones a los documentos dentro del término establecido en el cronograma del proceso, en la página de contratación estatal www.colombiacompra.gov.co – Secop II.</w:t>
      </w:r>
    </w:p>
    <w:p w14:paraId="57C41B58" w14:textId="77777777" w:rsidR="00EB2215" w:rsidRPr="00410327" w:rsidRDefault="00EB2215" w:rsidP="00EB2215">
      <w:pPr>
        <w:suppressAutoHyphens/>
        <w:jc w:val="both"/>
        <w:rPr>
          <w:rFonts w:ascii="Tahoma" w:hAnsi="Tahoma" w:cs="Tahoma"/>
          <w:b/>
          <w:bCs/>
          <w:color w:val="000000" w:themeColor="text1"/>
          <w:sz w:val="20"/>
          <w:szCs w:val="20"/>
          <w:lang w:eastAsia="ar-SA"/>
        </w:rPr>
      </w:pPr>
    </w:p>
    <w:p w14:paraId="1959F5BC" w14:textId="77777777" w:rsidR="00EB2215" w:rsidRPr="00410327" w:rsidRDefault="00EB2215" w:rsidP="00EB2215">
      <w:pPr>
        <w:pStyle w:val="Sangradet"/>
        <w:numPr>
          <w:ilvl w:val="0"/>
          <w:numId w:val="0"/>
        </w:numPr>
        <w:tabs>
          <w:tab w:val="left" w:pos="426"/>
          <w:tab w:val="left" w:pos="567"/>
        </w:tabs>
        <w:autoSpaceDE/>
        <w:autoSpaceDN/>
        <w:rPr>
          <w:rFonts w:ascii="Tahoma" w:hAnsi="Tahoma" w:cs="Tahoma"/>
          <w:bCs/>
          <w:sz w:val="20"/>
          <w:szCs w:val="20"/>
          <w:lang w:val="es-ES"/>
        </w:rPr>
      </w:pPr>
      <w:r w:rsidRPr="00410327">
        <w:rPr>
          <w:rFonts w:ascii="Tahoma" w:hAnsi="Tahoma" w:cs="Tahoma"/>
          <w:b/>
          <w:bCs/>
          <w:color w:val="000000" w:themeColor="text1"/>
          <w:sz w:val="20"/>
          <w:szCs w:val="20"/>
          <w:lang w:eastAsia="ar-SA"/>
        </w:rPr>
        <w:t xml:space="preserve">3. MODALIDAD DE SELECCIÓN: </w:t>
      </w:r>
      <w:r w:rsidRPr="00410327">
        <w:rPr>
          <w:rFonts w:ascii="Tahoma" w:hAnsi="Tahoma" w:cs="Tahoma"/>
          <w:bCs/>
          <w:sz w:val="20"/>
          <w:szCs w:val="20"/>
          <w:lang w:val="es-ES"/>
        </w:rPr>
        <w:t>El presente proceso de contratación, así como el contrato a suscribirse, están sometidos a la legislación y jurisdicción colombiana y se rige por el régimen de la contratación estatal, contenido en la Ley 80 de 1993, la Ley 1150 de 2007, el Decreto reglamentario 1082 de 2015 y demás normas vigentes aplicables.</w:t>
      </w:r>
    </w:p>
    <w:p w14:paraId="2B34DCF4" w14:textId="77777777" w:rsidR="00EB2215" w:rsidRPr="00410327" w:rsidRDefault="00EB2215" w:rsidP="00EB2215">
      <w:pPr>
        <w:pStyle w:val="Sangradet"/>
        <w:rPr>
          <w:rFonts w:ascii="Tahoma" w:hAnsi="Tahoma" w:cs="Tahoma"/>
          <w:sz w:val="20"/>
          <w:szCs w:val="20"/>
          <w:lang w:val="es-CO"/>
        </w:rPr>
      </w:pPr>
    </w:p>
    <w:p w14:paraId="260D4433" w14:textId="77777777" w:rsidR="00EB2215" w:rsidRPr="00410327" w:rsidRDefault="00EB2215" w:rsidP="00EB2215">
      <w:pPr>
        <w:pStyle w:val="Sangradet"/>
        <w:rPr>
          <w:rFonts w:ascii="Tahoma" w:hAnsi="Tahoma" w:cs="Tahoma"/>
          <w:sz w:val="20"/>
          <w:szCs w:val="20"/>
          <w:lang w:val="es-CO"/>
        </w:rPr>
      </w:pPr>
      <w:r w:rsidRPr="00410327">
        <w:rPr>
          <w:rFonts w:ascii="Tahoma" w:hAnsi="Tahoma" w:cs="Tahoma"/>
          <w:sz w:val="20"/>
          <w:szCs w:val="20"/>
          <w:lang w:val="es-CO"/>
        </w:rPr>
        <w:lastRenderedPageBreak/>
        <w:t>La escogencia del contratista se hará de acuerdo con la modalidad de selección establecida en el numeral 1 del artículo 2 de la Ley 1150 de 2007 el cual establece: “</w:t>
      </w:r>
      <w:r w:rsidRPr="00410327">
        <w:rPr>
          <w:rFonts w:ascii="Tahoma" w:hAnsi="Tahoma" w:cs="Tahoma"/>
          <w:i/>
          <w:sz w:val="20"/>
          <w:szCs w:val="20"/>
          <w:lang w:val="es-CO"/>
        </w:rPr>
        <w:t>ARTÍCULO 2o. DE LAS MODALIDADES DE SELECCIÓN. La escogencia del contratista se efectuará con arreglo a las modalidades de selección de licitación pública, selección abreviada, concurso de méritos y contratación directa, con base en las siguientes reglas:</w:t>
      </w:r>
    </w:p>
    <w:p w14:paraId="65FE1DE9" w14:textId="77777777" w:rsidR="00EB2215" w:rsidRPr="00410327" w:rsidRDefault="00EB2215" w:rsidP="00EB2215">
      <w:pPr>
        <w:pStyle w:val="Sangradet"/>
        <w:rPr>
          <w:rFonts w:ascii="Tahoma" w:hAnsi="Tahoma" w:cs="Tahoma"/>
          <w:sz w:val="20"/>
          <w:szCs w:val="20"/>
          <w:lang w:val="es-CO"/>
        </w:rPr>
      </w:pPr>
    </w:p>
    <w:p w14:paraId="60CE5520" w14:textId="77777777" w:rsidR="00EB2215" w:rsidRPr="00410327" w:rsidRDefault="00EB2215" w:rsidP="00EB2215">
      <w:pPr>
        <w:pStyle w:val="Sangradet"/>
        <w:rPr>
          <w:rFonts w:ascii="Tahoma" w:hAnsi="Tahoma" w:cs="Tahoma"/>
          <w:i/>
          <w:sz w:val="20"/>
          <w:szCs w:val="20"/>
          <w:lang w:val="es-ES"/>
        </w:rPr>
      </w:pPr>
      <w:r w:rsidRPr="00410327">
        <w:rPr>
          <w:rFonts w:ascii="Tahoma" w:hAnsi="Tahoma" w:cs="Tahoma"/>
          <w:i/>
          <w:sz w:val="20"/>
          <w:szCs w:val="20"/>
          <w:lang w:val="es-ES"/>
        </w:rPr>
        <w:t>“2.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66A49287" w14:textId="77777777" w:rsidR="00EB2215" w:rsidRPr="00410327" w:rsidRDefault="00EB2215" w:rsidP="00EB2215">
      <w:pPr>
        <w:pStyle w:val="Sangradet"/>
        <w:ind w:left="360"/>
        <w:rPr>
          <w:rFonts w:ascii="Tahoma" w:hAnsi="Tahoma" w:cs="Tahoma"/>
          <w:i/>
          <w:sz w:val="20"/>
          <w:szCs w:val="20"/>
          <w:lang w:val="es-ES"/>
        </w:rPr>
      </w:pPr>
    </w:p>
    <w:p w14:paraId="52962014" w14:textId="77777777" w:rsidR="00EB2215" w:rsidRPr="00410327" w:rsidRDefault="00EB2215" w:rsidP="00EB2215">
      <w:pPr>
        <w:pStyle w:val="Sangradet"/>
        <w:rPr>
          <w:rFonts w:ascii="Tahoma" w:hAnsi="Tahoma" w:cs="Tahoma"/>
          <w:i/>
          <w:sz w:val="20"/>
          <w:szCs w:val="20"/>
          <w:lang w:val="es-ES"/>
        </w:rPr>
      </w:pPr>
      <w:r w:rsidRPr="00410327">
        <w:rPr>
          <w:rFonts w:ascii="Tahoma" w:hAnsi="Tahoma" w:cs="Tahoma"/>
          <w:i/>
          <w:sz w:val="20"/>
          <w:szCs w:val="20"/>
          <w:lang w:val="es-ES"/>
        </w:rPr>
        <w:t>El Gobierno Nacional reglamentará la materia. (…)”</w:t>
      </w:r>
    </w:p>
    <w:p w14:paraId="645993B4" w14:textId="77777777" w:rsidR="00EB2215" w:rsidRPr="00410327" w:rsidRDefault="00EB2215" w:rsidP="00EB2215">
      <w:pPr>
        <w:pStyle w:val="Sangradet"/>
        <w:ind w:left="360"/>
        <w:rPr>
          <w:rFonts w:ascii="Tahoma" w:hAnsi="Tahoma" w:cs="Tahoma"/>
          <w:i/>
          <w:sz w:val="20"/>
          <w:szCs w:val="20"/>
          <w:lang w:val="es-ES"/>
        </w:rPr>
      </w:pPr>
    </w:p>
    <w:p w14:paraId="5B844492" w14:textId="77777777" w:rsidR="00EB2215" w:rsidRPr="00410327" w:rsidRDefault="00EB2215" w:rsidP="00EB2215">
      <w:pPr>
        <w:pStyle w:val="Sangradet"/>
        <w:rPr>
          <w:rFonts w:ascii="Tahoma" w:hAnsi="Tahoma" w:cs="Tahoma"/>
          <w:sz w:val="20"/>
          <w:szCs w:val="20"/>
          <w:lang w:val="es-ES"/>
        </w:rPr>
      </w:pPr>
      <w:r w:rsidRPr="00410327">
        <w:rPr>
          <w:rFonts w:ascii="Tahoma" w:hAnsi="Tahoma" w:cs="Tahoma"/>
          <w:sz w:val="20"/>
          <w:szCs w:val="20"/>
          <w:lang w:val="es-ES"/>
        </w:rPr>
        <w:t>Así, en aplicación de las normas mencionadas, el presente proceso se desarrollará mediante una Selección abreviada de Menor Cuantía, en atención a la cuantía de este y el tipo de servicios a contratar, de acuerdo con lo establecido en el artículo 2° numeral 2° Ley 1150 de 2007; en Concordancia con lo fijado en los artículos 2.2.1.2.1.2.20 y siguientes del Decreto 1082 de 2015.</w:t>
      </w:r>
    </w:p>
    <w:p w14:paraId="7C476941" w14:textId="77777777" w:rsidR="00EB2215" w:rsidRPr="00410327" w:rsidRDefault="00EB2215" w:rsidP="00EB2215">
      <w:pPr>
        <w:autoSpaceDE w:val="0"/>
        <w:autoSpaceDN w:val="0"/>
        <w:adjustRightInd w:val="0"/>
        <w:jc w:val="both"/>
        <w:rPr>
          <w:rFonts w:ascii="Tahoma" w:hAnsi="Tahoma" w:cs="Tahoma"/>
          <w:sz w:val="20"/>
          <w:szCs w:val="20"/>
          <w:lang w:val="es-CO"/>
        </w:rPr>
      </w:pPr>
    </w:p>
    <w:p w14:paraId="7704B2CE" w14:textId="77777777" w:rsidR="00EB2215" w:rsidRPr="0005505B" w:rsidRDefault="00EB2215" w:rsidP="00EB2215">
      <w:pPr>
        <w:suppressAutoHyphens/>
        <w:jc w:val="both"/>
        <w:rPr>
          <w:rFonts w:ascii="Tahoma" w:hAnsi="Tahoma" w:cs="Tahoma"/>
          <w:bCs/>
          <w:color w:val="000000" w:themeColor="text1"/>
          <w:sz w:val="20"/>
          <w:szCs w:val="20"/>
          <w:lang w:val="es-CO" w:eastAsia="ar-SA"/>
        </w:rPr>
      </w:pPr>
      <w:r w:rsidRPr="00410327">
        <w:rPr>
          <w:rFonts w:ascii="Tahoma" w:hAnsi="Tahoma" w:cs="Tahoma"/>
          <w:b/>
          <w:bCs/>
          <w:color w:val="000000" w:themeColor="text1"/>
          <w:sz w:val="20"/>
          <w:szCs w:val="20"/>
          <w:lang w:eastAsia="ar-SA"/>
        </w:rPr>
        <w:t>4.</w:t>
      </w:r>
      <w:r w:rsidRPr="00410327">
        <w:rPr>
          <w:rFonts w:ascii="Tahoma" w:hAnsi="Tahoma" w:cs="Tahoma"/>
          <w:color w:val="000000" w:themeColor="text1"/>
          <w:sz w:val="20"/>
          <w:szCs w:val="20"/>
          <w:lang w:eastAsia="ar-SA"/>
        </w:rPr>
        <w:t xml:space="preserve"> </w:t>
      </w:r>
      <w:r w:rsidRPr="00410327">
        <w:rPr>
          <w:rFonts w:ascii="Tahoma" w:hAnsi="Tahoma" w:cs="Tahoma"/>
          <w:b/>
          <w:color w:val="000000" w:themeColor="text1"/>
          <w:sz w:val="20"/>
          <w:szCs w:val="20"/>
          <w:lang w:eastAsia="ar-SA"/>
        </w:rPr>
        <w:t>PLAZO DE EJECUCIÓN DEL CONTRATO</w:t>
      </w:r>
      <w:r w:rsidRPr="00410327">
        <w:rPr>
          <w:rFonts w:ascii="Tahoma" w:hAnsi="Tahoma" w:cs="Tahoma"/>
          <w:bCs/>
          <w:color w:val="000000" w:themeColor="text1"/>
          <w:sz w:val="20"/>
          <w:szCs w:val="20"/>
          <w:lang w:eastAsia="ar-SA"/>
        </w:rPr>
        <w:t xml:space="preserve">: </w:t>
      </w:r>
      <w:r w:rsidRPr="0005505B">
        <w:rPr>
          <w:rFonts w:ascii="Tahoma" w:hAnsi="Tahoma" w:cs="Tahoma"/>
          <w:bCs/>
          <w:color w:val="000000" w:themeColor="text1"/>
          <w:sz w:val="20"/>
          <w:szCs w:val="20"/>
          <w:lang w:val="es-CO" w:eastAsia="ar-SA"/>
        </w:rPr>
        <w:t>El plazo de ejecución será pactado en los siguientes términos:</w:t>
      </w:r>
    </w:p>
    <w:p w14:paraId="0A4C8EA9" w14:textId="77777777" w:rsidR="00EB2215" w:rsidRPr="0005505B" w:rsidRDefault="00EB2215" w:rsidP="00EB2215">
      <w:pPr>
        <w:suppressAutoHyphens/>
        <w:jc w:val="both"/>
        <w:rPr>
          <w:rFonts w:ascii="Tahoma" w:hAnsi="Tahoma" w:cs="Tahoma"/>
          <w:bCs/>
          <w:color w:val="000000" w:themeColor="text1"/>
          <w:sz w:val="20"/>
          <w:szCs w:val="20"/>
          <w:lang w:val="es-CO" w:eastAsia="ar-SA"/>
        </w:rPr>
      </w:pPr>
    </w:p>
    <w:p w14:paraId="3609ACC2" w14:textId="77777777" w:rsidR="00EB2215" w:rsidRPr="00F91A5F" w:rsidRDefault="00EB2215" w:rsidP="00EB2215">
      <w:pPr>
        <w:suppressAutoHyphens/>
        <w:jc w:val="both"/>
        <w:rPr>
          <w:rFonts w:ascii="Tahoma" w:hAnsi="Tahoma" w:cs="Tahoma"/>
          <w:bCs/>
          <w:color w:val="000000" w:themeColor="text1"/>
          <w:sz w:val="20"/>
          <w:szCs w:val="20"/>
          <w:lang w:val="es-CO" w:eastAsia="ar-SA"/>
        </w:rPr>
      </w:pPr>
      <w:r w:rsidRPr="00F91A5F">
        <w:rPr>
          <w:rFonts w:ascii="Tahoma" w:hAnsi="Tahoma" w:cs="Tahoma"/>
          <w:bCs/>
          <w:color w:val="000000" w:themeColor="text1"/>
          <w:sz w:val="20"/>
          <w:szCs w:val="20"/>
          <w:lang w:val="es-CO" w:eastAsia="ar-SA"/>
        </w:rPr>
        <w:t xml:space="preserve">El plazo de ejecución del contrato de seguros será el ofrecido por el proponente que resulte adjudicatario del proceso que se adelante, el cual en ningún caso podrá ser inferior a QUINIENTOS CUARENTA Y SIETE (547) DÍAS contados a partir de las 00:00 horas del 7 de agosto de 2026 y hasta la fecha presentada por el oferente dentro de su propuesta. </w:t>
      </w:r>
    </w:p>
    <w:p w14:paraId="2C354D45" w14:textId="77777777" w:rsidR="00EB2215" w:rsidRPr="00F91A5F" w:rsidRDefault="00EB2215" w:rsidP="00EB2215">
      <w:pPr>
        <w:suppressAutoHyphens/>
        <w:jc w:val="both"/>
        <w:rPr>
          <w:rFonts w:ascii="Tahoma" w:hAnsi="Tahoma" w:cs="Tahoma"/>
          <w:bCs/>
          <w:color w:val="000000" w:themeColor="text1"/>
          <w:sz w:val="20"/>
          <w:szCs w:val="20"/>
          <w:lang w:val="es-CO" w:eastAsia="ar-SA"/>
        </w:rPr>
      </w:pPr>
    </w:p>
    <w:p w14:paraId="13E20BCA" w14:textId="77777777" w:rsidR="00EB2215" w:rsidRDefault="00EB2215" w:rsidP="00EB2215">
      <w:pPr>
        <w:suppressAutoHyphens/>
        <w:jc w:val="both"/>
        <w:rPr>
          <w:rFonts w:ascii="Tahoma" w:hAnsi="Tahoma" w:cs="Tahoma"/>
          <w:bCs/>
          <w:color w:val="000000" w:themeColor="text1"/>
          <w:sz w:val="20"/>
          <w:szCs w:val="20"/>
          <w:lang w:val="es-CO" w:eastAsia="ar-SA"/>
        </w:rPr>
      </w:pPr>
      <w:r w:rsidRPr="00F91A5F">
        <w:rPr>
          <w:rFonts w:ascii="Tahoma" w:hAnsi="Tahoma" w:cs="Tahoma"/>
          <w:bCs/>
          <w:color w:val="000000" w:themeColor="text1"/>
          <w:sz w:val="20"/>
          <w:szCs w:val="20"/>
          <w:lang w:val="es-CO" w:eastAsia="ar-SA"/>
        </w:rPr>
        <w:t>Con la presentación de la propuesta el proponente entiende que el valor máximo a pagar será hasta el presupuesto para esta contratación de acuerdo con las tarifas, precios o condiciones indicados en su propuesta.</w:t>
      </w:r>
    </w:p>
    <w:p w14:paraId="61EAEEF1" w14:textId="77777777" w:rsidR="00EB2215" w:rsidRPr="00410327" w:rsidRDefault="00EB2215" w:rsidP="00EB2215">
      <w:pPr>
        <w:suppressAutoHyphens/>
        <w:jc w:val="both"/>
        <w:rPr>
          <w:rFonts w:ascii="Tahoma" w:hAnsi="Tahoma" w:cs="Tahoma"/>
          <w:bCs/>
          <w:color w:val="000000" w:themeColor="text1"/>
          <w:sz w:val="20"/>
          <w:szCs w:val="20"/>
        </w:rPr>
      </w:pPr>
    </w:p>
    <w:p w14:paraId="0CDD73FD" w14:textId="02BC4E7F" w:rsidR="00EB2215" w:rsidRPr="00410327" w:rsidRDefault="00EB2215" w:rsidP="00EB2215">
      <w:pPr>
        <w:suppressAutoHyphens/>
        <w:jc w:val="both"/>
        <w:rPr>
          <w:rFonts w:ascii="Tahoma" w:hAnsi="Tahoma" w:cs="Tahoma"/>
          <w:b/>
          <w:color w:val="000000" w:themeColor="text1"/>
          <w:sz w:val="20"/>
          <w:szCs w:val="20"/>
          <w:lang w:eastAsia="ar-SA"/>
        </w:rPr>
      </w:pPr>
      <w:r w:rsidRPr="00410327">
        <w:rPr>
          <w:rFonts w:ascii="Tahoma" w:hAnsi="Tahoma" w:cs="Tahoma"/>
          <w:b/>
          <w:bCs/>
          <w:color w:val="000000" w:themeColor="text1"/>
          <w:sz w:val="20"/>
          <w:szCs w:val="20"/>
          <w:lang w:eastAsia="ar-SA"/>
        </w:rPr>
        <w:t xml:space="preserve">5. FECHA LÍMITE EN LA CUAL LOS INTERESADOS DEBEN PRESENTAR SU OFERTA Y EL LUGAR Y FORMA DE PRESENTACIÓN DE LA MISMA: </w:t>
      </w:r>
      <w:r w:rsidRPr="00410327">
        <w:rPr>
          <w:rFonts w:ascii="Tahoma" w:hAnsi="Tahoma" w:cs="Tahoma"/>
          <w:bCs/>
          <w:color w:val="000000" w:themeColor="text1"/>
          <w:sz w:val="20"/>
          <w:szCs w:val="20"/>
          <w:lang w:eastAsia="ar-SA"/>
        </w:rPr>
        <w:t xml:space="preserve"> El cierre del presente proceso de Selección se realizará el</w:t>
      </w:r>
      <w:r w:rsidRPr="00410327">
        <w:rPr>
          <w:rFonts w:ascii="Tahoma" w:hAnsi="Tahoma" w:cs="Tahoma"/>
          <w:b/>
          <w:color w:val="000000" w:themeColor="text1"/>
          <w:sz w:val="20"/>
          <w:szCs w:val="20"/>
          <w:lang w:eastAsia="ar-SA"/>
        </w:rPr>
        <w:t xml:space="preserve"> </w:t>
      </w:r>
      <w:r w:rsidR="00727BEE">
        <w:rPr>
          <w:rFonts w:ascii="Tahoma" w:hAnsi="Tahoma" w:cs="Tahoma"/>
          <w:b/>
          <w:bCs/>
          <w:color w:val="000000" w:themeColor="text1"/>
          <w:sz w:val="20"/>
          <w:szCs w:val="20"/>
          <w:lang w:eastAsia="ar-SA"/>
        </w:rPr>
        <w:t>1</w:t>
      </w:r>
      <w:r w:rsidR="00F84C23">
        <w:rPr>
          <w:rFonts w:ascii="Tahoma" w:hAnsi="Tahoma" w:cs="Tahoma"/>
          <w:b/>
          <w:bCs/>
          <w:color w:val="000000" w:themeColor="text1"/>
          <w:sz w:val="20"/>
          <w:szCs w:val="20"/>
          <w:lang w:eastAsia="ar-SA"/>
        </w:rPr>
        <w:t>7</w:t>
      </w:r>
      <w:r w:rsidRPr="00410327">
        <w:rPr>
          <w:rFonts w:ascii="Tahoma" w:hAnsi="Tahoma" w:cs="Tahoma"/>
          <w:b/>
          <w:bCs/>
          <w:color w:val="000000" w:themeColor="text1"/>
          <w:sz w:val="20"/>
          <w:szCs w:val="20"/>
          <w:lang w:eastAsia="ar-SA"/>
        </w:rPr>
        <w:t xml:space="preserve"> DE </w:t>
      </w:r>
      <w:r>
        <w:rPr>
          <w:rFonts w:ascii="Tahoma" w:hAnsi="Tahoma" w:cs="Tahoma"/>
          <w:b/>
          <w:bCs/>
          <w:color w:val="000000" w:themeColor="text1"/>
          <w:sz w:val="20"/>
          <w:szCs w:val="20"/>
          <w:lang w:eastAsia="ar-SA"/>
        </w:rPr>
        <w:t>JUNIO</w:t>
      </w:r>
      <w:r w:rsidRPr="00410327">
        <w:rPr>
          <w:rFonts w:ascii="Tahoma" w:hAnsi="Tahoma" w:cs="Tahoma"/>
          <w:b/>
          <w:bCs/>
          <w:color w:val="000000" w:themeColor="text1"/>
          <w:sz w:val="20"/>
          <w:szCs w:val="20"/>
          <w:lang w:eastAsia="ar-SA"/>
        </w:rPr>
        <w:t xml:space="preserve"> DE 202</w:t>
      </w:r>
      <w:r>
        <w:rPr>
          <w:rFonts w:ascii="Tahoma" w:hAnsi="Tahoma" w:cs="Tahoma"/>
          <w:b/>
          <w:bCs/>
          <w:color w:val="000000" w:themeColor="text1"/>
          <w:sz w:val="20"/>
          <w:szCs w:val="20"/>
          <w:lang w:eastAsia="ar-SA"/>
        </w:rPr>
        <w:t>6</w:t>
      </w:r>
      <w:r w:rsidRPr="00410327">
        <w:rPr>
          <w:rFonts w:ascii="Tahoma" w:hAnsi="Tahoma" w:cs="Tahoma"/>
          <w:b/>
          <w:bCs/>
          <w:color w:val="000000" w:themeColor="text1"/>
          <w:sz w:val="20"/>
          <w:szCs w:val="20"/>
          <w:lang w:eastAsia="ar-SA"/>
        </w:rPr>
        <w:t xml:space="preserve"> A LAS 10:00 A.M</w:t>
      </w:r>
      <w:r w:rsidRPr="00410327">
        <w:rPr>
          <w:rFonts w:ascii="Tahoma" w:hAnsi="Tahoma" w:cs="Tahoma"/>
          <w:b/>
          <w:color w:val="000000" w:themeColor="text1"/>
          <w:sz w:val="20"/>
          <w:szCs w:val="20"/>
          <w:lang w:eastAsia="ar-SA"/>
        </w:rPr>
        <w:t xml:space="preserve">. </w:t>
      </w:r>
      <w:r w:rsidRPr="00410327">
        <w:rPr>
          <w:rFonts w:ascii="Tahoma" w:hAnsi="Tahoma" w:cs="Tahoma"/>
          <w:color w:val="000000" w:themeColor="text1"/>
          <w:sz w:val="20"/>
          <w:szCs w:val="20"/>
          <w:lang w:eastAsia="ar-SA"/>
        </w:rPr>
        <w:t>mediante la página de contratación estatal www.colombiacompra.gov.co – Secop II.</w:t>
      </w:r>
    </w:p>
    <w:p w14:paraId="26B75B9F" w14:textId="77777777" w:rsidR="00EB2215" w:rsidRPr="00410327" w:rsidRDefault="00EB2215" w:rsidP="00EB2215">
      <w:pPr>
        <w:suppressAutoHyphens/>
        <w:jc w:val="both"/>
        <w:rPr>
          <w:rFonts w:ascii="Tahoma" w:hAnsi="Tahoma" w:cs="Tahoma"/>
          <w:b/>
          <w:bCs/>
          <w:color w:val="000000" w:themeColor="text1"/>
          <w:sz w:val="20"/>
          <w:szCs w:val="20"/>
          <w:lang w:eastAsia="ar-SA"/>
        </w:rPr>
      </w:pPr>
    </w:p>
    <w:p w14:paraId="6342AAC4" w14:textId="77777777" w:rsidR="00EB2215" w:rsidRPr="00410327" w:rsidRDefault="00EB2215" w:rsidP="00EB2215">
      <w:pPr>
        <w:suppressAutoHyphens/>
        <w:jc w:val="both"/>
        <w:rPr>
          <w:rFonts w:ascii="Tahoma" w:hAnsi="Tahoma" w:cs="Tahoma"/>
          <w:bCs/>
          <w:color w:val="000000" w:themeColor="text1"/>
          <w:sz w:val="20"/>
          <w:szCs w:val="20"/>
          <w:lang w:eastAsia="ar-SA"/>
        </w:rPr>
      </w:pPr>
      <w:r w:rsidRPr="00410327">
        <w:rPr>
          <w:rFonts w:ascii="Tahoma" w:hAnsi="Tahoma" w:cs="Tahoma"/>
          <w:bCs/>
          <w:color w:val="000000" w:themeColor="text1"/>
          <w:sz w:val="20"/>
          <w:szCs w:val="20"/>
          <w:lang w:eastAsia="ar-SA"/>
        </w:rPr>
        <w:t>En caso de presentarse inconvenientes técnicos en la plataforma, se recomienda revisar y adherirse a lo estipulado en el manual de Colombia Compra Eficiente sobre “Cómo actuar ante indisponibilidad para presentar ofertas en el Secop II”</w:t>
      </w:r>
    </w:p>
    <w:p w14:paraId="0F9E1066" w14:textId="77777777" w:rsidR="00EB2215" w:rsidRPr="00410327" w:rsidRDefault="00EB2215" w:rsidP="00EB2215">
      <w:pPr>
        <w:suppressAutoHyphens/>
        <w:jc w:val="both"/>
        <w:rPr>
          <w:rFonts w:ascii="Tahoma" w:hAnsi="Tahoma" w:cs="Tahoma"/>
          <w:b/>
          <w:bCs/>
          <w:color w:val="000000" w:themeColor="text1"/>
          <w:sz w:val="20"/>
          <w:szCs w:val="20"/>
          <w:lang w:eastAsia="ar-SA"/>
        </w:rPr>
      </w:pPr>
    </w:p>
    <w:p w14:paraId="3DE7E1CF" w14:textId="314BB881" w:rsidR="00EB2215" w:rsidRDefault="00EB2215" w:rsidP="00EB2215">
      <w:pPr>
        <w:numPr>
          <w:ilvl w:val="12"/>
          <w:numId w:val="0"/>
        </w:numPr>
        <w:tabs>
          <w:tab w:val="left" w:pos="426"/>
        </w:tabs>
        <w:autoSpaceDE w:val="0"/>
        <w:autoSpaceDN w:val="0"/>
        <w:jc w:val="both"/>
        <w:rPr>
          <w:rFonts w:ascii="Tahoma" w:hAnsi="Tahoma" w:cs="Tahoma"/>
          <w:b/>
          <w:bCs/>
          <w:sz w:val="20"/>
          <w:szCs w:val="20"/>
        </w:rPr>
      </w:pPr>
      <w:r w:rsidRPr="00727BEE">
        <w:rPr>
          <w:rFonts w:ascii="Tahoma" w:hAnsi="Tahoma" w:cs="Tahoma"/>
          <w:b/>
          <w:bCs/>
          <w:color w:val="000000" w:themeColor="text1"/>
          <w:sz w:val="20"/>
          <w:szCs w:val="20"/>
          <w:lang w:val="es-ES_tradnl"/>
        </w:rPr>
        <w:t xml:space="preserve">6. PRESUPUESTO: </w:t>
      </w:r>
      <w:r w:rsidRPr="00727BEE">
        <w:rPr>
          <w:rFonts w:ascii="Tahoma" w:hAnsi="Tahoma" w:cs="Tahoma"/>
          <w:color w:val="000000" w:themeColor="text1"/>
          <w:sz w:val="20"/>
          <w:szCs w:val="20"/>
        </w:rPr>
        <w:t xml:space="preserve">De acuerdo con el estudio de mercado realizado, la Entidad ha estimado un presupuesto oficial para la presente contratación de </w:t>
      </w:r>
      <w:r w:rsidRPr="00727BEE">
        <w:rPr>
          <w:rFonts w:ascii="Tahoma" w:hAnsi="Tahoma" w:cs="Tahoma"/>
          <w:b/>
          <w:bCs/>
          <w:color w:val="000000" w:themeColor="text1"/>
          <w:sz w:val="20"/>
          <w:szCs w:val="20"/>
        </w:rPr>
        <w:t>CIENTO OCHENTA Y SIETE MILLONES SETECIENTOS VEINTISÉIS MIL DOSCIENTOS TREINTA Y UN PESOS MONEDA CORRIENTE ($187.726.231)</w:t>
      </w:r>
      <w:r w:rsidRPr="00727BEE">
        <w:rPr>
          <w:rFonts w:ascii="Tahoma" w:hAnsi="Tahoma" w:cs="Tahoma"/>
          <w:color w:val="000000" w:themeColor="text1"/>
          <w:sz w:val="20"/>
          <w:szCs w:val="20"/>
        </w:rPr>
        <w:t xml:space="preserve"> incluido I.V.A, y demás impuestos directos e indirectos a que haya lugar, amparados con el Certificado de Disponibilidad Presupuestal No.</w:t>
      </w:r>
      <w:r w:rsidR="00727BEE" w:rsidRPr="00727BEE">
        <w:rPr>
          <w:rFonts w:ascii="Tahoma" w:hAnsi="Tahoma" w:cs="Tahoma"/>
          <w:color w:val="000000" w:themeColor="text1"/>
          <w:sz w:val="20"/>
          <w:szCs w:val="20"/>
        </w:rPr>
        <w:t xml:space="preserve"> </w:t>
      </w:r>
      <w:r w:rsidR="00727BEE" w:rsidRPr="00727BEE">
        <w:rPr>
          <w:rFonts w:ascii="Tahoma" w:hAnsi="Tahoma" w:cs="Tahoma"/>
          <w:color w:val="000000" w:themeColor="text1"/>
          <w:sz w:val="20"/>
          <w:szCs w:val="20"/>
          <w:lang w:val="es-CO"/>
        </w:rPr>
        <w:t>13226</w:t>
      </w:r>
      <w:r w:rsidRPr="00727BEE">
        <w:rPr>
          <w:rFonts w:ascii="Tahoma" w:hAnsi="Tahoma" w:cs="Tahoma"/>
          <w:color w:val="000000" w:themeColor="text1"/>
          <w:sz w:val="20"/>
          <w:szCs w:val="20"/>
        </w:rPr>
        <w:t xml:space="preserve"> del 14 de mayo de 2026.</w:t>
      </w:r>
    </w:p>
    <w:p w14:paraId="2A6A049B" w14:textId="77777777" w:rsidR="00EB2215" w:rsidRPr="00E329EC" w:rsidRDefault="00EB2215" w:rsidP="00EB2215">
      <w:pPr>
        <w:rPr>
          <w:rFonts w:ascii="Tahoma" w:hAnsi="Tahoma" w:cs="Tahoma"/>
          <w:b/>
          <w:bCs/>
          <w:color w:val="000000" w:themeColor="text1"/>
          <w:sz w:val="20"/>
          <w:szCs w:val="20"/>
          <w:lang w:eastAsia="ar-SA"/>
        </w:rPr>
      </w:pPr>
      <w:r w:rsidRPr="00E329EC">
        <w:rPr>
          <w:rFonts w:ascii="Tahoma" w:hAnsi="Tahoma" w:cs="Tahoma"/>
          <w:b/>
          <w:bCs/>
          <w:color w:val="000000" w:themeColor="text1"/>
          <w:sz w:val="20"/>
          <w:szCs w:val="20"/>
          <w:lang w:eastAsia="ar-SA"/>
        </w:rPr>
        <w:lastRenderedPageBreak/>
        <w:t xml:space="preserve">7. CONTRATACIÓN COBIJADA POR ACUERDO INTERNACIONAL O TRATADO DE LIBRE COMERCIO: </w:t>
      </w:r>
    </w:p>
    <w:p w14:paraId="403F73D8" w14:textId="77777777" w:rsidR="00EB2215" w:rsidRDefault="00EB2215" w:rsidP="00EB2215">
      <w:pPr>
        <w:autoSpaceDE w:val="0"/>
        <w:autoSpaceDN w:val="0"/>
        <w:adjustRightInd w:val="0"/>
        <w:jc w:val="both"/>
        <w:rPr>
          <w:rFonts w:ascii="Tahoma" w:hAnsi="Tahoma" w:cs="Tahoma"/>
          <w:sz w:val="20"/>
          <w:szCs w:val="20"/>
        </w:rPr>
      </w:pPr>
    </w:p>
    <w:p w14:paraId="5D4BEE86" w14:textId="77777777" w:rsidR="00EB2215" w:rsidRPr="00625F7E" w:rsidRDefault="00EB2215" w:rsidP="00EB2215">
      <w:pPr>
        <w:overflowPunct w:val="0"/>
        <w:autoSpaceDE w:val="0"/>
        <w:autoSpaceDN w:val="0"/>
        <w:jc w:val="both"/>
        <w:textAlignment w:val="baseline"/>
        <w:rPr>
          <w:rFonts w:ascii="Tahoma" w:hAnsi="Tahoma" w:cs="Tahoma"/>
          <w:sz w:val="20"/>
          <w:szCs w:val="20"/>
          <w:lang w:eastAsia="es-CO"/>
        </w:rPr>
      </w:pPr>
      <w:bookmarkStart w:id="9" w:name="_Hlk187228687"/>
      <w:r w:rsidRPr="00625F7E">
        <w:rPr>
          <w:rFonts w:ascii="Tahoma" w:hAnsi="Tahoma" w:cs="Tahoma"/>
          <w:sz w:val="20"/>
          <w:szCs w:val="20"/>
          <w:lang w:eastAsia="en-US"/>
        </w:rPr>
        <w:t>En atención a las disposiciones del Decreto 663 de 1993, Capitulo XI, Artículo 39, modificado por el Artículo 61 de la Ley 1328 de 2009, se certifica que el presente proceso no se encuentra cubierto por los acuerdos comerciales</w:t>
      </w:r>
      <w:r w:rsidRPr="00625F7E">
        <w:rPr>
          <w:rFonts w:ascii="Tahoma" w:hAnsi="Tahoma" w:cs="Tahoma"/>
          <w:sz w:val="20"/>
          <w:szCs w:val="20"/>
          <w:vertAlign w:val="superscript"/>
          <w:lang w:eastAsia="en-US"/>
        </w:rPr>
        <w:t xml:space="preserve">  </w:t>
      </w:r>
      <w:r w:rsidRPr="00625F7E">
        <w:rPr>
          <w:rFonts w:ascii="Tahoma" w:hAnsi="Tahoma" w:cs="Tahoma"/>
          <w:sz w:val="20"/>
          <w:szCs w:val="20"/>
          <w:lang w:eastAsia="en-US"/>
        </w:rPr>
        <w:t>p</w:t>
      </w:r>
      <w:r w:rsidRPr="00625F7E">
        <w:rPr>
          <w:rFonts w:ascii="Tahoma" w:hAnsi="Tahoma" w:cs="Tahoma"/>
          <w:sz w:val="20"/>
          <w:szCs w:val="20"/>
          <w:lang w:eastAsia="es-CO"/>
        </w:rPr>
        <w:t xml:space="preserve">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Colombia-SFC. </w:t>
      </w:r>
    </w:p>
    <w:p w14:paraId="450A6857" w14:textId="77777777" w:rsidR="00EB2215" w:rsidRPr="00625F7E" w:rsidRDefault="00EB2215" w:rsidP="00EB2215">
      <w:pPr>
        <w:overflowPunct w:val="0"/>
        <w:autoSpaceDE w:val="0"/>
        <w:autoSpaceDN w:val="0"/>
        <w:jc w:val="both"/>
        <w:textAlignment w:val="baseline"/>
        <w:rPr>
          <w:rFonts w:ascii="Tahoma" w:hAnsi="Tahoma" w:cs="Tahoma"/>
          <w:sz w:val="20"/>
          <w:szCs w:val="20"/>
          <w:lang w:eastAsia="es-CO"/>
        </w:rPr>
      </w:pPr>
    </w:p>
    <w:p w14:paraId="3B51AD65" w14:textId="77777777" w:rsidR="00EB2215" w:rsidRPr="00625F7E" w:rsidRDefault="00EB2215" w:rsidP="00EB2215">
      <w:pPr>
        <w:autoSpaceDE w:val="0"/>
        <w:autoSpaceDN w:val="0"/>
        <w:jc w:val="both"/>
        <w:rPr>
          <w:rFonts w:ascii="Tahoma" w:hAnsi="Tahoma" w:cs="Tahoma"/>
          <w:sz w:val="20"/>
          <w:szCs w:val="20"/>
          <w:lang w:eastAsia="es-CO"/>
        </w:rPr>
      </w:pPr>
      <w:r w:rsidRPr="00625F7E">
        <w:rPr>
          <w:rFonts w:ascii="Tahoma" w:hAnsi="Tahoma" w:cs="Tahoma"/>
          <w:sz w:val="20"/>
          <w:szCs w:val="20"/>
          <w:lang w:eastAsia="es-CO"/>
        </w:rPr>
        <w:t xml:space="preserve">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SFC a los tomadores del seguro y a las entidades extranjeras que ofrezcan estos servicios sin la autorización requerida. </w:t>
      </w:r>
    </w:p>
    <w:p w14:paraId="4775C2B9" w14:textId="77777777" w:rsidR="00EB2215" w:rsidRPr="00625F7E" w:rsidRDefault="00EB2215" w:rsidP="00EB2215">
      <w:pPr>
        <w:autoSpaceDE w:val="0"/>
        <w:autoSpaceDN w:val="0"/>
        <w:jc w:val="both"/>
        <w:rPr>
          <w:rFonts w:ascii="Tahoma" w:hAnsi="Tahoma" w:cs="Tahoma"/>
          <w:sz w:val="20"/>
          <w:szCs w:val="20"/>
          <w:lang w:eastAsia="es-CO"/>
        </w:rPr>
      </w:pPr>
    </w:p>
    <w:p w14:paraId="0BBC148B" w14:textId="77777777" w:rsidR="00EB2215" w:rsidRPr="00625F7E" w:rsidRDefault="00EB2215" w:rsidP="00EB2215">
      <w:pPr>
        <w:autoSpaceDE w:val="0"/>
        <w:autoSpaceDN w:val="0"/>
        <w:jc w:val="both"/>
        <w:rPr>
          <w:rFonts w:ascii="Tahoma" w:hAnsi="Tahoma" w:cs="Tahoma"/>
          <w:sz w:val="20"/>
          <w:szCs w:val="20"/>
          <w:lang w:eastAsia="es-CO"/>
        </w:rPr>
      </w:pPr>
      <w:r w:rsidRPr="00625F7E">
        <w:rPr>
          <w:rFonts w:ascii="Tahoma" w:hAnsi="Tahoma" w:cs="Tahoma"/>
          <w:sz w:val="20"/>
          <w:szCs w:val="20"/>
          <w:lang w:eastAsia="es-CO"/>
        </w:rPr>
        <w:t xml:space="preserve">La Constitución Política de Colombia establece que la actividad aseguradora en Colombia es de interés público razón por la cual solo puede ser ejercida en el país previa autorización del Estado. (Ver Artículo 335 C.P.C.) </w:t>
      </w:r>
    </w:p>
    <w:p w14:paraId="496CCA19" w14:textId="77777777" w:rsidR="00EB2215" w:rsidRPr="00625F7E" w:rsidRDefault="00EB2215" w:rsidP="00EB2215">
      <w:pPr>
        <w:autoSpaceDE w:val="0"/>
        <w:autoSpaceDN w:val="0"/>
        <w:ind w:left="360"/>
        <w:jc w:val="both"/>
        <w:rPr>
          <w:rFonts w:ascii="Tahoma" w:hAnsi="Tahoma" w:cs="Tahoma"/>
          <w:sz w:val="20"/>
          <w:szCs w:val="20"/>
          <w:lang w:eastAsia="es-CO"/>
        </w:rPr>
      </w:pPr>
    </w:p>
    <w:p w14:paraId="6D92045C" w14:textId="77777777" w:rsidR="00EB2215" w:rsidRPr="00625F7E" w:rsidRDefault="00EB2215" w:rsidP="00EB2215">
      <w:pPr>
        <w:autoSpaceDE w:val="0"/>
        <w:autoSpaceDN w:val="0"/>
        <w:jc w:val="both"/>
        <w:rPr>
          <w:rFonts w:ascii="Tahoma" w:hAnsi="Tahoma" w:cs="Tahoma"/>
          <w:sz w:val="20"/>
          <w:szCs w:val="20"/>
          <w:lang w:eastAsia="es-CO"/>
        </w:rPr>
      </w:pPr>
      <w:r w:rsidRPr="00625F7E">
        <w:rPr>
          <w:rFonts w:ascii="Tahoma" w:hAnsi="Tahoma" w:cs="Tahoma"/>
          <w:sz w:val="20"/>
          <w:szCs w:val="20"/>
          <w:lang w:eastAsia="es-CO"/>
        </w:rPr>
        <w:t xml:space="preserve">Por ello, cualquier persona que desee desarrollar el negocio de los seguros en Colombia debe contar con la autorización previa de la Superintendencia Financiera de Colombia. (Ver Artículos 39 y 108, numeral 3º EOSF). Para desarrollar la actividad aseguradora en Colombia debe constituirse en el país una entidad bajo la forma de sociedad anónima mercantil o asociación cooperativa, una vez obtenida la autorización expresa de la Superintendencia Financiera de Colombia. </w:t>
      </w:r>
    </w:p>
    <w:p w14:paraId="15BE311D" w14:textId="77777777" w:rsidR="00EB2215" w:rsidRPr="00625F7E" w:rsidRDefault="00EB2215" w:rsidP="00EB2215">
      <w:pPr>
        <w:ind w:left="360"/>
        <w:jc w:val="both"/>
        <w:rPr>
          <w:rFonts w:ascii="Tahoma" w:hAnsi="Tahoma" w:cs="Tahoma"/>
          <w:sz w:val="20"/>
          <w:szCs w:val="20"/>
          <w:lang w:eastAsia="es-CO"/>
        </w:rPr>
      </w:pPr>
    </w:p>
    <w:p w14:paraId="3C6EEA65" w14:textId="77777777" w:rsidR="00EB2215" w:rsidRPr="00625F7E" w:rsidRDefault="00EB2215" w:rsidP="00EB2215">
      <w:pPr>
        <w:widowControl w:val="0"/>
        <w:ind w:right="17"/>
        <w:jc w:val="both"/>
        <w:rPr>
          <w:rFonts w:ascii="Tahoma" w:hAnsi="Tahoma" w:cs="Tahoma"/>
          <w:sz w:val="20"/>
          <w:szCs w:val="20"/>
          <w:lang w:eastAsia="es-CO"/>
        </w:rPr>
      </w:pPr>
      <w:r w:rsidRPr="00625F7E">
        <w:rPr>
          <w:rFonts w:ascii="Tahoma" w:hAnsi="Tahoma" w:cs="Tahoma"/>
          <w:sz w:val="20"/>
          <w:szCs w:val="20"/>
          <w:lang w:eastAsia="es-CO"/>
        </w:rPr>
        <w:t>Esto significa que las entidades aseguradoras extranjeras no pueden operar ni contratar directamente seguros en Colombia; para ello deben constituir una entidad filial en el país de acuerdo con lo dispuesto en la Constitución y la Ley</w:t>
      </w:r>
    </w:p>
    <w:p w14:paraId="0622FBC3" w14:textId="77777777" w:rsidR="00EB2215" w:rsidRPr="00625F7E" w:rsidRDefault="00EB2215" w:rsidP="00EB2215">
      <w:pPr>
        <w:widowControl w:val="0"/>
        <w:ind w:right="17"/>
        <w:jc w:val="both"/>
        <w:rPr>
          <w:rFonts w:ascii="Tahoma" w:hAnsi="Tahoma" w:cs="Tahoma"/>
          <w:sz w:val="20"/>
          <w:szCs w:val="20"/>
          <w:lang w:eastAsia="es-CO"/>
        </w:rPr>
      </w:pPr>
    </w:p>
    <w:p w14:paraId="07211DDE" w14:textId="77777777" w:rsidR="00EB2215" w:rsidRPr="00625F7E" w:rsidRDefault="00EB2215" w:rsidP="00EB2215">
      <w:pPr>
        <w:tabs>
          <w:tab w:val="left" w:pos="6743"/>
        </w:tabs>
        <w:jc w:val="both"/>
        <w:rPr>
          <w:rFonts w:ascii="Tahoma" w:hAnsi="Tahoma" w:cs="Tahoma"/>
          <w:sz w:val="20"/>
          <w:szCs w:val="20"/>
          <w:lang w:eastAsia="en-US"/>
        </w:rPr>
      </w:pPr>
      <w:r w:rsidRPr="00625F7E">
        <w:rPr>
          <w:rFonts w:ascii="Tahoma" w:hAnsi="Tahoma" w:cs="Tahoma"/>
          <w:sz w:val="20"/>
          <w:szCs w:val="20"/>
          <w:lang w:eastAsia="es-CO"/>
        </w:rPr>
        <w:t xml:space="preserve">Así las cosas se concluye que </w:t>
      </w:r>
      <w:r w:rsidRPr="00625F7E">
        <w:rPr>
          <w:rFonts w:ascii="Tahoma" w:hAnsi="Tahoma" w:cs="Tahoma"/>
          <w:sz w:val="20"/>
          <w:szCs w:val="20"/>
          <w:lang w:eastAsia="en-US"/>
        </w:rPr>
        <w:t>al presente proceso no le aplican los tratados indicados en el cuadro anterior, de acuerdo con el Anexo 4, numeral 8 “Servicios Financieros” del Manual para el manejo de los Acuerdos Comerciales en Procesos de Contratación (</w:t>
      </w:r>
      <w:r w:rsidRPr="00625F7E">
        <w:rPr>
          <w:rFonts w:ascii="Tahoma" w:hAnsi="Tahoma" w:cs="Tahoma"/>
          <w:i/>
          <w:sz w:val="20"/>
          <w:szCs w:val="20"/>
          <w:lang w:eastAsia="en-US"/>
        </w:rPr>
        <w:t>CCE-EICP-MA-07</w:t>
      </w:r>
      <w:r w:rsidRPr="00625F7E">
        <w:rPr>
          <w:rFonts w:ascii="Tahoma" w:hAnsi="Tahoma" w:cs="Tahoma"/>
          <w:sz w:val="20"/>
          <w:szCs w:val="20"/>
          <w:lang w:eastAsia="en-US"/>
        </w:rPr>
        <w:t>) expedido por Colombia Compra Eficiente, puesto que los seguros se equiparan a servicios financieros para los cuales es necesario ser una sociedad comercial constituida en Colombia y contar con la autorización de la Superintendencia Financiera de Colombia, tal y como lo establece el Decreto 663 de 1993.</w:t>
      </w:r>
    </w:p>
    <w:bookmarkEnd w:id="9"/>
    <w:p w14:paraId="1C837FB4" w14:textId="77777777" w:rsidR="00EB2215" w:rsidRPr="00625F7E" w:rsidRDefault="00EB2215" w:rsidP="00EB2215">
      <w:pPr>
        <w:jc w:val="both"/>
        <w:rPr>
          <w:rFonts w:ascii="Tahoma" w:eastAsia="Tahoma" w:hAnsi="Tahoma" w:cs="Tahoma"/>
          <w:color w:val="000000"/>
          <w:sz w:val="20"/>
          <w:szCs w:val="20"/>
        </w:rPr>
      </w:pPr>
    </w:p>
    <w:tbl>
      <w:tblPr>
        <w:tblW w:w="9442" w:type="dxa"/>
        <w:tblLayout w:type="fixed"/>
        <w:tblLook w:val="0600" w:firstRow="0" w:lastRow="0" w:firstColumn="0" w:lastColumn="0" w:noHBand="1" w:noVBand="1"/>
      </w:tblPr>
      <w:tblGrid>
        <w:gridCol w:w="1975"/>
        <w:gridCol w:w="915"/>
        <w:gridCol w:w="1523"/>
        <w:gridCol w:w="1676"/>
        <w:gridCol w:w="1677"/>
        <w:gridCol w:w="1676"/>
      </w:tblGrid>
      <w:tr w:rsidR="00EB2215" w:rsidRPr="00625F7E" w14:paraId="474301D7" w14:textId="77777777" w:rsidTr="00A800DF">
        <w:trPr>
          <w:cantSplit/>
          <w:trHeight w:val="888"/>
        </w:trPr>
        <w:tc>
          <w:tcPr>
            <w:tcW w:w="2890" w:type="dxa"/>
            <w:gridSpan w:val="2"/>
            <w:tcBorders>
              <w:top w:val="single" w:sz="4" w:space="0" w:color="auto"/>
              <w:left w:val="single" w:sz="4" w:space="0" w:color="auto"/>
              <w:bottom w:val="single" w:sz="8" w:space="0" w:color="000000"/>
              <w:right w:val="single" w:sz="8" w:space="0" w:color="000000"/>
            </w:tcBorders>
            <w:shd w:val="clear" w:color="auto" w:fill="DEEAF6"/>
            <w:tcMar>
              <w:top w:w="0" w:type="dxa"/>
              <w:left w:w="0" w:type="dxa"/>
              <w:bottom w:w="0" w:type="dxa"/>
              <w:right w:w="0" w:type="dxa"/>
            </w:tcMar>
            <w:vAlign w:val="center"/>
          </w:tcPr>
          <w:p w14:paraId="7BC6DCC0" w14:textId="77777777" w:rsidR="00EB2215" w:rsidRPr="00625F7E" w:rsidRDefault="00EB2215" w:rsidP="00A800DF">
            <w:pPr>
              <w:jc w:val="center"/>
              <w:rPr>
                <w:rFonts w:ascii="Tahoma" w:eastAsia="Arial Narrow" w:hAnsi="Tahoma" w:cs="Tahoma"/>
                <w:b/>
                <w:sz w:val="16"/>
                <w:szCs w:val="16"/>
                <w:lang w:eastAsia="en-US"/>
              </w:rPr>
            </w:pPr>
            <w:bookmarkStart w:id="10" w:name="_Hlk187228706"/>
            <w:r w:rsidRPr="00625F7E">
              <w:rPr>
                <w:rFonts w:ascii="Tahoma" w:eastAsia="Arial Narrow" w:hAnsi="Tahoma" w:cs="Tahoma"/>
                <w:b/>
                <w:sz w:val="16"/>
                <w:szCs w:val="16"/>
                <w:lang w:eastAsia="en-US"/>
              </w:rPr>
              <w:t>Acuerdo Comercial</w:t>
            </w:r>
          </w:p>
        </w:tc>
        <w:tc>
          <w:tcPr>
            <w:tcW w:w="1523" w:type="dxa"/>
            <w:tcBorders>
              <w:top w:val="single" w:sz="4" w:space="0" w:color="auto"/>
              <w:left w:val="nil"/>
              <w:bottom w:val="single" w:sz="8" w:space="0" w:color="000000"/>
              <w:right w:val="single" w:sz="8" w:space="0" w:color="000000"/>
            </w:tcBorders>
            <w:shd w:val="clear" w:color="auto" w:fill="DEEAF6"/>
            <w:tcMar>
              <w:top w:w="0" w:type="dxa"/>
              <w:left w:w="0" w:type="dxa"/>
              <w:bottom w:w="0" w:type="dxa"/>
              <w:right w:w="0" w:type="dxa"/>
            </w:tcMar>
            <w:vAlign w:val="center"/>
          </w:tcPr>
          <w:p w14:paraId="170FB314" w14:textId="77777777" w:rsidR="00EB2215" w:rsidRPr="00625F7E" w:rsidRDefault="00EB2215" w:rsidP="00A800DF">
            <w:pPr>
              <w:jc w:val="center"/>
              <w:rPr>
                <w:rFonts w:ascii="Tahoma" w:eastAsia="Arial Narrow" w:hAnsi="Tahoma" w:cs="Tahoma"/>
                <w:b/>
                <w:sz w:val="16"/>
                <w:szCs w:val="16"/>
                <w:lang w:eastAsia="en-US"/>
              </w:rPr>
            </w:pPr>
            <w:r w:rsidRPr="00625F7E">
              <w:rPr>
                <w:rFonts w:ascii="Tahoma" w:eastAsia="Arial Narrow" w:hAnsi="Tahoma" w:cs="Tahoma"/>
                <w:b/>
                <w:sz w:val="16"/>
                <w:szCs w:val="16"/>
                <w:lang w:eastAsia="en-US"/>
              </w:rPr>
              <w:t>Entidad Estatal incluida</w:t>
            </w:r>
          </w:p>
        </w:tc>
        <w:tc>
          <w:tcPr>
            <w:tcW w:w="1676" w:type="dxa"/>
            <w:tcBorders>
              <w:top w:val="single" w:sz="4" w:space="0" w:color="auto"/>
              <w:left w:val="nil"/>
              <w:bottom w:val="single" w:sz="8" w:space="0" w:color="000000"/>
              <w:right w:val="single" w:sz="8" w:space="0" w:color="000000"/>
            </w:tcBorders>
            <w:shd w:val="clear" w:color="auto" w:fill="DEEAF6"/>
            <w:tcMar>
              <w:top w:w="0" w:type="dxa"/>
              <w:left w:w="0" w:type="dxa"/>
              <w:bottom w:w="0" w:type="dxa"/>
              <w:right w:w="0" w:type="dxa"/>
            </w:tcMar>
            <w:vAlign w:val="center"/>
          </w:tcPr>
          <w:p w14:paraId="5055CD86" w14:textId="77777777" w:rsidR="00EB2215" w:rsidRPr="00625F7E" w:rsidRDefault="00EB2215" w:rsidP="00A800DF">
            <w:pPr>
              <w:jc w:val="center"/>
              <w:rPr>
                <w:rFonts w:ascii="Tahoma" w:eastAsia="Arial Narrow" w:hAnsi="Tahoma" w:cs="Tahoma"/>
                <w:b/>
                <w:sz w:val="16"/>
                <w:szCs w:val="16"/>
                <w:lang w:eastAsia="en-US"/>
              </w:rPr>
            </w:pPr>
            <w:r w:rsidRPr="00625F7E">
              <w:rPr>
                <w:rFonts w:ascii="Tahoma" w:eastAsia="Arial Narrow" w:hAnsi="Tahoma" w:cs="Tahoma"/>
                <w:b/>
                <w:sz w:val="16"/>
                <w:szCs w:val="16"/>
                <w:lang w:eastAsia="en-US"/>
              </w:rPr>
              <w:t>Presupuesto del Proceso de Contratación superior al valor del Acuerdo Comercial</w:t>
            </w:r>
          </w:p>
        </w:tc>
        <w:tc>
          <w:tcPr>
            <w:tcW w:w="1677" w:type="dxa"/>
            <w:tcBorders>
              <w:top w:val="single" w:sz="4" w:space="0" w:color="auto"/>
              <w:left w:val="nil"/>
              <w:bottom w:val="single" w:sz="8" w:space="0" w:color="000000"/>
              <w:right w:val="single" w:sz="8" w:space="0" w:color="000000"/>
            </w:tcBorders>
            <w:shd w:val="clear" w:color="auto" w:fill="DEEAF6"/>
            <w:tcMar>
              <w:top w:w="0" w:type="dxa"/>
              <w:left w:w="0" w:type="dxa"/>
              <w:bottom w:w="0" w:type="dxa"/>
              <w:right w:w="0" w:type="dxa"/>
            </w:tcMar>
            <w:vAlign w:val="center"/>
          </w:tcPr>
          <w:p w14:paraId="06BA5D8F" w14:textId="77777777" w:rsidR="00EB2215" w:rsidRPr="00625F7E" w:rsidRDefault="00EB2215" w:rsidP="00A800DF">
            <w:pPr>
              <w:jc w:val="center"/>
              <w:rPr>
                <w:rFonts w:ascii="Tahoma" w:eastAsia="Arial Narrow" w:hAnsi="Tahoma" w:cs="Tahoma"/>
                <w:b/>
                <w:sz w:val="16"/>
                <w:szCs w:val="16"/>
                <w:lang w:eastAsia="en-US"/>
              </w:rPr>
            </w:pPr>
            <w:r w:rsidRPr="00625F7E">
              <w:rPr>
                <w:rFonts w:ascii="Tahoma" w:eastAsia="Arial Narrow" w:hAnsi="Tahoma" w:cs="Tahoma"/>
                <w:b/>
                <w:sz w:val="16"/>
                <w:szCs w:val="16"/>
                <w:lang w:eastAsia="en-US"/>
              </w:rPr>
              <w:t>Excepción aplicable al Proceso de Contratación*</w:t>
            </w:r>
          </w:p>
        </w:tc>
        <w:tc>
          <w:tcPr>
            <w:tcW w:w="1676" w:type="dxa"/>
            <w:tcBorders>
              <w:top w:val="single" w:sz="4" w:space="0" w:color="auto"/>
              <w:left w:val="nil"/>
              <w:bottom w:val="single" w:sz="8" w:space="0" w:color="000000"/>
              <w:right w:val="single" w:sz="4" w:space="0" w:color="auto"/>
            </w:tcBorders>
            <w:shd w:val="clear" w:color="auto" w:fill="DEEAF6"/>
            <w:tcMar>
              <w:top w:w="0" w:type="dxa"/>
              <w:left w:w="0" w:type="dxa"/>
              <w:bottom w:w="0" w:type="dxa"/>
              <w:right w:w="0" w:type="dxa"/>
            </w:tcMar>
            <w:vAlign w:val="center"/>
          </w:tcPr>
          <w:p w14:paraId="36A3DC31" w14:textId="77777777" w:rsidR="00EB2215" w:rsidRPr="00625F7E" w:rsidRDefault="00EB2215" w:rsidP="00A800DF">
            <w:pPr>
              <w:jc w:val="center"/>
              <w:rPr>
                <w:rFonts w:ascii="Tahoma" w:eastAsia="Arial Narrow" w:hAnsi="Tahoma" w:cs="Tahoma"/>
                <w:b/>
                <w:sz w:val="16"/>
                <w:szCs w:val="16"/>
                <w:lang w:eastAsia="en-US"/>
              </w:rPr>
            </w:pPr>
            <w:r w:rsidRPr="00625F7E">
              <w:rPr>
                <w:rFonts w:ascii="Tahoma" w:eastAsia="Arial Narrow" w:hAnsi="Tahoma" w:cs="Tahoma"/>
                <w:b/>
                <w:sz w:val="16"/>
                <w:szCs w:val="16"/>
                <w:lang w:eastAsia="en-US"/>
              </w:rPr>
              <w:t>Proceso de Contratación cubierto por el Acuerdo Comercial</w:t>
            </w:r>
          </w:p>
        </w:tc>
      </w:tr>
      <w:tr w:rsidR="00EB2215" w:rsidRPr="00625F7E" w14:paraId="65B0CFE2" w14:textId="77777777" w:rsidTr="00A800DF">
        <w:trPr>
          <w:cantSplit/>
          <w:trHeight w:val="151"/>
        </w:trPr>
        <w:tc>
          <w:tcPr>
            <w:tcW w:w="1975" w:type="dxa"/>
            <w:vMerge w:val="restart"/>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70AA7E3A"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lastRenderedPageBreak/>
              <w:t xml:space="preserve"> </w:t>
            </w:r>
          </w:p>
          <w:p w14:paraId="57B97134"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Alianza Pacífico</w:t>
            </w:r>
          </w:p>
        </w:tc>
        <w:tc>
          <w:tcPr>
            <w:tcW w:w="914" w:type="dxa"/>
            <w:tcBorders>
              <w:top w:val="nil"/>
              <w:left w:val="nil"/>
              <w:bottom w:val="single" w:sz="8" w:space="0" w:color="000000"/>
              <w:right w:val="single" w:sz="8" w:space="0" w:color="000000"/>
            </w:tcBorders>
            <w:tcMar>
              <w:top w:w="-467" w:type="dxa"/>
              <w:left w:w="-467" w:type="dxa"/>
              <w:bottom w:w="-467" w:type="dxa"/>
              <w:right w:w="-467" w:type="dxa"/>
            </w:tcMar>
            <w:vAlign w:val="center"/>
          </w:tcPr>
          <w:p w14:paraId="0038B4BB"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Chile</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1A7A1F6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5A14B353"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673062BB"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46487B5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17D343B4" w14:textId="77777777" w:rsidTr="00A800DF">
        <w:trPr>
          <w:cantSplit/>
          <w:trHeight w:val="137"/>
        </w:trPr>
        <w:tc>
          <w:tcPr>
            <w:tcW w:w="1975" w:type="dxa"/>
            <w:vMerge/>
            <w:tcBorders>
              <w:left w:val="single" w:sz="4" w:space="0" w:color="auto"/>
              <w:bottom w:val="single" w:sz="8" w:space="0" w:color="000000"/>
              <w:right w:val="single" w:sz="8" w:space="0" w:color="000000"/>
            </w:tcBorders>
            <w:tcMar>
              <w:top w:w="-467" w:type="dxa"/>
              <w:left w:w="-467" w:type="dxa"/>
              <w:bottom w:w="-467" w:type="dxa"/>
              <w:right w:w="-467" w:type="dxa"/>
            </w:tcMar>
            <w:vAlign w:val="center"/>
          </w:tcPr>
          <w:p w14:paraId="4B24070A" w14:textId="77777777" w:rsidR="00EB2215" w:rsidRPr="00625F7E" w:rsidRDefault="00EB2215" w:rsidP="00A800DF">
            <w:pPr>
              <w:spacing w:before="1"/>
              <w:ind w:left="342" w:right="952"/>
              <w:jc w:val="both"/>
              <w:rPr>
                <w:rFonts w:ascii="Tahoma" w:hAnsi="Tahoma" w:cs="Tahoma"/>
                <w:sz w:val="16"/>
                <w:szCs w:val="16"/>
                <w:lang w:eastAsia="en-US"/>
              </w:rPr>
            </w:pPr>
          </w:p>
        </w:tc>
        <w:tc>
          <w:tcPr>
            <w:tcW w:w="914" w:type="dxa"/>
            <w:tcBorders>
              <w:top w:val="nil"/>
              <w:left w:val="nil"/>
              <w:bottom w:val="single" w:sz="8" w:space="0" w:color="000000"/>
              <w:right w:val="single" w:sz="8" w:space="0" w:color="000000"/>
            </w:tcBorders>
            <w:tcMar>
              <w:top w:w="-467" w:type="dxa"/>
              <w:left w:w="-467" w:type="dxa"/>
              <w:bottom w:w="-467" w:type="dxa"/>
              <w:right w:w="-467" w:type="dxa"/>
            </w:tcMar>
            <w:vAlign w:val="center"/>
          </w:tcPr>
          <w:p w14:paraId="402EE0BA"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México</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61700E18"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22D9965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10698FD4"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3CBF740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1F4EE37E" w14:textId="77777777" w:rsidTr="00A800DF">
        <w:trPr>
          <w:cantSplit/>
          <w:trHeight w:val="107"/>
        </w:trPr>
        <w:tc>
          <w:tcPr>
            <w:tcW w:w="1975" w:type="dxa"/>
            <w:vMerge/>
            <w:tcBorders>
              <w:left w:val="single" w:sz="4" w:space="0" w:color="auto"/>
              <w:bottom w:val="single" w:sz="8" w:space="0" w:color="000000"/>
              <w:right w:val="single" w:sz="8" w:space="0" w:color="000000"/>
            </w:tcBorders>
            <w:tcMar>
              <w:top w:w="-467" w:type="dxa"/>
              <w:left w:w="-467" w:type="dxa"/>
              <w:bottom w:w="-467" w:type="dxa"/>
              <w:right w:w="-467" w:type="dxa"/>
            </w:tcMar>
            <w:vAlign w:val="center"/>
          </w:tcPr>
          <w:p w14:paraId="1ED92057" w14:textId="77777777" w:rsidR="00EB2215" w:rsidRPr="00625F7E" w:rsidRDefault="00EB2215" w:rsidP="00A800DF">
            <w:pPr>
              <w:spacing w:before="1"/>
              <w:ind w:left="342" w:right="952"/>
              <w:jc w:val="both"/>
              <w:rPr>
                <w:rFonts w:ascii="Tahoma" w:hAnsi="Tahoma" w:cs="Tahoma"/>
                <w:sz w:val="16"/>
                <w:szCs w:val="16"/>
                <w:lang w:eastAsia="en-US"/>
              </w:rPr>
            </w:pPr>
          </w:p>
        </w:tc>
        <w:tc>
          <w:tcPr>
            <w:tcW w:w="914" w:type="dxa"/>
            <w:tcBorders>
              <w:top w:val="nil"/>
              <w:left w:val="nil"/>
              <w:bottom w:val="single" w:sz="8" w:space="0" w:color="000000"/>
              <w:right w:val="single" w:sz="8" w:space="0" w:color="000000"/>
            </w:tcBorders>
            <w:tcMar>
              <w:top w:w="-467" w:type="dxa"/>
              <w:left w:w="-467" w:type="dxa"/>
              <w:bottom w:w="-467" w:type="dxa"/>
              <w:right w:w="-467" w:type="dxa"/>
            </w:tcMar>
            <w:vAlign w:val="center"/>
          </w:tcPr>
          <w:p w14:paraId="0ABA7C2E"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Perú</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2F3AAAA2"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78B0CBFC"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318E792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41CAE20D"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2859C60D" w14:textId="77777777" w:rsidTr="00A800DF">
        <w:trPr>
          <w:cantSplit/>
          <w:trHeight w:val="50"/>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307A194A"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Canadá</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5728EE6B"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584F641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78BFFC21"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78387126"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55D720DE" w14:textId="77777777" w:rsidTr="00A800DF">
        <w:trPr>
          <w:cantSplit/>
          <w:trHeight w:val="243"/>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170FB552"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Chile</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50ABC10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68196396"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310E7238"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1240AA6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377ABE08" w14:textId="77777777" w:rsidTr="00A800DF">
        <w:trPr>
          <w:cantSplit/>
          <w:trHeight w:val="243"/>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3914B57F"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Corea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6A83A29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5701C323"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79A803B5"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3DA32978"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236B2E98" w14:textId="77777777" w:rsidTr="00A800DF">
        <w:trPr>
          <w:cantSplit/>
          <w:trHeight w:val="229"/>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7AD8FFC9"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Costa Rica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71D9BBC6"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4905A193"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78146DF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42CBE70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65DA1712" w14:textId="77777777" w:rsidTr="00A800DF">
        <w:trPr>
          <w:cantSplit/>
          <w:trHeight w:val="243"/>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61E74D64"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Estados AELC</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0190DCC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2D739EC2"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479E3CBD"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1C8CEFD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1DABCB9E" w14:textId="77777777" w:rsidTr="00A800DF">
        <w:trPr>
          <w:cantSplit/>
          <w:trHeight w:val="243"/>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7AB3F310"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Estados Unidos</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6480B1BC"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382F5C21"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0BEE27D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4A7C4D3C"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2BA5F7B5" w14:textId="77777777" w:rsidTr="00A800DF">
        <w:trPr>
          <w:cantSplit/>
          <w:trHeight w:val="280"/>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62AF378D"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México</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76F2FD2D"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62E7A932"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6C52DB1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41AD2D0C"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1AAF4D48" w14:textId="77777777" w:rsidTr="00A800DF">
        <w:trPr>
          <w:cantSplit/>
          <w:trHeight w:val="79"/>
        </w:trPr>
        <w:tc>
          <w:tcPr>
            <w:tcW w:w="1975" w:type="dxa"/>
            <w:vMerge w:val="restart"/>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191CA622"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Triángulo Norte</w:t>
            </w:r>
          </w:p>
        </w:tc>
        <w:tc>
          <w:tcPr>
            <w:tcW w:w="914" w:type="dxa"/>
            <w:tcBorders>
              <w:top w:val="nil"/>
              <w:left w:val="nil"/>
              <w:bottom w:val="single" w:sz="8" w:space="0" w:color="000000"/>
              <w:right w:val="single" w:sz="8" w:space="0" w:color="000000"/>
            </w:tcBorders>
            <w:tcMar>
              <w:top w:w="-467" w:type="dxa"/>
              <w:left w:w="-467" w:type="dxa"/>
              <w:bottom w:w="-467" w:type="dxa"/>
              <w:right w:w="-467" w:type="dxa"/>
            </w:tcMar>
          </w:tcPr>
          <w:p w14:paraId="7B1E35D9"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5104BB52"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3D930B6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4D2A8893"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73C654C7"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2E234874" w14:textId="77777777" w:rsidTr="00A800DF">
        <w:trPr>
          <w:cantSplit/>
          <w:trHeight w:val="137"/>
        </w:trPr>
        <w:tc>
          <w:tcPr>
            <w:tcW w:w="1975" w:type="dxa"/>
            <w:vMerge/>
            <w:tcBorders>
              <w:left w:val="single" w:sz="4" w:space="0" w:color="auto"/>
              <w:bottom w:val="single" w:sz="8" w:space="0" w:color="000000"/>
              <w:right w:val="single" w:sz="8" w:space="0" w:color="000000"/>
            </w:tcBorders>
            <w:tcMar>
              <w:top w:w="-467" w:type="dxa"/>
              <w:left w:w="-467" w:type="dxa"/>
              <w:bottom w:w="-467" w:type="dxa"/>
              <w:right w:w="-467" w:type="dxa"/>
            </w:tcMar>
            <w:vAlign w:val="center"/>
          </w:tcPr>
          <w:p w14:paraId="523487B7" w14:textId="77777777" w:rsidR="00EB2215" w:rsidRPr="00625F7E" w:rsidRDefault="00EB2215" w:rsidP="00A800DF">
            <w:pPr>
              <w:spacing w:before="1"/>
              <w:ind w:left="342" w:right="952"/>
              <w:jc w:val="both"/>
              <w:rPr>
                <w:rFonts w:ascii="Tahoma" w:hAnsi="Tahoma" w:cs="Tahoma"/>
                <w:sz w:val="16"/>
                <w:szCs w:val="16"/>
                <w:lang w:eastAsia="en-US"/>
              </w:rPr>
            </w:pPr>
          </w:p>
        </w:tc>
        <w:tc>
          <w:tcPr>
            <w:tcW w:w="914" w:type="dxa"/>
            <w:tcBorders>
              <w:top w:val="nil"/>
              <w:left w:val="nil"/>
              <w:bottom w:val="single" w:sz="8" w:space="0" w:color="000000"/>
              <w:right w:val="single" w:sz="8" w:space="0" w:color="000000"/>
            </w:tcBorders>
            <w:tcMar>
              <w:top w:w="-467" w:type="dxa"/>
              <w:left w:w="-467" w:type="dxa"/>
              <w:bottom w:w="-467" w:type="dxa"/>
              <w:right w:w="-467" w:type="dxa"/>
            </w:tcMar>
          </w:tcPr>
          <w:p w14:paraId="4447590A"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002F9B25"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3D5F8AF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15642717"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3E3C6609"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5084FB92" w14:textId="77777777" w:rsidTr="00A800DF">
        <w:trPr>
          <w:cantSplit/>
          <w:trHeight w:val="137"/>
        </w:trPr>
        <w:tc>
          <w:tcPr>
            <w:tcW w:w="1975" w:type="dxa"/>
            <w:vMerge/>
            <w:tcBorders>
              <w:left w:val="single" w:sz="4" w:space="0" w:color="auto"/>
              <w:bottom w:val="single" w:sz="8" w:space="0" w:color="000000"/>
              <w:right w:val="single" w:sz="8" w:space="0" w:color="000000"/>
            </w:tcBorders>
            <w:tcMar>
              <w:top w:w="-467" w:type="dxa"/>
              <w:left w:w="-467" w:type="dxa"/>
              <w:bottom w:w="-467" w:type="dxa"/>
              <w:right w:w="-467" w:type="dxa"/>
            </w:tcMar>
            <w:vAlign w:val="center"/>
          </w:tcPr>
          <w:p w14:paraId="1A9F542C" w14:textId="77777777" w:rsidR="00EB2215" w:rsidRPr="00625F7E" w:rsidRDefault="00EB2215" w:rsidP="00A800DF">
            <w:pPr>
              <w:spacing w:before="1"/>
              <w:ind w:left="342" w:right="952"/>
              <w:jc w:val="both"/>
              <w:rPr>
                <w:rFonts w:ascii="Tahoma" w:hAnsi="Tahoma" w:cs="Tahoma"/>
                <w:sz w:val="16"/>
                <w:szCs w:val="16"/>
                <w:lang w:eastAsia="en-US"/>
              </w:rPr>
            </w:pPr>
          </w:p>
        </w:tc>
        <w:tc>
          <w:tcPr>
            <w:tcW w:w="914" w:type="dxa"/>
            <w:tcBorders>
              <w:top w:val="nil"/>
              <w:left w:val="nil"/>
              <w:bottom w:val="single" w:sz="8" w:space="0" w:color="000000"/>
              <w:right w:val="single" w:sz="8" w:space="0" w:color="000000"/>
            </w:tcBorders>
            <w:tcMar>
              <w:top w:w="-467" w:type="dxa"/>
              <w:left w:w="-467" w:type="dxa"/>
              <w:bottom w:w="-467" w:type="dxa"/>
              <w:right w:w="-467" w:type="dxa"/>
            </w:tcMar>
          </w:tcPr>
          <w:p w14:paraId="6D6CE124"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05061506"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55612CDE"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0C032881"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703586E5"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3EA8C13B" w14:textId="77777777" w:rsidTr="00A800DF">
        <w:trPr>
          <w:cantSplit/>
          <w:trHeight w:val="107"/>
        </w:trPr>
        <w:tc>
          <w:tcPr>
            <w:tcW w:w="2890" w:type="dxa"/>
            <w:gridSpan w:val="2"/>
            <w:tcBorders>
              <w:top w:val="nil"/>
              <w:left w:val="single" w:sz="4" w:space="0" w:color="auto"/>
              <w:bottom w:val="single" w:sz="8" w:space="0" w:color="000000"/>
              <w:right w:val="single" w:sz="8" w:space="0" w:color="000000"/>
            </w:tcBorders>
            <w:tcMar>
              <w:top w:w="-467" w:type="dxa"/>
              <w:left w:w="-467" w:type="dxa"/>
              <w:bottom w:w="-467" w:type="dxa"/>
              <w:right w:w="-467" w:type="dxa"/>
            </w:tcMar>
            <w:vAlign w:val="center"/>
          </w:tcPr>
          <w:p w14:paraId="18B3FDF6"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Unión Europea</w:t>
            </w:r>
          </w:p>
        </w:tc>
        <w:tc>
          <w:tcPr>
            <w:tcW w:w="1523" w:type="dxa"/>
            <w:tcBorders>
              <w:top w:val="nil"/>
              <w:left w:val="nil"/>
              <w:bottom w:val="single" w:sz="8" w:space="0" w:color="000000"/>
              <w:right w:val="single" w:sz="8" w:space="0" w:color="000000"/>
            </w:tcBorders>
            <w:tcMar>
              <w:top w:w="-467" w:type="dxa"/>
              <w:left w:w="-467" w:type="dxa"/>
              <w:bottom w:w="-467" w:type="dxa"/>
              <w:right w:w="-467" w:type="dxa"/>
            </w:tcMar>
          </w:tcPr>
          <w:p w14:paraId="4C228BC0"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8" w:space="0" w:color="000000"/>
            </w:tcBorders>
            <w:tcMar>
              <w:top w:w="-467" w:type="dxa"/>
              <w:left w:w="-467" w:type="dxa"/>
              <w:bottom w:w="-467" w:type="dxa"/>
              <w:right w:w="-467" w:type="dxa"/>
            </w:tcMar>
          </w:tcPr>
          <w:p w14:paraId="6458263B"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8" w:space="0" w:color="000000"/>
              <w:right w:val="single" w:sz="8" w:space="0" w:color="000000"/>
            </w:tcBorders>
            <w:tcMar>
              <w:top w:w="-467" w:type="dxa"/>
              <w:left w:w="-467" w:type="dxa"/>
              <w:bottom w:w="-467" w:type="dxa"/>
              <w:right w:w="-467" w:type="dxa"/>
            </w:tcMar>
          </w:tcPr>
          <w:p w14:paraId="24BF8B57"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8" w:space="0" w:color="000000"/>
              <w:right w:val="single" w:sz="4" w:space="0" w:color="auto"/>
            </w:tcBorders>
            <w:tcMar>
              <w:top w:w="-467" w:type="dxa"/>
              <w:left w:w="-467" w:type="dxa"/>
              <w:bottom w:w="-467" w:type="dxa"/>
              <w:right w:w="-467" w:type="dxa"/>
            </w:tcMar>
          </w:tcPr>
          <w:p w14:paraId="63513D47"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tr w:rsidR="00EB2215" w:rsidRPr="00625F7E" w14:paraId="17E5CECB" w14:textId="77777777" w:rsidTr="00A800DF">
        <w:trPr>
          <w:cantSplit/>
          <w:trHeight w:val="488"/>
        </w:trPr>
        <w:tc>
          <w:tcPr>
            <w:tcW w:w="2890" w:type="dxa"/>
            <w:gridSpan w:val="2"/>
            <w:tcBorders>
              <w:top w:val="nil"/>
              <w:left w:val="single" w:sz="4" w:space="0" w:color="auto"/>
              <w:bottom w:val="single" w:sz="4" w:space="0" w:color="auto"/>
              <w:right w:val="single" w:sz="8" w:space="0" w:color="000000"/>
            </w:tcBorders>
            <w:tcMar>
              <w:top w:w="-467" w:type="dxa"/>
              <w:left w:w="-467" w:type="dxa"/>
              <w:bottom w:w="-467" w:type="dxa"/>
              <w:right w:w="-467" w:type="dxa"/>
            </w:tcMar>
            <w:vAlign w:val="center"/>
          </w:tcPr>
          <w:p w14:paraId="6B09D89C" w14:textId="77777777" w:rsidR="00EB2215" w:rsidRPr="00625F7E" w:rsidRDefault="00EB2215" w:rsidP="00A800DF">
            <w:pPr>
              <w:jc w:val="both"/>
              <w:rPr>
                <w:rFonts w:ascii="Tahoma" w:eastAsia="Arial Narrow" w:hAnsi="Tahoma" w:cs="Tahoma"/>
                <w:sz w:val="16"/>
                <w:szCs w:val="16"/>
                <w:lang w:eastAsia="en-US"/>
              </w:rPr>
            </w:pPr>
            <w:r w:rsidRPr="00625F7E">
              <w:rPr>
                <w:rFonts w:ascii="Tahoma" w:eastAsia="Arial Narrow" w:hAnsi="Tahoma" w:cs="Tahoma"/>
                <w:sz w:val="16"/>
                <w:szCs w:val="16"/>
                <w:lang w:eastAsia="en-US"/>
              </w:rPr>
              <w:t>Comunidad Andina – Decisión 439 de 1998 de la Secretaría de la CAN</w:t>
            </w:r>
          </w:p>
        </w:tc>
        <w:tc>
          <w:tcPr>
            <w:tcW w:w="1523" w:type="dxa"/>
            <w:tcBorders>
              <w:top w:val="nil"/>
              <w:left w:val="nil"/>
              <w:bottom w:val="single" w:sz="4" w:space="0" w:color="auto"/>
              <w:right w:val="single" w:sz="8" w:space="0" w:color="000000"/>
            </w:tcBorders>
            <w:tcMar>
              <w:top w:w="-467" w:type="dxa"/>
              <w:left w:w="-467" w:type="dxa"/>
              <w:bottom w:w="-467" w:type="dxa"/>
              <w:right w:w="-467" w:type="dxa"/>
            </w:tcMar>
            <w:vAlign w:val="center"/>
          </w:tcPr>
          <w:p w14:paraId="73C7D340"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4" w:space="0" w:color="auto"/>
              <w:right w:val="single" w:sz="8" w:space="0" w:color="000000"/>
            </w:tcBorders>
            <w:tcMar>
              <w:top w:w="-467" w:type="dxa"/>
              <w:left w:w="-467" w:type="dxa"/>
              <w:bottom w:w="-467" w:type="dxa"/>
              <w:right w:w="-467" w:type="dxa"/>
            </w:tcMar>
            <w:vAlign w:val="center"/>
          </w:tcPr>
          <w:p w14:paraId="540044BF"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7" w:type="dxa"/>
            <w:tcBorders>
              <w:top w:val="nil"/>
              <w:left w:val="nil"/>
              <w:bottom w:val="single" w:sz="4" w:space="0" w:color="auto"/>
              <w:right w:val="single" w:sz="8" w:space="0" w:color="000000"/>
            </w:tcBorders>
            <w:tcMar>
              <w:top w:w="-467" w:type="dxa"/>
              <w:left w:w="-467" w:type="dxa"/>
              <w:bottom w:w="-467" w:type="dxa"/>
              <w:right w:w="-467" w:type="dxa"/>
            </w:tcMar>
            <w:vAlign w:val="center"/>
          </w:tcPr>
          <w:p w14:paraId="295A2F07"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c>
          <w:tcPr>
            <w:tcW w:w="1676" w:type="dxa"/>
            <w:tcBorders>
              <w:top w:val="nil"/>
              <w:left w:val="nil"/>
              <w:bottom w:val="single" w:sz="4" w:space="0" w:color="auto"/>
              <w:right w:val="single" w:sz="4" w:space="0" w:color="auto"/>
            </w:tcBorders>
            <w:tcMar>
              <w:top w:w="-467" w:type="dxa"/>
              <w:left w:w="-467" w:type="dxa"/>
              <w:bottom w:w="-467" w:type="dxa"/>
              <w:right w:w="-467" w:type="dxa"/>
            </w:tcMar>
            <w:vAlign w:val="center"/>
          </w:tcPr>
          <w:p w14:paraId="03CAD8A4" w14:textId="77777777" w:rsidR="00EB2215" w:rsidRPr="00625F7E" w:rsidRDefault="00EB2215" w:rsidP="00A800DF">
            <w:pPr>
              <w:jc w:val="center"/>
              <w:rPr>
                <w:rFonts w:ascii="Tahoma" w:eastAsia="Arial Narrow" w:hAnsi="Tahoma" w:cs="Tahoma"/>
                <w:sz w:val="16"/>
                <w:szCs w:val="16"/>
                <w:lang w:eastAsia="en-US"/>
              </w:rPr>
            </w:pPr>
            <w:r w:rsidRPr="00625F7E">
              <w:rPr>
                <w:rFonts w:ascii="Tahoma" w:eastAsia="Arial Narrow" w:hAnsi="Tahoma" w:cs="Tahoma"/>
                <w:sz w:val="16"/>
                <w:szCs w:val="16"/>
                <w:lang w:eastAsia="en-US"/>
              </w:rPr>
              <w:t>N/A</w:t>
            </w:r>
          </w:p>
        </w:tc>
      </w:tr>
      <w:bookmarkEnd w:id="10"/>
    </w:tbl>
    <w:p w14:paraId="663AF299" w14:textId="77777777" w:rsidR="00EB2215" w:rsidRDefault="00EB2215" w:rsidP="00EB2215">
      <w:pPr>
        <w:autoSpaceDE w:val="0"/>
        <w:autoSpaceDN w:val="0"/>
        <w:adjustRightInd w:val="0"/>
        <w:jc w:val="both"/>
        <w:rPr>
          <w:rFonts w:ascii="Tahoma" w:hAnsi="Tahoma" w:cs="Tahoma"/>
          <w:sz w:val="20"/>
          <w:szCs w:val="20"/>
        </w:rPr>
      </w:pPr>
    </w:p>
    <w:p w14:paraId="7E79C1E7" w14:textId="77777777" w:rsidR="00EB2215" w:rsidRPr="00410327" w:rsidRDefault="00EB2215" w:rsidP="00EB2215">
      <w:pPr>
        <w:autoSpaceDE w:val="0"/>
        <w:autoSpaceDN w:val="0"/>
        <w:adjustRightInd w:val="0"/>
        <w:jc w:val="both"/>
        <w:rPr>
          <w:rFonts w:ascii="Tahoma" w:hAnsi="Tahoma" w:cs="Tahoma"/>
          <w:sz w:val="20"/>
          <w:szCs w:val="20"/>
        </w:rPr>
      </w:pPr>
    </w:p>
    <w:p w14:paraId="2010B175" w14:textId="77777777" w:rsidR="00EB2215" w:rsidRPr="00410327" w:rsidRDefault="00EB2215" w:rsidP="00EB2215">
      <w:pPr>
        <w:suppressAutoHyphens/>
        <w:jc w:val="both"/>
        <w:rPr>
          <w:rFonts w:ascii="Tahoma" w:hAnsi="Tahoma" w:cs="Tahoma"/>
          <w:b/>
          <w:bCs/>
          <w:color w:val="000000" w:themeColor="text1"/>
          <w:sz w:val="20"/>
          <w:szCs w:val="20"/>
          <w:lang w:eastAsia="ar-SA"/>
        </w:rPr>
      </w:pPr>
      <w:r w:rsidRPr="00410327">
        <w:rPr>
          <w:rFonts w:ascii="Tahoma" w:hAnsi="Tahoma" w:cs="Tahoma"/>
          <w:b/>
          <w:bCs/>
          <w:color w:val="000000" w:themeColor="text1"/>
          <w:sz w:val="20"/>
          <w:szCs w:val="20"/>
          <w:lang w:eastAsia="ar-SA"/>
        </w:rPr>
        <w:t xml:space="preserve">8. CONVOCATORIA LIMITADA A MIPYME: </w:t>
      </w:r>
    </w:p>
    <w:p w14:paraId="3B7496C4" w14:textId="77777777" w:rsidR="00EB2215" w:rsidRPr="00410327" w:rsidRDefault="00EB2215" w:rsidP="00EB2215">
      <w:pPr>
        <w:suppressAutoHyphens/>
        <w:jc w:val="both"/>
        <w:rPr>
          <w:rFonts w:ascii="Tahoma" w:hAnsi="Tahoma" w:cs="Tahoma"/>
          <w:b/>
          <w:bCs/>
          <w:color w:val="000000" w:themeColor="text1"/>
          <w:sz w:val="20"/>
          <w:szCs w:val="20"/>
          <w:lang w:eastAsia="ar-SA"/>
        </w:rPr>
      </w:pPr>
    </w:p>
    <w:p w14:paraId="02C8BF10" w14:textId="77777777" w:rsidR="00EB2215" w:rsidRPr="00F873A3" w:rsidRDefault="00EB2215" w:rsidP="00EB2215">
      <w:pPr>
        <w:ind w:left="2" w:right="49" w:hanging="2"/>
        <w:jc w:val="both"/>
        <w:rPr>
          <w:rFonts w:ascii="Tahoma" w:hAnsi="Tahoma" w:cs="Tahoma"/>
          <w:color w:val="212121"/>
          <w:sz w:val="20"/>
          <w:szCs w:val="20"/>
          <w:lang w:eastAsia="en-US"/>
        </w:rPr>
      </w:pPr>
      <w:r w:rsidRPr="00F873A3">
        <w:rPr>
          <w:rFonts w:ascii="Tahoma" w:hAnsi="Tahoma" w:cs="Tahoma"/>
          <w:color w:val="212121"/>
          <w:sz w:val="20"/>
          <w:szCs w:val="20"/>
          <w:lang w:eastAsia="en-US"/>
        </w:rPr>
        <w:t>El Decreto Nacional 957 del 05 de junio de 2019</w:t>
      </w:r>
      <w:r w:rsidRPr="00F873A3">
        <w:rPr>
          <w:rFonts w:ascii="Tahoma" w:hAnsi="Tahoma" w:cs="Tahoma"/>
          <w:color w:val="212121"/>
          <w:sz w:val="20"/>
          <w:szCs w:val="20"/>
          <w:vertAlign w:val="superscript"/>
          <w:lang w:eastAsia="en-US"/>
        </w:rPr>
        <w:footnoteReference w:id="1"/>
      </w:r>
      <w:r w:rsidRPr="00F873A3">
        <w:rPr>
          <w:rFonts w:ascii="Tahoma" w:hAnsi="Tahoma" w:cs="Tahoma"/>
          <w:color w:val="212121"/>
          <w:sz w:val="20"/>
          <w:szCs w:val="20"/>
          <w:lang w:eastAsia="en-US"/>
        </w:rPr>
        <w:t xml:space="preserve"> emitido por el Ministerio de Comercio, Industria y Turismo, establece en el artículo 2.2.1.13.2.2 </w:t>
      </w:r>
      <w:r w:rsidRPr="00F873A3">
        <w:rPr>
          <w:rFonts w:ascii="Tahoma" w:hAnsi="Tahoma" w:cs="Tahoma"/>
          <w:b/>
          <w:color w:val="212121"/>
          <w:sz w:val="20"/>
          <w:szCs w:val="20"/>
          <w:lang w:eastAsia="en-US"/>
        </w:rPr>
        <w:t xml:space="preserve">Rangos para la Definición del Tamaño Empresarial. </w:t>
      </w:r>
      <w:r w:rsidRPr="00F873A3">
        <w:rPr>
          <w:rFonts w:ascii="Tahoma" w:hAnsi="Tahoma" w:cs="Tahoma"/>
          <w:color w:val="212121"/>
          <w:sz w:val="20"/>
          <w:szCs w:val="20"/>
          <w:lang w:eastAsia="en-US"/>
        </w:rPr>
        <w:t>Para efectos de la clasificación del tamaño empresarial se utilizarán, con base en el criterio previsto en el artículo anterior, los siguientes rangos para determinar el valor de los ingresos por actividades ordinarias anuales de acuerdo con el sector económico de que se trate:</w:t>
      </w:r>
    </w:p>
    <w:p w14:paraId="6A5684D4" w14:textId="77777777" w:rsidR="00EB2215" w:rsidRPr="00F873A3" w:rsidRDefault="00EB2215" w:rsidP="00EB2215">
      <w:pPr>
        <w:autoSpaceDE w:val="0"/>
        <w:autoSpaceDN w:val="0"/>
        <w:adjustRightInd w:val="0"/>
        <w:jc w:val="both"/>
        <w:rPr>
          <w:rFonts w:ascii="Tahoma" w:hAnsi="Tahoma" w:cs="Tahoma"/>
          <w:b/>
          <w:sz w:val="20"/>
          <w:szCs w:val="20"/>
          <w:lang w:eastAsia="en-US"/>
        </w:rPr>
      </w:pPr>
    </w:p>
    <w:tbl>
      <w:tblPr>
        <w:tblW w:w="8919" w:type="dxa"/>
        <w:jc w:val="center"/>
        <w:tblBorders>
          <w:top w:val="nil"/>
          <w:left w:val="nil"/>
          <w:bottom w:val="nil"/>
          <w:right w:val="nil"/>
          <w:insideH w:val="nil"/>
          <w:insideV w:val="nil"/>
        </w:tblBorders>
        <w:tblLayout w:type="fixed"/>
        <w:tblLook w:val="0600" w:firstRow="0" w:lastRow="0" w:firstColumn="0" w:lastColumn="0" w:noHBand="1" w:noVBand="1"/>
      </w:tblPr>
      <w:tblGrid>
        <w:gridCol w:w="1487"/>
        <w:gridCol w:w="2023"/>
        <w:gridCol w:w="2568"/>
        <w:gridCol w:w="2841"/>
      </w:tblGrid>
      <w:tr w:rsidR="00EB2215" w:rsidRPr="00F873A3" w14:paraId="491036F7" w14:textId="77777777" w:rsidTr="00A800DF">
        <w:trPr>
          <w:trHeight w:val="20"/>
          <w:jc w:val="center"/>
        </w:trPr>
        <w:tc>
          <w:tcPr>
            <w:tcW w:w="1487"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1432A5D1" w14:textId="77777777" w:rsidR="00EB2215" w:rsidRPr="00F873A3" w:rsidRDefault="00EB2215" w:rsidP="00A800DF">
            <w:pPr>
              <w:jc w:val="center"/>
              <w:rPr>
                <w:rFonts w:ascii="Tahoma" w:hAnsi="Tahoma" w:cs="Tahoma"/>
                <w:b/>
                <w:bCs/>
                <w:sz w:val="20"/>
                <w:szCs w:val="20"/>
                <w:lang w:eastAsia="en-US"/>
              </w:rPr>
            </w:pPr>
            <w:r w:rsidRPr="00F873A3">
              <w:rPr>
                <w:rFonts w:ascii="Tahoma" w:hAnsi="Tahoma" w:cs="Tahoma"/>
                <w:b/>
                <w:bCs/>
                <w:sz w:val="20"/>
                <w:szCs w:val="20"/>
                <w:lang w:eastAsia="en-US"/>
              </w:rPr>
              <w:t>SECTOR</w:t>
            </w:r>
          </w:p>
        </w:tc>
        <w:tc>
          <w:tcPr>
            <w:tcW w:w="2023"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76100383" w14:textId="77777777" w:rsidR="00EB2215" w:rsidRPr="00F873A3" w:rsidRDefault="00EB2215" w:rsidP="00A800DF">
            <w:pPr>
              <w:jc w:val="center"/>
              <w:rPr>
                <w:rFonts w:ascii="Tahoma" w:hAnsi="Tahoma" w:cs="Tahoma"/>
                <w:b/>
                <w:bCs/>
                <w:sz w:val="20"/>
                <w:szCs w:val="20"/>
                <w:lang w:eastAsia="en-US"/>
              </w:rPr>
            </w:pPr>
            <w:r w:rsidRPr="00F873A3">
              <w:rPr>
                <w:rFonts w:ascii="Tahoma" w:hAnsi="Tahoma" w:cs="Tahoma"/>
                <w:b/>
                <w:bCs/>
                <w:sz w:val="20"/>
                <w:szCs w:val="20"/>
                <w:lang w:eastAsia="en-US"/>
              </w:rPr>
              <w:t>MICRO</w:t>
            </w:r>
          </w:p>
        </w:tc>
        <w:tc>
          <w:tcPr>
            <w:tcW w:w="2568"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5F63A875" w14:textId="77777777" w:rsidR="00EB2215" w:rsidRPr="00F873A3" w:rsidRDefault="00EB2215" w:rsidP="00A800DF">
            <w:pPr>
              <w:jc w:val="center"/>
              <w:rPr>
                <w:rFonts w:ascii="Tahoma" w:hAnsi="Tahoma" w:cs="Tahoma"/>
                <w:b/>
                <w:bCs/>
                <w:sz w:val="20"/>
                <w:szCs w:val="20"/>
                <w:lang w:eastAsia="en-US"/>
              </w:rPr>
            </w:pPr>
            <w:r w:rsidRPr="00F873A3">
              <w:rPr>
                <w:rFonts w:ascii="Tahoma" w:hAnsi="Tahoma" w:cs="Tahoma"/>
                <w:b/>
                <w:bCs/>
                <w:sz w:val="20"/>
                <w:szCs w:val="20"/>
                <w:lang w:eastAsia="en-US"/>
              </w:rPr>
              <w:t>PEQUEÑA</w:t>
            </w:r>
          </w:p>
        </w:tc>
        <w:tc>
          <w:tcPr>
            <w:tcW w:w="2841"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0D4271B0" w14:textId="77777777" w:rsidR="00EB2215" w:rsidRPr="00F873A3" w:rsidRDefault="00EB2215" w:rsidP="00A800DF">
            <w:pPr>
              <w:jc w:val="center"/>
              <w:rPr>
                <w:rFonts w:ascii="Tahoma" w:hAnsi="Tahoma" w:cs="Tahoma"/>
                <w:b/>
                <w:bCs/>
                <w:sz w:val="20"/>
                <w:szCs w:val="20"/>
                <w:lang w:eastAsia="en-US"/>
              </w:rPr>
            </w:pPr>
            <w:r w:rsidRPr="00F873A3">
              <w:rPr>
                <w:rFonts w:ascii="Tahoma" w:hAnsi="Tahoma" w:cs="Tahoma"/>
                <w:b/>
                <w:bCs/>
                <w:sz w:val="20"/>
                <w:szCs w:val="20"/>
                <w:lang w:eastAsia="en-US"/>
              </w:rPr>
              <w:t>MEDIANA</w:t>
            </w:r>
          </w:p>
        </w:tc>
      </w:tr>
      <w:tr w:rsidR="00EB2215" w:rsidRPr="00F873A3" w14:paraId="6B6079F9" w14:textId="77777777" w:rsidTr="00A800DF">
        <w:trPr>
          <w:trHeight w:val="20"/>
          <w:jc w:val="center"/>
        </w:trPr>
        <w:tc>
          <w:tcPr>
            <w:tcW w:w="14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E198D42"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Manufacturero</w:t>
            </w:r>
          </w:p>
        </w:tc>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CC332"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Inferior o igual a 23.563 UVT.</w:t>
            </w:r>
          </w:p>
        </w:tc>
        <w:tc>
          <w:tcPr>
            <w:tcW w:w="2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8FAB3"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23.563 UVT e inferior o igual a 204.995 UVT.</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6A54E"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204.995 UVT e inferior o igual a 1’736.565 UVT.</w:t>
            </w:r>
          </w:p>
        </w:tc>
      </w:tr>
      <w:tr w:rsidR="00EB2215" w:rsidRPr="00F873A3" w14:paraId="3433E575" w14:textId="77777777" w:rsidTr="00A800DF">
        <w:trPr>
          <w:trHeight w:val="20"/>
          <w:jc w:val="center"/>
        </w:trPr>
        <w:tc>
          <w:tcPr>
            <w:tcW w:w="14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F344116"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Servicios</w:t>
            </w:r>
          </w:p>
        </w:tc>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1DE1B"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Inferior o igual a 32.988 UVT.</w:t>
            </w:r>
          </w:p>
        </w:tc>
        <w:tc>
          <w:tcPr>
            <w:tcW w:w="2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2880D"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32.988 UVT e inferior o igual a 131.951 UVT.</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4A372F"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131.951 UVT e inferior o igual a 483.034 UVT.</w:t>
            </w:r>
          </w:p>
        </w:tc>
      </w:tr>
      <w:tr w:rsidR="00EB2215" w:rsidRPr="00F873A3" w14:paraId="526D6FB7" w14:textId="77777777" w:rsidTr="00A800DF">
        <w:trPr>
          <w:trHeight w:val="20"/>
          <w:jc w:val="center"/>
        </w:trPr>
        <w:tc>
          <w:tcPr>
            <w:tcW w:w="14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F69C1C"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Comercio</w:t>
            </w:r>
          </w:p>
        </w:tc>
        <w:tc>
          <w:tcPr>
            <w:tcW w:w="20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FB983"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Inferior o igual a 44.769 UVT.</w:t>
            </w:r>
          </w:p>
        </w:tc>
        <w:tc>
          <w:tcPr>
            <w:tcW w:w="2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C9A2C"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44.769 e inferior o igual a 431.196 UVT.</w:t>
            </w:r>
          </w:p>
        </w:tc>
        <w:tc>
          <w:tcPr>
            <w:tcW w:w="28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3840A" w14:textId="77777777" w:rsidR="00EB2215" w:rsidRPr="00F873A3" w:rsidRDefault="00EB2215" w:rsidP="00A800DF">
            <w:pPr>
              <w:jc w:val="center"/>
              <w:rPr>
                <w:rFonts w:ascii="Tahoma" w:hAnsi="Tahoma" w:cs="Tahoma"/>
                <w:b/>
                <w:sz w:val="20"/>
                <w:szCs w:val="20"/>
                <w:lang w:eastAsia="en-US"/>
              </w:rPr>
            </w:pPr>
            <w:r w:rsidRPr="00F873A3">
              <w:rPr>
                <w:rFonts w:ascii="Tahoma" w:hAnsi="Tahoma" w:cs="Tahoma"/>
                <w:sz w:val="20"/>
                <w:szCs w:val="20"/>
                <w:lang w:eastAsia="en-US"/>
              </w:rPr>
              <w:t>Superior a 431.196 UVT e inferior o igual a 2’160.692 UVT.</w:t>
            </w:r>
          </w:p>
        </w:tc>
      </w:tr>
    </w:tbl>
    <w:p w14:paraId="4B639187" w14:textId="77777777" w:rsidR="00EB2215" w:rsidRPr="00F873A3" w:rsidRDefault="00EB2215" w:rsidP="00EB2215">
      <w:pPr>
        <w:spacing w:line="360" w:lineRule="auto"/>
        <w:jc w:val="center"/>
        <w:rPr>
          <w:rFonts w:ascii="Tahoma" w:eastAsia="Batang" w:hAnsi="Tahoma" w:cs="Tahoma"/>
          <w:bCs/>
          <w:sz w:val="16"/>
          <w:szCs w:val="16"/>
          <w:lang w:eastAsia="en-US"/>
        </w:rPr>
      </w:pPr>
      <w:bookmarkStart w:id="11" w:name="_Hlk188439374"/>
      <w:r w:rsidRPr="00F873A3">
        <w:rPr>
          <w:rFonts w:ascii="Tahoma" w:eastAsia="Batang" w:hAnsi="Tahoma" w:cs="Tahoma"/>
          <w:bCs/>
          <w:sz w:val="16"/>
          <w:szCs w:val="16"/>
          <w:lang w:eastAsia="en-US"/>
        </w:rPr>
        <w:t>Fuente: Registro Mercantil, CCB, 2019-2021–2022–2023-2024-2025</w:t>
      </w:r>
    </w:p>
    <w:bookmarkEnd w:id="11"/>
    <w:p w14:paraId="45D2BDE9" w14:textId="77777777" w:rsidR="00EB2215" w:rsidRPr="00F873A3" w:rsidRDefault="00EB2215" w:rsidP="00EB2215">
      <w:pPr>
        <w:ind w:left="720" w:hanging="720"/>
        <w:jc w:val="both"/>
        <w:rPr>
          <w:rFonts w:ascii="Tahoma" w:hAnsi="Tahoma" w:cs="Tahoma"/>
          <w:b/>
          <w:sz w:val="20"/>
          <w:szCs w:val="20"/>
          <w:lang w:eastAsia="en-US"/>
        </w:rPr>
      </w:pPr>
    </w:p>
    <w:p w14:paraId="40CC73A1" w14:textId="77777777" w:rsidR="00EB2215" w:rsidRPr="00F873A3" w:rsidRDefault="00EB2215" w:rsidP="00EB2215">
      <w:pPr>
        <w:jc w:val="both"/>
        <w:rPr>
          <w:rFonts w:ascii="Tahoma" w:eastAsia="Batang" w:hAnsi="Tahoma" w:cs="Tahoma"/>
          <w:sz w:val="20"/>
          <w:szCs w:val="20"/>
          <w:lang w:eastAsia="en-US"/>
        </w:rPr>
      </w:pPr>
      <w:bookmarkStart w:id="12" w:name="_Hlk188439385"/>
      <w:r w:rsidRPr="00F873A3">
        <w:rPr>
          <w:rFonts w:ascii="Tahoma" w:eastAsia="Batang" w:hAnsi="Tahoma" w:cs="Tahoma"/>
          <w:sz w:val="20"/>
          <w:szCs w:val="20"/>
          <w:lang w:eastAsia="en-US"/>
        </w:rPr>
        <w:lastRenderedPageBreak/>
        <w:t>Según la Resolución 193 del 04 de diciembre de 2024 de la Unidad Administrativa Especial Dirección de Impuestos y Aduanas Nacionales (DIAN), el UVT para el 2025 quedó en $52.374.</w:t>
      </w:r>
    </w:p>
    <w:p w14:paraId="7E7CB51C" w14:textId="77777777" w:rsidR="00EB2215" w:rsidRPr="00F873A3" w:rsidRDefault="00EB2215" w:rsidP="00EB2215">
      <w:pPr>
        <w:jc w:val="both"/>
        <w:rPr>
          <w:rFonts w:ascii="Tahoma" w:hAnsi="Tahoma" w:cs="Tahoma"/>
          <w:b/>
          <w:bCs/>
          <w:sz w:val="20"/>
          <w:szCs w:val="20"/>
          <w:lang w:eastAsia="es-CO"/>
        </w:rPr>
      </w:pPr>
    </w:p>
    <w:p w14:paraId="113CFA45" w14:textId="77777777" w:rsidR="00EB2215" w:rsidRPr="00F873A3" w:rsidRDefault="00EB2215" w:rsidP="00EB2215">
      <w:pPr>
        <w:jc w:val="both"/>
        <w:rPr>
          <w:rFonts w:ascii="Tahoma" w:eastAsia="Batang" w:hAnsi="Tahoma" w:cs="Tahoma"/>
          <w:sz w:val="20"/>
          <w:szCs w:val="20"/>
          <w:lang w:eastAsia="en-US"/>
        </w:rPr>
      </w:pPr>
      <w:r w:rsidRPr="00F873A3">
        <w:rPr>
          <w:rFonts w:ascii="Tahoma" w:eastAsia="Batang" w:hAnsi="Tahoma" w:cs="Tahoma"/>
          <w:sz w:val="20"/>
          <w:szCs w:val="20"/>
          <w:lang w:eastAsia="en-US"/>
        </w:rPr>
        <w:t>También precisa que para efectos de convertir en valores absolutos las cifras y valores expresados en UVT aplicables a las disposiciones relativas a los impuestos y obligaciones administrados por la DIAN, debe multiplicarse el número de las UVT por su valor y el resultado se aproxima de acuerdo con el procedimiento de aproximaciones establecido en el inciso 6 del artículo 868 del Estatuto Tributario.</w:t>
      </w:r>
    </w:p>
    <w:p w14:paraId="6B59EFB9" w14:textId="77777777" w:rsidR="00EB2215" w:rsidRPr="00F873A3" w:rsidRDefault="00EB2215" w:rsidP="00EB2215">
      <w:pPr>
        <w:jc w:val="both"/>
        <w:rPr>
          <w:rFonts w:ascii="Tahoma" w:eastAsia="Batang" w:hAnsi="Tahoma" w:cs="Tahoma"/>
          <w:sz w:val="20"/>
          <w:szCs w:val="20"/>
          <w:lang w:eastAsia="en-US"/>
        </w:rPr>
      </w:pPr>
    </w:p>
    <w:p w14:paraId="744E710F" w14:textId="77777777" w:rsidR="00EB2215" w:rsidRPr="00F873A3" w:rsidRDefault="00EB2215" w:rsidP="00EB2215">
      <w:pPr>
        <w:jc w:val="both"/>
        <w:rPr>
          <w:rFonts w:ascii="Tahoma" w:eastAsia="Batang" w:hAnsi="Tahoma" w:cs="Tahoma"/>
          <w:sz w:val="20"/>
          <w:szCs w:val="20"/>
          <w:lang w:eastAsia="en-US"/>
        </w:rPr>
      </w:pPr>
      <w:r w:rsidRPr="00F873A3">
        <w:rPr>
          <w:rFonts w:ascii="Tahoma" w:eastAsia="Batang" w:hAnsi="Tahoma" w:cs="Tahoma"/>
          <w:sz w:val="20"/>
          <w:szCs w:val="20"/>
          <w:lang w:eastAsia="en-US"/>
        </w:rPr>
        <w:t>De acuerdo con lo anterior, los rangos para determinar el valor de los ingresos por actividades ordinarias anuales de acuerdo con el sector económico de que se trate quedan de la siguiente manera:</w:t>
      </w:r>
    </w:p>
    <w:p w14:paraId="0054392D" w14:textId="77777777" w:rsidR="00EB2215" w:rsidRPr="00F873A3" w:rsidRDefault="00EB2215" w:rsidP="00EB2215">
      <w:pPr>
        <w:jc w:val="both"/>
        <w:rPr>
          <w:rFonts w:ascii="Tahoma" w:eastAsia="Batang" w:hAnsi="Tahoma" w:cs="Tahoma"/>
          <w:sz w:val="20"/>
          <w:szCs w:val="20"/>
          <w:lang w:eastAsia="en-US"/>
        </w:rPr>
      </w:pPr>
    </w:p>
    <w:bookmarkEnd w:id="12"/>
    <w:p w14:paraId="3A22160A" w14:textId="77777777" w:rsidR="00EB2215" w:rsidRPr="00F873A3" w:rsidRDefault="00EB2215" w:rsidP="00EB2215">
      <w:pPr>
        <w:autoSpaceDE w:val="0"/>
        <w:autoSpaceDN w:val="0"/>
        <w:adjustRightInd w:val="0"/>
        <w:jc w:val="center"/>
        <w:rPr>
          <w:rFonts w:ascii="Tahoma" w:hAnsi="Tahoma" w:cs="Tahoma"/>
          <w:b/>
          <w:sz w:val="20"/>
          <w:szCs w:val="20"/>
          <w:lang w:eastAsia="en-US"/>
        </w:rPr>
      </w:pPr>
      <w:r w:rsidRPr="00F873A3">
        <w:rPr>
          <w:rFonts w:ascii="Tahoma" w:hAnsi="Tahoma" w:cs="Tahoma"/>
          <w:noProof/>
          <w:color w:val="000000"/>
          <w:sz w:val="22"/>
          <w:szCs w:val="22"/>
          <w:lang w:eastAsia="es-CO"/>
        </w:rPr>
        <w:drawing>
          <wp:inline distT="0" distB="0" distL="0" distR="0" wp14:anchorId="26EC34A3" wp14:editId="4EAC28BB">
            <wp:extent cx="5521960" cy="2216960"/>
            <wp:effectExtent l="19050" t="19050" r="21590" b="12065"/>
            <wp:docPr id="1756043354" name="Imagen 4"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043354" name="Imagen 4" descr="Interfaz de usuario gráfica&#10;&#10;El contenido generado por IA puede ser incorre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1960" cy="2216960"/>
                    </a:xfrm>
                    <a:prstGeom prst="rect">
                      <a:avLst/>
                    </a:prstGeom>
                    <a:noFill/>
                    <a:ln w="19050" cmpd="sng">
                      <a:solidFill>
                        <a:srgbClr val="000000"/>
                      </a:solidFill>
                      <a:miter lim="800000"/>
                      <a:headEnd/>
                      <a:tailEnd/>
                    </a:ln>
                    <a:effectLst/>
                  </pic:spPr>
                </pic:pic>
              </a:graphicData>
            </a:graphic>
          </wp:inline>
        </w:drawing>
      </w:r>
    </w:p>
    <w:p w14:paraId="48B45B4B" w14:textId="77777777" w:rsidR="00EB2215" w:rsidRPr="00F873A3" w:rsidRDefault="00EB2215" w:rsidP="00EB2215">
      <w:pPr>
        <w:jc w:val="both"/>
        <w:rPr>
          <w:rFonts w:ascii="Tahoma" w:hAnsi="Tahoma" w:cs="Tahoma"/>
          <w:sz w:val="20"/>
          <w:szCs w:val="20"/>
          <w:lang w:eastAsia="es-CO"/>
        </w:rPr>
      </w:pPr>
    </w:p>
    <w:p w14:paraId="4A1F366B" w14:textId="77777777" w:rsidR="00EB2215" w:rsidRPr="00F873A3" w:rsidRDefault="00EB2215" w:rsidP="00EB2215">
      <w:pPr>
        <w:jc w:val="both"/>
        <w:rPr>
          <w:rFonts w:ascii="Tahoma" w:hAnsi="Tahoma" w:cs="Tahoma"/>
          <w:sz w:val="20"/>
          <w:szCs w:val="20"/>
          <w:lang w:eastAsia="es-CO"/>
        </w:rPr>
      </w:pPr>
      <w:r w:rsidRPr="00F873A3">
        <w:rPr>
          <w:rFonts w:ascii="Tahoma" w:hAnsi="Tahoma" w:cs="Tahoma"/>
          <w:sz w:val="20"/>
          <w:szCs w:val="20"/>
          <w:lang w:eastAsia="es-CO"/>
        </w:rPr>
        <w:t xml:space="preserve">Señalando cómo se establecieron las empresas referentes del análisis de MIPYMES, se tiene como resultado que las compañías de seguros presentan una clasificación de </w:t>
      </w:r>
      <w:r w:rsidRPr="00F873A3">
        <w:rPr>
          <w:rFonts w:ascii="Tahoma" w:hAnsi="Tahoma" w:cs="Tahoma"/>
          <w:b/>
          <w:bCs/>
          <w:sz w:val="20"/>
          <w:szCs w:val="20"/>
          <w:u w:val="single"/>
          <w:lang w:eastAsia="es-CO"/>
        </w:rPr>
        <w:t>Gran Empresa</w:t>
      </w:r>
      <w:r w:rsidRPr="00F873A3">
        <w:rPr>
          <w:rFonts w:ascii="Tahoma" w:hAnsi="Tahoma" w:cs="Tahoma"/>
          <w:sz w:val="20"/>
          <w:szCs w:val="20"/>
          <w:lang w:eastAsia="es-CO"/>
        </w:rPr>
        <w:t xml:space="preserve"> en razón a que este sector se encuentra fuertemente regulado por parte del Estado para proteger los intereses de los clientes y garantizar la estabilidad del mercado, razón por la cual, estás deben constituir millonarias reservas técnicas que son consideradas un pasivo del asegurador con el fin de garantizar los recursos necesarios para atender las obligaciones con los asegurados (pagar siniestros o devolver primas), razón por el cual, el patrimonio de estás es supera en exceso los montos citados para categorizar el tamaño de las empresas, lo cual es corroborada directamente en el certificado de cámara de comercio expedido para cada una de ellas. </w:t>
      </w:r>
    </w:p>
    <w:p w14:paraId="2A778F79" w14:textId="77777777" w:rsidR="00EB2215" w:rsidRPr="00F873A3" w:rsidRDefault="00EB2215" w:rsidP="00EB2215">
      <w:pPr>
        <w:jc w:val="both"/>
        <w:rPr>
          <w:rFonts w:ascii="Tahoma" w:hAnsi="Tahoma" w:cs="Tahoma"/>
          <w:sz w:val="20"/>
          <w:szCs w:val="20"/>
          <w:lang w:eastAsia="es-CO"/>
        </w:rPr>
      </w:pPr>
    </w:p>
    <w:p w14:paraId="47C7DE50" w14:textId="77777777" w:rsidR="00EB2215" w:rsidRPr="00410327" w:rsidRDefault="00EB2215" w:rsidP="00EB2215">
      <w:pPr>
        <w:suppressAutoHyphens/>
        <w:jc w:val="both"/>
        <w:rPr>
          <w:rFonts w:ascii="Tahoma" w:hAnsi="Tahoma" w:cs="Tahoma"/>
          <w:color w:val="000000" w:themeColor="text1"/>
          <w:sz w:val="20"/>
          <w:szCs w:val="20"/>
          <w:lang w:eastAsia="ar-SA"/>
        </w:rPr>
      </w:pPr>
      <w:r w:rsidRPr="00F873A3">
        <w:rPr>
          <w:rFonts w:ascii="Tahoma" w:hAnsi="Tahoma" w:cs="Tahoma"/>
          <w:sz w:val="20"/>
          <w:szCs w:val="20"/>
          <w:lang w:eastAsia="es-CO"/>
        </w:rPr>
        <w:t>A efectos de lo anterior y de conformidad con el artículo 2.2.1.2.4.2.18 del Decreto 1860 de 2021, no se establecen condiciones habilitantes diferenciales para las Mipymes, por no estar clasificadas como medianas, pequeñas o microempresas.</w:t>
      </w:r>
    </w:p>
    <w:p w14:paraId="59A8763B" w14:textId="77777777" w:rsidR="00EB2215" w:rsidRPr="00410327" w:rsidRDefault="00EB2215" w:rsidP="00EB2215">
      <w:pPr>
        <w:suppressAutoHyphens/>
        <w:jc w:val="both"/>
        <w:rPr>
          <w:rFonts w:ascii="Tahoma" w:hAnsi="Tahoma" w:cs="Tahoma"/>
          <w:color w:val="000000" w:themeColor="text1"/>
          <w:sz w:val="20"/>
          <w:szCs w:val="20"/>
          <w:lang w:eastAsia="ar-SA"/>
        </w:rPr>
      </w:pPr>
    </w:p>
    <w:p w14:paraId="2ECCA71A" w14:textId="77777777" w:rsidR="00EB2215" w:rsidRPr="00410327" w:rsidRDefault="00EB2215" w:rsidP="00EB2215">
      <w:pPr>
        <w:suppressAutoHyphens/>
        <w:jc w:val="both"/>
        <w:rPr>
          <w:rFonts w:ascii="Tahoma" w:hAnsi="Tahoma" w:cs="Tahoma"/>
          <w:bCs/>
          <w:color w:val="000000" w:themeColor="text1"/>
          <w:sz w:val="20"/>
          <w:szCs w:val="20"/>
          <w:lang w:eastAsia="ar-SA"/>
        </w:rPr>
      </w:pPr>
      <w:r w:rsidRPr="00410327">
        <w:rPr>
          <w:rFonts w:ascii="Tahoma" w:hAnsi="Tahoma" w:cs="Tahoma"/>
          <w:b/>
          <w:bCs/>
          <w:color w:val="000000" w:themeColor="text1"/>
          <w:sz w:val="20"/>
          <w:szCs w:val="20"/>
          <w:lang w:eastAsia="ar-SA"/>
        </w:rPr>
        <w:t xml:space="preserve">9. CONDICIONES PARA PARTICIPAR EN EL PROCESO DE CONTRATACIÓN: </w:t>
      </w:r>
    </w:p>
    <w:p w14:paraId="75E8F5F4" w14:textId="77777777" w:rsidR="00EB2215" w:rsidRDefault="00EB2215" w:rsidP="00EB2215">
      <w:pPr>
        <w:pStyle w:val="Ttulo1"/>
        <w:numPr>
          <w:ilvl w:val="0"/>
          <w:numId w:val="0"/>
        </w:numPr>
        <w:jc w:val="both"/>
        <w:rPr>
          <w:rFonts w:cs="Tahoma"/>
          <w:bCs w:val="0"/>
          <w:sz w:val="20"/>
          <w:szCs w:val="20"/>
        </w:rPr>
      </w:pPr>
    </w:p>
    <w:p w14:paraId="502D35C5" w14:textId="2ED59B9A" w:rsidR="00EB2215" w:rsidRPr="006761BD" w:rsidRDefault="00EB2215" w:rsidP="00EB2215">
      <w:pPr>
        <w:pStyle w:val="Ttulo1"/>
        <w:numPr>
          <w:ilvl w:val="0"/>
          <w:numId w:val="0"/>
        </w:numPr>
        <w:jc w:val="both"/>
        <w:rPr>
          <w:rFonts w:cs="Tahoma"/>
          <w:sz w:val="20"/>
          <w:szCs w:val="20"/>
        </w:rPr>
      </w:pPr>
      <w:r w:rsidRPr="006761BD">
        <w:rPr>
          <w:rFonts w:cs="Tahoma"/>
          <w:bCs w:val="0"/>
          <w:sz w:val="20"/>
          <w:szCs w:val="20"/>
        </w:rPr>
        <w:t xml:space="preserve">FACTORES DE SELECCIÓN - DEFINICIÓN DE LOS CRITERIOS DE VERIFICACIÓN Y PONDERACIÓN. </w:t>
      </w:r>
    </w:p>
    <w:p w14:paraId="71749982" w14:textId="77777777" w:rsidR="00EB2215" w:rsidRPr="006761BD" w:rsidRDefault="00EB2215" w:rsidP="00EB2215">
      <w:pPr>
        <w:pStyle w:val="Sangradet"/>
        <w:rPr>
          <w:rFonts w:ascii="Tahoma" w:hAnsi="Tahoma" w:cs="Tahoma"/>
          <w:sz w:val="20"/>
          <w:szCs w:val="20"/>
          <w:lang w:val="es-CO"/>
        </w:rPr>
      </w:pPr>
    </w:p>
    <w:p w14:paraId="2132135A" w14:textId="77777777" w:rsidR="00EB2215" w:rsidRPr="006761BD" w:rsidRDefault="00EB2215" w:rsidP="00EB2215">
      <w:pPr>
        <w:pStyle w:val="Sangradet"/>
        <w:rPr>
          <w:rFonts w:ascii="Tahoma" w:hAnsi="Tahoma" w:cs="Tahoma"/>
          <w:sz w:val="20"/>
          <w:szCs w:val="20"/>
        </w:rPr>
      </w:pPr>
      <w:r w:rsidRPr="006761BD">
        <w:rPr>
          <w:rFonts w:ascii="Tahoma" w:hAnsi="Tahoma" w:cs="Tahoma"/>
          <w:sz w:val="20"/>
          <w:szCs w:val="20"/>
        </w:rPr>
        <w:t xml:space="preserve">En el presente proceso de selección, conforme al artículo 2.2.1.1.2.2.2. del Decreto 1082 de 2015, la oferta más ventajosa a la CRC será aquella que resulte de aplicar lo siguiente: </w:t>
      </w:r>
    </w:p>
    <w:p w14:paraId="191D38BE" w14:textId="77777777" w:rsidR="00EB2215" w:rsidRPr="006761BD" w:rsidRDefault="00EB2215" w:rsidP="00EB2215">
      <w:pPr>
        <w:pStyle w:val="Sangradet"/>
        <w:rPr>
          <w:rFonts w:ascii="Tahoma" w:hAnsi="Tahoma" w:cs="Tahoma"/>
          <w:sz w:val="20"/>
          <w:szCs w:val="20"/>
        </w:rPr>
      </w:pPr>
    </w:p>
    <w:p w14:paraId="11168AB9" w14:textId="77777777" w:rsidR="00EB2215" w:rsidRPr="006761BD" w:rsidRDefault="00EB2215" w:rsidP="00EB2215">
      <w:pPr>
        <w:pStyle w:val="Sangradet"/>
        <w:rPr>
          <w:rFonts w:ascii="Tahoma" w:hAnsi="Tahoma" w:cs="Tahoma"/>
          <w:i/>
          <w:sz w:val="20"/>
          <w:szCs w:val="20"/>
        </w:rPr>
      </w:pPr>
      <w:r w:rsidRPr="006761BD">
        <w:rPr>
          <w:rFonts w:ascii="Tahoma" w:hAnsi="Tahoma" w:cs="Tahoma"/>
          <w:i/>
          <w:sz w:val="20"/>
          <w:szCs w:val="20"/>
        </w:rPr>
        <w:t>“(…) En la licitación y la selección abreviada de menor cuantía, la Entidad Estatal debe determinar la oferta más favorable teniendo en cuenta: (a) la ponderación de los elementos de calidad y precio soportados en puntajes o fórmulas; (…)”</w:t>
      </w:r>
    </w:p>
    <w:p w14:paraId="28D48971" w14:textId="77777777" w:rsidR="00EB2215" w:rsidRPr="006761BD" w:rsidRDefault="00EB2215" w:rsidP="00EB2215">
      <w:pPr>
        <w:pStyle w:val="Sangradet"/>
        <w:rPr>
          <w:rFonts w:ascii="Tahoma" w:hAnsi="Tahoma" w:cs="Tahoma"/>
          <w:sz w:val="20"/>
          <w:szCs w:val="20"/>
        </w:rPr>
      </w:pPr>
    </w:p>
    <w:p w14:paraId="7CA96A4C" w14:textId="77777777" w:rsidR="00EB2215" w:rsidRPr="006761BD" w:rsidRDefault="00EB2215" w:rsidP="00EB2215">
      <w:pPr>
        <w:pStyle w:val="Sangradet"/>
        <w:rPr>
          <w:rFonts w:ascii="Tahoma" w:hAnsi="Tahoma" w:cs="Tahoma"/>
          <w:sz w:val="20"/>
          <w:szCs w:val="20"/>
          <w:lang w:val="es-ES"/>
        </w:rPr>
      </w:pPr>
      <w:r w:rsidRPr="006761BD">
        <w:rPr>
          <w:rFonts w:ascii="Tahoma" w:hAnsi="Tahoma" w:cs="Tahoma"/>
          <w:sz w:val="20"/>
          <w:szCs w:val="20"/>
          <w:lang w:val="es-ES"/>
        </w:rPr>
        <w:t>De conformidad con lo estipulado en el artículo 2.2.1.1.2.2.2. del Decreto 1082 de 2015, y de acuerdo con las características del servicio objeto de la contratación y la modalidad de selección (Selección abreviada), la CRC ha determinado que el ofrecimiento más favorable para la entidad será aquel que resulte de la ponderación de los elementos de calidad y precio soportados en puntajes o fórmulas señalados en el pliego de condiciones.</w:t>
      </w:r>
    </w:p>
    <w:p w14:paraId="0A5FD2EF" w14:textId="77777777" w:rsidR="00EB2215" w:rsidRPr="006761BD" w:rsidRDefault="00EB2215" w:rsidP="00EB2215">
      <w:pPr>
        <w:pStyle w:val="Sangradet"/>
        <w:rPr>
          <w:rFonts w:ascii="Tahoma" w:hAnsi="Tahoma" w:cs="Tahoma"/>
          <w:sz w:val="20"/>
          <w:szCs w:val="20"/>
          <w:lang w:val="es-CO"/>
        </w:rPr>
      </w:pPr>
      <w:r w:rsidRPr="006761BD">
        <w:rPr>
          <w:rFonts w:ascii="Tahoma" w:hAnsi="Tahoma" w:cs="Tahoma"/>
          <w:sz w:val="20"/>
          <w:szCs w:val="20"/>
        </w:rPr>
        <w:tab/>
      </w:r>
    </w:p>
    <w:p w14:paraId="192BCEE7" w14:textId="77777777" w:rsidR="00EB2215" w:rsidRPr="006761BD" w:rsidRDefault="00EB2215" w:rsidP="00EB2215">
      <w:pPr>
        <w:pStyle w:val="Sangradet"/>
        <w:rPr>
          <w:rFonts w:ascii="Tahoma" w:hAnsi="Tahoma" w:cs="Tahoma"/>
          <w:sz w:val="20"/>
          <w:szCs w:val="20"/>
          <w:lang w:val="es-CO"/>
        </w:rPr>
      </w:pPr>
      <w:r w:rsidRPr="006761BD">
        <w:rPr>
          <w:rFonts w:ascii="Tahoma" w:hAnsi="Tahoma" w:cs="Tahoma"/>
          <w:sz w:val="20"/>
          <w:szCs w:val="20"/>
          <w:lang w:val="es-CO"/>
        </w:rPr>
        <w:t>A continuación, se menciona el proceso y criterios de verificación y evaluación de las propuestas, con su correspondiente asignación en calificación si es del caso, así como el orden de cada criterio. La verificación de requisitos habilitantes y la evaluación técnica y económica de las propuestas estará a cargo del Comité Evaluador conformado para la presente Selección abreviada.</w:t>
      </w:r>
    </w:p>
    <w:p w14:paraId="40AD309C" w14:textId="77777777" w:rsidR="00EB2215" w:rsidRPr="006761BD" w:rsidRDefault="00EB2215" w:rsidP="00EB2215">
      <w:pPr>
        <w:pStyle w:val="Sangradet"/>
        <w:rPr>
          <w:rFonts w:ascii="Tahoma" w:hAnsi="Tahoma" w:cs="Tahoma"/>
          <w:sz w:val="20"/>
          <w:szCs w:val="20"/>
          <w:lang w:val="es-CO"/>
        </w:rPr>
      </w:pPr>
    </w:p>
    <w:p w14:paraId="4F2EAF75" w14:textId="77777777" w:rsidR="00EB2215" w:rsidRPr="006761BD" w:rsidRDefault="00EB2215" w:rsidP="00EB2215">
      <w:pPr>
        <w:pStyle w:val="Sangradet"/>
        <w:rPr>
          <w:rFonts w:ascii="Tahoma" w:hAnsi="Tahoma" w:cs="Tahoma"/>
          <w:bCs/>
          <w:sz w:val="20"/>
          <w:szCs w:val="20"/>
          <w:lang w:val="es-CO"/>
        </w:rPr>
      </w:pPr>
      <w:r w:rsidRPr="006761BD">
        <w:rPr>
          <w:rFonts w:ascii="Tahoma" w:hAnsi="Tahoma" w:cs="Tahoma"/>
          <w:b/>
          <w:bCs/>
          <w:sz w:val="20"/>
          <w:szCs w:val="20"/>
          <w:lang w:val="es-CO"/>
        </w:rPr>
        <w:t xml:space="preserve">- Requisitos Jurídicos: </w:t>
      </w:r>
      <w:r w:rsidRPr="006761BD">
        <w:rPr>
          <w:rFonts w:ascii="Tahoma" w:hAnsi="Tahoma" w:cs="Tahoma"/>
          <w:bCs/>
          <w:sz w:val="20"/>
          <w:szCs w:val="20"/>
          <w:lang w:val="es-CO"/>
        </w:rPr>
        <w:t>Son habilitantes y permiten la participación en el proceso.</w:t>
      </w:r>
    </w:p>
    <w:p w14:paraId="4D0DECBA" w14:textId="77777777" w:rsidR="00EB2215" w:rsidRPr="006761BD" w:rsidRDefault="00EB2215" w:rsidP="00EB2215">
      <w:pPr>
        <w:pStyle w:val="Sangradet"/>
        <w:rPr>
          <w:rFonts w:ascii="Tahoma" w:hAnsi="Tahoma" w:cs="Tahoma"/>
          <w:b/>
          <w:bCs/>
          <w:sz w:val="20"/>
          <w:szCs w:val="20"/>
          <w:lang w:val="es-CO"/>
        </w:rPr>
      </w:pPr>
      <w:r w:rsidRPr="006761BD">
        <w:rPr>
          <w:rFonts w:ascii="Tahoma" w:hAnsi="Tahoma" w:cs="Tahoma"/>
          <w:b/>
          <w:bCs/>
          <w:sz w:val="20"/>
          <w:szCs w:val="20"/>
          <w:lang w:val="es-CO"/>
        </w:rPr>
        <w:t xml:space="preserve">- Requisitos Financieros y Capacidad Organizacional: </w:t>
      </w:r>
      <w:r w:rsidRPr="006761BD">
        <w:rPr>
          <w:rFonts w:ascii="Tahoma" w:hAnsi="Tahoma" w:cs="Tahoma"/>
          <w:bCs/>
          <w:sz w:val="20"/>
          <w:szCs w:val="20"/>
          <w:lang w:val="es-CO"/>
        </w:rPr>
        <w:t>Son habilitantes y permiten la participación en el proceso</w:t>
      </w:r>
    </w:p>
    <w:p w14:paraId="2A3F7184" w14:textId="77777777" w:rsidR="00EB2215" w:rsidRPr="006761BD" w:rsidRDefault="00EB2215" w:rsidP="00EB2215">
      <w:pPr>
        <w:pStyle w:val="Sangradet"/>
        <w:rPr>
          <w:rFonts w:ascii="Tahoma" w:hAnsi="Tahoma" w:cs="Tahoma"/>
          <w:bCs/>
          <w:sz w:val="20"/>
          <w:szCs w:val="20"/>
          <w:lang w:val="es-CO"/>
        </w:rPr>
      </w:pPr>
      <w:r w:rsidRPr="006761BD">
        <w:rPr>
          <w:rFonts w:ascii="Tahoma" w:hAnsi="Tahoma" w:cs="Tahoma"/>
          <w:b/>
          <w:bCs/>
          <w:sz w:val="20"/>
          <w:szCs w:val="20"/>
          <w:lang w:val="es-CO"/>
        </w:rPr>
        <w:t xml:space="preserve">- Requisitos de experiencia: </w:t>
      </w:r>
      <w:r w:rsidRPr="006761BD">
        <w:rPr>
          <w:rFonts w:ascii="Tahoma" w:hAnsi="Tahoma" w:cs="Tahoma"/>
          <w:bCs/>
          <w:sz w:val="20"/>
          <w:szCs w:val="20"/>
          <w:lang w:val="es-CO"/>
        </w:rPr>
        <w:t>Son habilitantes y permiten la participación en el proceso</w:t>
      </w:r>
    </w:p>
    <w:p w14:paraId="5EF2958A" w14:textId="77777777" w:rsidR="00EB2215" w:rsidRPr="006761BD" w:rsidRDefault="00EB2215" w:rsidP="00EB2215">
      <w:pPr>
        <w:pStyle w:val="Sangradet"/>
        <w:rPr>
          <w:rFonts w:ascii="Tahoma" w:hAnsi="Tahoma" w:cs="Tahoma"/>
          <w:bCs/>
          <w:sz w:val="20"/>
          <w:szCs w:val="20"/>
          <w:lang w:val="es-CO"/>
        </w:rPr>
      </w:pPr>
      <w:r w:rsidRPr="006761BD">
        <w:rPr>
          <w:rFonts w:ascii="Tahoma" w:hAnsi="Tahoma" w:cs="Tahoma"/>
          <w:b/>
          <w:bCs/>
          <w:sz w:val="20"/>
          <w:szCs w:val="20"/>
          <w:lang w:val="es-CO"/>
        </w:rPr>
        <w:t xml:space="preserve">- Requisitos técnicos mínimos: </w:t>
      </w:r>
      <w:r w:rsidRPr="006761BD">
        <w:rPr>
          <w:rFonts w:ascii="Tahoma" w:hAnsi="Tahoma" w:cs="Tahoma"/>
          <w:bCs/>
          <w:sz w:val="20"/>
          <w:szCs w:val="20"/>
          <w:lang w:val="es-CO"/>
        </w:rPr>
        <w:t>Son habilitantes y permiten la participación en el proceso</w:t>
      </w:r>
    </w:p>
    <w:p w14:paraId="1B5FBF01" w14:textId="77777777" w:rsidR="00EB2215" w:rsidRPr="006761BD" w:rsidRDefault="00EB2215" w:rsidP="00EB2215">
      <w:pPr>
        <w:pStyle w:val="Sangradet"/>
        <w:rPr>
          <w:rFonts w:ascii="Tahoma" w:hAnsi="Tahoma" w:cs="Tahoma"/>
          <w:b/>
          <w:bCs/>
          <w:sz w:val="20"/>
          <w:szCs w:val="20"/>
          <w:lang w:val="es-CO"/>
        </w:rPr>
      </w:pPr>
      <w:r w:rsidRPr="006761BD">
        <w:rPr>
          <w:rFonts w:ascii="Tahoma" w:hAnsi="Tahoma" w:cs="Tahoma"/>
          <w:b/>
          <w:bCs/>
          <w:sz w:val="20"/>
          <w:szCs w:val="20"/>
          <w:lang w:val="es-CO"/>
        </w:rPr>
        <w:t xml:space="preserve">- Criterios Técnicos - calidad: </w:t>
      </w:r>
      <w:r w:rsidRPr="006761BD">
        <w:rPr>
          <w:rFonts w:ascii="Tahoma" w:hAnsi="Tahoma" w:cs="Tahoma"/>
          <w:bCs/>
          <w:sz w:val="20"/>
          <w:szCs w:val="20"/>
          <w:lang w:val="es-CO"/>
        </w:rPr>
        <w:t>Son objeto de asignación de puntaje.</w:t>
      </w:r>
      <w:r w:rsidRPr="006761BD">
        <w:rPr>
          <w:rFonts w:ascii="Tahoma" w:hAnsi="Tahoma" w:cs="Tahoma"/>
          <w:b/>
          <w:bCs/>
          <w:sz w:val="20"/>
          <w:szCs w:val="20"/>
          <w:lang w:val="es-CO"/>
        </w:rPr>
        <w:t xml:space="preserve"> </w:t>
      </w:r>
    </w:p>
    <w:p w14:paraId="432F441B" w14:textId="77777777" w:rsidR="00EB2215" w:rsidRPr="006761BD" w:rsidRDefault="00EB2215" w:rsidP="00EB2215">
      <w:pPr>
        <w:pStyle w:val="Sangradet"/>
        <w:rPr>
          <w:rFonts w:ascii="Tahoma" w:hAnsi="Tahoma" w:cs="Tahoma"/>
          <w:b/>
          <w:bCs/>
          <w:sz w:val="20"/>
          <w:szCs w:val="20"/>
          <w:lang w:val="es-CO"/>
        </w:rPr>
      </w:pPr>
      <w:r w:rsidRPr="006761BD">
        <w:rPr>
          <w:rFonts w:ascii="Tahoma" w:hAnsi="Tahoma" w:cs="Tahoma"/>
          <w:b/>
          <w:bCs/>
          <w:sz w:val="20"/>
          <w:szCs w:val="20"/>
          <w:lang w:val="es-CO"/>
        </w:rPr>
        <w:t xml:space="preserve">- Criterios Económicos - precio: </w:t>
      </w:r>
      <w:r w:rsidRPr="006761BD">
        <w:rPr>
          <w:rFonts w:ascii="Tahoma" w:hAnsi="Tahoma" w:cs="Tahoma"/>
          <w:bCs/>
          <w:sz w:val="20"/>
          <w:szCs w:val="20"/>
          <w:lang w:val="es-CO"/>
        </w:rPr>
        <w:t>Son objeto de asignación de puntaje.</w:t>
      </w:r>
      <w:r w:rsidRPr="006761BD">
        <w:rPr>
          <w:rFonts w:ascii="Tahoma" w:hAnsi="Tahoma" w:cs="Tahoma"/>
          <w:b/>
          <w:bCs/>
          <w:sz w:val="20"/>
          <w:szCs w:val="20"/>
          <w:lang w:val="es-CO"/>
        </w:rPr>
        <w:t xml:space="preserve"> </w:t>
      </w:r>
    </w:p>
    <w:p w14:paraId="70217FB5" w14:textId="77777777" w:rsidR="00EB2215" w:rsidRPr="00EB2215" w:rsidRDefault="00EB2215" w:rsidP="00EB2215">
      <w:pPr>
        <w:suppressAutoHyphens/>
        <w:rPr>
          <w:rFonts w:cs="Tahoma"/>
          <w:b/>
          <w:color w:val="000000" w:themeColor="text1"/>
          <w:lang w:eastAsia="ar-SA"/>
        </w:rPr>
      </w:pPr>
    </w:p>
    <w:p w14:paraId="58E94211" w14:textId="06525012" w:rsidR="00EB2215" w:rsidRPr="00410327" w:rsidRDefault="00EB2215" w:rsidP="00EB2215">
      <w:pPr>
        <w:pStyle w:val="Prrafodelista"/>
        <w:numPr>
          <w:ilvl w:val="0"/>
          <w:numId w:val="28"/>
        </w:numPr>
        <w:suppressAutoHyphens/>
        <w:rPr>
          <w:rFonts w:cs="Tahoma"/>
          <w:b/>
          <w:color w:val="000000" w:themeColor="text1"/>
          <w:lang w:eastAsia="ar-SA"/>
        </w:rPr>
      </w:pPr>
      <w:r w:rsidRPr="00410327">
        <w:rPr>
          <w:rFonts w:cs="Tahoma"/>
          <w:b/>
          <w:color w:val="000000" w:themeColor="text1"/>
          <w:lang w:eastAsia="ar-SA"/>
        </w:rPr>
        <w:t>NOTA IMPORTANTE:  VER ESTUDIOS PREVIOS</w:t>
      </w:r>
    </w:p>
    <w:p w14:paraId="07985887" w14:textId="77777777" w:rsidR="00EB2215" w:rsidRPr="00410327" w:rsidRDefault="00EB2215" w:rsidP="00EB2215">
      <w:pPr>
        <w:jc w:val="both"/>
        <w:rPr>
          <w:rFonts w:ascii="Tahoma" w:hAnsi="Tahoma" w:cs="Tahoma"/>
          <w:color w:val="000000" w:themeColor="text1"/>
          <w:sz w:val="20"/>
          <w:szCs w:val="20"/>
          <w:lang w:val="es-CO"/>
        </w:rPr>
      </w:pPr>
    </w:p>
    <w:p w14:paraId="3EB52958" w14:textId="77777777" w:rsidR="00727BEE" w:rsidRPr="00727BEE" w:rsidRDefault="00727BEE" w:rsidP="00727BEE">
      <w:pPr>
        <w:numPr>
          <w:ilvl w:val="12"/>
          <w:numId w:val="0"/>
        </w:numPr>
        <w:tabs>
          <w:tab w:val="left" w:pos="0"/>
        </w:tabs>
        <w:autoSpaceDE w:val="0"/>
        <w:autoSpaceDN w:val="0"/>
        <w:jc w:val="both"/>
        <w:rPr>
          <w:rFonts w:ascii="Tahoma" w:hAnsi="Tahoma" w:cs="Tahoma"/>
          <w:sz w:val="20"/>
          <w:szCs w:val="20"/>
          <w:lang w:val="es-ES_tradnl"/>
        </w:rPr>
      </w:pPr>
      <w:r w:rsidRPr="00727BEE">
        <w:rPr>
          <w:rFonts w:ascii="Tahoma" w:eastAsiaTheme="minorHAnsi" w:hAnsi="Tahoma" w:cs="Tahoma"/>
          <w:sz w:val="20"/>
          <w:szCs w:val="20"/>
          <w:lang w:val="es-ES_tradnl"/>
        </w:rPr>
        <w:t xml:space="preserve">De acuerdo con el artículo 2.2.1.1.2.2.2. del Decreto 1082 de 2015 </w:t>
      </w:r>
      <w:r w:rsidRPr="00727BEE">
        <w:rPr>
          <w:rFonts w:ascii="Tahoma" w:hAnsi="Tahoma" w:cs="Tahoma"/>
          <w:sz w:val="20"/>
          <w:szCs w:val="20"/>
          <w:lang w:val="es-ES_tradnl"/>
        </w:rPr>
        <w:t>se debe determinar la oferta más favorable teniendo en cuenta</w:t>
      </w:r>
      <w:r w:rsidRPr="00727BEE">
        <w:rPr>
          <w:rFonts w:ascii="Tahoma" w:hAnsi="Tahoma" w:cs="Tahoma"/>
          <w:i/>
          <w:sz w:val="20"/>
          <w:szCs w:val="20"/>
          <w:lang w:val="es-ES_tradnl"/>
        </w:rPr>
        <w:t xml:space="preserve"> “las normas aplicables a cada modalidad de selección del contratista”. </w:t>
      </w:r>
      <w:r w:rsidRPr="00727BEE">
        <w:rPr>
          <w:rFonts w:ascii="Tahoma" w:hAnsi="Tahoma" w:cs="Tahoma"/>
          <w:sz w:val="20"/>
          <w:szCs w:val="20"/>
          <w:lang w:val="es-ES_tradnl"/>
        </w:rPr>
        <w:t xml:space="preserve">Para el caso en concreto, se </w:t>
      </w:r>
      <w:r w:rsidRPr="00727BEE">
        <w:rPr>
          <w:rFonts w:ascii="Tahoma" w:eastAsiaTheme="minorHAnsi" w:hAnsi="Tahoma" w:cs="Tahoma"/>
          <w:sz w:val="20"/>
          <w:szCs w:val="20"/>
          <w:lang w:val="es-CO" w:eastAsia="en-US"/>
        </w:rPr>
        <w:t>seleccionará</w:t>
      </w:r>
      <w:r w:rsidRPr="00727BEE">
        <w:rPr>
          <w:rFonts w:ascii="Tahoma" w:hAnsi="Tahoma" w:cs="Tahoma"/>
          <w:sz w:val="20"/>
          <w:szCs w:val="20"/>
          <w:lang w:val="es-ES_tradnl"/>
        </w:rPr>
        <w:t xml:space="preserve"> la oferta más favorable </w:t>
      </w:r>
      <w:r w:rsidRPr="00727BEE">
        <w:rPr>
          <w:rFonts w:ascii="Tahoma" w:eastAsiaTheme="minorHAnsi" w:hAnsi="Tahoma" w:cs="Tahoma"/>
          <w:sz w:val="20"/>
          <w:szCs w:val="20"/>
          <w:lang w:val="es-ES_tradnl"/>
        </w:rPr>
        <w:t>conforme a los criterios señalados en los artículos 2.2.1.2.1.1.1. y siguientes del Decreto 1082 de 2015, los cuales serán consignados en los Pliegos de Condiciones del presente proceso de selección.</w:t>
      </w:r>
    </w:p>
    <w:p w14:paraId="46FFFB3F"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p>
    <w:p w14:paraId="65567767"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r w:rsidRPr="00727BEE">
        <w:rPr>
          <w:rFonts w:ascii="Tahoma" w:eastAsiaTheme="minorHAnsi" w:hAnsi="Tahoma" w:cs="Tahoma"/>
          <w:sz w:val="20"/>
          <w:szCs w:val="20"/>
          <w:lang w:val="es-CO" w:eastAsia="en-US"/>
        </w:rPr>
        <w:t xml:space="preserve">Así, se realizará un análisis comparativo de las propuestas teniendo en cuenta los aspectos que se relacionan a continuación y seleccionará aquélla que obtenga el mayor puntaje. </w:t>
      </w:r>
    </w:p>
    <w:p w14:paraId="412F8A40"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p>
    <w:p w14:paraId="57D79F4D" w14:textId="77777777" w:rsidR="00727BEE" w:rsidRPr="00727BEE" w:rsidRDefault="00727BEE" w:rsidP="00727BEE">
      <w:pPr>
        <w:tabs>
          <w:tab w:val="left" w:pos="426"/>
        </w:tabs>
        <w:jc w:val="both"/>
        <w:rPr>
          <w:rFonts w:ascii="Tahoma" w:hAnsi="Tahoma" w:cs="Tahoma"/>
          <w:sz w:val="20"/>
          <w:szCs w:val="20"/>
          <w:lang w:val="es-CO"/>
        </w:rPr>
      </w:pPr>
      <w:r w:rsidRPr="00727BEE">
        <w:rPr>
          <w:rFonts w:ascii="Tahoma" w:hAnsi="Tahoma" w:cs="Tahoma"/>
          <w:sz w:val="20"/>
          <w:szCs w:val="20"/>
          <w:lang w:val="es-CO"/>
        </w:rPr>
        <w:t xml:space="preserve">El proponente favorecido será el que obtenga mayor puntaje con la sumatoria de los puntajes parciales asignados a los ítems a ser evaluados con base en un total de </w:t>
      </w:r>
      <w:r w:rsidRPr="00727BEE">
        <w:rPr>
          <w:rFonts w:ascii="Tahoma" w:hAnsi="Tahoma" w:cs="Tahoma"/>
          <w:b/>
          <w:bCs/>
          <w:sz w:val="20"/>
          <w:szCs w:val="20"/>
          <w:lang w:val="es-CO"/>
        </w:rPr>
        <w:t>cien (100)</w:t>
      </w:r>
      <w:r w:rsidRPr="00727BEE">
        <w:rPr>
          <w:rFonts w:ascii="Tahoma" w:hAnsi="Tahoma" w:cs="Tahoma"/>
          <w:b/>
          <w:sz w:val="20"/>
          <w:szCs w:val="20"/>
          <w:lang w:val="es-CO"/>
        </w:rPr>
        <w:t xml:space="preserve"> puntos</w:t>
      </w:r>
      <w:r w:rsidRPr="00727BEE">
        <w:rPr>
          <w:rFonts w:ascii="Tahoma" w:hAnsi="Tahoma" w:cs="Tahoma"/>
          <w:sz w:val="20"/>
          <w:szCs w:val="20"/>
          <w:lang w:val="es-CO"/>
        </w:rPr>
        <w:t xml:space="preserve"> posibles. </w:t>
      </w:r>
    </w:p>
    <w:p w14:paraId="060735F3" w14:textId="77777777" w:rsidR="00727BEE" w:rsidRPr="00727BEE" w:rsidRDefault="00727BEE" w:rsidP="00727BEE">
      <w:pPr>
        <w:tabs>
          <w:tab w:val="left" w:pos="426"/>
        </w:tabs>
        <w:jc w:val="both"/>
        <w:rPr>
          <w:rFonts w:ascii="Tahoma" w:hAnsi="Tahoma" w:cs="Tahoma"/>
          <w:sz w:val="20"/>
          <w:szCs w:val="20"/>
          <w:lang w:val="es-CO"/>
        </w:rPr>
      </w:pPr>
    </w:p>
    <w:p w14:paraId="5DAD711C"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r w:rsidRPr="00727BEE">
        <w:rPr>
          <w:rFonts w:ascii="Tahoma" w:eastAsiaTheme="minorHAnsi" w:hAnsi="Tahoma" w:cs="Tahoma"/>
          <w:sz w:val="20"/>
          <w:szCs w:val="20"/>
          <w:lang w:val="es-CO" w:eastAsia="en-US"/>
        </w:rPr>
        <w:lastRenderedPageBreak/>
        <w:t>En aplicación del artículo 58 de la Ley 2195 de 2022, la Comisión durante el término de evaluación de las ofertas reducirá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61D92419"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p>
    <w:p w14:paraId="624AC69F"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r w:rsidRPr="00727BEE">
        <w:rPr>
          <w:rFonts w:ascii="Tahoma" w:eastAsiaTheme="minorHAnsi" w:hAnsi="Tahoma" w:cs="Tahoma"/>
          <w:sz w:val="20"/>
          <w:szCs w:val="20"/>
          <w:lang w:val="es-CO" w:eastAsia="en-US"/>
        </w:rPr>
        <w:t>Esta reducción también afecta a los consorcios y uniones temporales si alguno de sus integrantes se encuentra en la situación anterior.</w:t>
      </w:r>
    </w:p>
    <w:p w14:paraId="69B29F0C"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p>
    <w:p w14:paraId="048C6EAC"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r w:rsidRPr="00727BEE">
        <w:rPr>
          <w:rFonts w:ascii="Tahoma" w:eastAsiaTheme="minorHAnsi" w:hAnsi="Tahoma" w:cs="Tahoma"/>
          <w:sz w:val="20"/>
          <w:szCs w:val="20"/>
          <w:lang w:val="es-CO" w:eastAsia="en-US"/>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1A7E71C3" w14:textId="77777777" w:rsidR="00727BEE" w:rsidRPr="00727BEE" w:rsidRDefault="00727BEE" w:rsidP="00727BEE">
      <w:pPr>
        <w:tabs>
          <w:tab w:val="left" w:pos="426"/>
        </w:tabs>
        <w:jc w:val="both"/>
        <w:rPr>
          <w:rFonts w:ascii="Tahoma" w:hAnsi="Tahoma" w:cs="Tahoma"/>
          <w:sz w:val="20"/>
          <w:szCs w:val="20"/>
        </w:rPr>
      </w:pPr>
    </w:p>
    <w:p w14:paraId="7FDEFEEE"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r w:rsidRPr="00727BEE">
        <w:rPr>
          <w:rFonts w:ascii="Tahoma" w:eastAsiaTheme="minorHAnsi" w:hAnsi="Tahoma" w:cs="Tahoma"/>
          <w:sz w:val="20"/>
          <w:szCs w:val="20"/>
          <w:lang w:val="es-CO" w:eastAsia="en-US"/>
        </w:rPr>
        <w:t xml:space="preserve">Se evaluará sobre un total de </w:t>
      </w:r>
      <w:r w:rsidRPr="00727BEE">
        <w:rPr>
          <w:rFonts w:ascii="Tahoma" w:eastAsiaTheme="minorHAnsi" w:hAnsi="Tahoma" w:cs="Tahoma"/>
          <w:b/>
          <w:sz w:val="20"/>
          <w:szCs w:val="20"/>
          <w:lang w:val="es-CO" w:eastAsia="en-US"/>
        </w:rPr>
        <w:t>100 puntos</w:t>
      </w:r>
      <w:r w:rsidRPr="00727BEE">
        <w:rPr>
          <w:rFonts w:ascii="Tahoma" w:eastAsiaTheme="minorHAnsi" w:hAnsi="Tahoma" w:cs="Tahoma"/>
          <w:sz w:val="20"/>
          <w:szCs w:val="20"/>
          <w:lang w:val="es-CO" w:eastAsia="en-US"/>
        </w:rPr>
        <w:t xml:space="preserve"> de la siguiente manera: </w:t>
      </w:r>
    </w:p>
    <w:p w14:paraId="28E70066" w14:textId="77777777" w:rsidR="00727BEE" w:rsidRPr="00727BEE" w:rsidRDefault="00727BEE" w:rsidP="00727BEE">
      <w:pPr>
        <w:numPr>
          <w:ilvl w:val="12"/>
          <w:numId w:val="0"/>
        </w:numPr>
        <w:tabs>
          <w:tab w:val="left" w:pos="0"/>
        </w:tabs>
        <w:autoSpaceDE w:val="0"/>
        <w:autoSpaceDN w:val="0"/>
        <w:jc w:val="both"/>
        <w:rPr>
          <w:rFonts w:ascii="Tahoma" w:eastAsiaTheme="minorHAnsi" w:hAnsi="Tahoma" w:cs="Tahoma"/>
          <w:sz w:val="20"/>
          <w:szCs w:val="20"/>
          <w:lang w:val="es-CO" w:eastAsia="en-US"/>
        </w:rPr>
      </w:pPr>
    </w:p>
    <w:tbl>
      <w:tblPr>
        <w:tblW w:w="7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24"/>
        <w:gridCol w:w="1376"/>
      </w:tblGrid>
      <w:tr w:rsidR="00727BEE" w:rsidRPr="00727BEE" w14:paraId="05B2F365" w14:textId="77777777" w:rsidTr="00A800DF">
        <w:trPr>
          <w:trHeight w:val="269"/>
          <w:jc w:val="center"/>
        </w:trPr>
        <w:tc>
          <w:tcPr>
            <w:tcW w:w="6024" w:type="dxa"/>
            <w:shd w:val="clear" w:color="auto" w:fill="C6D9F1" w:themeFill="text2" w:themeFillTint="33"/>
            <w:vAlign w:val="center"/>
          </w:tcPr>
          <w:p w14:paraId="41072059" w14:textId="77777777" w:rsidR="00727BEE" w:rsidRPr="00727BEE" w:rsidRDefault="00727BEE" w:rsidP="00727BEE">
            <w:pPr>
              <w:jc w:val="center"/>
              <w:rPr>
                <w:rFonts w:ascii="Tahoma" w:hAnsi="Tahoma" w:cs="Tahoma"/>
                <w:b/>
                <w:bCs/>
                <w:sz w:val="20"/>
                <w:szCs w:val="20"/>
                <w:lang w:eastAsia="en-US"/>
              </w:rPr>
            </w:pPr>
            <w:bookmarkStart w:id="13" w:name="_Hlk128487088"/>
            <w:r w:rsidRPr="00727BEE">
              <w:rPr>
                <w:rFonts w:ascii="Tahoma" w:hAnsi="Tahoma" w:cs="Tahoma"/>
                <w:b/>
                <w:bCs/>
                <w:sz w:val="20"/>
                <w:szCs w:val="20"/>
                <w:lang w:eastAsia="en-US"/>
              </w:rPr>
              <w:t>Criterios de Ponderación</w:t>
            </w:r>
          </w:p>
        </w:tc>
        <w:tc>
          <w:tcPr>
            <w:tcW w:w="1376" w:type="dxa"/>
            <w:shd w:val="clear" w:color="auto" w:fill="C6D9F1" w:themeFill="text2" w:themeFillTint="33"/>
            <w:vAlign w:val="center"/>
          </w:tcPr>
          <w:p w14:paraId="4970C143" w14:textId="77777777" w:rsidR="00727BEE" w:rsidRPr="00727BEE" w:rsidRDefault="00727BEE" w:rsidP="00727BEE">
            <w:pPr>
              <w:jc w:val="center"/>
              <w:rPr>
                <w:rFonts w:ascii="Tahoma" w:hAnsi="Tahoma" w:cs="Tahoma"/>
                <w:b/>
                <w:bCs/>
                <w:sz w:val="20"/>
                <w:szCs w:val="20"/>
                <w:lang w:eastAsia="en-US"/>
              </w:rPr>
            </w:pPr>
            <w:r w:rsidRPr="00727BEE">
              <w:rPr>
                <w:rFonts w:ascii="Tahoma" w:hAnsi="Tahoma" w:cs="Tahoma"/>
                <w:b/>
                <w:bCs/>
                <w:sz w:val="20"/>
                <w:szCs w:val="20"/>
                <w:lang w:eastAsia="en-US"/>
              </w:rPr>
              <w:t>Puntaje</w:t>
            </w:r>
          </w:p>
        </w:tc>
      </w:tr>
      <w:tr w:rsidR="00727BEE" w:rsidRPr="00727BEE" w14:paraId="0DA88C31" w14:textId="77777777" w:rsidTr="00A800DF">
        <w:trPr>
          <w:trHeight w:val="157"/>
          <w:jc w:val="center"/>
        </w:trPr>
        <w:tc>
          <w:tcPr>
            <w:tcW w:w="6024" w:type="dxa"/>
            <w:vAlign w:val="center"/>
          </w:tcPr>
          <w:p w14:paraId="3D302B2E" w14:textId="77777777" w:rsidR="00727BEE" w:rsidRPr="00727BEE" w:rsidRDefault="00727BEE" w:rsidP="00727BEE">
            <w:pPr>
              <w:jc w:val="both"/>
              <w:rPr>
                <w:rFonts w:ascii="Tahoma" w:hAnsi="Tahoma" w:cs="Tahoma"/>
                <w:b/>
                <w:bCs/>
                <w:sz w:val="20"/>
                <w:szCs w:val="20"/>
                <w:lang w:eastAsia="en-US"/>
              </w:rPr>
            </w:pPr>
            <w:r w:rsidRPr="00727BEE">
              <w:rPr>
                <w:rFonts w:ascii="Tahoma" w:hAnsi="Tahoma" w:cs="Tahoma"/>
                <w:b/>
                <w:bCs/>
                <w:sz w:val="20"/>
                <w:szCs w:val="20"/>
                <w:lang w:eastAsia="en-US"/>
              </w:rPr>
              <w:t>Evaluación Técnica:</w:t>
            </w:r>
          </w:p>
        </w:tc>
        <w:tc>
          <w:tcPr>
            <w:tcW w:w="1376" w:type="dxa"/>
            <w:vAlign w:val="center"/>
          </w:tcPr>
          <w:p w14:paraId="7BF5541B" w14:textId="77777777" w:rsidR="00727BEE" w:rsidRPr="00727BEE" w:rsidRDefault="00727BEE" w:rsidP="00727BEE">
            <w:pPr>
              <w:jc w:val="center"/>
              <w:rPr>
                <w:rFonts w:ascii="Tahoma" w:hAnsi="Tahoma" w:cs="Tahoma"/>
                <w:b/>
                <w:bCs/>
                <w:sz w:val="20"/>
                <w:szCs w:val="20"/>
                <w:lang w:eastAsia="en-US"/>
              </w:rPr>
            </w:pPr>
          </w:p>
        </w:tc>
      </w:tr>
      <w:tr w:rsidR="00727BEE" w:rsidRPr="00727BEE" w14:paraId="793F6951" w14:textId="77777777" w:rsidTr="00A800DF">
        <w:trPr>
          <w:trHeight w:val="157"/>
          <w:jc w:val="center"/>
        </w:trPr>
        <w:tc>
          <w:tcPr>
            <w:tcW w:w="6024" w:type="dxa"/>
            <w:vAlign w:val="center"/>
          </w:tcPr>
          <w:p w14:paraId="1616FB5C" w14:textId="77777777" w:rsidR="00727BEE" w:rsidRPr="00727BEE" w:rsidRDefault="00727BEE" w:rsidP="00727BEE">
            <w:pPr>
              <w:jc w:val="both"/>
              <w:rPr>
                <w:rFonts w:ascii="Tahoma" w:hAnsi="Tahoma" w:cs="Tahoma"/>
                <w:sz w:val="20"/>
                <w:szCs w:val="20"/>
                <w:lang w:eastAsia="en-US"/>
              </w:rPr>
            </w:pPr>
            <w:r w:rsidRPr="00727BEE">
              <w:rPr>
                <w:rFonts w:ascii="Tahoma" w:hAnsi="Tahoma" w:cs="Tahoma"/>
                <w:sz w:val="20"/>
                <w:szCs w:val="20"/>
                <w:lang w:eastAsia="en-US"/>
              </w:rPr>
              <w:t xml:space="preserve">      Mayor valor asegurado (amparo básico de responsabilidad civil protección de datos “Cyber”)</w:t>
            </w:r>
          </w:p>
        </w:tc>
        <w:tc>
          <w:tcPr>
            <w:tcW w:w="1376" w:type="dxa"/>
            <w:vAlign w:val="center"/>
          </w:tcPr>
          <w:p w14:paraId="0AB5BDCF"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30</w:t>
            </w:r>
          </w:p>
        </w:tc>
      </w:tr>
      <w:tr w:rsidR="00727BEE" w:rsidRPr="00727BEE" w14:paraId="26B840AA" w14:textId="77777777" w:rsidTr="00A800DF">
        <w:trPr>
          <w:trHeight w:val="135"/>
          <w:jc w:val="center"/>
        </w:trPr>
        <w:tc>
          <w:tcPr>
            <w:tcW w:w="6024" w:type="dxa"/>
            <w:vAlign w:val="center"/>
          </w:tcPr>
          <w:p w14:paraId="10B82E55" w14:textId="77777777" w:rsidR="00727BEE" w:rsidRPr="00727BEE" w:rsidRDefault="00727BEE" w:rsidP="00727BEE">
            <w:pPr>
              <w:jc w:val="both"/>
              <w:rPr>
                <w:rFonts w:ascii="Tahoma" w:hAnsi="Tahoma" w:cs="Tahoma"/>
                <w:sz w:val="20"/>
                <w:szCs w:val="20"/>
                <w:lang w:eastAsia="en-US"/>
              </w:rPr>
            </w:pPr>
            <w:r w:rsidRPr="00727BEE">
              <w:rPr>
                <w:rFonts w:ascii="Tahoma" w:hAnsi="Tahoma" w:cs="Tahoma"/>
                <w:sz w:val="20"/>
                <w:szCs w:val="20"/>
                <w:lang w:eastAsia="en-US"/>
              </w:rPr>
              <w:t xml:space="preserve">      Condiciones Técnicas Adicionales</w:t>
            </w:r>
          </w:p>
        </w:tc>
        <w:tc>
          <w:tcPr>
            <w:tcW w:w="1376" w:type="dxa"/>
            <w:vAlign w:val="center"/>
          </w:tcPr>
          <w:p w14:paraId="04D6278F"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20</w:t>
            </w:r>
          </w:p>
        </w:tc>
      </w:tr>
      <w:tr w:rsidR="00727BEE" w:rsidRPr="00727BEE" w14:paraId="2785B1E6" w14:textId="77777777" w:rsidTr="00A800DF">
        <w:trPr>
          <w:trHeight w:val="207"/>
          <w:jc w:val="center"/>
        </w:trPr>
        <w:tc>
          <w:tcPr>
            <w:tcW w:w="6024" w:type="dxa"/>
            <w:vAlign w:val="center"/>
          </w:tcPr>
          <w:p w14:paraId="05957794" w14:textId="77777777" w:rsidR="00727BEE" w:rsidRPr="00727BEE" w:rsidRDefault="00727BEE" w:rsidP="00727BEE">
            <w:pPr>
              <w:jc w:val="both"/>
              <w:rPr>
                <w:rFonts w:ascii="Tahoma" w:hAnsi="Tahoma" w:cs="Tahoma"/>
                <w:b/>
                <w:bCs/>
                <w:sz w:val="20"/>
                <w:szCs w:val="20"/>
                <w:lang w:eastAsia="en-US"/>
              </w:rPr>
            </w:pPr>
            <w:r w:rsidRPr="00727BEE">
              <w:rPr>
                <w:rFonts w:ascii="Tahoma" w:hAnsi="Tahoma" w:cs="Tahoma"/>
                <w:b/>
                <w:bCs/>
                <w:sz w:val="20"/>
                <w:szCs w:val="20"/>
                <w:lang w:eastAsia="en-US"/>
              </w:rPr>
              <w:t>Evaluación Económica:</w:t>
            </w:r>
          </w:p>
        </w:tc>
        <w:tc>
          <w:tcPr>
            <w:tcW w:w="1376" w:type="dxa"/>
            <w:vAlign w:val="center"/>
          </w:tcPr>
          <w:p w14:paraId="5219169F" w14:textId="77777777" w:rsidR="00727BEE" w:rsidRPr="00727BEE" w:rsidRDefault="00727BEE" w:rsidP="00727BEE">
            <w:pPr>
              <w:jc w:val="center"/>
              <w:rPr>
                <w:rFonts w:ascii="Tahoma" w:hAnsi="Tahoma" w:cs="Tahoma"/>
                <w:b/>
                <w:bCs/>
                <w:sz w:val="20"/>
                <w:szCs w:val="20"/>
                <w:lang w:eastAsia="en-US"/>
              </w:rPr>
            </w:pPr>
          </w:p>
        </w:tc>
      </w:tr>
      <w:tr w:rsidR="00727BEE" w:rsidRPr="00727BEE" w14:paraId="46D236A4" w14:textId="77777777" w:rsidTr="00A800DF">
        <w:trPr>
          <w:trHeight w:val="211"/>
          <w:jc w:val="center"/>
        </w:trPr>
        <w:tc>
          <w:tcPr>
            <w:tcW w:w="6024" w:type="dxa"/>
            <w:vAlign w:val="center"/>
          </w:tcPr>
          <w:p w14:paraId="4F0679C1" w14:textId="77777777" w:rsidR="00727BEE" w:rsidRPr="00727BEE" w:rsidRDefault="00727BEE" w:rsidP="00727BEE">
            <w:pPr>
              <w:jc w:val="both"/>
              <w:rPr>
                <w:rFonts w:ascii="Tahoma" w:hAnsi="Tahoma" w:cs="Tahoma"/>
                <w:sz w:val="20"/>
                <w:szCs w:val="20"/>
                <w:lang w:eastAsia="en-US"/>
              </w:rPr>
            </w:pPr>
            <w:r w:rsidRPr="00727BEE">
              <w:rPr>
                <w:rFonts w:ascii="Tahoma" w:hAnsi="Tahoma" w:cs="Tahoma"/>
                <w:sz w:val="20"/>
                <w:szCs w:val="20"/>
                <w:lang w:eastAsia="en-US"/>
              </w:rPr>
              <w:t xml:space="preserve">       Mayor vigencia</w:t>
            </w:r>
          </w:p>
        </w:tc>
        <w:tc>
          <w:tcPr>
            <w:tcW w:w="1376" w:type="dxa"/>
            <w:vAlign w:val="center"/>
          </w:tcPr>
          <w:p w14:paraId="4679B99B"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29.75</w:t>
            </w:r>
          </w:p>
        </w:tc>
      </w:tr>
      <w:tr w:rsidR="00727BEE" w:rsidRPr="00727BEE" w14:paraId="651EF742" w14:textId="77777777" w:rsidTr="00A800DF">
        <w:trPr>
          <w:trHeight w:val="211"/>
          <w:jc w:val="center"/>
        </w:trPr>
        <w:tc>
          <w:tcPr>
            <w:tcW w:w="6024" w:type="dxa"/>
            <w:vAlign w:val="center"/>
          </w:tcPr>
          <w:p w14:paraId="0987086C" w14:textId="77777777" w:rsidR="00727BEE" w:rsidRPr="00727BEE" w:rsidRDefault="00727BEE" w:rsidP="00727BEE">
            <w:pPr>
              <w:jc w:val="both"/>
              <w:rPr>
                <w:rFonts w:ascii="Tahoma" w:hAnsi="Tahoma" w:cs="Tahoma"/>
                <w:sz w:val="20"/>
                <w:szCs w:val="20"/>
                <w:lang w:eastAsia="en-US"/>
              </w:rPr>
            </w:pPr>
            <w:r w:rsidRPr="00727BEE">
              <w:rPr>
                <w:rFonts w:ascii="Tahoma" w:hAnsi="Tahoma" w:cs="Tahoma"/>
                <w:sz w:val="20"/>
                <w:szCs w:val="20"/>
                <w:lang w:eastAsia="en-US"/>
              </w:rPr>
              <w:t xml:space="preserve">       Menor deducible</w:t>
            </w:r>
          </w:p>
        </w:tc>
        <w:tc>
          <w:tcPr>
            <w:tcW w:w="1376" w:type="dxa"/>
            <w:vAlign w:val="center"/>
          </w:tcPr>
          <w:p w14:paraId="1C5ADEB8"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10</w:t>
            </w:r>
          </w:p>
        </w:tc>
      </w:tr>
      <w:tr w:rsidR="00727BEE" w:rsidRPr="00727BEE" w14:paraId="7983A6E1" w14:textId="77777777" w:rsidTr="00A800DF">
        <w:trPr>
          <w:trHeight w:val="102"/>
          <w:jc w:val="center"/>
        </w:trPr>
        <w:tc>
          <w:tcPr>
            <w:tcW w:w="6024" w:type="dxa"/>
            <w:vAlign w:val="center"/>
          </w:tcPr>
          <w:p w14:paraId="70008494" w14:textId="77777777" w:rsidR="00727BEE" w:rsidRPr="00727BEE" w:rsidRDefault="00727BEE" w:rsidP="00727BEE">
            <w:pPr>
              <w:jc w:val="both"/>
              <w:rPr>
                <w:rFonts w:ascii="Tahoma" w:hAnsi="Tahoma" w:cs="Tahoma"/>
                <w:b/>
                <w:bCs/>
                <w:sz w:val="20"/>
                <w:szCs w:val="20"/>
                <w:lang w:eastAsia="en-US"/>
              </w:rPr>
            </w:pPr>
            <w:r w:rsidRPr="00727BEE">
              <w:rPr>
                <w:rFonts w:ascii="Tahoma" w:hAnsi="Tahoma" w:cs="Tahoma"/>
                <w:b/>
                <w:bCs/>
                <w:sz w:val="20"/>
                <w:szCs w:val="20"/>
                <w:lang w:eastAsia="en-US"/>
              </w:rPr>
              <w:t>Apoyo a la Industria Nacional</w:t>
            </w:r>
          </w:p>
        </w:tc>
        <w:tc>
          <w:tcPr>
            <w:tcW w:w="1376" w:type="dxa"/>
            <w:vAlign w:val="center"/>
          </w:tcPr>
          <w:p w14:paraId="5EEB074B"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10</w:t>
            </w:r>
          </w:p>
        </w:tc>
      </w:tr>
      <w:tr w:rsidR="00727BEE" w:rsidRPr="00727BEE" w14:paraId="7F9C62BF" w14:textId="77777777" w:rsidTr="00A800DF">
        <w:trPr>
          <w:trHeight w:val="119"/>
          <w:jc w:val="center"/>
        </w:trPr>
        <w:tc>
          <w:tcPr>
            <w:tcW w:w="6024" w:type="dxa"/>
            <w:shd w:val="clear" w:color="auto" w:fill="FFFFFF"/>
            <w:vAlign w:val="center"/>
          </w:tcPr>
          <w:p w14:paraId="4AA5EF63" w14:textId="77777777" w:rsidR="00727BEE" w:rsidRPr="00727BEE" w:rsidRDefault="00727BEE" w:rsidP="00727BEE">
            <w:pPr>
              <w:jc w:val="both"/>
              <w:rPr>
                <w:rFonts w:ascii="Tahoma" w:hAnsi="Tahoma" w:cs="Tahoma"/>
                <w:b/>
                <w:bCs/>
                <w:sz w:val="20"/>
                <w:szCs w:val="20"/>
                <w:lang w:eastAsia="en-US"/>
              </w:rPr>
            </w:pPr>
            <w:r w:rsidRPr="00727BEE">
              <w:rPr>
                <w:rFonts w:ascii="Tahoma" w:hAnsi="Tahoma" w:cs="Tahoma"/>
                <w:b/>
                <w:bCs/>
                <w:sz w:val="20"/>
                <w:szCs w:val="20"/>
                <w:lang w:eastAsia="en-US"/>
              </w:rPr>
              <w:t>Estímulo para la participación de mujeres en la contratación estatal (Decreto 1860 de 2021)</w:t>
            </w:r>
          </w:p>
        </w:tc>
        <w:tc>
          <w:tcPr>
            <w:tcW w:w="1376" w:type="dxa"/>
            <w:shd w:val="clear" w:color="auto" w:fill="FFFFFF"/>
            <w:vAlign w:val="center"/>
          </w:tcPr>
          <w:p w14:paraId="5ADD874C" w14:textId="77777777" w:rsidR="00727BEE" w:rsidRPr="00727BEE" w:rsidRDefault="00727BEE" w:rsidP="00727BEE">
            <w:pPr>
              <w:jc w:val="center"/>
              <w:rPr>
                <w:rFonts w:ascii="Tahoma" w:hAnsi="Tahoma" w:cs="Tahoma"/>
                <w:sz w:val="20"/>
                <w:szCs w:val="20"/>
                <w:lang w:eastAsia="en-US"/>
              </w:rPr>
            </w:pPr>
            <w:r w:rsidRPr="00727BEE">
              <w:rPr>
                <w:rFonts w:ascii="Tahoma" w:hAnsi="Tahoma" w:cs="Tahoma"/>
                <w:sz w:val="20"/>
                <w:szCs w:val="20"/>
                <w:lang w:eastAsia="en-US"/>
              </w:rPr>
              <w:t>0.25</w:t>
            </w:r>
          </w:p>
        </w:tc>
      </w:tr>
      <w:tr w:rsidR="00727BEE" w:rsidRPr="00727BEE" w14:paraId="0D4254E4" w14:textId="77777777" w:rsidTr="00A800DF">
        <w:trPr>
          <w:trHeight w:val="138"/>
          <w:jc w:val="center"/>
        </w:trPr>
        <w:tc>
          <w:tcPr>
            <w:tcW w:w="6024" w:type="dxa"/>
            <w:shd w:val="clear" w:color="auto" w:fill="C6D9F1" w:themeFill="text2" w:themeFillTint="33"/>
            <w:vAlign w:val="center"/>
          </w:tcPr>
          <w:p w14:paraId="2D85280F" w14:textId="77777777" w:rsidR="00727BEE" w:rsidRPr="00727BEE" w:rsidRDefault="00727BEE" w:rsidP="00727BEE">
            <w:pPr>
              <w:jc w:val="center"/>
              <w:rPr>
                <w:rFonts w:ascii="Tahoma" w:hAnsi="Tahoma" w:cs="Tahoma"/>
                <w:b/>
                <w:bCs/>
                <w:sz w:val="20"/>
                <w:szCs w:val="20"/>
                <w:lang w:eastAsia="en-US"/>
              </w:rPr>
            </w:pPr>
            <w:r w:rsidRPr="00727BEE">
              <w:rPr>
                <w:rFonts w:ascii="Tahoma" w:hAnsi="Tahoma" w:cs="Tahoma"/>
                <w:b/>
                <w:bCs/>
                <w:sz w:val="20"/>
                <w:szCs w:val="20"/>
                <w:lang w:eastAsia="en-US"/>
              </w:rPr>
              <w:t>TOTAL</w:t>
            </w:r>
          </w:p>
        </w:tc>
        <w:tc>
          <w:tcPr>
            <w:tcW w:w="1376" w:type="dxa"/>
            <w:shd w:val="clear" w:color="auto" w:fill="C6D9F1" w:themeFill="text2" w:themeFillTint="33"/>
            <w:vAlign w:val="center"/>
          </w:tcPr>
          <w:p w14:paraId="685E85DD" w14:textId="77777777" w:rsidR="00727BEE" w:rsidRPr="00727BEE" w:rsidRDefault="00727BEE" w:rsidP="00727BEE">
            <w:pPr>
              <w:jc w:val="center"/>
              <w:rPr>
                <w:rFonts w:ascii="Tahoma" w:hAnsi="Tahoma" w:cs="Tahoma"/>
                <w:b/>
                <w:bCs/>
                <w:sz w:val="20"/>
                <w:szCs w:val="20"/>
                <w:lang w:eastAsia="en-US"/>
              </w:rPr>
            </w:pPr>
            <w:r w:rsidRPr="00727BEE">
              <w:rPr>
                <w:rFonts w:ascii="Tahoma" w:hAnsi="Tahoma" w:cs="Tahoma"/>
                <w:b/>
                <w:bCs/>
                <w:sz w:val="20"/>
                <w:szCs w:val="20"/>
                <w:lang w:eastAsia="en-US"/>
              </w:rPr>
              <w:t>100</w:t>
            </w:r>
          </w:p>
        </w:tc>
      </w:tr>
      <w:bookmarkEnd w:id="13"/>
    </w:tbl>
    <w:p w14:paraId="090FBCF4" w14:textId="77777777" w:rsidR="00EB2215" w:rsidRPr="00410327" w:rsidRDefault="00EB2215" w:rsidP="00EB2215">
      <w:pPr>
        <w:jc w:val="both"/>
        <w:rPr>
          <w:rFonts w:ascii="Tahoma" w:eastAsia="Tahoma" w:hAnsi="Tahoma" w:cs="Tahoma"/>
          <w:b/>
          <w:bCs/>
          <w:sz w:val="20"/>
          <w:szCs w:val="20"/>
          <w:lang w:val="es-CO"/>
        </w:rPr>
      </w:pPr>
    </w:p>
    <w:p w14:paraId="3BD080AF" w14:textId="77777777" w:rsidR="00EB2215" w:rsidRPr="00410327" w:rsidRDefault="00EB2215" w:rsidP="00EB2215">
      <w:pPr>
        <w:keepNext/>
        <w:keepLines/>
        <w:ind w:left="432" w:hanging="432"/>
        <w:jc w:val="both"/>
        <w:outlineLvl w:val="0"/>
        <w:rPr>
          <w:rFonts w:ascii="Tahoma" w:eastAsiaTheme="majorEastAsia" w:hAnsi="Tahoma" w:cs="Tahoma"/>
          <w:b/>
          <w:bCs/>
          <w:color w:val="000000" w:themeColor="text1"/>
          <w:sz w:val="20"/>
          <w:szCs w:val="20"/>
          <w:lang w:val="es-CO" w:eastAsia="en-US"/>
        </w:rPr>
      </w:pPr>
      <w:r w:rsidRPr="00410327">
        <w:rPr>
          <w:rFonts w:ascii="Tahoma" w:eastAsiaTheme="majorEastAsia" w:hAnsi="Tahoma" w:cs="Tahoma"/>
          <w:b/>
          <w:bCs/>
          <w:color w:val="000000" w:themeColor="text1"/>
          <w:sz w:val="20"/>
          <w:szCs w:val="20"/>
          <w:lang w:val="es-CO" w:eastAsia="en-US"/>
        </w:rPr>
        <w:t>10. CRITERIOS DE DESEMPATE:</w:t>
      </w:r>
    </w:p>
    <w:p w14:paraId="48E57B36" w14:textId="77777777" w:rsidR="00EB2215" w:rsidRPr="00410327" w:rsidRDefault="00EB2215" w:rsidP="00EB2215">
      <w:pPr>
        <w:keepNext/>
        <w:keepLines/>
        <w:ind w:left="432" w:hanging="432"/>
        <w:jc w:val="both"/>
        <w:outlineLvl w:val="0"/>
        <w:rPr>
          <w:rFonts w:ascii="Tahoma" w:eastAsiaTheme="majorEastAsia" w:hAnsi="Tahoma" w:cs="Tahoma"/>
          <w:b/>
          <w:bCs/>
          <w:color w:val="000000" w:themeColor="text1"/>
          <w:sz w:val="20"/>
          <w:szCs w:val="20"/>
          <w:lang w:val="es-CO" w:eastAsia="en-US"/>
        </w:rPr>
      </w:pPr>
    </w:p>
    <w:p w14:paraId="26B4A4F4" w14:textId="77777777" w:rsidR="00EB2215" w:rsidRPr="005E46DD" w:rsidRDefault="00EB2215" w:rsidP="00EB2215">
      <w:pPr>
        <w:jc w:val="both"/>
        <w:rPr>
          <w:rFonts w:ascii="Tahoma" w:eastAsiaTheme="majorEastAsia" w:hAnsi="Tahoma" w:cs="Tahoma"/>
          <w:sz w:val="20"/>
          <w:szCs w:val="20"/>
          <w:lang w:val="es-CO"/>
        </w:rPr>
      </w:pPr>
      <w:bookmarkStart w:id="14" w:name="_Hlk102464897"/>
      <w:r w:rsidRPr="005E46DD">
        <w:rPr>
          <w:rFonts w:ascii="Tahoma" w:eastAsiaTheme="majorEastAsia" w:hAnsi="Tahoma" w:cs="Tahoma"/>
          <w:sz w:val="20"/>
          <w:szCs w:val="20"/>
          <w:lang w:val="es-CO"/>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7B28F26A" w14:textId="77777777" w:rsidR="00EB2215" w:rsidRPr="005E46DD" w:rsidRDefault="00EB2215" w:rsidP="00EB2215">
      <w:pPr>
        <w:jc w:val="both"/>
        <w:rPr>
          <w:rFonts w:ascii="Tahoma" w:eastAsiaTheme="majorEastAsia" w:hAnsi="Tahoma" w:cs="Tahoma"/>
          <w:sz w:val="20"/>
          <w:szCs w:val="20"/>
          <w:lang w:val="es-CO"/>
        </w:rPr>
      </w:pPr>
    </w:p>
    <w:p w14:paraId="6CE8BB2D"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w:t>
      </w:r>
      <w:r w:rsidRPr="005E46DD">
        <w:rPr>
          <w:rFonts w:ascii="Tahoma" w:eastAsiaTheme="majorEastAsia" w:hAnsi="Tahoma" w:cs="Tahoma"/>
          <w:sz w:val="20"/>
          <w:szCs w:val="20"/>
          <w:lang w:val="es-CO"/>
        </w:rPr>
        <w:lastRenderedPageBreak/>
        <w:t>efectos, incluso se aplicará el inciso tercero de la definición de Servicios Nacionales establecida en el artículo 2.2.1.1.1.3.1., citado anteriormente.</w:t>
      </w:r>
    </w:p>
    <w:p w14:paraId="37619221" w14:textId="77777777" w:rsidR="00EB2215" w:rsidRPr="005E46DD" w:rsidRDefault="00EB2215" w:rsidP="00EB2215">
      <w:pPr>
        <w:jc w:val="both"/>
        <w:rPr>
          <w:rFonts w:ascii="Tahoma" w:eastAsiaTheme="majorEastAsia" w:hAnsi="Tahoma" w:cs="Tahoma"/>
          <w:sz w:val="20"/>
          <w:szCs w:val="20"/>
          <w:lang w:val="es-CO"/>
        </w:rPr>
      </w:pPr>
    </w:p>
    <w:p w14:paraId="352FBB4E"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3316579" w14:textId="77777777" w:rsidR="00EB2215" w:rsidRPr="005E46DD" w:rsidRDefault="00EB2215" w:rsidP="00EB2215">
      <w:pPr>
        <w:jc w:val="both"/>
        <w:rPr>
          <w:rFonts w:ascii="Tahoma" w:eastAsiaTheme="majorEastAsia" w:hAnsi="Tahoma" w:cs="Tahoma"/>
          <w:sz w:val="20"/>
          <w:szCs w:val="20"/>
          <w:lang w:val="es-CO"/>
        </w:rPr>
      </w:pPr>
    </w:p>
    <w:p w14:paraId="190E8709"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D5F20F6"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 </w:t>
      </w:r>
    </w:p>
    <w:p w14:paraId="25807328"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BCE8DB0" w14:textId="77777777" w:rsidR="00EB2215" w:rsidRPr="005E46DD" w:rsidRDefault="00EB2215" w:rsidP="00EB2215">
      <w:pPr>
        <w:jc w:val="both"/>
        <w:rPr>
          <w:rFonts w:ascii="Tahoma" w:eastAsiaTheme="majorEastAsia" w:hAnsi="Tahoma" w:cs="Tahoma"/>
          <w:sz w:val="20"/>
          <w:szCs w:val="20"/>
          <w:lang w:val="es-CO"/>
        </w:rPr>
      </w:pPr>
    </w:p>
    <w:p w14:paraId="4E1E6FB4"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0B03345" w14:textId="77777777" w:rsidR="00EB2215" w:rsidRPr="005E46DD" w:rsidRDefault="00EB2215" w:rsidP="00EB2215">
      <w:pPr>
        <w:jc w:val="both"/>
        <w:rPr>
          <w:rFonts w:ascii="Tahoma" w:eastAsiaTheme="majorEastAsia" w:hAnsi="Tahoma" w:cs="Tahoma"/>
          <w:sz w:val="20"/>
          <w:szCs w:val="20"/>
          <w:lang w:val="es-CO"/>
        </w:rPr>
      </w:pPr>
    </w:p>
    <w:p w14:paraId="02ABA09B"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D3D192E" w14:textId="77777777" w:rsidR="00EB2215" w:rsidRPr="005E46DD" w:rsidRDefault="00EB2215" w:rsidP="00EB2215">
      <w:pPr>
        <w:jc w:val="both"/>
        <w:rPr>
          <w:rFonts w:ascii="Tahoma" w:eastAsiaTheme="majorEastAsia" w:hAnsi="Tahoma" w:cs="Tahoma"/>
          <w:sz w:val="20"/>
          <w:szCs w:val="20"/>
          <w:lang w:val="es-CO"/>
        </w:rPr>
      </w:pPr>
    </w:p>
    <w:p w14:paraId="7BFBA188"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Finalmente, en el caso de los proponentes plurales, se preferirá la oferta cuando cada uno de los integrantes acredite alguna de las condiciones señaladas en los incisos anteriores de este numeral.</w:t>
      </w:r>
    </w:p>
    <w:p w14:paraId="7F70C939" w14:textId="77777777" w:rsidR="00EB2215" w:rsidRPr="005E46DD" w:rsidRDefault="00EB2215" w:rsidP="00EB2215">
      <w:pPr>
        <w:jc w:val="both"/>
        <w:rPr>
          <w:rFonts w:ascii="Tahoma" w:eastAsiaTheme="majorEastAsia" w:hAnsi="Tahoma" w:cs="Tahoma"/>
          <w:sz w:val="20"/>
          <w:szCs w:val="20"/>
          <w:lang w:val="es-CO"/>
        </w:rPr>
      </w:pPr>
    </w:p>
    <w:p w14:paraId="24E48951"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E74BAC5" w14:textId="77777777" w:rsidR="00EB2215" w:rsidRPr="005E46DD" w:rsidRDefault="00EB2215" w:rsidP="00EB2215">
      <w:pPr>
        <w:jc w:val="both"/>
        <w:rPr>
          <w:rFonts w:ascii="Tahoma" w:eastAsiaTheme="majorEastAsia" w:hAnsi="Tahoma" w:cs="Tahoma"/>
          <w:sz w:val="20"/>
          <w:szCs w:val="20"/>
          <w:lang w:val="es-CO"/>
        </w:rPr>
      </w:pPr>
    </w:p>
    <w:p w14:paraId="0F2E095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427EB58" w14:textId="77777777" w:rsidR="00EB2215" w:rsidRPr="005E46DD" w:rsidRDefault="00EB2215" w:rsidP="00EB2215">
      <w:pPr>
        <w:jc w:val="both"/>
        <w:rPr>
          <w:rFonts w:ascii="Tahoma" w:eastAsiaTheme="majorEastAsia" w:hAnsi="Tahoma" w:cs="Tahoma"/>
          <w:sz w:val="20"/>
          <w:szCs w:val="20"/>
          <w:lang w:val="es-CO"/>
        </w:rPr>
      </w:pPr>
    </w:p>
    <w:p w14:paraId="3A7C9265"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8F73E"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 </w:t>
      </w:r>
    </w:p>
    <w:p w14:paraId="6B01FB75"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618B3F6" w14:textId="77777777" w:rsidR="00EB2215" w:rsidRPr="005E46DD" w:rsidRDefault="00EB2215" w:rsidP="00EB2215">
      <w:pPr>
        <w:jc w:val="both"/>
        <w:rPr>
          <w:rFonts w:ascii="Tahoma" w:eastAsiaTheme="majorEastAsia" w:hAnsi="Tahoma" w:cs="Tahoma"/>
          <w:sz w:val="20"/>
          <w:szCs w:val="20"/>
          <w:lang w:val="es-CO"/>
        </w:rPr>
      </w:pPr>
    </w:p>
    <w:p w14:paraId="3CBCB2F8"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2A9C53" w14:textId="77777777" w:rsidR="00EB2215" w:rsidRPr="005E46DD" w:rsidRDefault="00EB2215" w:rsidP="00EB2215">
      <w:pPr>
        <w:jc w:val="both"/>
        <w:rPr>
          <w:rFonts w:ascii="Tahoma" w:eastAsiaTheme="majorEastAsia" w:hAnsi="Tahoma" w:cs="Tahoma"/>
          <w:sz w:val="20"/>
          <w:szCs w:val="20"/>
          <w:lang w:val="es-CO"/>
        </w:rPr>
      </w:pPr>
    </w:p>
    <w:p w14:paraId="33BBF9E4"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D6E5C38" w14:textId="77777777" w:rsidR="00EB2215" w:rsidRPr="005E46DD" w:rsidRDefault="00EB2215" w:rsidP="00EB2215">
      <w:pPr>
        <w:jc w:val="both"/>
        <w:rPr>
          <w:rFonts w:ascii="Tahoma" w:eastAsiaTheme="majorEastAsia" w:hAnsi="Tahoma" w:cs="Tahoma"/>
          <w:sz w:val="20"/>
          <w:szCs w:val="20"/>
          <w:lang w:val="es-CO"/>
        </w:rPr>
      </w:pPr>
    </w:p>
    <w:p w14:paraId="1DD4B99F"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4E1C41C" w14:textId="77777777" w:rsidR="00EB2215" w:rsidRPr="005E46DD" w:rsidRDefault="00EB2215" w:rsidP="00EB2215">
      <w:pPr>
        <w:jc w:val="both"/>
        <w:rPr>
          <w:rFonts w:ascii="Tahoma" w:eastAsiaTheme="majorEastAsia" w:hAnsi="Tahoma" w:cs="Tahoma"/>
          <w:sz w:val="20"/>
          <w:szCs w:val="20"/>
          <w:lang w:val="es-CO"/>
        </w:rPr>
      </w:pPr>
    </w:p>
    <w:p w14:paraId="642D144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06ED04A" w14:textId="77777777" w:rsidR="00EB2215" w:rsidRPr="005E46DD" w:rsidRDefault="00EB2215" w:rsidP="00EB2215">
      <w:pPr>
        <w:jc w:val="both"/>
        <w:rPr>
          <w:rFonts w:ascii="Tahoma" w:eastAsiaTheme="majorEastAsia" w:hAnsi="Tahoma" w:cs="Tahoma"/>
          <w:sz w:val="20"/>
          <w:szCs w:val="20"/>
          <w:lang w:val="es-CO"/>
        </w:rPr>
      </w:pPr>
    </w:p>
    <w:p w14:paraId="26397615"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573DD3F" w14:textId="77777777" w:rsidR="00EB2215" w:rsidRPr="005E46DD" w:rsidRDefault="00EB2215" w:rsidP="00EB2215">
      <w:pPr>
        <w:jc w:val="both"/>
        <w:rPr>
          <w:rFonts w:ascii="Tahoma" w:eastAsiaTheme="majorEastAsia" w:hAnsi="Tahoma" w:cs="Tahoma"/>
          <w:sz w:val="20"/>
          <w:szCs w:val="20"/>
          <w:lang w:val="es-CO"/>
        </w:rPr>
      </w:pPr>
    </w:p>
    <w:p w14:paraId="48FB76A7"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203CA6B" w14:textId="77777777" w:rsidR="00EB2215" w:rsidRPr="005E46DD" w:rsidRDefault="00EB2215" w:rsidP="00EB2215">
      <w:pPr>
        <w:jc w:val="both"/>
        <w:rPr>
          <w:rFonts w:ascii="Tahoma" w:eastAsiaTheme="majorEastAsia" w:hAnsi="Tahoma" w:cs="Tahoma"/>
          <w:sz w:val="20"/>
          <w:szCs w:val="20"/>
          <w:lang w:val="es-CO"/>
        </w:rPr>
      </w:pPr>
    </w:p>
    <w:p w14:paraId="16795E57"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924DFA2" w14:textId="77777777" w:rsidR="00EB2215" w:rsidRPr="005E46DD" w:rsidRDefault="00EB2215" w:rsidP="00EB2215">
      <w:pPr>
        <w:jc w:val="both"/>
        <w:rPr>
          <w:rFonts w:ascii="Tahoma" w:eastAsiaTheme="majorEastAsia" w:hAnsi="Tahoma" w:cs="Tahoma"/>
          <w:sz w:val="20"/>
          <w:szCs w:val="20"/>
          <w:lang w:val="es-CO"/>
        </w:rPr>
      </w:pPr>
    </w:p>
    <w:p w14:paraId="26A4344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4755265" w14:textId="77777777" w:rsidR="00EB2215" w:rsidRPr="005E46DD" w:rsidRDefault="00EB2215" w:rsidP="00EB2215">
      <w:pPr>
        <w:jc w:val="both"/>
        <w:rPr>
          <w:rFonts w:ascii="Tahoma" w:eastAsiaTheme="majorEastAsia" w:hAnsi="Tahoma" w:cs="Tahoma"/>
          <w:sz w:val="20"/>
          <w:szCs w:val="20"/>
          <w:lang w:val="es-CO"/>
        </w:rPr>
      </w:pPr>
    </w:p>
    <w:p w14:paraId="23E6A9AF"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w:t>
      </w:r>
      <w:r w:rsidRPr="005E46DD">
        <w:rPr>
          <w:rFonts w:ascii="Tahoma" w:eastAsiaTheme="majorEastAsia" w:hAnsi="Tahoma" w:cs="Tahoma"/>
          <w:sz w:val="20"/>
          <w:szCs w:val="20"/>
          <w:lang w:val="es-CO"/>
        </w:rPr>
        <w:lastRenderedPageBreak/>
        <w:t>negra, afrocolombiana, raizal, palenquera, Rrom o gitana en los términos del Decreto Ley 2893 de 2011, o la norma que lo modifique, sustituya o complemente.</w:t>
      </w:r>
    </w:p>
    <w:p w14:paraId="630872DE" w14:textId="77777777" w:rsidR="00EB2215" w:rsidRPr="005E46DD" w:rsidRDefault="00EB2215" w:rsidP="00EB2215">
      <w:pPr>
        <w:jc w:val="both"/>
        <w:rPr>
          <w:rFonts w:ascii="Tahoma" w:eastAsiaTheme="majorEastAsia" w:hAnsi="Tahoma" w:cs="Tahoma"/>
          <w:sz w:val="20"/>
          <w:szCs w:val="20"/>
          <w:lang w:val="es-CO"/>
        </w:rPr>
      </w:pPr>
    </w:p>
    <w:p w14:paraId="562B95C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611CBE31" w14:textId="77777777" w:rsidR="00EB2215" w:rsidRPr="005E46DD" w:rsidRDefault="00EB2215" w:rsidP="00EB2215">
      <w:pPr>
        <w:jc w:val="both"/>
        <w:rPr>
          <w:rFonts w:ascii="Tahoma" w:eastAsiaTheme="majorEastAsia" w:hAnsi="Tahoma" w:cs="Tahoma"/>
          <w:sz w:val="20"/>
          <w:szCs w:val="20"/>
          <w:lang w:val="es-CO"/>
        </w:rPr>
      </w:pPr>
    </w:p>
    <w:p w14:paraId="26B936AB"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A7301EF" w14:textId="77777777" w:rsidR="00EB2215" w:rsidRPr="005E46DD" w:rsidRDefault="00EB2215" w:rsidP="00EB2215">
      <w:pPr>
        <w:jc w:val="both"/>
        <w:rPr>
          <w:rFonts w:ascii="Tahoma" w:eastAsiaTheme="majorEastAsia" w:hAnsi="Tahoma" w:cs="Tahoma"/>
          <w:sz w:val="20"/>
          <w:szCs w:val="20"/>
          <w:lang w:val="es-CO"/>
        </w:rPr>
      </w:pPr>
    </w:p>
    <w:p w14:paraId="191DF01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C8F5F2B" w14:textId="77777777" w:rsidR="00EB2215" w:rsidRPr="005E46DD" w:rsidRDefault="00EB2215" w:rsidP="00EB2215">
      <w:pPr>
        <w:jc w:val="both"/>
        <w:rPr>
          <w:rFonts w:ascii="Tahoma" w:eastAsiaTheme="majorEastAsia" w:hAnsi="Tahoma" w:cs="Tahoma"/>
          <w:sz w:val="20"/>
          <w:szCs w:val="20"/>
          <w:lang w:val="es-CO"/>
        </w:rPr>
      </w:pPr>
    </w:p>
    <w:p w14:paraId="1342C7CB"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3F7820E" w14:textId="77777777" w:rsidR="00EB2215" w:rsidRPr="005E46DD" w:rsidRDefault="00EB2215" w:rsidP="00EB2215">
      <w:pPr>
        <w:jc w:val="both"/>
        <w:rPr>
          <w:rFonts w:ascii="Tahoma" w:eastAsiaTheme="majorEastAsia" w:hAnsi="Tahoma" w:cs="Tahoma"/>
          <w:sz w:val="20"/>
          <w:szCs w:val="20"/>
          <w:lang w:val="es-CO"/>
        </w:rPr>
      </w:pPr>
    </w:p>
    <w:p w14:paraId="4944F541"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58191DB" w14:textId="77777777" w:rsidR="00EB2215" w:rsidRPr="005E46DD" w:rsidRDefault="00EB2215" w:rsidP="00EB2215">
      <w:pPr>
        <w:jc w:val="both"/>
        <w:rPr>
          <w:rFonts w:ascii="Tahoma" w:eastAsiaTheme="majorEastAsia" w:hAnsi="Tahoma" w:cs="Tahoma"/>
          <w:sz w:val="20"/>
          <w:szCs w:val="20"/>
          <w:lang w:val="es-CO"/>
        </w:rPr>
      </w:pPr>
    </w:p>
    <w:p w14:paraId="06C57732"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7. Preferir la oferta presentada por un proponente plural siempre que se cumplan las condiciones de los siguientes numerales:</w:t>
      </w:r>
    </w:p>
    <w:p w14:paraId="607A7DB9" w14:textId="77777777" w:rsidR="00EB2215" w:rsidRPr="005E46DD" w:rsidRDefault="00EB2215" w:rsidP="00EB2215">
      <w:pPr>
        <w:jc w:val="both"/>
        <w:rPr>
          <w:rFonts w:ascii="Tahoma" w:eastAsiaTheme="majorEastAsia" w:hAnsi="Tahoma" w:cs="Tahoma"/>
          <w:sz w:val="20"/>
          <w:szCs w:val="20"/>
          <w:lang w:val="es-CO"/>
        </w:rPr>
      </w:pPr>
    </w:p>
    <w:p w14:paraId="563603C3"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lastRenderedPageBreak/>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13B3CB5" w14:textId="77777777" w:rsidR="00EB2215" w:rsidRPr="005E46DD" w:rsidRDefault="00EB2215" w:rsidP="00EB2215">
      <w:pPr>
        <w:jc w:val="both"/>
        <w:rPr>
          <w:rFonts w:ascii="Tahoma" w:eastAsiaTheme="majorEastAsia" w:hAnsi="Tahoma" w:cs="Tahoma"/>
          <w:sz w:val="20"/>
          <w:szCs w:val="20"/>
          <w:lang w:val="es-CO"/>
        </w:rPr>
      </w:pPr>
    </w:p>
    <w:p w14:paraId="0894E90A"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7.2. El integrante del proponente plural de que trata el anterior numeral debe aportar mínimo el veinticinco por ciento (25%) de la experiencia acreditada en la oferta.</w:t>
      </w:r>
    </w:p>
    <w:p w14:paraId="53BCCCB8" w14:textId="77777777" w:rsidR="00EB2215" w:rsidRPr="005E46DD" w:rsidRDefault="00EB2215" w:rsidP="00EB2215">
      <w:pPr>
        <w:jc w:val="both"/>
        <w:rPr>
          <w:rFonts w:ascii="Tahoma" w:eastAsiaTheme="majorEastAsia" w:hAnsi="Tahoma" w:cs="Tahoma"/>
          <w:sz w:val="20"/>
          <w:szCs w:val="20"/>
          <w:lang w:val="es-CO"/>
        </w:rPr>
      </w:pPr>
    </w:p>
    <w:p w14:paraId="0D068F81"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 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FBC077A" w14:textId="77777777" w:rsidR="00EB2215" w:rsidRPr="005E46DD" w:rsidRDefault="00EB2215" w:rsidP="00EB2215">
      <w:pPr>
        <w:jc w:val="both"/>
        <w:rPr>
          <w:rFonts w:ascii="Tahoma" w:eastAsiaTheme="majorEastAsia" w:hAnsi="Tahoma" w:cs="Tahoma"/>
          <w:sz w:val="20"/>
          <w:szCs w:val="20"/>
          <w:lang w:val="es-CO"/>
        </w:rPr>
      </w:pPr>
    </w:p>
    <w:p w14:paraId="7B77B553"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A742178" w14:textId="77777777" w:rsidR="00EB2215" w:rsidRPr="005E46DD" w:rsidRDefault="00EB2215" w:rsidP="00EB2215">
      <w:pPr>
        <w:jc w:val="both"/>
        <w:rPr>
          <w:rFonts w:ascii="Tahoma" w:eastAsiaTheme="majorEastAsia" w:hAnsi="Tahoma" w:cs="Tahoma"/>
          <w:sz w:val="20"/>
          <w:szCs w:val="20"/>
          <w:lang w:val="es-CO"/>
        </w:rPr>
      </w:pPr>
    </w:p>
    <w:p w14:paraId="1434DD3A"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8. Preferir la oferta presentada por una Mipyme, lo cual se verificará en los términos del artículo 2.2.1.2.4.2.4 del presente Decreto, en concordancia con el parágrafo del artículo 2.2.1.13.2.4 del Decreto 1074 de 2015.</w:t>
      </w:r>
    </w:p>
    <w:p w14:paraId="4B17AB5F" w14:textId="77777777" w:rsidR="00EB2215" w:rsidRPr="005E46DD" w:rsidRDefault="00EB2215" w:rsidP="00EB2215">
      <w:pPr>
        <w:jc w:val="both"/>
        <w:rPr>
          <w:rFonts w:ascii="Tahoma" w:eastAsiaTheme="majorEastAsia" w:hAnsi="Tahoma" w:cs="Tahoma"/>
          <w:sz w:val="20"/>
          <w:szCs w:val="20"/>
          <w:lang w:val="es-CO"/>
        </w:rPr>
      </w:pPr>
    </w:p>
    <w:p w14:paraId="66164948"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0062CF8" w14:textId="77777777" w:rsidR="00EB2215" w:rsidRPr="005E46DD" w:rsidRDefault="00EB2215" w:rsidP="00EB2215">
      <w:pPr>
        <w:jc w:val="both"/>
        <w:rPr>
          <w:rFonts w:ascii="Tahoma" w:eastAsiaTheme="majorEastAsia" w:hAnsi="Tahoma" w:cs="Tahoma"/>
          <w:sz w:val="20"/>
          <w:szCs w:val="20"/>
          <w:lang w:val="es-CO"/>
        </w:rPr>
      </w:pPr>
    </w:p>
    <w:p w14:paraId="07F7E975"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w:t>
      </w:r>
      <w:r w:rsidRPr="005E46DD">
        <w:rPr>
          <w:rFonts w:ascii="Tahoma" w:eastAsiaTheme="majorEastAsia" w:hAnsi="Tahoma" w:cs="Tahoma"/>
          <w:sz w:val="20"/>
          <w:szCs w:val="20"/>
          <w:lang w:val="es-CO"/>
        </w:rPr>
        <w:lastRenderedPageBreak/>
        <w:t>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CC3EC4B" w14:textId="77777777" w:rsidR="00EB2215" w:rsidRPr="005E46DD" w:rsidRDefault="00EB2215" w:rsidP="00EB2215">
      <w:pPr>
        <w:jc w:val="both"/>
        <w:rPr>
          <w:rFonts w:ascii="Tahoma" w:eastAsiaTheme="majorEastAsia" w:hAnsi="Tahoma" w:cs="Tahoma"/>
          <w:sz w:val="20"/>
          <w:szCs w:val="20"/>
          <w:lang w:val="es-CO"/>
        </w:rPr>
      </w:pPr>
    </w:p>
    <w:p w14:paraId="134CE8FC"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9. Preferir la oferta presentada por el proponente plural constituido en su totalidad por micro y/o pequeñas empresas, cooperativas o asociaciones mutuales.</w:t>
      </w:r>
    </w:p>
    <w:p w14:paraId="0892D6DB"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La condición de micro o pequeña empresa se verificará en los términos del artículo 2.2.1.2.4.2.4 del presente Decreto, en concordancia con el parágrafo del artículo 2.2.1.13.2.4 del Decreto 1074 de 2015.</w:t>
      </w:r>
    </w:p>
    <w:p w14:paraId="044931BB" w14:textId="77777777" w:rsidR="00EB2215" w:rsidRPr="005E46DD" w:rsidRDefault="00EB2215" w:rsidP="00EB2215">
      <w:pPr>
        <w:jc w:val="both"/>
        <w:rPr>
          <w:rFonts w:ascii="Tahoma" w:eastAsiaTheme="majorEastAsia" w:hAnsi="Tahoma" w:cs="Tahoma"/>
          <w:sz w:val="20"/>
          <w:szCs w:val="20"/>
          <w:lang w:val="es-CO"/>
        </w:rPr>
      </w:pPr>
    </w:p>
    <w:p w14:paraId="07057FD2"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9054732" w14:textId="77777777" w:rsidR="00EB2215" w:rsidRPr="005E46DD" w:rsidRDefault="00EB2215" w:rsidP="00EB2215">
      <w:pPr>
        <w:jc w:val="both"/>
        <w:rPr>
          <w:rFonts w:ascii="Tahoma" w:eastAsiaTheme="majorEastAsia" w:hAnsi="Tahoma" w:cs="Tahoma"/>
          <w:sz w:val="20"/>
          <w:szCs w:val="20"/>
          <w:lang w:val="es-CO"/>
        </w:rPr>
      </w:pPr>
    </w:p>
    <w:p w14:paraId="5A8933F0"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C9A51E2" w14:textId="77777777" w:rsidR="00EB2215" w:rsidRPr="005E46DD" w:rsidRDefault="00EB2215" w:rsidP="00EB2215">
      <w:pPr>
        <w:ind w:left="360"/>
        <w:contextualSpacing/>
        <w:jc w:val="both"/>
        <w:rPr>
          <w:rFonts w:ascii="Tahoma" w:eastAsiaTheme="majorEastAsia" w:hAnsi="Tahoma" w:cs="Tahoma"/>
          <w:sz w:val="20"/>
          <w:szCs w:val="20"/>
          <w:lang w:val="es-CO"/>
        </w:rPr>
      </w:pPr>
    </w:p>
    <w:p w14:paraId="274420D2"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Igualmente, cuando la oferta es presentada por un proponente plural se preferirá a este siempre que:</w:t>
      </w:r>
    </w:p>
    <w:p w14:paraId="7BABEA55" w14:textId="77777777" w:rsidR="00EB2215" w:rsidRPr="005E46DD" w:rsidRDefault="00EB2215" w:rsidP="00EB2215">
      <w:pPr>
        <w:jc w:val="both"/>
        <w:rPr>
          <w:rFonts w:ascii="Tahoma" w:eastAsiaTheme="majorEastAsia" w:hAnsi="Tahoma" w:cs="Tahoma"/>
          <w:sz w:val="20"/>
          <w:szCs w:val="20"/>
          <w:lang w:val="es-CO"/>
        </w:rPr>
      </w:pPr>
    </w:p>
    <w:p w14:paraId="0D49BB1D"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9C014E" w14:textId="77777777" w:rsidR="00EB2215" w:rsidRPr="005E46DD" w:rsidRDefault="00EB2215" w:rsidP="00EB2215">
      <w:pPr>
        <w:jc w:val="both"/>
        <w:rPr>
          <w:rFonts w:ascii="Tahoma" w:eastAsiaTheme="majorEastAsia" w:hAnsi="Tahoma" w:cs="Tahoma"/>
          <w:sz w:val="20"/>
          <w:szCs w:val="20"/>
          <w:lang w:val="es-CO"/>
        </w:rPr>
      </w:pPr>
    </w:p>
    <w:p w14:paraId="5BEAE8E6"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10.2. La Mipyme, cooperativa o asociación mutual aporte mínimo el veinticinco por ciento (25 %) de la experiencia acreditada en la oferta; y</w:t>
      </w:r>
    </w:p>
    <w:p w14:paraId="5DF5980B" w14:textId="77777777" w:rsidR="00EB2215" w:rsidRPr="005E46DD" w:rsidRDefault="00EB2215" w:rsidP="00EB2215">
      <w:pPr>
        <w:jc w:val="both"/>
        <w:rPr>
          <w:rFonts w:ascii="Tahoma" w:eastAsiaTheme="majorEastAsia" w:hAnsi="Tahoma" w:cs="Tahoma"/>
          <w:sz w:val="20"/>
          <w:szCs w:val="20"/>
          <w:lang w:val="es-CO"/>
        </w:rPr>
      </w:pPr>
    </w:p>
    <w:p w14:paraId="31D6CBB1"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 xml:space="preserve">10.3. Ni la Mipyme, cooperativa o asociación mutual ni sus accionistas, socios o representantes legales sean empleados, socios o accionistas de los otros integrantes del proponente plural, para </w:t>
      </w:r>
      <w:r w:rsidRPr="005E46DD">
        <w:rPr>
          <w:rFonts w:ascii="Tahoma" w:eastAsiaTheme="majorEastAsia" w:hAnsi="Tahoma" w:cs="Tahoma"/>
          <w:sz w:val="20"/>
          <w:szCs w:val="20"/>
          <w:lang w:val="es-CO"/>
        </w:rPr>
        <w:lastRenderedPageBreak/>
        <w:t>lo cual el integrante respectivo lo manifestará mediante un certificado suscrito por la persona natural o el representante legal de la persona jurídica.</w:t>
      </w:r>
    </w:p>
    <w:p w14:paraId="18511C25" w14:textId="77777777" w:rsidR="00EB2215" w:rsidRPr="005E46DD" w:rsidRDefault="00EB2215" w:rsidP="00EB2215">
      <w:pPr>
        <w:jc w:val="both"/>
        <w:rPr>
          <w:rFonts w:ascii="Tahoma" w:eastAsiaTheme="majorEastAsia" w:hAnsi="Tahoma" w:cs="Tahoma"/>
          <w:sz w:val="20"/>
          <w:szCs w:val="20"/>
          <w:lang w:val="es-CO"/>
        </w:rPr>
      </w:pPr>
    </w:p>
    <w:p w14:paraId="7AB17EEB"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65F0884" w14:textId="77777777" w:rsidR="00EB2215" w:rsidRPr="005E46DD" w:rsidRDefault="00EB2215" w:rsidP="00EB2215">
      <w:pPr>
        <w:jc w:val="both"/>
        <w:rPr>
          <w:rFonts w:ascii="Tahoma" w:eastAsiaTheme="majorEastAsia" w:hAnsi="Tahoma" w:cs="Tahoma"/>
          <w:sz w:val="20"/>
          <w:szCs w:val="20"/>
          <w:lang w:val="es-CO"/>
        </w:rPr>
      </w:pPr>
    </w:p>
    <w:p w14:paraId="06D66F45"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B777032" w14:textId="77777777" w:rsidR="00EB2215" w:rsidRPr="005E46DD" w:rsidRDefault="00EB2215" w:rsidP="00EB2215">
      <w:pPr>
        <w:ind w:left="360"/>
        <w:contextualSpacing/>
        <w:jc w:val="both"/>
        <w:rPr>
          <w:rFonts w:ascii="Tahoma" w:eastAsiaTheme="majorEastAsia" w:hAnsi="Tahoma" w:cs="Tahoma"/>
          <w:sz w:val="20"/>
          <w:szCs w:val="20"/>
          <w:lang w:val="es-CO"/>
        </w:rPr>
      </w:pPr>
    </w:p>
    <w:p w14:paraId="60182EF7"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Tratándose de proponentes plurales, se preferirá la oferta cuando cada uno de los integrantes acredite las condiciones señaladas en el inciso anterior de este numeral.</w:t>
      </w:r>
    </w:p>
    <w:p w14:paraId="1ACE9CDD" w14:textId="77777777" w:rsidR="00EB2215" w:rsidRPr="005E46DD" w:rsidRDefault="00EB2215" w:rsidP="00EB2215">
      <w:pPr>
        <w:jc w:val="both"/>
        <w:rPr>
          <w:rFonts w:ascii="Tahoma" w:eastAsiaTheme="majorEastAsia" w:hAnsi="Tahoma" w:cs="Tahoma"/>
          <w:sz w:val="20"/>
          <w:szCs w:val="20"/>
          <w:lang w:val="es-CO"/>
        </w:rPr>
      </w:pPr>
    </w:p>
    <w:p w14:paraId="036489AE"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12. Utilizar un método aleatorio para seleccionar al oferente, el cual deberá estar establecido previamente en el pliego de condiciones, invitación o documento que haga sus veces.</w:t>
      </w:r>
    </w:p>
    <w:p w14:paraId="43027EF3" w14:textId="77777777" w:rsidR="00EB2215" w:rsidRPr="005E46DD" w:rsidRDefault="00EB2215" w:rsidP="00EB2215">
      <w:pPr>
        <w:jc w:val="both"/>
        <w:rPr>
          <w:rFonts w:ascii="Tahoma" w:eastAsiaTheme="majorEastAsia" w:hAnsi="Tahoma" w:cs="Tahoma"/>
          <w:sz w:val="20"/>
          <w:szCs w:val="20"/>
          <w:lang w:val="es-CO"/>
        </w:rPr>
      </w:pPr>
    </w:p>
    <w:p w14:paraId="51CD0698"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182D8A6" w14:textId="77777777" w:rsidR="00EB2215" w:rsidRPr="005E46DD" w:rsidRDefault="00EB2215" w:rsidP="00EB2215">
      <w:pPr>
        <w:jc w:val="both"/>
        <w:rPr>
          <w:rFonts w:ascii="Tahoma" w:eastAsiaTheme="majorEastAsia" w:hAnsi="Tahoma" w:cs="Tahoma"/>
          <w:sz w:val="20"/>
          <w:szCs w:val="20"/>
          <w:lang w:val="es-CO"/>
        </w:rPr>
      </w:pPr>
    </w:p>
    <w:p w14:paraId="53BE3391"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2CD24A8" w14:textId="77777777" w:rsidR="00EB2215" w:rsidRPr="005E46DD" w:rsidRDefault="00EB2215" w:rsidP="00EB2215">
      <w:pPr>
        <w:jc w:val="both"/>
        <w:rPr>
          <w:rFonts w:ascii="Tahoma" w:eastAsiaTheme="majorEastAsia" w:hAnsi="Tahoma" w:cs="Tahoma"/>
          <w:sz w:val="20"/>
          <w:szCs w:val="20"/>
          <w:lang w:val="es-CO"/>
        </w:rPr>
      </w:pPr>
    </w:p>
    <w:p w14:paraId="530418D9"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F3A122C" w14:textId="77777777" w:rsidR="00EB2215" w:rsidRPr="005E46DD" w:rsidRDefault="00EB2215" w:rsidP="00EB2215">
      <w:pPr>
        <w:jc w:val="both"/>
        <w:rPr>
          <w:rFonts w:ascii="Tahoma" w:eastAsiaTheme="majorEastAsia" w:hAnsi="Tahoma" w:cs="Tahoma"/>
          <w:sz w:val="20"/>
          <w:szCs w:val="20"/>
          <w:lang w:val="es-CO"/>
        </w:rPr>
      </w:pPr>
    </w:p>
    <w:p w14:paraId="51D81DEA"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t>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B00847B" w14:textId="77777777" w:rsidR="00EB2215" w:rsidRPr="005E46DD" w:rsidRDefault="00EB2215" w:rsidP="00EB2215">
      <w:pPr>
        <w:jc w:val="both"/>
        <w:rPr>
          <w:rFonts w:ascii="Tahoma" w:eastAsiaTheme="majorEastAsia" w:hAnsi="Tahoma" w:cs="Tahoma"/>
          <w:sz w:val="20"/>
          <w:szCs w:val="20"/>
          <w:lang w:val="es-CO"/>
        </w:rPr>
      </w:pPr>
    </w:p>
    <w:p w14:paraId="0DE740CC" w14:textId="77777777" w:rsidR="00EB2215" w:rsidRPr="005E46DD" w:rsidRDefault="00EB2215" w:rsidP="00EB2215">
      <w:pPr>
        <w:jc w:val="both"/>
        <w:rPr>
          <w:rFonts w:ascii="Tahoma" w:eastAsiaTheme="majorEastAsia" w:hAnsi="Tahoma" w:cs="Tahoma"/>
          <w:sz w:val="20"/>
          <w:szCs w:val="20"/>
          <w:lang w:val="es-CO"/>
        </w:rPr>
      </w:pPr>
      <w:r w:rsidRPr="005E46DD">
        <w:rPr>
          <w:rFonts w:ascii="Tahoma" w:eastAsiaTheme="majorEastAsia" w:hAnsi="Tahoma" w:cs="Tahoma"/>
          <w:sz w:val="20"/>
          <w:szCs w:val="20"/>
          <w:lang w:val="es-CO"/>
        </w:rPr>
        <w:lastRenderedPageBreak/>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BAD8AFA" w14:textId="77777777" w:rsidR="00EB2215" w:rsidRPr="005E46DD" w:rsidRDefault="00EB2215" w:rsidP="00EB2215">
      <w:pPr>
        <w:jc w:val="both"/>
        <w:rPr>
          <w:rFonts w:ascii="Tahoma" w:eastAsiaTheme="majorEastAsia" w:hAnsi="Tahoma" w:cs="Tahoma"/>
          <w:sz w:val="20"/>
          <w:szCs w:val="20"/>
          <w:lang w:val="es-CO"/>
        </w:rPr>
      </w:pPr>
    </w:p>
    <w:p w14:paraId="4BB993DA" w14:textId="77777777" w:rsidR="00EB2215" w:rsidRPr="005E46DD" w:rsidRDefault="00EB2215" w:rsidP="00EB2215">
      <w:pPr>
        <w:jc w:val="both"/>
        <w:rPr>
          <w:rFonts w:ascii="Tahoma" w:eastAsia="Tahoma" w:hAnsi="Tahoma" w:cs="Tahoma"/>
          <w:sz w:val="20"/>
          <w:szCs w:val="20"/>
          <w:lang w:eastAsia="en-US"/>
        </w:rPr>
      </w:pPr>
      <w:r w:rsidRPr="005E46DD">
        <w:rPr>
          <w:rFonts w:ascii="Tahoma" w:eastAsia="Tahoma" w:hAnsi="Tahoma" w:cs="Tahoma"/>
          <w:b/>
          <w:sz w:val="20"/>
          <w:szCs w:val="20"/>
          <w:lang w:eastAsia="en-US"/>
        </w:rPr>
        <w:t>Nota 1:</w:t>
      </w:r>
      <w:r w:rsidRPr="005E46DD">
        <w:rPr>
          <w:rFonts w:ascii="Tahoma" w:eastAsia="Tahoma" w:hAnsi="Tahoma" w:cs="Tahoma"/>
          <w:sz w:val="20"/>
          <w:szCs w:val="20"/>
          <w:lang w:eastAsia="en-US"/>
        </w:rPr>
        <w:t xml:space="preserve"> Los documentos y condiciones mediante los cuales se acrediten los criterios de desempate deberán ser aportados de manera completa e íntegra junto con la presentación de la oferta. En consecuencia, dichos criterios </w:t>
      </w:r>
      <w:r w:rsidRPr="005E46DD">
        <w:rPr>
          <w:rFonts w:ascii="Tahoma" w:eastAsia="Tahoma" w:hAnsi="Tahoma" w:cs="Tahoma"/>
          <w:b/>
          <w:bCs/>
          <w:sz w:val="20"/>
          <w:szCs w:val="20"/>
          <w:lang w:eastAsia="en-US"/>
        </w:rPr>
        <w:t>no serán objeto de subsanación</w:t>
      </w:r>
      <w:r w:rsidRPr="005E46DD">
        <w:rPr>
          <w:rFonts w:ascii="Tahoma" w:eastAsia="Tahoma" w:hAnsi="Tahoma" w:cs="Tahoma"/>
          <w:sz w:val="20"/>
          <w:szCs w:val="20"/>
          <w:lang w:eastAsia="en-US"/>
        </w:rPr>
        <w:t>, en la medida en que inciden directamente en la comparación y definición de las propuestas en caso de empate, por lo que su acreditación extemporánea implicaría la modificación o mejora de la oferta presentada. Por tanto, la entidad no permitirá la acreditación, corrección o complemento de documentos relacionados con criterios de desempate con posterioridad al cierre del proceso, de conformidad con lo previsto en el parágrafo 1 del artículo 5 de la Ley 1150 de 2007 y las reglas de inmutabilidad de las propuestas.</w:t>
      </w:r>
    </w:p>
    <w:bookmarkEnd w:id="14"/>
    <w:p w14:paraId="2969F5ED" w14:textId="77777777" w:rsidR="00EB2215" w:rsidRPr="00410327" w:rsidRDefault="00EB2215" w:rsidP="00EB2215">
      <w:pPr>
        <w:autoSpaceDE w:val="0"/>
        <w:autoSpaceDN w:val="0"/>
        <w:adjustRightInd w:val="0"/>
        <w:jc w:val="both"/>
        <w:rPr>
          <w:rFonts w:ascii="Tahoma" w:hAnsi="Tahoma" w:cs="Tahoma"/>
          <w:iCs/>
          <w:color w:val="000000" w:themeColor="text1"/>
          <w:sz w:val="20"/>
          <w:szCs w:val="20"/>
        </w:rPr>
      </w:pPr>
    </w:p>
    <w:p w14:paraId="610C55DE" w14:textId="77777777" w:rsidR="00EB2215" w:rsidRPr="00410327" w:rsidRDefault="00EB2215" w:rsidP="00EB2215">
      <w:pPr>
        <w:pStyle w:val="Default"/>
        <w:numPr>
          <w:ilvl w:val="0"/>
          <w:numId w:val="29"/>
        </w:numPr>
        <w:ind w:left="426" w:hanging="426"/>
        <w:jc w:val="both"/>
        <w:rPr>
          <w:color w:val="000000" w:themeColor="text1"/>
          <w:sz w:val="20"/>
          <w:szCs w:val="20"/>
        </w:rPr>
      </w:pPr>
      <w:r w:rsidRPr="00410327">
        <w:rPr>
          <w:b/>
          <w:color w:val="000000" w:themeColor="text1"/>
          <w:sz w:val="20"/>
          <w:szCs w:val="20"/>
          <w:lang w:val="es-ES_tradnl"/>
        </w:rPr>
        <w:t xml:space="preserve">OFERTA CON VALOR ARTIFICIALMENTE BAJO: </w:t>
      </w:r>
    </w:p>
    <w:p w14:paraId="31471E82" w14:textId="77777777" w:rsidR="00EB2215" w:rsidRPr="003B7FD4" w:rsidRDefault="00EB2215" w:rsidP="00EB2215">
      <w:pPr>
        <w:autoSpaceDE w:val="0"/>
        <w:autoSpaceDN w:val="0"/>
        <w:adjustRightInd w:val="0"/>
        <w:jc w:val="both"/>
        <w:rPr>
          <w:rFonts w:ascii="Tahoma" w:eastAsiaTheme="minorHAnsi" w:hAnsi="Tahoma" w:cs="Tahoma"/>
          <w:color w:val="000000" w:themeColor="text1"/>
          <w:sz w:val="20"/>
          <w:szCs w:val="20"/>
          <w:lang w:val="es-MX"/>
        </w:rPr>
      </w:pPr>
    </w:p>
    <w:p w14:paraId="106A3A8B" w14:textId="77777777" w:rsidR="00EB2215" w:rsidRPr="003B7FD4" w:rsidRDefault="00EB2215" w:rsidP="00EB2215">
      <w:pPr>
        <w:jc w:val="both"/>
        <w:rPr>
          <w:rFonts w:ascii="Tahoma" w:eastAsia="Arial" w:hAnsi="Tahoma" w:cs="Tahoma"/>
          <w:sz w:val="20"/>
          <w:szCs w:val="20"/>
          <w:lang w:val="es-MX" w:eastAsia="en-US"/>
        </w:rPr>
      </w:pPr>
      <w:r w:rsidRPr="003B7FD4">
        <w:rPr>
          <w:rFonts w:ascii="Tahoma" w:eastAsia="Arial" w:hAnsi="Tahoma" w:cs="Tahoma"/>
          <w:sz w:val="20"/>
          <w:szCs w:val="20"/>
          <w:lang w:val="es-MX" w:eastAsia="en-US"/>
        </w:rPr>
        <w:t>De conformidad con la expedición de la Ley 45 de 1990, el Gobierno Nacional, liberó las tarifas que las compañías de seguros puedan cobrar en cualquiera de los ramos de seguros que ofrezcan; por lo tanto, el costo de cualquier seguro está influenciado por múltiples factores entre los cuales se puede citar: las condiciones de reaseguro de los riesgos amparados, las políticas de suscripción de las aseguradoras, el tipo de riesgo a cubrir, la experiencia en siniestros general del ramo y especifica del cliente, etc.</w:t>
      </w:r>
    </w:p>
    <w:p w14:paraId="5654ADC0" w14:textId="77777777" w:rsidR="00EB2215" w:rsidRPr="003B7FD4" w:rsidRDefault="00EB2215" w:rsidP="00EB2215">
      <w:pPr>
        <w:ind w:left="142"/>
        <w:jc w:val="both"/>
        <w:rPr>
          <w:rFonts w:ascii="Tahoma" w:eastAsia="Arial" w:hAnsi="Tahoma" w:cs="Tahoma"/>
          <w:sz w:val="20"/>
          <w:szCs w:val="20"/>
          <w:lang w:val="es-MX" w:eastAsia="en-US"/>
        </w:rPr>
      </w:pPr>
    </w:p>
    <w:p w14:paraId="099A94FE" w14:textId="77777777" w:rsidR="00EB2215" w:rsidRPr="003B7FD4" w:rsidRDefault="00EB2215" w:rsidP="00EB2215">
      <w:pPr>
        <w:jc w:val="both"/>
        <w:rPr>
          <w:rFonts w:ascii="Tahoma" w:eastAsia="Arial" w:hAnsi="Tahoma" w:cs="Tahoma"/>
          <w:sz w:val="20"/>
          <w:szCs w:val="20"/>
          <w:lang w:val="es-MX" w:eastAsia="en-US"/>
        </w:rPr>
      </w:pPr>
      <w:r w:rsidRPr="003B7FD4">
        <w:rPr>
          <w:rFonts w:ascii="Tahoma" w:eastAsia="Arial" w:hAnsi="Tahoma" w:cs="Tahoma"/>
          <w:sz w:val="20"/>
          <w:szCs w:val="20"/>
          <w:lang w:val="es-MX" w:eastAsia="en-US"/>
        </w:rPr>
        <w:t>Así mismo y de conformidad con el concepto del 14 de agosto de 1997, radicación No. 1011, emitido por el Consejo de Estado, este señalo:</w:t>
      </w:r>
    </w:p>
    <w:p w14:paraId="0A527984" w14:textId="77777777" w:rsidR="00EB2215" w:rsidRPr="003B7FD4" w:rsidRDefault="00EB2215" w:rsidP="00EB2215">
      <w:pPr>
        <w:ind w:left="708"/>
        <w:jc w:val="both"/>
        <w:rPr>
          <w:rFonts w:ascii="Tahoma" w:eastAsia="Arial" w:hAnsi="Tahoma" w:cs="Tahoma"/>
          <w:sz w:val="20"/>
          <w:szCs w:val="20"/>
          <w:lang w:val="es-MX" w:eastAsia="en-US"/>
        </w:rPr>
      </w:pPr>
    </w:p>
    <w:p w14:paraId="190C7AFF" w14:textId="77777777" w:rsidR="00EB2215" w:rsidRPr="003B7FD4" w:rsidRDefault="00EB2215" w:rsidP="00EB2215">
      <w:pPr>
        <w:ind w:left="567"/>
        <w:jc w:val="both"/>
        <w:rPr>
          <w:rFonts w:ascii="Tahoma" w:eastAsia="Arial" w:hAnsi="Tahoma" w:cs="Tahoma"/>
          <w:i/>
          <w:sz w:val="20"/>
          <w:szCs w:val="20"/>
          <w:lang w:val="es-MX" w:eastAsia="en-US"/>
        </w:rPr>
      </w:pPr>
      <w:r w:rsidRPr="003B7FD4">
        <w:rPr>
          <w:rFonts w:ascii="Tahoma" w:eastAsia="Arial" w:hAnsi="Tahoma" w:cs="Tahoma"/>
          <w:i/>
          <w:sz w:val="20"/>
          <w:szCs w:val="20"/>
          <w:lang w:val="es-MX" w:eastAsia="en-US"/>
        </w:rPr>
        <w:t>“En el caso concreto de un contrato de seguros es claro que al ser este un contrato aleatorio conforme a la naturaleza y además por su extensa disposición legal, no le es aplicable la teoría de la imprevisión y consiguientemente, no hay lugar a la figura del restablecimiento del equilibrio de la ecuación contractual que se predica de los contratos conmutativos, en los cuales si se presentan la equivalencia de las prestaciones de los contratantes”</w:t>
      </w:r>
    </w:p>
    <w:p w14:paraId="0ED74B67" w14:textId="77777777" w:rsidR="00EB2215" w:rsidRPr="003B7FD4" w:rsidRDefault="00EB2215" w:rsidP="00EB2215">
      <w:pPr>
        <w:ind w:left="142"/>
        <w:jc w:val="both"/>
        <w:rPr>
          <w:rFonts w:ascii="Tahoma" w:eastAsia="Arial" w:hAnsi="Tahoma" w:cs="Tahoma"/>
          <w:sz w:val="20"/>
          <w:szCs w:val="20"/>
          <w:lang w:val="es-MX" w:eastAsia="en-US"/>
        </w:rPr>
      </w:pPr>
    </w:p>
    <w:p w14:paraId="74745BD2" w14:textId="77777777" w:rsidR="00EB2215" w:rsidRPr="003B7FD4" w:rsidRDefault="00EB2215" w:rsidP="00EB2215">
      <w:pPr>
        <w:jc w:val="both"/>
        <w:rPr>
          <w:rFonts w:ascii="Tahoma" w:eastAsia="Arial" w:hAnsi="Tahoma" w:cs="Tahoma"/>
          <w:sz w:val="20"/>
          <w:szCs w:val="20"/>
          <w:lang w:val="es-MX" w:eastAsia="en-US"/>
        </w:rPr>
      </w:pPr>
      <w:r w:rsidRPr="003B7FD4">
        <w:rPr>
          <w:rFonts w:ascii="Tahoma" w:eastAsia="Arial" w:hAnsi="Tahoma" w:cs="Tahoma"/>
          <w:sz w:val="20"/>
          <w:szCs w:val="20"/>
          <w:lang w:val="es-MX" w:eastAsia="en-US"/>
        </w:rPr>
        <w:t>De igual manera, manifiesta el Consejo de Estado que:</w:t>
      </w:r>
    </w:p>
    <w:p w14:paraId="2EF38A57" w14:textId="77777777" w:rsidR="00EB2215" w:rsidRPr="003B7FD4" w:rsidRDefault="00EB2215" w:rsidP="00EB2215">
      <w:pPr>
        <w:ind w:left="142"/>
        <w:jc w:val="both"/>
        <w:rPr>
          <w:rFonts w:ascii="Tahoma" w:eastAsia="Arial" w:hAnsi="Tahoma" w:cs="Tahoma"/>
          <w:sz w:val="20"/>
          <w:szCs w:val="20"/>
          <w:lang w:val="es-MX" w:eastAsia="en-US"/>
        </w:rPr>
      </w:pPr>
    </w:p>
    <w:p w14:paraId="500EF99B" w14:textId="77777777" w:rsidR="00EB2215" w:rsidRPr="003B7FD4" w:rsidRDefault="00EB2215" w:rsidP="00EB2215">
      <w:pPr>
        <w:ind w:left="567"/>
        <w:jc w:val="both"/>
        <w:rPr>
          <w:rFonts w:ascii="Tahoma" w:eastAsia="Arial" w:hAnsi="Tahoma" w:cs="Tahoma"/>
          <w:i/>
          <w:sz w:val="20"/>
          <w:szCs w:val="20"/>
          <w:lang w:val="es-MX" w:eastAsia="en-US"/>
        </w:rPr>
      </w:pPr>
      <w:r w:rsidRPr="003B7FD4">
        <w:rPr>
          <w:rFonts w:ascii="Tahoma" w:eastAsia="Arial" w:hAnsi="Tahoma" w:cs="Tahoma"/>
          <w:i/>
          <w:sz w:val="20"/>
          <w:szCs w:val="20"/>
          <w:lang w:val="es-MX" w:eastAsia="en-US"/>
        </w:rPr>
        <w:t>“Al contrato de seguro no le es aplicable el inciso segundo del numeral 1° del artículo 5 de la Ley 80 de 1993, en lo que se refiere al reconocimiento del equilibrio de la ecuación económica del contrato por la ocurrencia de situaciones imprevistas no imputables al contratista. Ello por cuanto la teoría de la imprevisión no rige para los contratos aleatorios, como lo es el de seguro, por la naturaleza misma de éste y por expresa disposición del último inciso del artículo 868 del Código de Comercio”.</w:t>
      </w:r>
    </w:p>
    <w:p w14:paraId="698A8C84" w14:textId="77777777" w:rsidR="00EB2215" w:rsidRPr="003B7FD4" w:rsidRDefault="00EB2215" w:rsidP="00EB2215">
      <w:pPr>
        <w:ind w:left="142"/>
        <w:jc w:val="both"/>
        <w:rPr>
          <w:rFonts w:ascii="Tahoma" w:eastAsia="Arial" w:hAnsi="Tahoma" w:cs="Tahoma"/>
          <w:sz w:val="20"/>
          <w:szCs w:val="20"/>
          <w:lang w:val="es-MX" w:eastAsia="en-US"/>
        </w:rPr>
      </w:pPr>
    </w:p>
    <w:p w14:paraId="033DA2A9" w14:textId="77777777" w:rsidR="00EB2215" w:rsidRPr="003B7FD4" w:rsidRDefault="00EB2215" w:rsidP="00EB2215">
      <w:pPr>
        <w:jc w:val="both"/>
        <w:rPr>
          <w:rFonts w:ascii="Tahoma" w:eastAsia="Arial" w:hAnsi="Tahoma" w:cs="Tahoma"/>
          <w:b/>
          <w:sz w:val="20"/>
          <w:szCs w:val="20"/>
          <w:u w:val="single"/>
          <w:lang w:val="es-MX" w:eastAsia="en-US"/>
        </w:rPr>
      </w:pPr>
      <w:r w:rsidRPr="003B7FD4">
        <w:rPr>
          <w:rFonts w:ascii="Tahoma" w:eastAsia="Arial" w:hAnsi="Tahoma" w:cs="Tahoma"/>
          <w:sz w:val="20"/>
          <w:szCs w:val="20"/>
          <w:lang w:val="es-MX" w:eastAsia="en-US"/>
        </w:rPr>
        <w:t xml:space="preserve">En consecuencia de lo anterior, es importante resaltar que, en el contrato de seguros no existe posibilidad de dar aplicación a la ecuación de equilibrio contractual contemplada en la Ley 80 de </w:t>
      </w:r>
      <w:r w:rsidRPr="003B7FD4">
        <w:rPr>
          <w:rFonts w:ascii="Tahoma" w:eastAsia="Arial" w:hAnsi="Tahoma" w:cs="Tahoma"/>
          <w:sz w:val="20"/>
          <w:szCs w:val="20"/>
          <w:lang w:val="es-MX" w:eastAsia="en-US"/>
        </w:rPr>
        <w:lastRenderedPageBreak/>
        <w:t xml:space="preserve">1993, dada la naturaleza aleatoria y onerosa del mismo, así mismo y considerando que al contrato de seguro no le es aplicable la teoría de la imprevisión, ni procede la estimación, tipificación y asignación de este tipo de riesgo; el procedimiento descrito en el artículo 2.2.1.1.2.2.4 del Decreto 1082 de 2015 y los parámetros definidos en la Guía para el manejo de ofertas artificialmente bajas en Procesos de Contratación de Colombia Compra Eficiente, </w:t>
      </w:r>
      <w:r w:rsidRPr="003B7FD4">
        <w:rPr>
          <w:rFonts w:ascii="Tahoma" w:eastAsia="Arial" w:hAnsi="Tahoma" w:cs="Tahoma"/>
          <w:b/>
          <w:sz w:val="20"/>
          <w:szCs w:val="20"/>
          <w:u w:val="single"/>
          <w:lang w:val="es-MX" w:eastAsia="en-US"/>
        </w:rPr>
        <w:t>no son aplicables a los contratos de seguros.</w:t>
      </w:r>
    </w:p>
    <w:p w14:paraId="6E95E6C9" w14:textId="77777777" w:rsidR="00EB2215" w:rsidRPr="003B7FD4" w:rsidRDefault="00EB2215" w:rsidP="00EB2215">
      <w:pPr>
        <w:autoSpaceDE w:val="0"/>
        <w:autoSpaceDN w:val="0"/>
        <w:adjustRightInd w:val="0"/>
        <w:jc w:val="both"/>
        <w:rPr>
          <w:rFonts w:ascii="Tahoma" w:eastAsiaTheme="minorHAnsi" w:hAnsi="Tahoma" w:cs="Tahoma"/>
          <w:color w:val="000000" w:themeColor="text1"/>
          <w:sz w:val="20"/>
          <w:szCs w:val="20"/>
          <w:lang w:val="es-MX"/>
        </w:rPr>
      </w:pPr>
    </w:p>
    <w:p w14:paraId="07C3B279" w14:textId="77777777" w:rsidR="00EB2215" w:rsidRPr="00410327" w:rsidRDefault="00EB2215" w:rsidP="00EB2215">
      <w:pPr>
        <w:suppressAutoHyphens/>
        <w:jc w:val="both"/>
        <w:rPr>
          <w:rFonts w:ascii="Tahoma" w:hAnsi="Tahoma" w:cs="Tahoma"/>
          <w:color w:val="000000" w:themeColor="text1"/>
          <w:sz w:val="20"/>
          <w:szCs w:val="20"/>
          <w:lang w:val="es-ES_tradnl"/>
        </w:rPr>
      </w:pPr>
    </w:p>
    <w:p w14:paraId="79A28353" w14:textId="77777777" w:rsidR="00EB2215" w:rsidRPr="00410327" w:rsidRDefault="00EB2215" w:rsidP="00EB2215">
      <w:pPr>
        <w:suppressAutoHyphens/>
        <w:jc w:val="both"/>
        <w:rPr>
          <w:rFonts w:ascii="Tahoma" w:hAnsi="Tahoma" w:cs="Tahoma"/>
          <w:b/>
          <w:color w:val="000000" w:themeColor="text1"/>
          <w:sz w:val="20"/>
          <w:szCs w:val="20"/>
          <w:lang w:eastAsia="ar-SA"/>
        </w:rPr>
      </w:pPr>
      <w:r w:rsidRPr="00410327">
        <w:rPr>
          <w:rFonts w:ascii="Tahoma" w:hAnsi="Tahoma" w:cs="Tahoma"/>
          <w:b/>
          <w:color w:val="000000" w:themeColor="text1"/>
          <w:sz w:val="20"/>
          <w:szCs w:val="20"/>
          <w:lang w:eastAsia="ar-SA"/>
        </w:rPr>
        <w:t>12. CRONOGRAMA</w:t>
      </w:r>
    </w:p>
    <w:p w14:paraId="6A951045" w14:textId="77777777" w:rsidR="00EB2215" w:rsidRPr="00410327" w:rsidRDefault="00EB2215" w:rsidP="00EB2215">
      <w:pPr>
        <w:jc w:val="both"/>
        <w:rPr>
          <w:rFonts w:ascii="Tahoma" w:hAnsi="Tahoma" w:cs="Tahoma"/>
          <w:color w:val="000000" w:themeColor="text1"/>
          <w:sz w:val="20"/>
          <w:szCs w:val="20"/>
          <w:lang w:eastAsia="ar-SA"/>
        </w:rPr>
      </w:pPr>
    </w:p>
    <w:p w14:paraId="739E107D" w14:textId="77777777" w:rsidR="00EB2215" w:rsidRDefault="00EB2215" w:rsidP="00EB2215">
      <w:pPr>
        <w:jc w:val="both"/>
        <w:rPr>
          <w:rFonts w:ascii="Tahoma" w:hAnsi="Tahoma" w:cs="Tahoma"/>
          <w:color w:val="000000" w:themeColor="text1"/>
          <w:sz w:val="20"/>
          <w:szCs w:val="20"/>
        </w:rPr>
      </w:pPr>
      <w:r w:rsidRPr="001F4958">
        <w:rPr>
          <w:rFonts w:ascii="Tahoma" w:hAnsi="Tahoma" w:cs="Tahoma"/>
          <w:color w:val="000000" w:themeColor="text1"/>
          <w:sz w:val="20"/>
          <w:szCs w:val="20"/>
        </w:rPr>
        <w:t>El cronograma aplicable será el establecido en la plataforma SECOP II para el presente proceso.</w:t>
      </w:r>
    </w:p>
    <w:p w14:paraId="11EB7B0E" w14:textId="77777777" w:rsidR="00EB2215" w:rsidRDefault="00EB2215" w:rsidP="00EB2215">
      <w:pPr>
        <w:jc w:val="both"/>
        <w:rPr>
          <w:rFonts w:ascii="Tahoma" w:hAnsi="Tahoma" w:cs="Tahoma"/>
          <w:color w:val="000000" w:themeColor="text1"/>
          <w:sz w:val="20"/>
          <w:szCs w:val="20"/>
        </w:rPr>
      </w:pPr>
    </w:p>
    <w:p w14:paraId="11DC9471" w14:textId="0F146AE2" w:rsidR="00EB2215" w:rsidRPr="00410327" w:rsidRDefault="00EB2215" w:rsidP="00EB2215">
      <w:pPr>
        <w:jc w:val="both"/>
        <w:rPr>
          <w:rFonts w:ascii="Tahoma" w:hAnsi="Tahoma" w:cs="Tahoma"/>
          <w:color w:val="000000" w:themeColor="text1"/>
          <w:sz w:val="20"/>
          <w:szCs w:val="20"/>
          <w:lang w:eastAsia="ar-SA"/>
        </w:rPr>
      </w:pPr>
      <w:r w:rsidRPr="00410327">
        <w:rPr>
          <w:rFonts w:ascii="Tahoma" w:hAnsi="Tahoma" w:cs="Tahoma"/>
          <w:color w:val="000000" w:themeColor="text1"/>
          <w:sz w:val="20"/>
          <w:szCs w:val="20"/>
        </w:rPr>
        <w:t>D</w:t>
      </w:r>
      <w:r w:rsidRPr="00410327">
        <w:rPr>
          <w:rFonts w:ascii="Tahoma" w:hAnsi="Tahoma" w:cs="Tahoma"/>
          <w:color w:val="000000" w:themeColor="text1"/>
          <w:sz w:val="20"/>
          <w:szCs w:val="20"/>
          <w:lang w:eastAsia="ar-SA"/>
        </w:rPr>
        <w:t xml:space="preserve">ado en la ciudad de Bogotá, D.C., a los </w:t>
      </w:r>
      <w:r w:rsidR="00F64EFE">
        <w:rPr>
          <w:rFonts w:ascii="Tahoma" w:hAnsi="Tahoma" w:cs="Tahoma"/>
          <w:color w:val="000000" w:themeColor="text1"/>
          <w:sz w:val="20"/>
          <w:szCs w:val="20"/>
          <w:lang w:eastAsia="ar-SA"/>
        </w:rPr>
        <w:t>quince</w:t>
      </w:r>
      <w:r w:rsidRPr="00410327">
        <w:rPr>
          <w:rFonts w:ascii="Tahoma" w:hAnsi="Tahoma" w:cs="Tahoma"/>
          <w:color w:val="000000" w:themeColor="text1"/>
          <w:sz w:val="20"/>
          <w:szCs w:val="20"/>
          <w:lang w:eastAsia="ar-SA"/>
        </w:rPr>
        <w:t xml:space="preserve"> (</w:t>
      </w:r>
      <w:r>
        <w:rPr>
          <w:rFonts w:ascii="Tahoma" w:hAnsi="Tahoma" w:cs="Tahoma"/>
          <w:color w:val="000000" w:themeColor="text1"/>
          <w:sz w:val="20"/>
          <w:szCs w:val="20"/>
          <w:lang w:eastAsia="ar-SA"/>
        </w:rPr>
        <w:t>15</w:t>
      </w:r>
      <w:r w:rsidRPr="00410327">
        <w:rPr>
          <w:rFonts w:ascii="Tahoma" w:hAnsi="Tahoma" w:cs="Tahoma"/>
          <w:color w:val="000000" w:themeColor="text1"/>
          <w:sz w:val="20"/>
          <w:szCs w:val="20"/>
          <w:lang w:eastAsia="ar-SA"/>
        </w:rPr>
        <w:t xml:space="preserve">) días del mes de </w:t>
      </w:r>
      <w:r>
        <w:rPr>
          <w:rFonts w:ascii="Tahoma" w:hAnsi="Tahoma" w:cs="Tahoma"/>
          <w:color w:val="000000" w:themeColor="text1"/>
          <w:sz w:val="20"/>
          <w:szCs w:val="20"/>
          <w:lang w:eastAsia="ar-SA"/>
        </w:rPr>
        <w:t>mayo</w:t>
      </w:r>
      <w:r w:rsidRPr="00410327">
        <w:rPr>
          <w:rFonts w:ascii="Tahoma" w:hAnsi="Tahoma" w:cs="Tahoma"/>
          <w:color w:val="000000" w:themeColor="text1"/>
          <w:sz w:val="20"/>
          <w:szCs w:val="20"/>
          <w:lang w:eastAsia="ar-SA"/>
        </w:rPr>
        <w:t xml:space="preserve"> de 202</w:t>
      </w:r>
      <w:r>
        <w:rPr>
          <w:rFonts w:ascii="Tahoma" w:hAnsi="Tahoma" w:cs="Tahoma"/>
          <w:color w:val="000000" w:themeColor="text1"/>
          <w:sz w:val="20"/>
          <w:szCs w:val="20"/>
          <w:lang w:eastAsia="ar-SA"/>
        </w:rPr>
        <w:t>6</w:t>
      </w:r>
      <w:r w:rsidRPr="00410327">
        <w:rPr>
          <w:rFonts w:ascii="Tahoma" w:hAnsi="Tahoma" w:cs="Tahoma"/>
          <w:color w:val="000000" w:themeColor="text1"/>
          <w:sz w:val="20"/>
          <w:szCs w:val="20"/>
          <w:lang w:eastAsia="ar-SA"/>
        </w:rPr>
        <w:t>.</w:t>
      </w:r>
    </w:p>
    <w:p w14:paraId="56376A0C" w14:textId="77777777" w:rsidR="00EB2215" w:rsidRPr="00410327" w:rsidRDefault="00EB2215" w:rsidP="00EB2215">
      <w:pPr>
        <w:jc w:val="both"/>
        <w:rPr>
          <w:rFonts w:ascii="Tahoma" w:hAnsi="Tahoma" w:cs="Tahoma"/>
          <w:sz w:val="20"/>
          <w:szCs w:val="20"/>
        </w:rPr>
      </w:pPr>
    </w:p>
    <w:p w14:paraId="779075EB" w14:textId="77777777" w:rsidR="00FF75F8" w:rsidRPr="00EB2215" w:rsidRDefault="00FF75F8" w:rsidP="00EB2215"/>
    <w:sectPr w:rsidR="00FF75F8" w:rsidRPr="00EB2215" w:rsidSect="00122844">
      <w:headerReference w:type="even" r:id="rId10"/>
      <w:headerReference w:type="default" r:id="rId11"/>
      <w:footerReference w:type="default" r:id="rId12"/>
      <w:headerReference w:type="first" r:id="rId13"/>
      <w:footerReference w:type="first" r:id="rId14"/>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66149" w14:textId="77777777" w:rsidR="0028400E" w:rsidRDefault="0028400E">
      <w:r>
        <w:separator/>
      </w:r>
    </w:p>
  </w:endnote>
  <w:endnote w:type="continuationSeparator" w:id="0">
    <w:p w14:paraId="2EE20F2A" w14:textId="77777777" w:rsidR="0028400E" w:rsidRDefault="00284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Calle 59A BIS No. 5-53, Edificio Link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88E74" w14:textId="77777777" w:rsidR="0028400E" w:rsidRDefault="0028400E">
      <w:r>
        <w:separator/>
      </w:r>
    </w:p>
  </w:footnote>
  <w:footnote w:type="continuationSeparator" w:id="0">
    <w:p w14:paraId="2E77A244" w14:textId="77777777" w:rsidR="0028400E" w:rsidRDefault="0028400E">
      <w:r>
        <w:continuationSeparator/>
      </w:r>
    </w:p>
  </w:footnote>
  <w:footnote w:id="1">
    <w:p w14:paraId="3DA36DC4" w14:textId="77777777" w:rsidR="00EB2215" w:rsidRDefault="00EB2215" w:rsidP="00EB2215">
      <w:pPr>
        <w:ind w:left="2" w:right="48" w:hanging="2"/>
        <w:rPr>
          <w:color w:val="000000"/>
        </w:rPr>
      </w:pPr>
      <w:r w:rsidRPr="009C3759">
        <w:rPr>
          <w:sz w:val="16"/>
          <w:szCs w:val="16"/>
          <w:vertAlign w:val="superscript"/>
        </w:rPr>
        <w:footnoteRef/>
      </w:r>
      <w:r w:rsidRPr="009C3759">
        <w:rPr>
          <w:color w:val="000000"/>
          <w:sz w:val="16"/>
          <w:szCs w:val="16"/>
        </w:rPr>
        <w:t xml:space="preserve"> </w:t>
      </w:r>
      <w:r w:rsidRPr="009C3759">
        <w:rPr>
          <w:i/>
          <w:color w:val="212121"/>
          <w:sz w:val="16"/>
          <w:szCs w:val="16"/>
        </w:rPr>
        <w:t>Por el cual se adiciona el capítulo 13 al Título 1 de la Parte 2 del Libro 2 del Decreto 1074 de 2015, Decreto Único del Sector Comercio, Industria y Turismo y se reglamenta el artículo 2° de la Ley 590 de 2000, modificado por el artículo 43 de la Ley 1450 de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21CC53B3" w:rsidR="003E458D" w:rsidRDefault="003E458D" w:rsidP="00B51307">
          <w:pPr>
            <w:pStyle w:val="continuacion"/>
          </w:pPr>
          <w:r>
            <w:t>Continuación:</w:t>
          </w:r>
          <w:r w:rsidR="00EB2215">
            <w:t xml:space="preserve"> Aviso de convocatoria</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5D5BB2"/>
    <w:multiLevelType w:val="multilevel"/>
    <w:tmpl w:val="983480F8"/>
    <w:lvl w:ilvl="0">
      <w:start w:val="5"/>
      <w:numFmt w:val="decimal"/>
      <w:lvlText w:val="%1."/>
      <w:lvlJc w:val="left"/>
      <w:pPr>
        <w:ind w:left="540" w:hanging="540"/>
      </w:pPr>
      <w:rPr>
        <w:rFonts w:hint="default"/>
        <w:b/>
        <w:bCs/>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4"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2"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6"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8C5F6F"/>
    <w:multiLevelType w:val="hybridMultilevel"/>
    <w:tmpl w:val="C722D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21"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4"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12407D"/>
    <w:multiLevelType w:val="hybridMultilevel"/>
    <w:tmpl w:val="BD6208F2"/>
    <w:lvl w:ilvl="0" w:tplc="977295F0">
      <w:start w:val="1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5"/>
  </w:num>
  <w:num w:numId="2" w16cid:durableId="859470505">
    <w:abstractNumId w:val="11"/>
  </w:num>
  <w:num w:numId="3" w16cid:durableId="181239033">
    <w:abstractNumId w:val="21"/>
  </w:num>
  <w:num w:numId="4" w16cid:durableId="282200214">
    <w:abstractNumId w:val="21"/>
  </w:num>
  <w:num w:numId="5" w16cid:durableId="1535073376">
    <w:abstractNumId w:val="22"/>
  </w:num>
  <w:num w:numId="6" w16cid:durableId="1734083459">
    <w:abstractNumId w:val="3"/>
  </w:num>
  <w:num w:numId="7" w16cid:durableId="598023600">
    <w:abstractNumId w:val="27"/>
  </w:num>
  <w:num w:numId="8" w16cid:durableId="520780352">
    <w:abstractNumId w:val="29"/>
  </w:num>
  <w:num w:numId="9" w16cid:durableId="350761572">
    <w:abstractNumId w:val="26"/>
  </w:num>
  <w:num w:numId="10" w16cid:durableId="1845050147">
    <w:abstractNumId w:val="6"/>
  </w:num>
  <w:num w:numId="11" w16cid:durableId="1137797951">
    <w:abstractNumId w:val="9"/>
  </w:num>
  <w:num w:numId="12" w16cid:durableId="1231117525">
    <w:abstractNumId w:val="17"/>
  </w:num>
  <w:num w:numId="13" w16cid:durableId="906963771">
    <w:abstractNumId w:val="7"/>
  </w:num>
  <w:num w:numId="14" w16cid:durableId="1967546328">
    <w:abstractNumId w:val="12"/>
  </w:num>
  <w:num w:numId="15" w16cid:durableId="997801695">
    <w:abstractNumId w:val="10"/>
  </w:num>
  <w:num w:numId="16" w16cid:durableId="51973744">
    <w:abstractNumId w:val="24"/>
  </w:num>
  <w:num w:numId="17" w16cid:durableId="269167440">
    <w:abstractNumId w:val="5"/>
  </w:num>
  <w:num w:numId="18" w16cid:durableId="397167226">
    <w:abstractNumId w:val="20"/>
  </w:num>
  <w:num w:numId="19" w16cid:durableId="1684354588">
    <w:abstractNumId w:val="23"/>
  </w:num>
  <w:num w:numId="20" w16cid:durableId="1243219378">
    <w:abstractNumId w:val="16"/>
  </w:num>
  <w:num w:numId="21" w16cid:durableId="747074349">
    <w:abstractNumId w:val="25"/>
  </w:num>
  <w:num w:numId="22" w16cid:durableId="1830748725">
    <w:abstractNumId w:val="2"/>
  </w:num>
  <w:num w:numId="23" w16cid:durableId="660082118">
    <w:abstractNumId w:val="8"/>
  </w:num>
  <w:num w:numId="24" w16cid:durableId="1404522436">
    <w:abstractNumId w:val="14"/>
  </w:num>
  <w:num w:numId="25" w16cid:durableId="861746304">
    <w:abstractNumId w:val="0"/>
  </w:num>
  <w:num w:numId="26" w16cid:durableId="682707404">
    <w:abstractNumId w:val="19"/>
  </w:num>
  <w:num w:numId="27" w16cid:durableId="1026710363">
    <w:abstractNumId w:val="13"/>
  </w:num>
  <w:num w:numId="28" w16cid:durableId="432674081">
    <w:abstractNumId w:val="18"/>
  </w:num>
  <w:num w:numId="29" w16cid:durableId="1773670569">
    <w:abstractNumId w:val="28"/>
  </w:num>
  <w:num w:numId="30" w16cid:durableId="1539732212">
    <w:abstractNumId w:val="4"/>
  </w:num>
  <w:num w:numId="31" w16cid:durableId="523130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400E"/>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49E0"/>
    <w:rsid w:val="004E6F12"/>
    <w:rsid w:val="004F78C4"/>
    <w:rsid w:val="00513272"/>
    <w:rsid w:val="00516650"/>
    <w:rsid w:val="00527B09"/>
    <w:rsid w:val="00527DE6"/>
    <w:rsid w:val="0053005A"/>
    <w:rsid w:val="00534494"/>
    <w:rsid w:val="0054013D"/>
    <w:rsid w:val="00554527"/>
    <w:rsid w:val="005601EA"/>
    <w:rsid w:val="00570377"/>
    <w:rsid w:val="00570ACC"/>
    <w:rsid w:val="00572869"/>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4817"/>
    <w:rsid w:val="00665DB7"/>
    <w:rsid w:val="00674407"/>
    <w:rsid w:val="0067733E"/>
    <w:rsid w:val="006803D8"/>
    <w:rsid w:val="00681815"/>
    <w:rsid w:val="00691C89"/>
    <w:rsid w:val="00693C79"/>
    <w:rsid w:val="006A594D"/>
    <w:rsid w:val="006B25E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27BEE"/>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72C4"/>
    <w:rsid w:val="009E2BD0"/>
    <w:rsid w:val="009E5465"/>
    <w:rsid w:val="009E6B86"/>
    <w:rsid w:val="009E7FB3"/>
    <w:rsid w:val="009F424F"/>
    <w:rsid w:val="00A055A8"/>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831EA"/>
    <w:rsid w:val="00C90DDB"/>
    <w:rsid w:val="00C9138B"/>
    <w:rsid w:val="00CA0F41"/>
    <w:rsid w:val="00CA2439"/>
    <w:rsid w:val="00CA755E"/>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15"/>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4EFE"/>
    <w:rsid w:val="00F676CA"/>
    <w:rsid w:val="00F67C00"/>
    <w:rsid w:val="00F71B5E"/>
    <w:rsid w:val="00F76C17"/>
    <w:rsid w:val="00F84C23"/>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uiPriority w:val="9"/>
    <w:qFormat/>
    <w:rsid w:val="00EB2215"/>
    <w:pPr>
      <w:keepNext/>
      <w:keepLines/>
      <w:numPr>
        <w:numId w:val="30"/>
      </w:numPr>
      <w:outlineLvl w:val="0"/>
    </w:pPr>
    <w:rPr>
      <w:rFonts w:ascii="Tahoma" w:eastAsiaTheme="majorEastAsia" w:hAnsi="Tahoma" w:cstheme="majorBidi"/>
      <w:b/>
      <w:bCs/>
      <w:szCs w:val="28"/>
      <w:lang w:val="es-CO" w:eastAsia="en-US"/>
    </w:rPr>
  </w:style>
  <w:style w:type="paragraph" w:styleId="Ttulo2">
    <w:name w:val="heading 2"/>
    <w:aliases w:val="Capítulos"/>
    <w:basedOn w:val="Normal"/>
    <w:next w:val="Normal"/>
    <w:link w:val="Ttulo2Car"/>
    <w:uiPriority w:val="9"/>
    <w:unhideWhenUsed/>
    <w:qFormat/>
    <w:rsid w:val="00EB2215"/>
    <w:pPr>
      <w:keepNext/>
      <w:keepLines/>
      <w:numPr>
        <w:ilvl w:val="1"/>
        <w:numId w:val="30"/>
      </w:numPr>
      <w:outlineLvl w:val="1"/>
    </w:pPr>
    <w:rPr>
      <w:rFonts w:ascii="Tahoma" w:eastAsiaTheme="majorEastAsia" w:hAnsi="Tahoma" w:cstheme="majorBidi"/>
      <w:b/>
      <w:bCs/>
      <w:szCs w:val="26"/>
      <w:lang w:val="es-CO" w:eastAsia="en-US"/>
    </w:rPr>
  </w:style>
  <w:style w:type="paragraph" w:styleId="Ttulo3">
    <w:name w:val="heading 3"/>
    <w:aliases w:val="Secciones"/>
    <w:basedOn w:val="Normal"/>
    <w:next w:val="Normal"/>
    <w:link w:val="Ttulo3Car"/>
    <w:uiPriority w:val="9"/>
    <w:unhideWhenUsed/>
    <w:qFormat/>
    <w:rsid w:val="00EB2215"/>
    <w:pPr>
      <w:keepNext/>
      <w:keepLines/>
      <w:numPr>
        <w:ilvl w:val="2"/>
        <w:numId w:val="30"/>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iPriority w:val="9"/>
    <w:unhideWhenUsed/>
    <w:qFormat/>
    <w:rsid w:val="00EB2215"/>
    <w:pPr>
      <w:keepNext/>
      <w:keepLines/>
      <w:numPr>
        <w:ilvl w:val="3"/>
        <w:numId w:val="30"/>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iPriority w:val="9"/>
    <w:unhideWhenUsed/>
    <w:qFormat/>
    <w:rsid w:val="00EB2215"/>
    <w:pPr>
      <w:keepNext/>
      <w:keepLines/>
      <w:numPr>
        <w:ilvl w:val="4"/>
        <w:numId w:val="30"/>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iPriority w:val="9"/>
    <w:unhideWhenUsed/>
    <w:qFormat/>
    <w:rsid w:val="00EB2215"/>
    <w:pPr>
      <w:keepNext/>
      <w:keepLines/>
      <w:numPr>
        <w:ilvl w:val="5"/>
        <w:numId w:val="30"/>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iPriority w:val="9"/>
    <w:unhideWhenUsed/>
    <w:qFormat/>
    <w:rsid w:val="00EB2215"/>
    <w:pPr>
      <w:keepNext/>
      <w:keepLines/>
      <w:numPr>
        <w:ilvl w:val="6"/>
        <w:numId w:val="30"/>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unhideWhenUsed/>
    <w:qFormat/>
    <w:rsid w:val="00EB2215"/>
    <w:pPr>
      <w:keepNext/>
      <w:keepLines/>
      <w:numPr>
        <w:ilvl w:val="7"/>
        <w:numId w:val="30"/>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unhideWhenUsed/>
    <w:qFormat/>
    <w:rsid w:val="00EB2215"/>
    <w:pPr>
      <w:keepNext/>
      <w:keepLines/>
      <w:numPr>
        <w:ilvl w:val="8"/>
        <w:numId w:val="30"/>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H,Ha,Fotografía"/>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paragraph" w:customStyle="1" w:styleId="Sangradet">
    <w:name w:val="Sangría de t"/>
    <w:aliases w:val="independiente"/>
    <w:basedOn w:val="Normal"/>
    <w:qFormat/>
    <w:rsid w:val="00EB2215"/>
    <w:pPr>
      <w:numPr>
        <w:ilvl w:val="12"/>
      </w:numPr>
      <w:autoSpaceDE w:val="0"/>
      <w:autoSpaceDN w:val="0"/>
      <w:jc w:val="both"/>
    </w:pPr>
    <w:rPr>
      <w:rFonts w:ascii="Arial" w:hAnsi="Arial" w:cs="Arial"/>
      <w:sz w:val="22"/>
      <w:szCs w:val="22"/>
      <w:lang w:val="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qFormat/>
    <w:rsid w:val="00EB2215"/>
    <w:rPr>
      <w:rFonts w:ascii="Tahoma" w:hAnsi="Tahoma"/>
      <w:lang w:eastAsia="es-ES"/>
    </w:rPr>
  </w:style>
  <w:style w:type="paragraph" w:customStyle="1" w:styleId="Default">
    <w:name w:val="Default"/>
    <w:rsid w:val="00EB2215"/>
    <w:pPr>
      <w:autoSpaceDE w:val="0"/>
      <w:autoSpaceDN w:val="0"/>
      <w:adjustRightInd w:val="0"/>
    </w:pPr>
    <w:rPr>
      <w:rFonts w:ascii="Tahoma" w:eastAsiaTheme="minorHAnsi" w:hAnsi="Tahoma" w:cs="Tahoma"/>
      <w:color w:val="000000"/>
      <w:sz w:val="24"/>
      <w:szCs w:val="24"/>
      <w:lang w:eastAsia="en-US"/>
    </w:rPr>
  </w:style>
  <w:style w:type="character" w:customStyle="1" w:styleId="Ttulo1Car">
    <w:name w:val="Título 1 Car"/>
    <w:basedOn w:val="Fuentedeprrafopredeter"/>
    <w:link w:val="Ttulo1"/>
    <w:uiPriority w:val="9"/>
    <w:rsid w:val="00EB2215"/>
    <w:rPr>
      <w:rFonts w:ascii="Tahoma" w:eastAsiaTheme="majorEastAsia" w:hAnsi="Tahoma" w:cstheme="majorBidi"/>
      <w:b/>
      <w:bCs/>
      <w:sz w:val="24"/>
      <w:szCs w:val="28"/>
      <w:lang w:eastAsia="en-US"/>
    </w:rPr>
  </w:style>
  <w:style w:type="character" w:customStyle="1" w:styleId="Ttulo2Car">
    <w:name w:val="Título 2 Car"/>
    <w:aliases w:val="Capítulos Car"/>
    <w:basedOn w:val="Fuentedeprrafopredeter"/>
    <w:link w:val="Ttulo2"/>
    <w:uiPriority w:val="9"/>
    <w:rsid w:val="00EB2215"/>
    <w:rPr>
      <w:rFonts w:ascii="Tahoma" w:eastAsiaTheme="majorEastAsia" w:hAnsi="Tahoma" w:cstheme="majorBidi"/>
      <w:b/>
      <w:bCs/>
      <w:sz w:val="24"/>
      <w:szCs w:val="26"/>
      <w:lang w:eastAsia="en-US"/>
    </w:rPr>
  </w:style>
  <w:style w:type="character" w:customStyle="1" w:styleId="Ttulo3Car">
    <w:name w:val="Título 3 Car"/>
    <w:aliases w:val="Secciones Car"/>
    <w:basedOn w:val="Fuentedeprrafopredeter"/>
    <w:link w:val="Ttulo3"/>
    <w:uiPriority w:val="9"/>
    <w:rsid w:val="00EB2215"/>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uiPriority w:val="9"/>
    <w:rsid w:val="00EB2215"/>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uiPriority w:val="9"/>
    <w:rsid w:val="00EB2215"/>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uiPriority w:val="9"/>
    <w:rsid w:val="00EB2215"/>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uiPriority w:val="9"/>
    <w:rsid w:val="00EB2215"/>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uiPriority w:val="9"/>
    <w:rsid w:val="00EB2215"/>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uiPriority w:val="9"/>
    <w:rsid w:val="00EB2215"/>
    <w:rPr>
      <w:rFonts w:asciiTheme="majorHAnsi" w:eastAsiaTheme="majorEastAsia" w:hAnsiTheme="majorHAnsi" w:cstheme="majorBidi"/>
      <w:i/>
      <w:iCs/>
      <w:color w:val="404040" w:themeColor="text1" w:themeTint="BF"/>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emf"/><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5.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16</Pages>
  <Words>6744</Words>
  <Characters>37096</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43753</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Jenny Astrid Rojas Granados</cp:lastModifiedBy>
  <cp:revision>4</cp:revision>
  <cp:lastPrinted>2013-02-12T17:20:00Z</cp:lastPrinted>
  <dcterms:created xsi:type="dcterms:W3CDTF">2026-05-14T13:02:00Z</dcterms:created>
  <dcterms:modified xsi:type="dcterms:W3CDTF">2026-06-01T14:05:00Z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