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0256B" w14:textId="77777777" w:rsidR="00EE7E44" w:rsidRDefault="00AE74F5">
      <w:pPr>
        <w:pBdr>
          <w:top w:val="nil"/>
          <w:left w:val="nil"/>
          <w:bottom w:val="nil"/>
          <w:right w:val="nil"/>
          <w:between w:val="nil"/>
        </w:pBdr>
        <w:ind w:left="3932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 wp14:anchorId="7A794BFD" wp14:editId="1A651988">
            <wp:extent cx="1411624" cy="629030"/>
            <wp:effectExtent l="0" t="0" r="0" b="0"/>
            <wp:docPr id="6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11624" cy="6290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685669" w14:textId="77777777" w:rsidR="00EE7E44" w:rsidRDefault="00AE74F5">
      <w:pPr>
        <w:pStyle w:val="Ttulo"/>
        <w:ind w:firstLine="588"/>
      </w:pPr>
      <w:r>
        <w:t>ANÁLISIS DE ACUERDOS COMERCIALES APLICABLES AL PROCESO</w:t>
      </w:r>
    </w:p>
    <w:p w14:paraId="18C7BA23" w14:textId="77777777" w:rsidR="00EE7E44" w:rsidRDefault="00EE7E44">
      <w:pPr>
        <w:spacing w:before="1"/>
        <w:rPr>
          <w:sz w:val="20"/>
          <w:szCs w:val="20"/>
        </w:rPr>
      </w:pPr>
    </w:p>
    <w:tbl>
      <w:tblPr>
        <w:tblStyle w:val="a"/>
        <w:tblW w:w="9957" w:type="dxa"/>
        <w:tblInd w:w="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30"/>
        <w:gridCol w:w="1306"/>
        <w:gridCol w:w="1142"/>
        <w:gridCol w:w="1164"/>
        <w:gridCol w:w="1773"/>
        <w:gridCol w:w="1457"/>
        <w:gridCol w:w="1985"/>
      </w:tblGrid>
      <w:tr w:rsidR="00EE7E44" w14:paraId="3743B815" w14:textId="77777777">
        <w:trPr>
          <w:trHeight w:val="1312"/>
        </w:trPr>
        <w:tc>
          <w:tcPr>
            <w:tcW w:w="2436" w:type="dxa"/>
            <w:gridSpan w:val="2"/>
            <w:shd w:val="clear" w:color="auto" w:fill="F1F1F1"/>
          </w:tcPr>
          <w:p w14:paraId="413C88D6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4A5A5574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rPr>
                <w:color w:val="000000"/>
                <w:sz w:val="18"/>
                <w:szCs w:val="18"/>
              </w:rPr>
            </w:pPr>
          </w:p>
          <w:p w14:paraId="068D2992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Acuerdo comercial</w:t>
            </w:r>
          </w:p>
        </w:tc>
        <w:tc>
          <w:tcPr>
            <w:tcW w:w="1142" w:type="dxa"/>
            <w:shd w:val="clear" w:color="auto" w:fill="F1F1F1"/>
          </w:tcPr>
          <w:p w14:paraId="70808520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0D801A95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068886A5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</w:p>
          <w:p w14:paraId="3EA22A7A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 w:right="3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¿Vigente?</w:t>
            </w:r>
          </w:p>
        </w:tc>
        <w:tc>
          <w:tcPr>
            <w:tcW w:w="1164" w:type="dxa"/>
            <w:shd w:val="clear" w:color="auto" w:fill="F1F1F1"/>
          </w:tcPr>
          <w:p w14:paraId="6E446F8C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8"/>
              <w:rPr>
                <w:color w:val="000000"/>
                <w:sz w:val="18"/>
                <w:szCs w:val="18"/>
              </w:rPr>
            </w:pPr>
          </w:p>
          <w:p w14:paraId="527836E8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1" w:right="30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Entidad Estatal cubierta</w:t>
            </w:r>
          </w:p>
        </w:tc>
        <w:tc>
          <w:tcPr>
            <w:tcW w:w="1773" w:type="dxa"/>
            <w:shd w:val="clear" w:color="auto" w:fill="F1F1F1"/>
          </w:tcPr>
          <w:p w14:paraId="68DF5572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 w:right="94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Valor del Proceso de Contratación superior    al</w:t>
            </w:r>
          </w:p>
          <w:p w14:paraId="5ADDD738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98"/>
              </w:tabs>
              <w:spacing w:line="218" w:lineRule="auto"/>
              <w:ind w:left="109" w:right="9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umbral</w:t>
            </w:r>
            <w:r>
              <w:rPr>
                <w:color w:val="000000"/>
                <w:sz w:val="18"/>
                <w:szCs w:val="18"/>
              </w:rPr>
              <w:tab/>
              <w:t>del Acuerdo Comercial</w:t>
            </w:r>
          </w:p>
        </w:tc>
        <w:tc>
          <w:tcPr>
            <w:tcW w:w="1457" w:type="dxa"/>
            <w:shd w:val="clear" w:color="auto" w:fill="F1F1F1"/>
          </w:tcPr>
          <w:p w14:paraId="0B967343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94"/>
              </w:tabs>
              <w:spacing w:before="217"/>
              <w:ind w:left="112" w:right="9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Excepción aplicable</w:t>
            </w:r>
            <w:r>
              <w:rPr>
                <w:color w:val="000000"/>
                <w:sz w:val="18"/>
                <w:szCs w:val="18"/>
              </w:rPr>
              <w:tab/>
              <w:t>al</w:t>
            </w:r>
          </w:p>
          <w:p w14:paraId="25D084BE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3"/>
              </w:tabs>
              <w:spacing w:before="2"/>
              <w:ind w:left="112" w:right="9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proceso</w:t>
            </w:r>
            <w:r>
              <w:rPr>
                <w:color w:val="000000"/>
                <w:sz w:val="18"/>
                <w:szCs w:val="18"/>
              </w:rPr>
              <w:tab/>
            </w:r>
            <w:r>
              <w:rPr>
                <w:color w:val="000000"/>
                <w:sz w:val="18"/>
                <w:szCs w:val="18"/>
              </w:rPr>
              <w:t>de contratación</w:t>
            </w:r>
          </w:p>
        </w:tc>
        <w:tc>
          <w:tcPr>
            <w:tcW w:w="1985" w:type="dxa"/>
            <w:shd w:val="clear" w:color="auto" w:fill="F1F1F1"/>
          </w:tcPr>
          <w:p w14:paraId="4B8137BA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3"/>
                <w:tab w:val="left" w:pos="1659"/>
                <w:tab w:val="left" w:pos="1723"/>
              </w:tabs>
              <w:spacing w:before="217"/>
              <w:ind w:left="110" w:right="9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Proceso</w:t>
            </w:r>
            <w:r>
              <w:rPr>
                <w:color w:val="000000"/>
                <w:sz w:val="18"/>
                <w:szCs w:val="18"/>
              </w:rPr>
              <w:tab/>
            </w:r>
            <w:r>
              <w:rPr>
                <w:color w:val="000000"/>
                <w:sz w:val="18"/>
                <w:szCs w:val="18"/>
              </w:rPr>
              <w:tab/>
              <w:t>de contratación cubierto</w:t>
            </w:r>
            <w:r>
              <w:rPr>
                <w:color w:val="000000"/>
                <w:sz w:val="18"/>
                <w:szCs w:val="18"/>
              </w:rPr>
              <w:tab/>
              <w:t>por</w:t>
            </w:r>
            <w:r>
              <w:rPr>
                <w:color w:val="000000"/>
                <w:sz w:val="18"/>
                <w:szCs w:val="18"/>
              </w:rPr>
              <w:tab/>
            </w:r>
            <w:r>
              <w:rPr>
                <w:color w:val="000000"/>
                <w:sz w:val="18"/>
                <w:szCs w:val="18"/>
              </w:rPr>
              <w:tab/>
              <w:t>el acuerdo comercial</w:t>
            </w:r>
          </w:p>
        </w:tc>
      </w:tr>
      <w:tr w:rsidR="00EE7E44" w14:paraId="6FC1A5EB" w14:textId="77777777">
        <w:trPr>
          <w:trHeight w:val="217"/>
        </w:trPr>
        <w:tc>
          <w:tcPr>
            <w:tcW w:w="1130" w:type="dxa"/>
            <w:vMerge w:val="restart"/>
          </w:tcPr>
          <w:p w14:paraId="3BF9CB7B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2"/>
              <w:ind w:left="110" w:right="33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Alianza Pacífico</w:t>
            </w:r>
          </w:p>
        </w:tc>
        <w:tc>
          <w:tcPr>
            <w:tcW w:w="1306" w:type="dxa"/>
          </w:tcPr>
          <w:p w14:paraId="78FFFCF4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Chile</w:t>
            </w:r>
          </w:p>
        </w:tc>
        <w:tc>
          <w:tcPr>
            <w:tcW w:w="1142" w:type="dxa"/>
          </w:tcPr>
          <w:p w14:paraId="0F982397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5A9A1093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6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773" w:type="dxa"/>
          </w:tcPr>
          <w:p w14:paraId="637AC47F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457" w:type="dxa"/>
          </w:tcPr>
          <w:p w14:paraId="77D127F5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985" w:type="dxa"/>
          </w:tcPr>
          <w:p w14:paraId="2DF6CA75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3"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</w:tr>
      <w:tr w:rsidR="00EE7E44" w14:paraId="4ADC2820" w14:textId="77777777">
        <w:trPr>
          <w:trHeight w:val="251"/>
        </w:trPr>
        <w:tc>
          <w:tcPr>
            <w:tcW w:w="1130" w:type="dxa"/>
            <w:vMerge/>
          </w:tcPr>
          <w:p w14:paraId="73072A25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06" w:type="dxa"/>
          </w:tcPr>
          <w:p w14:paraId="74E8BE5B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México</w:t>
            </w:r>
          </w:p>
        </w:tc>
        <w:tc>
          <w:tcPr>
            <w:tcW w:w="1142" w:type="dxa"/>
          </w:tcPr>
          <w:p w14:paraId="1FDB9F13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477252AD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6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773" w:type="dxa"/>
          </w:tcPr>
          <w:p w14:paraId="07DA8839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457" w:type="dxa"/>
          </w:tcPr>
          <w:p w14:paraId="65A8B039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985" w:type="dxa"/>
          </w:tcPr>
          <w:p w14:paraId="137D596B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3"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</w:tr>
      <w:tr w:rsidR="00EE7E44" w14:paraId="36BCEAD8" w14:textId="77777777">
        <w:trPr>
          <w:trHeight w:val="195"/>
        </w:trPr>
        <w:tc>
          <w:tcPr>
            <w:tcW w:w="1130" w:type="dxa"/>
            <w:vMerge/>
          </w:tcPr>
          <w:p w14:paraId="7AFC2DAF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06" w:type="dxa"/>
          </w:tcPr>
          <w:p w14:paraId="37719F84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Perú</w:t>
            </w:r>
          </w:p>
        </w:tc>
        <w:tc>
          <w:tcPr>
            <w:tcW w:w="1142" w:type="dxa"/>
          </w:tcPr>
          <w:p w14:paraId="1D01580F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579BE767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6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773" w:type="dxa"/>
          </w:tcPr>
          <w:p w14:paraId="13093DDA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457" w:type="dxa"/>
          </w:tcPr>
          <w:p w14:paraId="64968918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985" w:type="dxa"/>
          </w:tcPr>
          <w:p w14:paraId="7E1640B2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3"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</w:tr>
      <w:tr w:rsidR="005D34F9" w14:paraId="36E3C091" w14:textId="77777777">
        <w:trPr>
          <w:trHeight w:val="258"/>
        </w:trPr>
        <w:tc>
          <w:tcPr>
            <w:tcW w:w="2436" w:type="dxa"/>
            <w:gridSpan w:val="2"/>
          </w:tcPr>
          <w:p w14:paraId="088A35D1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Canadá</w:t>
            </w:r>
          </w:p>
        </w:tc>
        <w:tc>
          <w:tcPr>
            <w:tcW w:w="1142" w:type="dxa"/>
          </w:tcPr>
          <w:p w14:paraId="393F4222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4AD8D676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7BA84AF9" w14:textId="75DD1DFF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0251380F" w14:textId="3ED4C2C3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00E045D6" w14:textId="034087E3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803438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3089CB67" w14:textId="77777777">
        <w:trPr>
          <w:trHeight w:val="242"/>
        </w:trPr>
        <w:tc>
          <w:tcPr>
            <w:tcW w:w="2436" w:type="dxa"/>
            <w:gridSpan w:val="2"/>
          </w:tcPr>
          <w:p w14:paraId="5A5F5063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 w:line="211" w:lineRule="auto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Chile</w:t>
            </w:r>
          </w:p>
        </w:tc>
        <w:tc>
          <w:tcPr>
            <w:tcW w:w="1142" w:type="dxa"/>
          </w:tcPr>
          <w:p w14:paraId="159BCB45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14D1DFB9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528084E3" w14:textId="5DA9C928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2776D9A6" w14:textId="5596FE7D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15887F56" w14:textId="1CADF50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803438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5BFF9B5A" w14:textId="77777777">
        <w:trPr>
          <w:trHeight w:val="258"/>
        </w:trPr>
        <w:tc>
          <w:tcPr>
            <w:tcW w:w="2436" w:type="dxa"/>
            <w:gridSpan w:val="2"/>
          </w:tcPr>
          <w:p w14:paraId="314CFAFF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Corea</w:t>
            </w:r>
          </w:p>
        </w:tc>
        <w:tc>
          <w:tcPr>
            <w:tcW w:w="1142" w:type="dxa"/>
          </w:tcPr>
          <w:p w14:paraId="7145D489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1EF78C0D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19C48101" w14:textId="589DCB6F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2295B245" w14:textId="38923C83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63E4CFAA" w14:textId="5D28499A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803438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377844C0" w14:textId="77777777">
        <w:trPr>
          <w:trHeight w:val="241"/>
        </w:trPr>
        <w:tc>
          <w:tcPr>
            <w:tcW w:w="2436" w:type="dxa"/>
            <w:gridSpan w:val="2"/>
          </w:tcPr>
          <w:p w14:paraId="77F7A96D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Costa Rica</w:t>
            </w:r>
          </w:p>
        </w:tc>
        <w:tc>
          <w:tcPr>
            <w:tcW w:w="1142" w:type="dxa"/>
          </w:tcPr>
          <w:p w14:paraId="732BC3B7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71002CC1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2EC1C9E5" w14:textId="6D9C74E1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5B6B31AD" w14:textId="263CD712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3A5DB1BC" w14:textId="0713A6C8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803438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69351B0A" w14:textId="77777777">
        <w:trPr>
          <w:trHeight w:val="256"/>
        </w:trPr>
        <w:tc>
          <w:tcPr>
            <w:tcW w:w="2436" w:type="dxa"/>
            <w:gridSpan w:val="2"/>
          </w:tcPr>
          <w:p w14:paraId="1BF25038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Estados Unidos</w:t>
            </w:r>
          </w:p>
        </w:tc>
        <w:tc>
          <w:tcPr>
            <w:tcW w:w="1142" w:type="dxa"/>
          </w:tcPr>
          <w:p w14:paraId="39FC3F59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1D170C5B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1841BC6D" w14:textId="17F206F3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2CE6725F" w14:textId="3B0145E9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1FBE7903" w14:textId="3AE3C6E0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803438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52DF74D6" w14:textId="77777777">
        <w:trPr>
          <w:trHeight w:val="242"/>
        </w:trPr>
        <w:tc>
          <w:tcPr>
            <w:tcW w:w="2436" w:type="dxa"/>
            <w:gridSpan w:val="2"/>
          </w:tcPr>
          <w:p w14:paraId="355B3C41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Estados AELC </w:t>
            </w:r>
            <w:hyperlink w:anchor="_heading=h.g2exu2qa5jkp">
              <w:r>
                <w:rPr>
                  <w:b/>
                  <w:bCs/>
                  <w:color w:val="000000"/>
                  <w:sz w:val="18"/>
                  <w:szCs w:val="18"/>
                </w:rPr>
                <w:t>1</w:t>
              </w:r>
            </w:hyperlink>
          </w:p>
        </w:tc>
        <w:tc>
          <w:tcPr>
            <w:tcW w:w="1142" w:type="dxa"/>
          </w:tcPr>
          <w:p w14:paraId="0823597E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4F2CDC03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0701437F" w14:textId="4F5140F0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568721E6" w14:textId="7B350E8D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192C4854" w14:textId="3D7C2F7C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803438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6BC59451" w14:textId="77777777">
        <w:trPr>
          <w:trHeight w:val="259"/>
        </w:trPr>
        <w:tc>
          <w:tcPr>
            <w:tcW w:w="2436" w:type="dxa"/>
            <w:gridSpan w:val="2"/>
          </w:tcPr>
          <w:p w14:paraId="61922A07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México</w:t>
            </w:r>
          </w:p>
        </w:tc>
        <w:tc>
          <w:tcPr>
            <w:tcW w:w="1142" w:type="dxa"/>
          </w:tcPr>
          <w:p w14:paraId="3F634B26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5F46CD44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3A3D8916" w14:textId="6036700D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65C0F399" w14:textId="237591EB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364E0FEC" w14:textId="706BAD20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803438">
              <w:rPr>
                <w:color w:val="000000"/>
                <w:sz w:val="18"/>
                <w:szCs w:val="18"/>
              </w:rPr>
              <w:t>NA</w:t>
            </w:r>
          </w:p>
        </w:tc>
      </w:tr>
      <w:tr w:rsidR="00EE7E44" w14:paraId="4EB03913" w14:textId="77777777">
        <w:trPr>
          <w:trHeight w:val="218"/>
        </w:trPr>
        <w:tc>
          <w:tcPr>
            <w:tcW w:w="1130" w:type="dxa"/>
            <w:vMerge w:val="restart"/>
          </w:tcPr>
          <w:p w14:paraId="15D7E17D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Triángulo Norte</w:t>
            </w:r>
          </w:p>
        </w:tc>
        <w:tc>
          <w:tcPr>
            <w:tcW w:w="1306" w:type="dxa"/>
          </w:tcPr>
          <w:p w14:paraId="15F227D8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El Salvador</w:t>
            </w:r>
          </w:p>
        </w:tc>
        <w:tc>
          <w:tcPr>
            <w:tcW w:w="1142" w:type="dxa"/>
          </w:tcPr>
          <w:p w14:paraId="05EF3C20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45E24302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6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773" w:type="dxa"/>
          </w:tcPr>
          <w:p w14:paraId="14318416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457" w:type="dxa"/>
          </w:tcPr>
          <w:p w14:paraId="4AA50A19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985" w:type="dxa"/>
          </w:tcPr>
          <w:p w14:paraId="38812D36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3"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</w:tr>
      <w:tr w:rsidR="00EE7E44" w14:paraId="26855F31" w14:textId="77777777">
        <w:trPr>
          <w:trHeight w:val="220"/>
        </w:trPr>
        <w:tc>
          <w:tcPr>
            <w:tcW w:w="1130" w:type="dxa"/>
            <w:vMerge/>
          </w:tcPr>
          <w:p w14:paraId="598A5A2E" w14:textId="77777777" w:rsidR="00EE7E44" w:rsidRDefault="00EE7E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06" w:type="dxa"/>
          </w:tcPr>
          <w:p w14:paraId="2BB26D1B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9" w:lineRule="auto"/>
              <w:ind w:left="1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Guatemala</w:t>
            </w:r>
          </w:p>
        </w:tc>
        <w:tc>
          <w:tcPr>
            <w:tcW w:w="1142" w:type="dxa"/>
          </w:tcPr>
          <w:p w14:paraId="771068D7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9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4B92FD9C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9" w:lineRule="auto"/>
              <w:ind w:left="16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773" w:type="dxa"/>
          </w:tcPr>
          <w:p w14:paraId="61182D1A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9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457" w:type="dxa"/>
          </w:tcPr>
          <w:p w14:paraId="778719B4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9" w:lineRule="auto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985" w:type="dxa"/>
          </w:tcPr>
          <w:p w14:paraId="14F217BD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99" w:lineRule="auto"/>
              <w:ind w:left="13"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</w:tr>
      <w:tr w:rsidR="005D34F9" w14:paraId="2F223AF1" w14:textId="77777777">
        <w:trPr>
          <w:trHeight w:val="218"/>
        </w:trPr>
        <w:tc>
          <w:tcPr>
            <w:tcW w:w="1130" w:type="dxa"/>
            <w:vMerge/>
          </w:tcPr>
          <w:p w14:paraId="65A190BF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306" w:type="dxa"/>
          </w:tcPr>
          <w:p w14:paraId="023AE733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Honduras</w:t>
            </w:r>
          </w:p>
        </w:tc>
        <w:tc>
          <w:tcPr>
            <w:tcW w:w="1142" w:type="dxa"/>
          </w:tcPr>
          <w:p w14:paraId="28C45403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0ED7D1AF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0893E1D9" w14:textId="6DDD8CC6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457" w:type="dxa"/>
          </w:tcPr>
          <w:p w14:paraId="2C4BE8F2" w14:textId="676E7459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9"/>
              <w:jc w:val="center"/>
              <w:rPr>
                <w:color w:val="000000"/>
                <w:sz w:val="18"/>
                <w:szCs w:val="18"/>
              </w:rPr>
            </w:pPr>
            <w:r w:rsidRPr="00F639D6"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77345EB5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</w:tr>
      <w:tr w:rsidR="005D34F9" w14:paraId="68D639CE" w14:textId="77777777">
        <w:trPr>
          <w:trHeight w:val="258"/>
        </w:trPr>
        <w:tc>
          <w:tcPr>
            <w:tcW w:w="2436" w:type="dxa"/>
            <w:gridSpan w:val="2"/>
          </w:tcPr>
          <w:p w14:paraId="4F3C0CB0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/>
              <w:ind w:left="11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Unión Europea </w:t>
            </w:r>
            <w:hyperlink w:anchor="_heading=h.xl066hubysyd">
              <w:r>
                <w:rPr>
                  <w:b/>
                  <w:bCs/>
                  <w:color w:val="000000"/>
                  <w:sz w:val="18"/>
                  <w:szCs w:val="18"/>
                </w:rPr>
                <w:t>2</w:t>
              </w:r>
            </w:hyperlink>
          </w:p>
        </w:tc>
        <w:tc>
          <w:tcPr>
            <w:tcW w:w="1142" w:type="dxa"/>
          </w:tcPr>
          <w:p w14:paraId="4DBF8D4F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489CF394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4839537A" w14:textId="1372743E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5A443993" w14:textId="28E2364E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06619678" w14:textId="094A28A1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F639D6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58C06A75" w14:textId="77777777">
        <w:trPr>
          <w:trHeight w:val="256"/>
        </w:trPr>
        <w:tc>
          <w:tcPr>
            <w:tcW w:w="2436" w:type="dxa"/>
            <w:gridSpan w:val="2"/>
          </w:tcPr>
          <w:p w14:paraId="7D748739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" w:line="218" w:lineRule="auto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Israel</w:t>
            </w:r>
          </w:p>
        </w:tc>
        <w:tc>
          <w:tcPr>
            <w:tcW w:w="1142" w:type="dxa"/>
          </w:tcPr>
          <w:p w14:paraId="7A748B6B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64156F7F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25633D12" w14:textId="7D05573D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6B2A9E86" w14:textId="50F0CC8D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9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5D10635A" w14:textId="40E40DC5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F639D6">
              <w:rPr>
                <w:color w:val="000000"/>
                <w:sz w:val="18"/>
                <w:szCs w:val="18"/>
              </w:rPr>
              <w:t>NA</w:t>
            </w:r>
          </w:p>
        </w:tc>
      </w:tr>
      <w:tr w:rsidR="005D34F9" w14:paraId="5CC68CF6" w14:textId="77777777">
        <w:trPr>
          <w:trHeight w:val="438"/>
        </w:trPr>
        <w:tc>
          <w:tcPr>
            <w:tcW w:w="2436" w:type="dxa"/>
            <w:gridSpan w:val="2"/>
          </w:tcPr>
          <w:p w14:paraId="68C0E085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0" w:lineRule="auto"/>
              <w:ind w:left="11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Reino Unido e Irlanda del Norte</w:t>
            </w:r>
          </w:p>
        </w:tc>
        <w:tc>
          <w:tcPr>
            <w:tcW w:w="1142" w:type="dxa"/>
          </w:tcPr>
          <w:p w14:paraId="4A723C3C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1B7DB58C" w14:textId="77777777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6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773" w:type="dxa"/>
          </w:tcPr>
          <w:p w14:paraId="40AA76FA" w14:textId="07F12286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457" w:type="dxa"/>
          </w:tcPr>
          <w:p w14:paraId="66A33AB9" w14:textId="48C62DFE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</w:t>
            </w:r>
          </w:p>
        </w:tc>
        <w:tc>
          <w:tcPr>
            <w:tcW w:w="1985" w:type="dxa"/>
          </w:tcPr>
          <w:p w14:paraId="1F10A63F" w14:textId="75DF55C4" w:rsidR="005D34F9" w:rsidRDefault="005D34F9" w:rsidP="005D3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8" w:lineRule="auto"/>
              <w:ind w:left="13"/>
              <w:jc w:val="center"/>
              <w:rPr>
                <w:color w:val="000000"/>
                <w:sz w:val="18"/>
                <w:szCs w:val="18"/>
              </w:rPr>
            </w:pPr>
            <w:r w:rsidRPr="00F639D6">
              <w:rPr>
                <w:color w:val="000000"/>
                <w:sz w:val="18"/>
                <w:szCs w:val="18"/>
              </w:rPr>
              <w:t>NA</w:t>
            </w:r>
          </w:p>
        </w:tc>
      </w:tr>
      <w:tr w:rsidR="00EE7E44" w14:paraId="5DBF0DBC" w14:textId="77777777">
        <w:trPr>
          <w:trHeight w:val="240"/>
        </w:trPr>
        <w:tc>
          <w:tcPr>
            <w:tcW w:w="2436" w:type="dxa"/>
            <w:gridSpan w:val="2"/>
          </w:tcPr>
          <w:p w14:paraId="481A9D8C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 w:line="211" w:lineRule="auto"/>
              <w:ind w:left="11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Comunidad Andina </w:t>
            </w:r>
            <w:hyperlink w:anchor="_heading=h.9loz73iaab4a">
              <w:r w:rsidR="00EE7E44">
                <w:rPr>
                  <w:b/>
                  <w:bCs/>
                  <w:color w:val="000000"/>
                  <w:sz w:val="18"/>
                  <w:szCs w:val="18"/>
                </w:rPr>
                <w:t>3</w:t>
              </w:r>
            </w:hyperlink>
          </w:p>
        </w:tc>
        <w:tc>
          <w:tcPr>
            <w:tcW w:w="1142" w:type="dxa"/>
          </w:tcPr>
          <w:p w14:paraId="401AD814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38" w:right="2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164" w:type="dxa"/>
          </w:tcPr>
          <w:p w14:paraId="60E05766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16" w:right="2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773" w:type="dxa"/>
          </w:tcPr>
          <w:p w14:paraId="1985BF9F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1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  <w:tc>
          <w:tcPr>
            <w:tcW w:w="1457" w:type="dxa"/>
          </w:tcPr>
          <w:p w14:paraId="3B14E8E4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19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</w:t>
            </w:r>
          </w:p>
        </w:tc>
        <w:tc>
          <w:tcPr>
            <w:tcW w:w="1985" w:type="dxa"/>
          </w:tcPr>
          <w:p w14:paraId="2C373A29" w14:textId="77777777" w:rsidR="00EE7E44" w:rsidRDefault="00AE7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16" w:lineRule="auto"/>
              <w:ind w:left="13"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SI</w:t>
            </w:r>
          </w:p>
        </w:tc>
      </w:tr>
    </w:tbl>
    <w:p w14:paraId="057ED325" w14:textId="77777777" w:rsidR="00EE7E44" w:rsidRDefault="00EE7E44">
      <w:pPr>
        <w:rPr>
          <w:sz w:val="20"/>
          <w:szCs w:val="20"/>
        </w:rPr>
      </w:pPr>
    </w:p>
    <w:p w14:paraId="6D76F0DB" w14:textId="77777777" w:rsidR="00EE7E44" w:rsidRDefault="00EE7E44">
      <w:pPr>
        <w:rPr>
          <w:sz w:val="20"/>
          <w:szCs w:val="20"/>
        </w:rPr>
      </w:pPr>
    </w:p>
    <w:p w14:paraId="0702E72A" w14:textId="77777777" w:rsidR="00EE7E44" w:rsidRDefault="00AE74F5">
      <w:pPr>
        <w:spacing w:before="108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33912A2F" wp14:editId="630C1441">
                <wp:simplePos x="0" y="0"/>
                <wp:positionH relativeFrom="column">
                  <wp:posOffset>33831</wp:posOffset>
                </wp:positionH>
                <wp:positionV relativeFrom="paragraph">
                  <wp:posOffset>232198</wp:posOffset>
                </wp:positionV>
                <wp:extent cx="7620" cy="12700"/>
                <wp:effectExtent l="0" t="0" r="0" b="0"/>
                <wp:wrapTopAndBottom distT="0" distB="0"/>
                <wp:docPr id="4" name="Forma libr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1283" y="377619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 extrusionOk="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1829054" y="7620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33831</wp:posOffset>
                </wp:positionH>
                <wp:positionV relativeFrom="paragraph">
                  <wp:posOffset>232198</wp:posOffset>
                </wp:positionV>
                <wp:extent cx="7620" cy="12700"/>
                <wp:effectExtent b="0" l="0" r="0" t="0"/>
                <wp:wrapTopAndBottom distB="0" distT="0"/>
                <wp:docPr id="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56AF56D" w14:textId="77777777" w:rsidR="00EE7E44" w:rsidRDefault="00AE74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6"/>
        </w:tabs>
        <w:spacing w:before="87"/>
        <w:ind w:hanging="283"/>
        <w:rPr>
          <w:rFonts w:ascii="Arial" w:eastAsia="Arial" w:hAnsi="Arial" w:cs="Arial"/>
          <w:color w:val="000000"/>
          <w:sz w:val="16"/>
          <w:szCs w:val="16"/>
        </w:rPr>
      </w:pPr>
      <w:bookmarkStart w:id="0" w:name="_heading=h.g2exu2qa5jkp" w:colFirst="0" w:colLast="0"/>
      <w:bookmarkEnd w:id="0"/>
      <w:r>
        <w:rPr>
          <w:rFonts w:ascii="Arial" w:eastAsia="Arial" w:hAnsi="Arial" w:cs="Arial"/>
          <w:color w:val="000000"/>
          <w:sz w:val="16"/>
          <w:szCs w:val="16"/>
        </w:rPr>
        <w:t>Islandia, Liechtenstein, Noruega y Suiza</w:t>
      </w:r>
    </w:p>
    <w:p w14:paraId="43560ECB" w14:textId="77777777" w:rsidR="00EE7E44" w:rsidRDefault="00AE74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6"/>
        </w:tabs>
        <w:spacing w:before="2" w:line="264" w:lineRule="auto"/>
        <w:ind w:right="50"/>
        <w:rPr>
          <w:rFonts w:ascii="Arial" w:eastAsia="Arial" w:hAnsi="Arial" w:cs="Arial"/>
          <w:color w:val="000000"/>
          <w:sz w:val="16"/>
          <w:szCs w:val="16"/>
        </w:rPr>
      </w:pPr>
      <w:bookmarkStart w:id="1" w:name="_heading=h.xl066hubysyd" w:colFirst="0" w:colLast="0"/>
      <w:bookmarkEnd w:id="1"/>
      <w:r>
        <w:rPr>
          <w:rFonts w:ascii="Arial" w:eastAsia="Arial" w:hAnsi="Arial" w:cs="Arial"/>
          <w:color w:val="000000"/>
          <w:sz w:val="16"/>
          <w:szCs w:val="16"/>
        </w:rPr>
        <w:t>Alemania, Austria, Bélgica, Chipre, Dinamarca, Eslovaquia, España, Estonia, Finlandia, Francia, Grecia, Hungría, Irlanda, Italia, Letonia, Lituania, Luxemburgo, Países Bajos, Polonia, Portugal, Reino Unido, República Checa, Rumania y Suecia.</w:t>
      </w:r>
    </w:p>
    <w:p w14:paraId="5782646D" w14:textId="77777777" w:rsidR="00EE7E44" w:rsidRDefault="00AE74F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6"/>
        </w:tabs>
        <w:spacing w:line="238" w:lineRule="auto"/>
        <w:ind w:hanging="283"/>
        <w:rPr>
          <w:rFonts w:ascii="Arial" w:eastAsia="Arial" w:hAnsi="Arial" w:cs="Arial"/>
          <w:color w:val="000000"/>
          <w:sz w:val="16"/>
          <w:szCs w:val="16"/>
        </w:rPr>
      </w:pPr>
      <w:bookmarkStart w:id="2" w:name="_heading=h.9loz73iaab4a" w:colFirst="0" w:colLast="0"/>
      <w:bookmarkEnd w:id="2"/>
      <w:r>
        <w:rPr>
          <w:rFonts w:ascii="Arial" w:eastAsia="Arial" w:hAnsi="Arial" w:cs="Arial"/>
          <w:color w:val="000000"/>
          <w:sz w:val="16"/>
          <w:szCs w:val="16"/>
        </w:rPr>
        <w:t>Colombia, Bolivia, Ecuador y Perú.</w:t>
      </w:r>
    </w:p>
    <w:p w14:paraId="40538BE7" w14:textId="77777777" w:rsidR="00EE7E44" w:rsidRDefault="00AE74F5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Arial" w:eastAsia="Arial" w:hAnsi="Arial" w:cs="Arial"/>
          <w:color w:val="000000"/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6171F0E1" wp14:editId="6B32DDD3">
                <wp:simplePos x="0" y="0"/>
                <wp:positionH relativeFrom="column">
                  <wp:posOffset>33831</wp:posOffset>
                </wp:positionH>
                <wp:positionV relativeFrom="paragraph">
                  <wp:posOffset>106421</wp:posOffset>
                </wp:positionV>
                <wp:extent cx="1270" cy="12700"/>
                <wp:effectExtent l="0" t="0" r="0" b="0"/>
                <wp:wrapTopAndBottom distT="0" distB="0"/>
                <wp:docPr id="5" name="Forma libr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12413" y="3779365"/>
                          <a:ext cx="4067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7175" h="120000" extrusionOk="0">
                              <a:moveTo>
                                <a:pt x="0" y="0"/>
                              </a:moveTo>
                              <a:lnTo>
                                <a:pt x="4066778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7F7F7F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33831</wp:posOffset>
                </wp:positionH>
                <wp:positionV relativeFrom="paragraph">
                  <wp:posOffset>106421</wp:posOffset>
                </wp:positionV>
                <wp:extent cx="1270" cy="12700"/>
                <wp:effectExtent b="0" l="0" r="0" t="0"/>
                <wp:wrapTopAndBottom distB="0" distT="0"/>
                <wp:docPr id="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02B02BE" w14:textId="77777777" w:rsidR="00EE7E44" w:rsidRDefault="00AE74F5">
      <w:pPr>
        <w:spacing w:before="33"/>
        <w:ind w:left="53"/>
        <w:rPr>
          <w:b/>
          <w:bCs/>
          <w:sz w:val="14"/>
          <w:szCs w:val="14"/>
        </w:rPr>
      </w:pPr>
      <w:r>
        <w:rPr>
          <w:b/>
          <w:bCs/>
          <w:color w:val="808080"/>
          <w:sz w:val="14"/>
          <w:szCs w:val="14"/>
        </w:rPr>
        <w:t>Servicio Geológico Colombiano</w:t>
      </w:r>
    </w:p>
    <w:p w14:paraId="6D152D74" w14:textId="77777777" w:rsidR="00EE7E44" w:rsidRDefault="00AE74F5">
      <w:pPr>
        <w:spacing w:before="27" w:line="273" w:lineRule="auto"/>
        <w:ind w:left="53" w:right="4956"/>
        <w:rPr>
          <w:sz w:val="14"/>
          <w:szCs w:val="14"/>
        </w:rPr>
      </w:pPr>
      <w:r>
        <w:rPr>
          <w:color w:val="808080"/>
          <w:sz w:val="14"/>
          <w:szCs w:val="14"/>
        </w:rPr>
        <w:t>Dirección: Diagonal 53 No. 34 - 53, Bogotá D.C., Colombia Conmutador: (601) 220 0200 - (601) 220 0100 - (601) 222 1811</w:t>
      </w:r>
    </w:p>
    <w:p w14:paraId="607DB3B3" w14:textId="77777777" w:rsidR="00EE7E44" w:rsidRDefault="00AE74F5">
      <w:pPr>
        <w:ind w:left="53"/>
        <w:rPr>
          <w:sz w:val="14"/>
          <w:szCs w:val="14"/>
        </w:rPr>
      </w:pPr>
      <w:r>
        <w:rPr>
          <w:color w:val="808080"/>
          <w:sz w:val="14"/>
          <w:szCs w:val="14"/>
        </w:rPr>
        <w:t>Línea gratuita: (+57) 01 8000 913666</w:t>
      </w:r>
    </w:p>
    <w:p w14:paraId="5163BDE8" w14:textId="77777777" w:rsidR="00EE7E44" w:rsidRDefault="00AE74F5">
      <w:pPr>
        <w:spacing w:before="23"/>
        <w:ind w:right="53"/>
        <w:jc w:val="right"/>
        <w:rPr>
          <w:sz w:val="14"/>
          <w:szCs w:val="14"/>
        </w:rPr>
      </w:pPr>
      <w:r>
        <w:rPr>
          <w:color w:val="808080"/>
          <w:sz w:val="18"/>
          <w:szCs w:val="18"/>
        </w:rPr>
        <w:t xml:space="preserve">P á g i n a </w:t>
      </w:r>
      <w:r>
        <w:rPr>
          <w:color w:val="808080"/>
          <w:sz w:val="14"/>
          <w:szCs w:val="14"/>
        </w:rPr>
        <w:t>1 | 1</w:t>
      </w:r>
    </w:p>
    <w:sectPr w:rsidR="00EE7E44">
      <w:pgSz w:w="12240" w:h="15840"/>
      <w:pgMar w:top="520" w:right="1080" w:bottom="280" w:left="10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F5464A80-1551-4DF9-BBAA-49D736E4033E}"/>
    <w:embedBold r:id="rId2" w:fontKey="{A91D966D-9394-4180-B013-9238879A2AEC}"/>
  </w:font>
  <w:font w:name="Arial MT">
    <w:altName w:val="Arial"/>
    <w:charset w:val="00"/>
    <w:family w:val="roman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AEB58D7A-1FAB-4276-A678-E25E836B273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7D9C078-F813-4D6D-AD9F-B043E529D1EE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C96AE1EE-926E-493C-A4B6-72B49F60625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A4F01"/>
    <w:multiLevelType w:val="multilevel"/>
    <w:tmpl w:val="5C2445C0"/>
    <w:lvl w:ilvl="0">
      <w:start w:val="1"/>
      <w:numFmt w:val="decimal"/>
      <w:lvlText w:val="%1"/>
      <w:lvlJc w:val="left"/>
      <w:pPr>
        <w:ind w:left="336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6"/>
        <w:szCs w:val="26"/>
        <w:vertAlign w:val="superscript"/>
      </w:rPr>
    </w:lvl>
    <w:lvl w:ilvl="1">
      <w:numFmt w:val="bullet"/>
      <w:lvlText w:val="•"/>
      <w:lvlJc w:val="left"/>
      <w:pPr>
        <w:ind w:left="1314" w:hanging="284"/>
      </w:pPr>
    </w:lvl>
    <w:lvl w:ilvl="2">
      <w:numFmt w:val="bullet"/>
      <w:lvlText w:val="•"/>
      <w:lvlJc w:val="left"/>
      <w:pPr>
        <w:ind w:left="2288" w:hanging="284"/>
      </w:pPr>
    </w:lvl>
    <w:lvl w:ilvl="3">
      <w:numFmt w:val="bullet"/>
      <w:lvlText w:val="•"/>
      <w:lvlJc w:val="left"/>
      <w:pPr>
        <w:ind w:left="3262" w:hanging="284"/>
      </w:pPr>
    </w:lvl>
    <w:lvl w:ilvl="4">
      <w:numFmt w:val="bullet"/>
      <w:lvlText w:val="•"/>
      <w:lvlJc w:val="left"/>
      <w:pPr>
        <w:ind w:left="4236" w:hanging="283"/>
      </w:pPr>
    </w:lvl>
    <w:lvl w:ilvl="5">
      <w:numFmt w:val="bullet"/>
      <w:lvlText w:val="•"/>
      <w:lvlJc w:val="left"/>
      <w:pPr>
        <w:ind w:left="5210" w:hanging="284"/>
      </w:pPr>
    </w:lvl>
    <w:lvl w:ilvl="6">
      <w:numFmt w:val="bullet"/>
      <w:lvlText w:val="•"/>
      <w:lvlJc w:val="left"/>
      <w:pPr>
        <w:ind w:left="6184" w:hanging="284"/>
      </w:pPr>
    </w:lvl>
    <w:lvl w:ilvl="7">
      <w:numFmt w:val="bullet"/>
      <w:lvlText w:val="•"/>
      <w:lvlJc w:val="left"/>
      <w:pPr>
        <w:ind w:left="7158" w:hanging="284"/>
      </w:pPr>
    </w:lvl>
    <w:lvl w:ilvl="8">
      <w:numFmt w:val="bullet"/>
      <w:lvlText w:val="•"/>
      <w:lvlJc w:val="left"/>
      <w:pPr>
        <w:ind w:left="8132" w:hanging="283"/>
      </w:pPr>
    </w:lvl>
  </w:abstractNum>
  <w:num w:numId="1" w16cid:durableId="706444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E44"/>
    <w:rsid w:val="005D34F9"/>
    <w:rsid w:val="0063688A"/>
    <w:rsid w:val="00762CA5"/>
    <w:rsid w:val="00794ACF"/>
    <w:rsid w:val="00AE74F5"/>
    <w:rsid w:val="00EE7E44"/>
    <w:rsid w:val="00FF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A7888"/>
  <w15:docId w15:val="{E794F85E-C60B-5E45-8C77-D9F89E36D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2"/>
        <w:szCs w:val="22"/>
        <w:lang w:val="es" w:eastAsia="es-ES_tradn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189"/>
      <w:ind w:left="588"/>
    </w:pPr>
    <w:rPr>
      <w:b/>
      <w:bCs/>
      <w:sz w:val="24"/>
      <w:szCs w:val="24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336" w:hanging="28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ind w:left="11"/>
      <w:jc w:val="center"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Revisin">
    <w:name w:val="Revision"/>
    <w:hidden/>
    <w:uiPriority w:val="99"/>
    <w:semiHidden/>
    <w:rsid w:val="005D34F9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zwEq0PE1pEl95NxVFuCdJeJDNw==">CgMxLjAyDmguZzJleHUycWE1amtwMg5oLnhsMDY2aHVieXN5ZDIOaC45bG96NzNpYWFiNGE4AHIhMXhTaW9NcXhDN2NmUkpzRDd4NHRiVEgwN1ZJSk9lTTBf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1240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MARIYENIS REGALADO BADILLO</dc:creator>
  <cp:lastModifiedBy>Sergio Daniel Higuera Zorro</cp:lastModifiedBy>
  <cp:revision>4</cp:revision>
  <dcterms:created xsi:type="dcterms:W3CDTF">2026-04-08T16:22:00Z</dcterms:created>
  <dcterms:modified xsi:type="dcterms:W3CDTF">2026-04-10T15:01:00Z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Word para Microsoft 365</vt:lpwstr>
  </property>
</Properties>
</file>