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after="0" w:line="240" w:lineRule="auto"/>
        <w:ind w:right="-279" w:firstLine="0"/>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0" w:line="240" w:lineRule="auto"/>
        <w:ind w:right="-279" w:firstLine="0"/>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after="0" w:line="240" w:lineRule="auto"/>
        <w:ind w:right="-279" w:firstLine="0"/>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Anexo:  Relación de información de Certificado de Distribución y Catálogo de productos.</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240" w:lineRule="auto"/>
        <w:ind w:right="-279" w:firstLine="0"/>
        <w:jc w:val="both"/>
        <w:rPr>
          <w:rFonts w:ascii="Verdana" w:cs="Verdana" w:eastAsia="Verdana" w:hAnsi="Verdana"/>
          <w:color w:val="ff0000"/>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0" w:line="240" w:lineRule="auto"/>
        <w:ind w:hanging="2"/>
        <w:jc w:val="both"/>
        <w:rPr>
          <w:rFonts w:ascii="Verdana" w:cs="Verdana" w:eastAsia="Verdana" w:hAnsi="Verdana"/>
          <w:color w:val="000000"/>
          <w:sz w:val="20"/>
          <w:szCs w:val="20"/>
          <w:highlight w:val="white"/>
        </w:rPr>
      </w:pPr>
      <w:r w:rsidDel="00000000" w:rsidR="00000000" w:rsidRPr="00000000">
        <w:rPr>
          <w:rtl w:val="0"/>
        </w:rPr>
      </w:r>
    </w:p>
    <w:p w:rsidR="00000000" w:rsidDel="00000000" w:rsidP="00000000" w:rsidRDefault="00000000" w:rsidRPr="00000000" w14:paraId="00000006">
      <w:pPr>
        <w:numPr>
          <w:ilvl w:val="0"/>
          <w:numId w:val="1"/>
        </w:numPr>
        <w:pBdr>
          <w:top w:space="0" w:sz="0" w:val="nil"/>
          <w:left w:space="0" w:sz="0" w:val="nil"/>
          <w:bottom w:space="0" w:sz="0" w:val="nil"/>
          <w:right w:space="0" w:sz="0" w:val="nil"/>
          <w:between w:space="0" w:sz="0" w:val="nil"/>
        </w:pBdr>
        <w:spacing w:after="0" w:line="240" w:lineRule="auto"/>
        <w:ind w:left="0" w:hanging="2"/>
        <w:jc w:val="both"/>
        <w:rPr>
          <w:rFonts w:ascii="Verdana" w:cs="Verdana" w:eastAsia="Verdana" w:hAnsi="Verdana"/>
          <w:color w:val="000000"/>
          <w:sz w:val="20"/>
          <w:szCs w:val="20"/>
        </w:rPr>
      </w:pPr>
      <w:bookmarkStart w:colFirst="0" w:colLast="0" w:name="_heading=h.gjdgxs" w:id="0"/>
      <w:bookmarkEnd w:id="0"/>
      <w:r w:rsidDel="00000000" w:rsidR="00000000" w:rsidRPr="00000000">
        <w:rPr>
          <w:rFonts w:ascii="Verdana" w:cs="Verdana" w:eastAsia="Verdana" w:hAnsi="Verdana"/>
          <w:b w:val="1"/>
          <w:bCs w:val="1"/>
          <w:color w:val="000000"/>
          <w:sz w:val="20"/>
          <w:szCs w:val="20"/>
          <w:rtl w:val="0"/>
        </w:rPr>
        <w:t xml:space="preserve">OBJETO A CONTRATAR: </w:t>
      </w:r>
      <w:r w:rsidDel="00000000" w:rsidR="00000000" w:rsidRPr="00000000">
        <w:rPr>
          <w:rtl w:val="0"/>
        </w:rPr>
      </w:r>
    </w:p>
    <w:p w:rsidR="00000000" w:rsidDel="00000000" w:rsidP="00000000" w:rsidRDefault="00000000" w:rsidRPr="00000000" w14:paraId="00000007">
      <w:pPr>
        <w:spacing w:after="0" w:line="240" w:lineRule="auto"/>
        <w:ind w:hanging="2"/>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8">
      <w:pPr>
        <w:spacing w:after="0" w:line="240" w:lineRule="auto"/>
        <w:ind w:hanging="2"/>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Contratar la Adquisición, adecuación, instalación y puesta en funcionamiento de un sistema de espectrometría gamma con detector de GeHp de pozo de extrabajo fondo para la determinación de edades en muestras geológicas mediante la técnica de plomo 210 del Servicio Geológico  Colombiano.</w:t>
      </w:r>
    </w:p>
    <w:p w:rsidR="00000000" w:rsidDel="00000000" w:rsidP="00000000" w:rsidRDefault="00000000" w:rsidRPr="00000000" w14:paraId="00000009">
      <w:pPr>
        <w:spacing w:after="0" w:line="240" w:lineRule="auto"/>
        <w:ind w:hanging="2"/>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A">
      <w:pPr>
        <w:spacing w:after="0" w:line="240" w:lineRule="auto"/>
        <w:ind w:hanging="2"/>
        <w:jc w:val="both"/>
        <w:rPr>
          <w:rFonts w:ascii="Verdana" w:cs="Verdana" w:eastAsia="Verdana" w:hAnsi="Verdana"/>
          <w:sz w:val="20"/>
          <w:szCs w:val="20"/>
        </w:rPr>
      </w:pPr>
      <w:r w:rsidDel="00000000" w:rsidR="00000000" w:rsidRPr="00000000">
        <w:rPr>
          <w:rtl w:val="0"/>
        </w:rPr>
      </w:r>
    </w:p>
    <w:tbl>
      <w:tblPr>
        <w:tblStyle w:val="Table1"/>
        <w:tblW w:w="8828.0" w:type="dxa"/>
        <w:jc w:val="left"/>
        <w:tblLayout w:type="fixed"/>
        <w:tblLook w:val="0400"/>
      </w:tblPr>
      <w:tblGrid>
        <w:gridCol w:w="430"/>
        <w:gridCol w:w="4511"/>
        <w:gridCol w:w="911"/>
        <w:gridCol w:w="1686"/>
        <w:gridCol w:w="1290"/>
        <w:tblGridChange w:id="0">
          <w:tblGrid>
            <w:gridCol w:w="430"/>
            <w:gridCol w:w="4511"/>
            <w:gridCol w:w="911"/>
            <w:gridCol w:w="1686"/>
            <w:gridCol w:w="1290"/>
          </w:tblGrid>
        </w:tblGridChange>
      </w:tblGrid>
      <w:tr>
        <w:trPr>
          <w:cantSplit w:val="0"/>
          <w:trHeight w:val="720" w:hRule="atLeast"/>
          <w:tblHeader w:val="0"/>
        </w:trPr>
        <w:tc>
          <w:tcPr>
            <w:tcBorders>
              <w:top w:color="000000" w:space="0" w:sz="4" w:val="single"/>
              <w:left w:color="000000" w:space="0" w:sz="4" w:val="single"/>
              <w:bottom w:color="000000" w:space="0" w:sz="4" w:val="single"/>
              <w:right w:color="000000" w:space="0" w:sz="4" w:val="single"/>
            </w:tcBorders>
            <w:shd w:fill="ececec" w:val="clear"/>
            <w:vAlign w:val="center"/>
          </w:tcPr>
          <w:p w:rsidR="00000000" w:rsidDel="00000000" w:rsidP="00000000" w:rsidRDefault="00000000" w:rsidRPr="00000000" w14:paraId="0000000B">
            <w:pPr>
              <w:spacing w:after="0" w:line="240" w:lineRule="auto"/>
              <w:ind w:firstLine="0"/>
              <w:jc w:val="center"/>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No.</w:t>
            </w:r>
          </w:p>
        </w:tc>
        <w:tc>
          <w:tcPr>
            <w:tcBorders>
              <w:top w:color="000000" w:space="0" w:sz="4" w:val="single"/>
              <w:left w:color="000000" w:space="0" w:sz="0" w:val="nil"/>
              <w:bottom w:color="000000" w:space="0" w:sz="4" w:val="single"/>
              <w:right w:color="000000" w:space="0" w:sz="4" w:val="single"/>
            </w:tcBorders>
            <w:shd w:fill="ececec" w:val="clear"/>
            <w:vAlign w:val="center"/>
          </w:tcPr>
          <w:p w:rsidR="00000000" w:rsidDel="00000000" w:rsidP="00000000" w:rsidRDefault="00000000" w:rsidRPr="00000000" w14:paraId="0000000C">
            <w:pPr>
              <w:spacing w:after="0" w:line="240" w:lineRule="auto"/>
              <w:ind w:firstLine="0"/>
              <w:jc w:val="center"/>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Descripción</w:t>
            </w:r>
          </w:p>
        </w:tc>
        <w:tc>
          <w:tcPr>
            <w:tcBorders>
              <w:top w:color="000000" w:space="0" w:sz="4" w:val="single"/>
              <w:left w:color="000000" w:space="0" w:sz="0" w:val="nil"/>
              <w:bottom w:color="000000" w:space="0" w:sz="4" w:val="single"/>
              <w:right w:color="000000" w:space="0" w:sz="4" w:val="single"/>
            </w:tcBorders>
            <w:shd w:fill="ececec" w:val="clear"/>
            <w:vAlign w:val="center"/>
          </w:tcPr>
          <w:p w:rsidR="00000000" w:rsidDel="00000000" w:rsidP="00000000" w:rsidRDefault="00000000" w:rsidRPr="00000000" w14:paraId="0000000D">
            <w:pPr>
              <w:spacing w:after="0" w:line="240" w:lineRule="auto"/>
              <w:ind w:firstLine="0"/>
              <w:jc w:val="center"/>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Cantidad</w:t>
            </w:r>
          </w:p>
        </w:tc>
        <w:tc>
          <w:tcPr>
            <w:tcBorders>
              <w:top w:color="000000" w:space="0" w:sz="4" w:val="single"/>
              <w:left w:color="000000" w:space="0" w:sz="0" w:val="nil"/>
              <w:bottom w:color="000000" w:space="0" w:sz="4" w:val="single"/>
              <w:right w:color="000000" w:space="0" w:sz="4" w:val="single"/>
            </w:tcBorders>
            <w:shd w:fill="ffff00" w:val="clear"/>
            <w:vAlign w:val="center"/>
          </w:tcPr>
          <w:p w:rsidR="00000000" w:rsidDel="00000000" w:rsidP="00000000" w:rsidRDefault="00000000" w:rsidRPr="00000000" w14:paraId="0000000E">
            <w:pPr>
              <w:spacing w:after="0" w:line="240" w:lineRule="auto"/>
              <w:ind w:firstLine="0"/>
              <w:jc w:val="center"/>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CERTIFICADOS DE DISTRIBUCIÓN AUTORIZADA</w:t>
            </w:r>
          </w:p>
        </w:tc>
        <w:tc>
          <w:tcPr>
            <w:tcBorders>
              <w:top w:color="000000" w:space="0" w:sz="4" w:val="single"/>
              <w:left w:color="000000" w:space="0" w:sz="0" w:val="nil"/>
              <w:bottom w:color="000000" w:space="0" w:sz="4" w:val="single"/>
              <w:right w:color="000000" w:space="0" w:sz="4" w:val="single"/>
            </w:tcBorders>
            <w:shd w:fill="ffff00" w:val="clear"/>
            <w:vAlign w:val="center"/>
          </w:tcPr>
          <w:p w:rsidR="00000000" w:rsidDel="00000000" w:rsidP="00000000" w:rsidRDefault="00000000" w:rsidRPr="00000000" w14:paraId="0000000F">
            <w:pPr>
              <w:spacing w:after="0" w:line="240" w:lineRule="auto"/>
              <w:ind w:firstLine="0"/>
              <w:jc w:val="center"/>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CATÁLOGOS</w:t>
            </w:r>
          </w:p>
        </w:tc>
      </w:tr>
      <w:tr>
        <w:trPr>
          <w:cantSplit w:val="0"/>
          <w:trHeight w:val="1096.8925781250002"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10">
            <w:pPr>
              <w:spacing w:after="0" w:line="240" w:lineRule="auto"/>
              <w:ind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11">
            <w:pPr>
              <w:spacing w:after="0" w:line="240" w:lineRule="auto"/>
              <w:ind w:firstLine="0"/>
              <w:rPr>
                <w:rFonts w:ascii="Arial" w:cs="Arial" w:eastAsia="Arial" w:hAnsi="Arial"/>
                <w:color w:val="000000"/>
              </w:rPr>
            </w:pPr>
            <w:r w:rsidDel="00000000" w:rsidR="00000000" w:rsidRPr="00000000">
              <w:rPr>
                <w:rFonts w:ascii="Arial" w:cs="Arial" w:eastAsia="Arial" w:hAnsi="Arial"/>
                <w:color w:val="000000"/>
                <w:rtl w:val="0"/>
              </w:rPr>
              <w:t xml:space="preserve">El Espectrómetro Gamma con detector de GeHp de pozo de extrabajo fondo, de acuerdo con el ANEXO : ESPECIFICACIONES TÉCNICAS MÍNIMAS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12">
            <w:pPr>
              <w:spacing w:after="0" w:line="240" w:lineRule="auto"/>
              <w:ind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13">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SI</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14">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SI</w:t>
            </w:r>
          </w:p>
        </w:tc>
      </w:tr>
      <w:tr>
        <w:trPr>
          <w:cantSplit w:val="0"/>
          <w:trHeight w:val="171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15">
            <w:pPr>
              <w:spacing w:after="0" w:line="240" w:lineRule="auto"/>
              <w:ind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16">
            <w:pPr>
              <w:spacing w:after="0" w:line="240" w:lineRule="auto"/>
              <w:ind w:firstLine="0"/>
              <w:rPr>
                <w:rFonts w:ascii="Arial" w:cs="Arial" w:eastAsia="Arial" w:hAnsi="Arial"/>
                <w:color w:val="000000"/>
              </w:rPr>
            </w:pPr>
            <w:r w:rsidDel="00000000" w:rsidR="00000000" w:rsidRPr="00000000">
              <w:rPr>
                <w:rFonts w:ascii="Arial" w:cs="Arial" w:eastAsia="Arial" w:hAnsi="Arial"/>
                <w:color w:val="000000"/>
                <w:rtl w:val="0"/>
              </w:rPr>
              <w:t xml:space="preserve">La unidad de procesamiento de datos debe traer el software instalado para la operación y funcionamiento del sistema y sus componentes, dotada con un Computador de mesa PC con sistema operador Windows (min. 10 Pro) y Microsoft 365 los siguientes requisitos mínimos: RAM 16GB, 4- 6 USB, conexión red (RJ- 45), serial, VGA, USB, HDMI SSD 512 GB, HDD</w:t>
              <w:br w:type="textWrapping"/>
              <w:t xml:space="preserve">2TB Tarjeta video Nvidia T600 4GB Bluetooth, Wifi Pantalla plana de 15.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17">
            <w:pPr>
              <w:spacing w:after="0" w:line="240" w:lineRule="auto"/>
              <w:ind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18">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19">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SI</w:t>
            </w:r>
          </w:p>
        </w:tc>
      </w:tr>
      <w:tr>
        <w:trPr>
          <w:cantSplit w:val="0"/>
          <w:trHeight w:val="85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1A">
            <w:pPr>
              <w:spacing w:after="0" w:line="240" w:lineRule="auto"/>
              <w:ind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1B">
            <w:pPr>
              <w:spacing w:after="0" w:line="240" w:lineRule="auto"/>
              <w:ind w:firstLine="0"/>
              <w:rPr>
                <w:rFonts w:ascii="Arial" w:cs="Arial" w:eastAsia="Arial" w:hAnsi="Arial"/>
                <w:color w:val="000000"/>
              </w:rPr>
            </w:pPr>
            <w:r w:rsidDel="00000000" w:rsidR="00000000" w:rsidRPr="00000000">
              <w:rPr>
                <w:rFonts w:ascii="Arial" w:cs="Arial" w:eastAsia="Arial" w:hAnsi="Arial"/>
                <w:color w:val="000000"/>
                <w:rtl w:val="0"/>
              </w:rPr>
              <w:t xml:space="preserve">Impresora Láser a color e inyección de tinta para la unidad de procesamiento de datos, resolución de impresión 1200 x 1200 dpi, impresión a doble cara automática, pantalla táctil, puertos USB, velocidad de impresión de hasta 33…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1C">
            <w:pPr>
              <w:spacing w:after="0" w:line="240" w:lineRule="auto"/>
              <w:ind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1D">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1E">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SI</w:t>
            </w:r>
          </w:p>
        </w:tc>
      </w:tr>
      <w:tr>
        <w:trPr>
          <w:cantSplit w:val="0"/>
          <w:trHeight w:val="484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1F">
            <w:pPr>
              <w:spacing w:after="0" w:line="240" w:lineRule="auto"/>
              <w:ind w:firstLine="0"/>
              <w:jc w:val="center"/>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0">
            <w:pPr>
              <w:spacing w:after="0" w:line="240" w:lineRule="auto"/>
              <w:ind w:firstLine="0"/>
              <w:rPr>
                <w:rFonts w:ascii="Arial" w:cs="Arial" w:eastAsia="Arial" w:hAnsi="Arial"/>
                <w:color w:val="000000"/>
                <w:highlight w:val="white"/>
              </w:rPr>
            </w:pPr>
            <w:sdt>
              <w:sdtPr>
                <w:id w:val="-1644500263"/>
                <w:tag w:val="goog_rdk_0"/>
              </w:sdtPr>
              <w:sdtContent>
                <w:r w:rsidDel="00000000" w:rsidR="00000000" w:rsidRPr="00000000">
                  <w:rPr>
                    <w:rFonts w:ascii="Arial Unicode MS" w:cs="Arial Unicode MS" w:eastAsia="Arial Unicode MS" w:hAnsi="Arial Unicode MS"/>
                    <w:color w:val="000000"/>
                    <w:highlight w:val="white"/>
                    <w:rtl w:val="0"/>
                  </w:rPr>
                  <w:t xml:space="preserve">Unidad de secado de muestras tipo liofilizador con secador de congelación de Mesa.</w:t>
                  <w:br w:type="textWrapping"/>
                  <w:t xml:space="preserve">Temperatura de congelación: entre -50 y</w:t>
                  <w:br w:type="textWrapping"/>
                  <w:t xml:space="preserve">-60°C,</w:t>
                  <w:br w:type="textWrapping"/>
                  <w:t xml:space="preserve">Cámara de tapado estándar con múltiple de 8 puertos.</w:t>
                  <w:br w:type="textWrapping"/>
                  <w:t xml:space="preserve">Condensador final: ≤-</w:t>
                  <w:br w:type="textWrapping"/>
                  <w:t xml:space="preserve">56. Grado de vacío:</w:t>
                  <w:br w:type="textWrapping"/>
                  <w:t xml:space="preserve">&lt;10Pa.</w:t>
                  <w:br w:type="textWrapping"/>
                  <w:t xml:space="preserve">Área de secado por congelación: 0.09 m2. 3 estantes. Capacidad de carga de material por estante: 300ml.</w:t>
                  <w:br w:type="textWrapping"/>
                  <w:t xml:space="preserve">Capacidad de carga de material: 900ml.</w:t>
                  <w:br w:type="textWrapping"/>
                  <w:t xml:space="preserve">Tiempo de secado por congelación: 24H. Múltiples: 8 piezas con Interfaz USB.</w:t>
                  <w:br w:type="textWrapping"/>
                  <w:t xml:space="preserve">Cámara de secado: acrílico transparente. Bomba de Vacío 2XZ-2. Velocidad: 100 L/min o 120 L/min.</w:t>
                  <w:br w:type="textWrapping"/>
                  <w:t xml:space="preserve">Sistema de Control: Microprocesador, pantalla táctil. Captura de Agua: 3 kg/24h.</w:t>
                  <w:br w:type="textWrapping"/>
                  <w:t xml:space="preserve">Bandeja de Muestra: Φ180mm x3.</w:t>
                  <w:br w:type="textWrapping"/>
                  <w:t xml:space="preserve">Dimensiones externas</w:t>
                  <w:br w:type="textWrapping"/>
                  <w:t xml:space="preserve">aproximadas: Ancho 580 mm x Profundidad</w:t>
                </w:r>
              </w:sdtContent>
            </w:sdt>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1">
            <w:pPr>
              <w:spacing w:after="0" w:line="240" w:lineRule="auto"/>
              <w:ind w:firstLine="0"/>
              <w:jc w:val="center"/>
              <w:rPr>
                <w:rFonts w:ascii="Arial" w:cs="Arial" w:eastAsia="Arial" w:hAnsi="Arial"/>
                <w:color w:val="000000"/>
                <w:sz w:val="18"/>
                <w:szCs w:val="18"/>
                <w:highlight w:val="white"/>
              </w:rPr>
            </w:pPr>
            <w:r w:rsidDel="00000000" w:rsidR="00000000" w:rsidRPr="00000000">
              <w:rPr>
                <w:rFonts w:ascii="Arial" w:cs="Arial" w:eastAsia="Arial" w:hAnsi="Arial"/>
                <w:color w:val="000000"/>
                <w:sz w:val="18"/>
                <w:szCs w:val="18"/>
                <w:highlight w:val="white"/>
                <w:rtl w:val="0"/>
              </w:rPr>
              <w:t xml:space="preserve">1</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22">
            <w:pPr>
              <w:spacing w:after="0" w:line="240" w:lineRule="auto"/>
              <w:ind w:firstLine="0"/>
              <w:jc w:val="center"/>
              <w:rPr>
                <w:rFonts w:ascii="Aptos Narrow" w:cs="Aptos Narrow" w:eastAsia="Aptos Narrow" w:hAnsi="Aptos Narrow"/>
                <w:highlight w:val="white"/>
              </w:rPr>
            </w:pPr>
            <w:r w:rsidDel="00000000" w:rsidR="00000000" w:rsidRPr="00000000">
              <w:rPr>
                <w:rFonts w:ascii="Aptos Narrow" w:cs="Aptos Narrow" w:eastAsia="Aptos Narrow" w:hAnsi="Aptos Narrow"/>
                <w:highlight w:val="white"/>
                <w:rtl w:val="0"/>
              </w:rPr>
              <w:t xml:space="preserve">SI</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3">
            <w:pPr>
              <w:spacing w:after="0" w:line="240" w:lineRule="auto"/>
              <w:ind w:firstLine="0"/>
              <w:jc w:val="center"/>
              <w:rPr>
                <w:rFonts w:ascii="Aptos Narrow" w:cs="Aptos Narrow" w:eastAsia="Aptos Narrow" w:hAnsi="Aptos Narrow"/>
                <w:color w:val="000000"/>
                <w:highlight w:val="white"/>
              </w:rPr>
            </w:pPr>
            <w:r w:rsidDel="00000000" w:rsidR="00000000" w:rsidRPr="00000000">
              <w:rPr>
                <w:rFonts w:ascii="Aptos Narrow" w:cs="Aptos Narrow" w:eastAsia="Aptos Narrow" w:hAnsi="Aptos Narrow"/>
                <w:color w:val="000000"/>
                <w:highlight w:val="white"/>
                <w:rtl w:val="0"/>
              </w:rPr>
              <w:t xml:space="preserve">SI</w:t>
            </w:r>
          </w:p>
        </w:tc>
      </w:tr>
      <w:tr>
        <w:trPr>
          <w:cantSplit w:val="0"/>
          <w:trHeight w:val="108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4">
            <w:pPr>
              <w:spacing w:after="0" w:line="240" w:lineRule="auto"/>
              <w:ind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5">
            <w:pPr>
              <w:spacing w:after="0" w:line="240" w:lineRule="auto"/>
              <w:ind w:firstLine="0"/>
              <w:rPr>
                <w:rFonts w:ascii="Arial" w:cs="Arial" w:eastAsia="Arial" w:hAnsi="Arial"/>
                <w:color w:val="000000"/>
              </w:rPr>
            </w:pPr>
            <w:r w:rsidDel="00000000" w:rsidR="00000000" w:rsidRPr="00000000">
              <w:rPr>
                <w:rFonts w:ascii="Arial" w:cs="Arial" w:eastAsia="Arial" w:hAnsi="Arial"/>
                <w:color w:val="000000"/>
                <w:rtl w:val="0"/>
              </w:rPr>
              <w:t xml:space="preserve">Manta calefactora con capacidad de 1L, 110V. Control Temperatura digital con display/analógico.Rango Temp.: hasta ~ 300–450</w:t>
              <w:br w:type="textWrapping"/>
              <w:t xml:space="preserve">°C. Potencia: ~ 350 W. Agitación magnética.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6">
            <w:pPr>
              <w:spacing w:after="0" w:line="240" w:lineRule="auto"/>
              <w:ind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7">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rtl w:val="0"/>
              </w:rPr>
              <w:t xml:space="preserve">NO</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8">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SI</w:t>
            </w:r>
          </w:p>
        </w:tc>
      </w:tr>
      <w:tr>
        <w:trPr>
          <w:cantSplit w:val="0"/>
          <w:trHeight w:val="121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9">
            <w:pPr>
              <w:spacing w:after="0" w:line="240" w:lineRule="auto"/>
              <w:ind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A">
            <w:pPr>
              <w:spacing w:after="0" w:line="240" w:lineRule="auto"/>
              <w:ind w:firstLine="0"/>
              <w:rPr>
                <w:rFonts w:ascii="Arial" w:cs="Arial" w:eastAsia="Arial" w:hAnsi="Arial"/>
                <w:color w:val="000000"/>
              </w:rPr>
            </w:pPr>
            <w:r w:rsidDel="00000000" w:rsidR="00000000" w:rsidRPr="00000000">
              <w:rPr>
                <w:rFonts w:ascii="Arial" w:cs="Arial" w:eastAsia="Arial" w:hAnsi="Arial"/>
                <w:color w:val="000000"/>
                <w:rtl w:val="0"/>
              </w:rPr>
              <w:t xml:space="preserve">Sistemas de destilación completos con capacidad de 1000 mL (balón, adaptadores, condensadores, mangueras de látex, mantas calefactoras y demás accesorios para el funcionamiento óptimo del sistema)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B">
            <w:pPr>
              <w:spacing w:after="0" w:line="240" w:lineRule="auto"/>
              <w:ind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C">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D">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SI</w:t>
            </w:r>
          </w:p>
        </w:tc>
      </w:tr>
      <w:tr>
        <w:trPr>
          <w:cantSplit w:val="0"/>
          <w:trHeight w:val="72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E">
            <w:pPr>
              <w:spacing w:after="0" w:line="240" w:lineRule="auto"/>
              <w:ind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F">
            <w:pPr>
              <w:spacing w:after="0" w:line="240" w:lineRule="auto"/>
              <w:ind w:firstLine="0"/>
              <w:rPr>
                <w:rFonts w:ascii="Arial" w:cs="Arial" w:eastAsia="Arial" w:hAnsi="Arial"/>
                <w:color w:val="000000"/>
              </w:rPr>
            </w:pPr>
            <w:r w:rsidDel="00000000" w:rsidR="00000000" w:rsidRPr="00000000">
              <w:rPr>
                <w:rFonts w:ascii="Arial" w:cs="Arial" w:eastAsia="Arial" w:hAnsi="Arial"/>
                <w:color w:val="000000"/>
                <w:rtl w:val="0"/>
              </w:rPr>
              <w:t xml:space="preserve">Baño recirculador con enfriamiento tipo chiller de capacidad de 30 L. Rango de temperatura:</w:t>
              <w:br w:type="textWrapping"/>
              <w:t xml:space="preserve">-10 °C a 100 o -35°C a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0">
            <w:pPr>
              <w:spacing w:after="0" w:line="240" w:lineRule="auto"/>
              <w:ind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1">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SI</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2">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SI</w:t>
            </w:r>
          </w:p>
        </w:tc>
      </w:tr>
      <w:tr>
        <w:trPr>
          <w:cantSplit w:val="0"/>
          <w:trHeight w:val="70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3">
            <w:pPr>
              <w:spacing w:after="0" w:line="240" w:lineRule="auto"/>
              <w:ind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4">
            <w:pPr>
              <w:spacing w:after="0" w:line="240" w:lineRule="auto"/>
              <w:ind w:firstLine="0"/>
              <w:rPr>
                <w:rFonts w:ascii="Arial" w:cs="Arial" w:eastAsia="Arial" w:hAnsi="Arial"/>
                <w:color w:val="000000"/>
              </w:rPr>
            </w:pPr>
            <w:r w:rsidDel="00000000" w:rsidR="00000000" w:rsidRPr="00000000">
              <w:rPr>
                <w:rFonts w:ascii="Arial" w:cs="Arial" w:eastAsia="Arial" w:hAnsi="Arial"/>
                <w:color w:val="000000"/>
                <w:rtl w:val="0"/>
              </w:rPr>
              <w:t xml:space="preserve">Estufa de secado por convección forzada para el secado de muestras. Control de temperatura 10 -200 °C. Max. temperatura: 300 °C. Volumen entre 155 L y 170 L Voltaje: 110 V.</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5">
            <w:pPr>
              <w:spacing w:after="0" w:line="240" w:lineRule="auto"/>
              <w:ind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36">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SI</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7">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SI</w:t>
            </w:r>
          </w:p>
        </w:tc>
      </w:tr>
      <w:tr>
        <w:trPr>
          <w:cantSplit w:val="0"/>
          <w:trHeight w:val="67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8">
            <w:pPr>
              <w:spacing w:after="0" w:line="240" w:lineRule="auto"/>
              <w:ind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9">
            <w:pPr>
              <w:spacing w:after="0" w:line="240" w:lineRule="auto"/>
              <w:ind w:firstLine="0"/>
              <w:rPr>
                <w:rFonts w:ascii="Arial" w:cs="Arial" w:eastAsia="Arial" w:hAnsi="Arial"/>
                <w:color w:val="000000"/>
              </w:rPr>
            </w:pPr>
            <w:r w:rsidDel="00000000" w:rsidR="00000000" w:rsidRPr="00000000">
              <w:rPr>
                <w:rFonts w:ascii="Arial" w:cs="Arial" w:eastAsia="Arial" w:hAnsi="Arial"/>
                <w:color w:val="000000"/>
                <w:rtl w:val="0"/>
              </w:rPr>
              <w:t xml:space="preserve">Soplete de acetileno portátil. Tanque de capacidad entre 12 L y 12.5 L. Incluir carro transportador.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A">
            <w:pPr>
              <w:spacing w:after="0" w:line="240" w:lineRule="auto"/>
              <w:ind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B">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C">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SI</w:t>
            </w:r>
          </w:p>
        </w:tc>
      </w:tr>
      <w:tr>
        <w:trPr>
          <w:cantSplit w:val="0"/>
          <w:trHeight w:val="171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D">
            <w:pPr>
              <w:spacing w:after="0" w:line="240" w:lineRule="auto"/>
              <w:ind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10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E">
            <w:pPr>
              <w:spacing w:after="0" w:line="240" w:lineRule="auto"/>
              <w:ind w:firstLine="0"/>
              <w:rPr>
                <w:rFonts w:ascii="Arial" w:cs="Arial" w:eastAsia="Arial" w:hAnsi="Arial"/>
                <w:color w:val="000000"/>
              </w:rPr>
            </w:pPr>
            <w:r w:rsidDel="00000000" w:rsidR="00000000" w:rsidRPr="00000000">
              <w:rPr>
                <w:rFonts w:ascii="Arial" w:cs="Arial" w:eastAsia="Arial" w:hAnsi="Arial"/>
                <w:color w:val="000000"/>
                <w:rtl w:val="0"/>
              </w:rPr>
              <w:t xml:space="preserve">Molino de Mortero Automático. Capacidad para procesar muestras entre 10 y 190 mL aproximadamente.</w:t>
              <w:br w:type="textWrapping"/>
              <w:t xml:space="preserve">Finura final 10 μm, Set molienda ÁGATA (mortero y mano).</w:t>
              <w:br w:type="textWrapping"/>
              <w:t xml:space="preserve">Rascador de PTFE. Alimentación de red: Motor 200 a 250 W, 0–</w:t>
              <w:br w:type="textWrapping"/>
              <w:t xml:space="preserve">300 rpm, Temporizador. Ajuste digital del tiempo de molienda.</w:t>
              <w:br w:type="textWrapping"/>
              <w:t xml:space="preserve">Apagado automático.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F">
            <w:pPr>
              <w:spacing w:after="0" w:line="240" w:lineRule="auto"/>
              <w:ind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40">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SI</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1">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SI</w:t>
            </w:r>
          </w:p>
        </w:tc>
      </w:tr>
      <w:tr>
        <w:trPr>
          <w:cantSplit w:val="0"/>
          <w:trHeight w:val="46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2">
            <w:pPr>
              <w:spacing w:after="0" w:line="240" w:lineRule="auto"/>
              <w:ind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11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3">
            <w:pPr>
              <w:spacing w:after="0" w:line="240" w:lineRule="auto"/>
              <w:ind w:firstLine="0"/>
              <w:rPr>
                <w:rFonts w:ascii="Arial" w:cs="Arial" w:eastAsia="Arial" w:hAnsi="Arial"/>
              </w:rPr>
            </w:pPr>
            <w:r w:rsidDel="00000000" w:rsidR="00000000" w:rsidRPr="00000000">
              <w:rPr>
                <w:rFonts w:ascii="Arial" w:cs="Arial" w:eastAsia="Arial" w:hAnsi="Arial"/>
                <w:rtl w:val="0"/>
              </w:rPr>
              <w:t xml:space="preserve">Suministrar un juego de tamices pequeño con aperturas de malla, según ficha técnica.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4">
            <w:pPr>
              <w:spacing w:after="0" w:line="240" w:lineRule="auto"/>
              <w:ind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5">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6">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SI</w:t>
            </w:r>
          </w:p>
        </w:tc>
      </w:tr>
      <w:tr>
        <w:trPr>
          <w:cantSplit w:val="0"/>
          <w:trHeight w:val="78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7">
            <w:pPr>
              <w:spacing w:after="0" w:line="240" w:lineRule="auto"/>
              <w:ind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12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8">
            <w:pPr>
              <w:spacing w:after="0" w:line="240" w:lineRule="auto"/>
              <w:ind w:firstLine="0"/>
              <w:rPr>
                <w:rFonts w:ascii="Arial" w:cs="Arial" w:eastAsia="Arial" w:hAnsi="Arial"/>
              </w:rPr>
            </w:pPr>
            <w:r w:rsidDel="00000000" w:rsidR="00000000" w:rsidRPr="00000000">
              <w:rPr>
                <w:rFonts w:ascii="Arial" w:cs="Arial" w:eastAsia="Arial" w:hAnsi="Arial"/>
                <w:rtl w:val="0"/>
              </w:rPr>
              <w:t xml:space="preserve">Juego pesas para balanzas en acero inoxidable tipo F1 de 5 mg a 500 g. El equipo debe entregarse calibrado y con el certificado. de calibración metrológica (trazable a INM).</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9">
            <w:pPr>
              <w:spacing w:after="0" w:line="240" w:lineRule="auto"/>
              <w:ind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A">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B">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SI</w:t>
            </w:r>
          </w:p>
        </w:tc>
      </w:tr>
      <w:tr>
        <w:trPr>
          <w:cantSplit w:val="0"/>
          <w:trHeight w:val="325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C">
            <w:pPr>
              <w:spacing w:after="0" w:line="240" w:lineRule="auto"/>
              <w:ind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13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D">
            <w:pPr>
              <w:spacing w:after="0" w:line="240" w:lineRule="auto"/>
              <w:ind w:firstLine="0"/>
              <w:rPr>
                <w:rFonts w:ascii="Arial" w:cs="Arial" w:eastAsia="Arial" w:hAnsi="Arial"/>
              </w:rPr>
            </w:pPr>
            <w:sdt>
              <w:sdtPr>
                <w:id w:val="361506236"/>
                <w:tag w:val="goog_rdk_1"/>
              </w:sdtPr>
              <w:sdtContent>
                <w:r w:rsidDel="00000000" w:rsidR="00000000" w:rsidRPr="00000000">
                  <w:rPr>
                    <w:rFonts w:ascii="Arial Unicode MS" w:cs="Arial Unicode MS" w:eastAsia="Arial Unicode MS" w:hAnsi="Arial Unicode MS"/>
                    <w:rtl w:val="0"/>
                  </w:rPr>
                  <w:t xml:space="preserve">Suministro de materiales radiactivos y materiales de referencia, necesarios para la calibración del espectrómetro gamma y la técnica de fechado por plomo 210:</w:t>
                  <w:br w:type="textWrapping"/>
                  <w:t xml:space="preserve">10.1 Fuente multinúclidos con emisores gamma de 241Am, 109Cd, 57Co,</w:t>
                  <w:br w:type="textWrapping"/>
                  <w:t xml:space="preserve">203Hg, 113Sn, 137Cs,</w:t>
                  <w:br w:type="textWrapping"/>
                  <w:t xml:space="preserve">134Cs, 54Mn, 65Zn</w:t>
                  <w:br w:type="textWrapping"/>
                  <w:t xml:space="preserve">Trazable a Nist.</w:t>
                  <w:br w:type="textWrapping"/>
                  <w:t xml:space="preserve">10.2 Canadian certified reference de Uranium– Thorium DL-1a, con actividades certificadas para 210Pb, 226Ra, Th y U.</w:t>
                  <w:br w:type="textWrapping"/>
                  <w:t xml:space="preserve">10.3 Reactivos analíticos: KCl de alta pureza (≥99%), CuO</w:t>
                  <w:br w:type="textWrapping"/>
                  <w:t xml:space="preserve">Pureza ≥ 99%. Frasco, según ficha técnica.</w:t>
                </w:r>
              </w:sdtContent>
            </w:sdt>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E">
            <w:pPr>
              <w:spacing w:after="0" w:line="240" w:lineRule="auto"/>
              <w:ind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F">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0">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NO</w:t>
            </w:r>
          </w:p>
        </w:tc>
      </w:tr>
      <w:tr>
        <w:trPr>
          <w:cantSplit w:val="0"/>
          <w:trHeight w:val="171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1">
            <w:pPr>
              <w:spacing w:after="0" w:line="240" w:lineRule="auto"/>
              <w:ind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14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2">
            <w:pPr>
              <w:spacing w:after="0" w:line="240" w:lineRule="auto"/>
              <w:ind w:firstLine="0"/>
              <w:rPr>
                <w:rFonts w:ascii="Arial" w:cs="Arial" w:eastAsia="Arial" w:hAnsi="Arial"/>
              </w:rPr>
            </w:pPr>
            <w:r w:rsidDel="00000000" w:rsidR="00000000" w:rsidRPr="00000000">
              <w:rPr>
                <w:rFonts w:ascii="Arial" w:cs="Arial" w:eastAsia="Arial" w:hAnsi="Arial"/>
                <w:rtl w:val="0"/>
              </w:rPr>
              <w:t xml:space="preserve">La Instalación, puesta en funcionamiento y calificación de equipos, accesorios y complementarios debe realizarse en las instalaciones de la Sede CAN del Servicio Geológico Colombiano, en la carrera 50 No. 26- 20, Bogotá, con una duración mínima de 40 horas. Esta actividad debe realizarse con personal certificado y calificado directamente de la casa matriz debido a que se requiere conservar las condiciones de garantía de fábrica del sistema y sus componentes.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3">
            <w:pPr>
              <w:spacing w:after="0" w:line="240" w:lineRule="auto"/>
              <w:ind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4">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5">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NO</w:t>
            </w:r>
          </w:p>
        </w:tc>
      </w:tr>
      <w:tr>
        <w:trPr>
          <w:cantSplit w:val="0"/>
          <w:trHeight w:val="114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6">
            <w:pPr>
              <w:spacing w:after="0" w:line="240" w:lineRule="auto"/>
              <w:ind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15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7">
            <w:pPr>
              <w:spacing w:after="0" w:line="240" w:lineRule="auto"/>
              <w:ind w:firstLine="0"/>
              <w:rPr>
                <w:rFonts w:ascii="Arial" w:cs="Arial" w:eastAsia="Arial" w:hAnsi="Arial"/>
                <w:color w:val="000000"/>
              </w:rPr>
            </w:pPr>
            <w:r w:rsidDel="00000000" w:rsidR="00000000" w:rsidRPr="00000000">
              <w:rPr>
                <w:rFonts w:ascii="Arial" w:cs="Arial" w:eastAsia="Arial" w:hAnsi="Arial"/>
                <w:color w:val="000000"/>
                <w:rtl w:val="0"/>
              </w:rPr>
              <w:t xml:space="preserve">Impartir un entrenamiento en puesto de trabajo, mínimo de 15 días hábiles (120 horas laborales) al personal del laboratorio por parte de expertos calificados que tenga experiencia confirmada</w:t>
              <w:br w:type="textWrapping"/>
              <w:t xml:space="preserve">en la temática de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8">
            <w:pPr>
              <w:spacing w:after="0" w:line="240" w:lineRule="auto"/>
              <w:ind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9">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A">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NO</w:t>
            </w:r>
          </w:p>
        </w:tc>
      </w:tr>
      <w:tr>
        <w:trPr>
          <w:cantSplit w:val="0"/>
          <w:trHeight w:val="70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B">
            <w:pPr>
              <w:spacing w:after="0" w:line="240" w:lineRule="auto"/>
              <w:ind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16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C">
            <w:pPr>
              <w:spacing w:after="0" w:line="240" w:lineRule="auto"/>
              <w:ind w:firstLine="0"/>
              <w:rPr>
                <w:rFonts w:ascii="Arial" w:cs="Arial" w:eastAsia="Arial" w:hAnsi="Arial"/>
                <w:color w:val="000000"/>
              </w:rPr>
            </w:pPr>
            <w:r w:rsidDel="00000000" w:rsidR="00000000" w:rsidRPr="00000000">
              <w:rPr>
                <w:rFonts w:ascii="Arial" w:cs="Arial" w:eastAsia="Arial" w:hAnsi="Arial"/>
                <w:color w:val="000000"/>
                <w:rtl w:val="0"/>
              </w:rPr>
              <w:t xml:space="preserve">Adecuaciones según ficha técnica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D">
            <w:pPr>
              <w:spacing w:after="0" w:line="240" w:lineRule="auto"/>
              <w:ind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E">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NO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F">
            <w:pPr>
              <w:spacing w:after="0" w:line="240" w:lineRule="auto"/>
              <w:ind w:firstLine="0"/>
              <w:jc w:val="center"/>
              <w:rPr>
                <w:rFonts w:ascii="Aptos Narrow" w:cs="Aptos Narrow" w:eastAsia="Aptos Narrow" w:hAnsi="Aptos Narrow"/>
                <w:color w:val="000000"/>
              </w:rPr>
            </w:pPr>
            <w:r w:rsidDel="00000000" w:rsidR="00000000" w:rsidRPr="00000000">
              <w:rPr>
                <w:rFonts w:ascii="Aptos Narrow" w:cs="Aptos Narrow" w:eastAsia="Aptos Narrow" w:hAnsi="Aptos Narrow"/>
                <w:color w:val="000000"/>
                <w:rtl w:val="0"/>
              </w:rPr>
              <w:t xml:space="preserve">NO</w:t>
            </w:r>
          </w:p>
        </w:tc>
      </w:tr>
    </w:tbl>
    <w:p w:rsidR="00000000" w:rsidDel="00000000" w:rsidP="00000000" w:rsidRDefault="00000000" w:rsidRPr="00000000" w14:paraId="00000060">
      <w:pPr>
        <w:spacing w:after="0" w:line="240" w:lineRule="auto"/>
        <w:ind w:hanging="2"/>
        <w:jc w:val="both"/>
        <w:rPr>
          <w:rFonts w:ascii="Verdana" w:cs="Verdana" w:eastAsia="Verdana" w:hAnsi="Verdana"/>
          <w:sz w:val="20"/>
          <w:szCs w:val="20"/>
        </w:rPr>
      </w:pPr>
      <w:r w:rsidDel="00000000" w:rsidR="00000000" w:rsidRPr="00000000">
        <w:rPr>
          <w:rtl w:val="0"/>
        </w:rPr>
      </w:r>
    </w:p>
    <w:sectPr>
      <w:headerReference r:id="rId7" w:type="default"/>
      <w:pgSz w:h="15840" w:w="12240" w:orient="portrait"/>
      <w:pgMar w:bottom="1560"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Verdana"/>
  <w:font w:name="Arial"/>
  <w:font w:name="Arial Unicode MS"/>
  <w:font w:name="Aptos Narrow"/>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240" w:lineRule="auto"/>
      <w:ind w:hanging="2"/>
      <w:jc w:val="center"/>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1924026</wp:posOffset>
          </wp:positionH>
          <wp:positionV relativeFrom="paragraph">
            <wp:posOffset>-152852</wp:posOffset>
          </wp:positionV>
          <wp:extent cx="1129896" cy="540632"/>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129896" cy="540632"/>
                  </a:xfrm>
                  <a:prstGeom prst="rect"/>
                  <a:ln/>
                </pic:spPr>
              </pic:pic>
            </a:graphicData>
          </a:graphic>
        </wp:anchor>
      </w:drawing>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line="240" w:lineRule="auto"/>
      <w:ind w:hanging="2"/>
      <w:jc w:val="center"/>
      <w:rPr>
        <w:color w:val="000000"/>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HRb9BeoLFIsf4RW6V6Lo9KD+4A==">CgMxLjAaJAoBMBIfCh0IB0IZCgVBcmlhbBIQQXJpYWwgVW5pY29kZSBNUxokCgExEh8KHQgHQhkKBUFyaWFsEhBBcmlhbCBVbmljb2RlIE1TMghoLmdqZGd4czgAciExaS1PTWlZOHJuaTJyRkIxazRFVmROaDl0a3JLVGY0c0M=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