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37CE346A" w:rsidR="3520600D" w:rsidRPr="00D23BA9" w:rsidRDefault="16AAF97D" w:rsidP="00516D82">
      <w:pPr>
        <w:jc w:val="both"/>
        <w:rPr>
          <w:rFonts w:ascii="Verdana" w:hAnsi="Verdana" w:cs="Arial"/>
          <w:sz w:val="22"/>
          <w:szCs w:val="22"/>
          <w:lang w:val="es-ES"/>
        </w:rPr>
      </w:pPr>
      <w:r w:rsidRPr="00D23BA9">
        <w:rPr>
          <w:rFonts w:ascii="Verdana" w:hAnsi="Verdana" w:cs="Arial"/>
          <w:sz w:val="22"/>
          <w:szCs w:val="22"/>
          <w:lang w:val="es-ES"/>
        </w:rPr>
        <w:t>Para efectos de interpretación del pliego de condiciones:</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por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los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w:t>
      </w:r>
      <w:r w:rsidRPr="00D23BA9">
        <w:rPr>
          <w:rFonts w:ascii="Verdana" w:hAnsi="Verdana" w:cs="Arial"/>
          <w:sz w:val="22"/>
          <w:szCs w:val="22"/>
          <w:lang w:val="es-ES"/>
        </w:rPr>
        <w:lastRenderedPageBreak/>
        <w:t xml:space="preserve">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xml:space="preserve">: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w:t>
      </w:r>
      <w:r w:rsidRPr="00D23BA9">
        <w:rPr>
          <w:rFonts w:ascii="Verdana" w:hAnsi="Verdana" w:cs="Arial"/>
          <w:sz w:val="22"/>
          <w:szCs w:val="22"/>
          <w:lang w:val="es-CO"/>
        </w:rPr>
        <w:lastRenderedPageBreak/>
        <w:t>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xml:space="preserve">, junto </w:t>
      </w:r>
      <w:r w:rsidR="00B42810" w:rsidRPr="00D23BA9">
        <w:rPr>
          <w:rFonts w:ascii="Verdana" w:hAnsi="Verdana" w:cs="Arial"/>
          <w:sz w:val="22"/>
          <w:szCs w:val="22"/>
          <w:lang w:val="es-ES"/>
        </w:rPr>
        <w:lastRenderedPageBreak/>
        <w:t>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w:t>
      </w:r>
      <w:r w:rsidR="00B3691A" w:rsidRPr="00D23BA9">
        <w:rPr>
          <w:rFonts w:ascii="Verdana" w:hAnsi="Verdana" w:cs="Arial"/>
          <w:sz w:val="22"/>
          <w:szCs w:val="22"/>
          <w:lang w:val="es-ES"/>
        </w:rPr>
        <w:lastRenderedPageBreak/>
        <w:t>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w:t>
      </w:r>
      <w:r w:rsidRPr="00D23BA9">
        <w:rPr>
          <w:rFonts w:ascii="Verdana" w:hAnsi="Verdana" w:cs="Arial"/>
          <w:bCs/>
          <w:sz w:val="22"/>
          <w:szCs w:val="22"/>
          <w:lang w:val="es-ES"/>
        </w:rPr>
        <w:lastRenderedPageBreak/>
        <w:t>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xml:space="preserve">: Verificación de que el objeto y los recursos y procesos técnicos que conducen a su obtención se realicen de acuerdo con </w:t>
      </w:r>
      <w:r w:rsidRPr="00D23BA9">
        <w:rPr>
          <w:rFonts w:ascii="Verdana" w:hAnsi="Verdana" w:cs="Arial"/>
          <w:bCs/>
          <w:sz w:val="22"/>
          <w:szCs w:val="22"/>
          <w:lang w:val="es-ES"/>
        </w:rPr>
        <w:lastRenderedPageBreak/>
        <w:t>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por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lastRenderedPageBreak/>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w:t>
      </w:r>
      <w:r w:rsidRPr="00D23BA9">
        <w:rPr>
          <w:rFonts w:ascii="Verdana" w:hAnsi="Verdana" w:cs="Arial"/>
          <w:sz w:val="22"/>
          <w:szCs w:val="22"/>
          <w:lang w:val="es-ES"/>
        </w:rPr>
        <w:lastRenderedPageBreak/>
        <w:t xml:space="preserve">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lastRenderedPageBreak/>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Según el artículo 72, de la constitución política: “El patrimonio cultural de la Nación está bajo la protección del Estado. El patrimonio arqueológico y </w:t>
      </w:r>
      <w:r w:rsidRPr="00D23BA9">
        <w:rPr>
          <w:rFonts w:ascii="Verdana" w:eastAsia="Arial" w:hAnsi="Verdana" w:cs="Arial"/>
          <w:sz w:val="22"/>
          <w:szCs w:val="22"/>
          <w:lang w:val="es-ES" w:eastAsia="es-ES"/>
        </w:rPr>
        <w:lastRenderedPageBreak/>
        <w:t>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 xml:space="preserve">Es el conjunto de áreas que contienen elementos bióticos y abióticos que dan sustento a los procesos ecológicos esenciales del territorio, cuya finalidad principal es la preservación, conservación, restauración, rehabilitación, recuperación, </w:t>
      </w:r>
      <w:r w:rsidRPr="00D23BA9">
        <w:rPr>
          <w:rFonts w:ascii="Verdana" w:eastAsia="Arial" w:hAnsi="Verdana" w:cs="Arial"/>
          <w:sz w:val="22"/>
          <w:szCs w:val="22"/>
          <w:lang w:val="es-ES"/>
        </w:rPr>
        <w:lastRenderedPageBreak/>
        <w:t>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w:t>
      </w:r>
      <w:r w:rsidRPr="00D23BA9">
        <w:rPr>
          <w:rFonts w:ascii="Verdana" w:eastAsia="Arial" w:hAnsi="Verdana" w:cs="Arial"/>
          <w:sz w:val="22"/>
          <w:szCs w:val="22"/>
          <w:lang w:val="es-ES"/>
        </w:rPr>
        <w:lastRenderedPageBreak/>
        <w:t xml:space="preserve">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w:t>
      </w:r>
      <w:r w:rsidR="4C081ACB" w:rsidRPr="00D23BA9">
        <w:rPr>
          <w:rFonts w:ascii="Verdana" w:eastAsia="Arial" w:hAnsi="Verdana" w:cs="Arial"/>
          <w:sz w:val="22"/>
          <w:szCs w:val="22"/>
          <w:lang w:val="es-ES"/>
        </w:rPr>
        <w:lastRenderedPageBreak/>
        <w:t xml:space="preserve">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w:t>
      </w:r>
      <w:r w:rsidR="477B010F" w:rsidRPr="00D23BA9">
        <w:rPr>
          <w:rFonts w:ascii="Verdana" w:eastAsia="Arial" w:hAnsi="Verdana" w:cs="Arial"/>
          <w:sz w:val="22"/>
          <w:szCs w:val="22"/>
          <w:lang w:val="es-ES"/>
        </w:rPr>
        <w:lastRenderedPageBreak/>
        <w:t xml:space="preserve">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lastRenderedPageBreak/>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w:t>
      </w:r>
      <w:r w:rsidRPr="00D23BA9">
        <w:rPr>
          <w:rFonts w:ascii="Verdana" w:eastAsia="Arial" w:hAnsi="Verdana" w:cs="Arial"/>
          <w:sz w:val="22"/>
          <w:szCs w:val="22"/>
          <w:lang w:val="es-ES" w:eastAsia="es-ES"/>
        </w:rPr>
        <w:lastRenderedPageBreak/>
        <w:t xml:space="preserve">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lastRenderedPageBreak/>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w:t>
      </w:r>
      <w:r w:rsidRPr="00D23BA9">
        <w:rPr>
          <w:rFonts w:ascii="Verdana" w:eastAsia="Arial" w:hAnsi="Verdana" w:cs="Arial"/>
          <w:sz w:val="22"/>
          <w:szCs w:val="22"/>
          <w:lang w:val="es-ES"/>
        </w:rPr>
        <w:lastRenderedPageBreak/>
        <w:t xml:space="preserve">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lastRenderedPageBreak/>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 xml:space="preserve">on aquellos que se prestan a través del sistema de redes físicas o humanas con puntos terminales en </w:t>
      </w:r>
      <w:r w:rsidR="0039691F" w:rsidRPr="00D23BA9">
        <w:rPr>
          <w:rFonts w:ascii="Verdana" w:eastAsia="Arial" w:hAnsi="Verdana" w:cs="Arial"/>
          <w:sz w:val="22"/>
          <w:szCs w:val="22"/>
          <w:lang w:val="es-ES"/>
        </w:rPr>
        <w:lastRenderedPageBreak/>
        <w:t>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 xml:space="preserve">Dícese de la técnica empleada para una mayor compactación y homogeneidad de material, mediante la extracción del aire, con la </w:t>
      </w:r>
      <w:r w:rsidRPr="00D23BA9">
        <w:rPr>
          <w:rFonts w:ascii="Verdana" w:eastAsia="Arial" w:hAnsi="Verdana" w:cs="Arial"/>
          <w:sz w:val="22"/>
          <w:szCs w:val="22"/>
          <w:lang w:val="es-ES"/>
        </w:rPr>
        <w:lastRenderedPageBreak/>
        <w:t>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40B9ECF4"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 xml:space="preserve">Regiones del país donde la amenaza sísmica se considera baja, intermedia o alta, tal </w:t>
      </w:r>
      <w:r w:rsidRPr="00D23BA9">
        <w:rPr>
          <w:rFonts w:ascii="Verdana" w:eastAsia="Arial" w:hAnsi="Verdana" w:cs="Arial"/>
          <w:sz w:val="22"/>
          <w:szCs w:val="22"/>
          <w:lang w:val="es-ES"/>
        </w:rPr>
        <w:lastRenderedPageBreak/>
        <w:t>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415D229C" w14:textId="5D6EAB46" w:rsidR="48235CCC" w:rsidRPr="00D23BA9" w:rsidRDefault="48235CCC" w:rsidP="48235CCC">
      <w:pPr>
        <w:jc w:val="both"/>
        <w:rPr>
          <w:rFonts w:ascii="Verdana" w:eastAsia="Arial" w:hAnsi="Verdana" w:cs="Arial"/>
          <w:i/>
          <w:iCs/>
          <w:color w:val="00B0F0"/>
          <w:sz w:val="22"/>
          <w:szCs w:val="22"/>
        </w:rPr>
      </w:pP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66ECDEEF" w:rsidR="58C72F9B" w:rsidRDefault="58C72F9B" w:rsidP="69500256">
      <w:pPr>
        <w:jc w:val="both"/>
        <w:rPr>
          <w:rFonts w:ascii="Verdana" w:eastAsiaTheme="minorEastAsia" w:hAnsi="Verdana" w:cstheme="minorBidi"/>
          <w:color w:val="000000"/>
          <w:sz w:val="22"/>
          <w:szCs w:val="22"/>
          <w:lang w:eastAsia="es-ES"/>
        </w:rPr>
      </w:pPr>
      <w:r w:rsidRPr="00D23BA9">
        <w:rPr>
          <w:rFonts w:ascii="Verdana" w:hAnsi="Verdana" w:cs="Arial"/>
          <w:b/>
          <w:bCs/>
          <w:sz w:val="22"/>
          <w:szCs w:val="22"/>
          <w:lang w:val="es-ES"/>
        </w:rPr>
        <w:t>SECTOR INSTITUCIONAL:</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w:t>
      </w:r>
      <w:r w:rsidRPr="00D23BA9">
        <w:rPr>
          <w:rFonts w:ascii="Verdana" w:hAnsi="Verdana" w:cstheme="minorHAnsi"/>
          <w:sz w:val="22"/>
          <w:szCs w:val="22"/>
          <w:lang w:val="es-ES"/>
        </w:rPr>
        <w:lastRenderedPageBreak/>
        <w:t>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w:t>
      </w:r>
      <w:r w:rsidRPr="00D23BA9">
        <w:rPr>
          <w:rFonts w:ascii="Verdana" w:hAnsi="Verdana" w:cstheme="minorHAnsi"/>
          <w:sz w:val="22"/>
          <w:szCs w:val="22"/>
          <w:lang w:val="es-ES"/>
        </w:rPr>
        <w:lastRenderedPageBreak/>
        <w:t xml:space="preserve">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lastRenderedPageBreak/>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 xml:space="preserve">Instalación construida o adecuada para la práctica de un deporte determinado y legalmente reconocido por el Estado colombiano por intermedio de la autoridad competente respectiva </w:t>
      </w:r>
      <w:r w:rsidRPr="00D23BA9">
        <w:rPr>
          <w:rFonts w:ascii="Verdana" w:hAnsi="Verdana" w:cstheme="minorBidi"/>
          <w:sz w:val="22"/>
          <w:szCs w:val="22"/>
          <w:lang w:val="es-ES"/>
        </w:rPr>
        <w:lastRenderedPageBreak/>
        <w:t>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w:t>
      </w:r>
      <w:r w:rsidRPr="00D23BA9">
        <w:rPr>
          <w:rFonts w:ascii="Verdana" w:hAnsi="Verdana" w:cstheme="minorHAnsi"/>
          <w:sz w:val="22"/>
          <w:szCs w:val="22"/>
          <w:lang w:val="es-ES"/>
        </w:rPr>
        <w:lastRenderedPageBreak/>
        <w:t xml:space="preserve">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w:t>
      </w:r>
      <w:r w:rsidRPr="00D23BA9">
        <w:rPr>
          <w:rFonts w:ascii="Verdana" w:eastAsia="Arial" w:hAnsi="Verdana" w:cstheme="minorHAnsi"/>
          <w:sz w:val="22"/>
          <w:szCs w:val="22"/>
          <w:lang w:val="es-ES"/>
        </w:rPr>
        <w:lastRenderedPageBreak/>
        <w:t>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w:t>
      </w:r>
      <w:r w:rsidRPr="00D23BA9">
        <w:rPr>
          <w:rFonts w:ascii="Verdana" w:hAnsi="Verdana" w:cstheme="minorHAnsi"/>
          <w:sz w:val="22"/>
          <w:szCs w:val="22"/>
          <w:lang w:val="es-ES"/>
        </w:rPr>
        <w:lastRenderedPageBreak/>
        <w:t>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lastRenderedPageBreak/>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 xml:space="preserve">estatal o parafiscal en dinero o especie entregado al beneficiario por la entidad otorgante </w:t>
      </w:r>
      <w:r w:rsidRPr="00D23BA9">
        <w:rPr>
          <w:rFonts w:ascii="Verdana" w:eastAsiaTheme="minorEastAsia" w:hAnsi="Verdana" w:cstheme="minorHAnsi"/>
          <w:sz w:val="22"/>
          <w:szCs w:val="22"/>
          <w:lang w:eastAsia="es-ES"/>
        </w:rPr>
        <w:lastRenderedPageBreak/>
        <w:t>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w:t>
      </w:r>
      <w:r w:rsidRPr="00D23BA9">
        <w:rPr>
          <w:rFonts w:ascii="Verdana" w:eastAsia="Arial" w:hAnsi="Verdana" w:cstheme="minorHAnsi"/>
          <w:sz w:val="22"/>
          <w:szCs w:val="22"/>
          <w:lang w:val="es-ES"/>
        </w:rPr>
        <w:lastRenderedPageBreak/>
        <w:t xml:space="preserve">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3193A" w14:textId="77777777" w:rsidR="00F865F6" w:rsidRDefault="00F865F6" w:rsidP="004F2C35">
      <w:r>
        <w:separator/>
      </w:r>
    </w:p>
  </w:endnote>
  <w:endnote w:type="continuationSeparator" w:id="0">
    <w:p w14:paraId="4F2FA9D9" w14:textId="77777777" w:rsidR="00F865F6" w:rsidRDefault="00F865F6" w:rsidP="004F2C35">
      <w:r>
        <w:continuationSeparator/>
      </w:r>
    </w:p>
  </w:endnote>
  <w:endnote w:type="continuationNotice" w:id="1">
    <w:p w14:paraId="2AAC64D0" w14:textId="77777777" w:rsidR="00F865F6" w:rsidRDefault="00F865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Monserra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D7EC7" w14:textId="77777777" w:rsidR="00D23481" w:rsidRDefault="00D234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653913"/>
      <w:docPartObj>
        <w:docPartGallery w:val="Page Numbers (Bottom of Page)"/>
        <w:docPartUnique/>
      </w:docPartObj>
    </w:sdtPr>
    <w:sdtEndPr/>
    <w:sdtContent>
      <w:p w14:paraId="3FDE2C2A" w14:textId="2091E9D8" w:rsidR="00D23481" w:rsidRDefault="00D23481">
        <w:pPr>
          <w:pStyle w:val="Piedepgina"/>
          <w:jc w:val="right"/>
        </w:pPr>
        <w:r>
          <w:rPr>
            <w:noProof/>
          </w:rPr>
          <w:drawing>
            <wp:anchor distT="0" distB="0" distL="114300" distR="114300" simplePos="0" relativeHeight="251661312" behindDoc="0" locked="0" layoutInCell="1" allowOverlap="1" wp14:anchorId="79179932" wp14:editId="32BC336A">
              <wp:simplePos x="0" y="0"/>
              <wp:positionH relativeFrom="column">
                <wp:posOffset>-575310</wp:posOffset>
              </wp:positionH>
              <wp:positionV relativeFrom="paragraph">
                <wp:posOffset>-23495</wp:posOffset>
              </wp:positionV>
              <wp:extent cx="2377440" cy="749935"/>
              <wp:effectExtent l="0" t="0" r="381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7440" cy="74993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0B307F17" wp14:editId="761E7582">
              <wp:simplePos x="0" y="0"/>
              <wp:positionH relativeFrom="column">
                <wp:posOffset>3796665</wp:posOffset>
              </wp:positionH>
              <wp:positionV relativeFrom="paragraph">
                <wp:posOffset>-42545</wp:posOffset>
              </wp:positionV>
              <wp:extent cx="1652270" cy="914400"/>
              <wp:effectExtent l="0" t="0" r="508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2270" cy="914400"/>
                      </a:xfrm>
                      <a:prstGeom prst="rect">
                        <a:avLst/>
                      </a:prstGeom>
                      <a:noFill/>
                    </pic:spPr>
                  </pic:pic>
                </a:graphicData>
              </a:graphic>
            </wp:anchor>
          </w:drawing>
        </w:r>
        <w:r>
          <w:fldChar w:fldCharType="begin"/>
        </w:r>
        <w:r>
          <w:instrText>PAGE   \* MERGEFORMAT</w:instrText>
        </w:r>
        <w:r>
          <w:fldChar w:fldCharType="separate"/>
        </w:r>
        <w:r>
          <w:rPr>
            <w:lang w:val="es-ES"/>
          </w:rPr>
          <w:t>2</w:t>
        </w:r>
        <w:r>
          <w:fldChar w:fldCharType="end"/>
        </w:r>
      </w:p>
    </w:sdtContent>
  </w:sdt>
  <w:p w14:paraId="4A860892" w14:textId="253FAFDB" w:rsidR="000B19F2" w:rsidRPr="00C50D27" w:rsidRDefault="000B19F2"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25999" w14:textId="77777777" w:rsidR="00D23481" w:rsidRDefault="00D234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00713" w14:textId="77777777" w:rsidR="00F865F6" w:rsidRDefault="00F865F6" w:rsidP="004F2C35">
      <w:r>
        <w:separator/>
      </w:r>
    </w:p>
  </w:footnote>
  <w:footnote w:type="continuationSeparator" w:id="0">
    <w:p w14:paraId="2CC04100" w14:textId="77777777" w:rsidR="00F865F6" w:rsidRDefault="00F865F6" w:rsidP="004F2C35">
      <w:r>
        <w:continuationSeparator/>
      </w:r>
    </w:p>
  </w:footnote>
  <w:footnote w:type="continuationNotice" w:id="1">
    <w:p w14:paraId="684BAFCB" w14:textId="77777777" w:rsidR="00F865F6" w:rsidRDefault="00F865F6"/>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F48F1" w14:textId="77777777" w:rsidR="00D23481" w:rsidRDefault="00D234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B0814" w14:textId="77777777" w:rsidR="00D23481" w:rsidRPr="00D23481" w:rsidRDefault="00D23481" w:rsidP="00D23481">
    <w:pPr>
      <w:tabs>
        <w:tab w:val="center" w:pos="4419"/>
        <w:tab w:val="left" w:pos="7680"/>
        <w:tab w:val="right" w:pos="8838"/>
      </w:tabs>
      <w:jc w:val="both"/>
      <w:rPr>
        <w:rFonts w:ascii="Arial" w:eastAsia="Arial" w:hAnsi="Arial" w:cs="Arial"/>
        <w:b/>
        <w:sz w:val="20"/>
        <w:szCs w:val="22"/>
        <w:lang w:eastAsia="en-US"/>
      </w:rPr>
    </w:pPr>
    <w:r w:rsidRPr="00D23481">
      <w:rPr>
        <w:rFonts w:ascii="Arial" w:eastAsia="Arial" w:hAnsi="Arial" w:cs="Arial"/>
        <w:noProof/>
        <w:sz w:val="20"/>
        <w:szCs w:val="22"/>
        <w:lang w:val="es-MX" w:eastAsia="es-MX"/>
      </w:rPr>
      <w:drawing>
        <wp:anchor distT="0" distB="0" distL="114300" distR="114300" simplePos="0" relativeHeight="251660288" behindDoc="0" locked="0" layoutInCell="1" allowOverlap="1" wp14:anchorId="6120201B" wp14:editId="287C8A98">
          <wp:simplePos x="0" y="0"/>
          <wp:positionH relativeFrom="margin">
            <wp:posOffset>-476250</wp:posOffset>
          </wp:positionH>
          <wp:positionV relativeFrom="paragraph">
            <wp:posOffset>128270</wp:posOffset>
          </wp:positionV>
          <wp:extent cx="2030680" cy="651453"/>
          <wp:effectExtent l="0" t="0" r="8255" b="0"/>
          <wp:wrapNone/>
          <wp:docPr id="933580500" name="Imagen 933580500"/>
          <wp:cNvGraphicFramePr/>
          <a:graphic xmlns:a="http://schemas.openxmlformats.org/drawingml/2006/main">
            <a:graphicData uri="http://schemas.openxmlformats.org/drawingml/2006/picture">
              <pic:pic xmlns:pic="http://schemas.openxmlformats.org/drawingml/2006/picture">
                <pic:nvPicPr>
                  <pic:cNvPr id="24" name="Imagen 24"/>
                  <pic:cNvPicPr/>
                </pic:nvPicPr>
                <pic:blipFill>
                  <a:blip r:embed="rId1">
                    <a:extLst>
                      <a:ext uri="{BEBA8EAE-BF5A-486C-A8C5-ECC9F3942E4B}">
                        <a14:imgProps xmlns:a14="http://schemas.microsoft.com/office/drawing/2010/main">
                          <a14:imgLayer r:embed="rId2">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2030680" cy="651453"/>
                  </a:xfrm>
                  <a:prstGeom prst="rect">
                    <a:avLst/>
                  </a:prstGeom>
                </pic:spPr>
              </pic:pic>
            </a:graphicData>
          </a:graphic>
          <wp14:sizeRelH relativeFrom="margin">
            <wp14:pctWidth>0</wp14:pctWidth>
          </wp14:sizeRelH>
        </wp:anchor>
      </w:drawing>
    </w:r>
  </w:p>
  <w:p w14:paraId="0911C754" w14:textId="77777777" w:rsidR="00D23481" w:rsidRPr="00D23481" w:rsidRDefault="00D23481" w:rsidP="00D23481">
    <w:pPr>
      <w:tabs>
        <w:tab w:val="center" w:pos="4419"/>
        <w:tab w:val="left" w:pos="7680"/>
        <w:tab w:val="right" w:pos="8838"/>
      </w:tabs>
      <w:jc w:val="both"/>
      <w:rPr>
        <w:rFonts w:ascii="Arial" w:eastAsia="Arial" w:hAnsi="Arial" w:cs="Arial"/>
        <w:b/>
        <w:sz w:val="20"/>
        <w:szCs w:val="22"/>
        <w:lang w:eastAsia="en-US"/>
      </w:rPr>
    </w:pPr>
    <w:bookmarkStart w:id="2" w:name="_Hlk231893585"/>
  </w:p>
  <w:p w14:paraId="0A188FC0" w14:textId="77777777" w:rsidR="00D23481" w:rsidRPr="00D23481" w:rsidRDefault="00D23481" w:rsidP="00D23481">
    <w:pPr>
      <w:tabs>
        <w:tab w:val="center" w:pos="4419"/>
        <w:tab w:val="left" w:pos="7680"/>
        <w:tab w:val="right" w:pos="8838"/>
      </w:tabs>
      <w:jc w:val="both"/>
      <w:rPr>
        <w:rFonts w:ascii="Arial" w:eastAsia="Arial" w:hAnsi="Arial" w:cs="Arial"/>
        <w:b/>
        <w:sz w:val="20"/>
        <w:szCs w:val="22"/>
        <w:lang w:eastAsia="en-US"/>
      </w:rPr>
    </w:pPr>
    <w:r w:rsidRPr="00D23481">
      <w:rPr>
        <w:rFonts w:ascii="Arial" w:eastAsia="Arial" w:hAnsi="Arial" w:cs="Arial"/>
        <w:noProof/>
        <w:sz w:val="20"/>
        <w:szCs w:val="22"/>
        <w:lang w:val="es-MX" w:eastAsia="es-MX"/>
      </w:rPr>
      <mc:AlternateContent>
        <mc:Choice Requires="wps">
          <w:drawing>
            <wp:anchor distT="0" distB="0" distL="114300" distR="114300" simplePos="0" relativeHeight="251659264" behindDoc="1" locked="0" layoutInCell="1" allowOverlap="1" wp14:anchorId="4CDDBA71" wp14:editId="714656FE">
              <wp:simplePos x="0" y="0"/>
              <wp:positionH relativeFrom="page">
                <wp:posOffset>4161155</wp:posOffset>
              </wp:positionH>
              <wp:positionV relativeFrom="page">
                <wp:posOffset>392430</wp:posOffset>
              </wp:positionV>
              <wp:extent cx="2101215" cy="168275"/>
              <wp:effectExtent l="0" t="0" r="0" b="0"/>
              <wp:wrapNone/>
              <wp:docPr id="3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215"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E9C9E" w14:textId="77777777" w:rsidR="00D23481" w:rsidRDefault="00D23481" w:rsidP="00D23481">
                          <w:pPr>
                            <w:pStyle w:val="Textoindependiente"/>
                            <w:spacing w:line="247" w:lineRule="exact"/>
                            <w:ind w:left="20"/>
                            <w:rPr>
                              <w:rFonts w:ascii="Palatino Linotyp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DBA71" id="_x0000_t202" coordsize="21600,21600" o:spt="202" path="m,l,21600r21600,l21600,xe">
              <v:stroke joinstyle="miter"/>
              <v:path gradientshapeok="t" o:connecttype="rect"/>
            </v:shapetype>
            <v:shape id="Text Box 16" o:spid="_x0000_s1026" type="#_x0000_t202" style="position:absolute;left:0;text-align:left;margin-left:327.65pt;margin-top:30.9pt;width:165.45pt;height:13.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" filled="f" stroked="f">
              <v:textbox inset="0,0,0,0">
                <w:txbxContent>
                  <w:p w14:paraId="178E9C9E" w14:textId="77777777" w:rsidR="00D23481" w:rsidRDefault="00D23481" w:rsidP="00D23481">
                    <w:pPr>
                      <w:pStyle w:val="Textoindependiente"/>
                      <w:spacing w:line="247" w:lineRule="exact"/>
                      <w:ind w:left="20"/>
                      <w:rPr>
                        <w:rFonts w:ascii="Palatino Linotype"/>
                      </w:rPr>
                    </w:pPr>
                  </w:p>
                </w:txbxContent>
              </v:textbox>
              <w10:wrap anchorx="page" anchory="page"/>
            </v:shape>
          </w:pict>
        </mc:Fallback>
      </mc:AlternateContent>
    </w:r>
    <w:r w:rsidRPr="00D23481">
      <w:rPr>
        <w:rFonts w:ascii="Arial" w:eastAsia="Arial" w:hAnsi="Arial" w:cs="Arial"/>
        <w:b/>
        <w:sz w:val="20"/>
        <w:szCs w:val="22"/>
        <w:lang w:eastAsia="en-US"/>
      </w:rPr>
      <w:tab/>
    </w:r>
    <w:r w:rsidRPr="00D23481">
      <w:rPr>
        <w:rFonts w:ascii="Arial" w:eastAsia="Arial" w:hAnsi="Arial" w:cs="Arial"/>
        <w:b/>
        <w:sz w:val="20"/>
        <w:szCs w:val="22"/>
        <w:lang w:eastAsia="en-US"/>
      </w:rPr>
      <w:tab/>
    </w:r>
    <w:r w:rsidRPr="00D23481">
      <w:rPr>
        <w:rFonts w:ascii="Arial" w:eastAsia="Arial" w:hAnsi="Arial" w:cs="Arial"/>
        <w:b/>
        <w:sz w:val="20"/>
        <w:szCs w:val="22"/>
        <w:lang w:eastAsia="en-US"/>
      </w:rPr>
      <w:tab/>
    </w:r>
  </w:p>
  <w:p w14:paraId="6B4F6EFF" w14:textId="77777777" w:rsidR="00D23481" w:rsidRPr="00D23481" w:rsidRDefault="00D23481" w:rsidP="00D23481">
    <w:pPr>
      <w:tabs>
        <w:tab w:val="left" w:pos="3480"/>
        <w:tab w:val="center" w:pos="6644"/>
      </w:tabs>
      <w:ind w:left="709"/>
      <w:jc w:val="center"/>
      <w:rPr>
        <w:rFonts w:ascii="Monserrat" w:eastAsia="Arial" w:hAnsi="Monserrat" w:cs="Arial"/>
        <w:sz w:val="20"/>
        <w:szCs w:val="20"/>
        <w:lang w:eastAsia="en-US"/>
      </w:rPr>
    </w:pPr>
    <w:r w:rsidRPr="00D23481">
      <w:rPr>
        <w:rFonts w:ascii="Monserrat" w:eastAsia="Arial" w:hAnsi="Monserrat" w:cs="Arial"/>
        <w:sz w:val="20"/>
        <w:szCs w:val="20"/>
        <w:lang w:eastAsia="en-US"/>
      </w:rPr>
      <w:t>Consejo Superior de la Judicatura</w:t>
    </w:r>
  </w:p>
  <w:p w14:paraId="616219F5" w14:textId="77777777" w:rsidR="00D23481" w:rsidRPr="00D23481" w:rsidRDefault="00D23481" w:rsidP="00D23481">
    <w:pPr>
      <w:ind w:left="709"/>
      <w:jc w:val="center"/>
      <w:rPr>
        <w:rFonts w:ascii="Monserrat" w:eastAsia="Arial" w:hAnsi="Monserrat" w:cs="Arial"/>
        <w:sz w:val="20"/>
        <w:szCs w:val="20"/>
        <w:lang w:eastAsia="en-US"/>
      </w:rPr>
    </w:pPr>
    <w:r w:rsidRPr="00D23481">
      <w:rPr>
        <w:rFonts w:ascii="Monserrat" w:eastAsia="Arial" w:hAnsi="Monserrat" w:cs="Arial"/>
        <w:sz w:val="20"/>
        <w:szCs w:val="20"/>
        <w:lang w:eastAsia="en-US"/>
      </w:rPr>
      <w:t>Dirección Seccional de Administración Judicial de Pasto</w:t>
    </w:r>
  </w:p>
  <w:p w14:paraId="0B8AA672" w14:textId="77777777" w:rsidR="00D23481" w:rsidRPr="00D23481" w:rsidRDefault="00D23481" w:rsidP="00D23481">
    <w:pPr>
      <w:ind w:left="709"/>
      <w:jc w:val="center"/>
      <w:rPr>
        <w:rFonts w:ascii="Monserrat" w:eastAsia="Arial" w:hAnsi="Monserrat" w:cs="Arial"/>
        <w:sz w:val="20"/>
        <w:szCs w:val="20"/>
        <w:lang w:eastAsia="en-US"/>
      </w:rPr>
    </w:pPr>
    <w:r w:rsidRPr="00D23481">
      <w:rPr>
        <w:rFonts w:ascii="Monserrat" w:eastAsia="Arial" w:hAnsi="Monserrat" w:cs="Arial"/>
        <w:sz w:val="20"/>
        <w:szCs w:val="20"/>
        <w:lang w:eastAsia="en-US"/>
      </w:rPr>
      <w:t>Área Administrativa</w:t>
    </w:r>
    <w:bookmarkEnd w:id="2"/>
  </w:p>
  <w:p w14:paraId="2E334F68" w14:textId="77777777" w:rsidR="007B3A97" w:rsidRPr="009E3958" w:rsidRDefault="007B3A97" w:rsidP="007B3A97">
    <w:pPr>
      <w:pStyle w:val="Encabezado"/>
      <w:jc w:val="center"/>
      <w:rPr>
        <w:rFonts w:ascii="Verdana" w:hAnsi="Verdana"/>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F10DA" w14:textId="77777777" w:rsidR="00D23481" w:rsidRDefault="00D23481">
    <w:pPr>
      <w:pStyle w:val="Encabezado"/>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16D82"/>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12DA"/>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2653"/>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068C"/>
    <w:rsid w:val="00AB259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481"/>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65F6"/>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 w:type="paragraph" w:styleId="Textoindependiente">
    <w:name w:val="Body Text"/>
    <w:basedOn w:val="Normal"/>
    <w:link w:val="TextoindependienteCar"/>
    <w:uiPriority w:val="99"/>
    <w:semiHidden/>
    <w:unhideWhenUsed/>
    <w:rsid w:val="00D23481"/>
    <w:pPr>
      <w:spacing w:after="120"/>
    </w:pPr>
  </w:style>
  <w:style w:type="character" w:customStyle="1" w:styleId="TextoindependienteCar">
    <w:name w:val="Texto independiente Car"/>
    <w:basedOn w:val="Fuentedeprrafopredeter"/>
    <w:link w:val="Textoindependiente"/>
    <w:uiPriority w:val="99"/>
    <w:semiHidden/>
    <w:rsid w:val="00D23481"/>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69</Pages>
  <Words>23719</Words>
  <Characters>130457</Characters>
  <Application>Microsoft Office Word</Application>
  <DocSecurity>0</DocSecurity>
  <Lines>1087</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CSJ</cp:lastModifiedBy>
  <cp:revision>4</cp:revision>
  <cp:lastPrinted>2022-06-28T19:25:00Z</cp:lastPrinted>
  <dcterms:created xsi:type="dcterms:W3CDTF">2026-06-09T16:31:00Z</dcterms:created>
  <dcterms:modified xsi:type="dcterms:W3CDTF">2026-06-10T19:44:00Z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