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3D13" w14:textId="4B5AB68B" w:rsidR="000F6246" w:rsidRPr="000F6246" w:rsidRDefault="000F6246" w:rsidP="000F6246">
      <w:pPr>
        <w:spacing w:after="0" w:line="240" w:lineRule="auto"/>
        <w:rPr>
          <w:rFonts w:ascii="Arial" w:hAnsi="Arial" w:cs="Arial"/>
        </w:rPr>
      </w:pPr>
      <w:r w:rsidRPr="000F6246">
        <w:rPr>
          <w:rFonts w:ascii="Arial" w:hAnsi="Arial" w:cs="Arial"/>
        </w:rPr>
        <w:t>FO-M9-P3-</w:t>
      </w:r>
      <w:r w:rsidR="00C942B5">
        <w:rPr>
          <w:rFonts w:ascii="Arial" w:hAnsi="Arial" w:cs="Arial"/>
        </w:rPr>
        <w:t xml:space="preserve">02 </w:t>
      </w:r>
      <w:r w:rsidRPr="000F6246">
        <w:rPr>
          <w:rFonts w:ascii="Arial" w:hAnsi="Arial" w:cs="Arial"/>
        </w:rPr>
        <w:t>-V0</w:t>
      </w:r>
      <w:r w:rsidR="008C05AB">
        <w:rPr>
          <w:rFonts w:ascii="Arial" w:hAnsi="Arial" w:cs="Arial"/>
        </w:rPr>
        <w:t>4</w:t>
      </w:r>
    </w:p>
    <w:p w14:paraId="60D54707" w14:textId="77777777" w:rsidR="008C05AB" w:rsidRDefault="008C05AB" w:rsidP="000F6246">
      <w:pPr>
        <w:spacing w:after="0" w:line="240" w:lineRule="auto"/>
        <w:rPr>
          <w:rFonts w:ascii="Arial" w:hAnsi="Arial" w:cs="Arial"/>
        </w:rPr>
      </w:pPr>
    </w:p>
    <w:p w14:paraId="1ECFBED2" w14:textId="4DBBD6F8" w:rsidR="000F6246" w:rsidRPr="000F6246" w:rsidRDefault="005A63AC" w:rsidP="000F6246">
      <w:pPr>
        <w:spacing w:after="0" w:line="240" w:lineRule="auto"/>
        <w:rPr>
          <w:rFonts w:ascii="Arial" w:hAnsi="Arial" w:cs="Arial"/>
        </w:rPr>
      </w:pPr>
      <w:r>
        <w:rPr>
          <w:rFonts w:ascii="Arial" w:hAnsi="Arial" w:cs="Arial"/>
        </w:rPr>
        <w:t>14710-23-2026</w:t>
      </w:r>
    </w:p>
    <w:p w14:paraId="7A311B5E" w14:textId="77777777" w:rsidR="000F6246" w:rsidRDefault="000F6246" w:rsidP="000F6246">
      <w:pPr>
        <w:rPr>
          <w:rFonts w:ascii="Arial" w:hAnsi="Arial" w:cs="Arial"/>
        </w:rPr>
      </w:pPr>
    </w:p>
    <w:p w14:paraId="5CDBC47D" w14:textId="77777777" w:rsidR="00B953D1" w:rsidRPr="00B953D1" w:rsidRDefault="00B953D1" w:rsidP="00B953D1">
      <w:pPr>
        <w:spacing w:after="120" w:line="240" w:lineRule="auto"/>
        <w:rPr>
          <w:rFonts w:ascii="Arial" w:eastAsia="Arial" w:hAnsi="Arial" w:cs="Arial"/>
          <w:sz w:val="24"/>
          <w:szCs w:val="24"/>
          <w:lang w:eastAsia="es-CO"/>
        </w:rPr>
      </w:pPr>
      <w:r w:rsidRPr="00B953D1">
        <w:rPr>
          <w:rFonts w:ascii="Arial" w:eastAsia="Arial" w:hAnsi="Arial" w:cs="Arial"/>
          <w:sz w:val="24"/>
          <w:szCs w:val="24"/>
          <w:lang w:eastAsia="es-CO"/>
        </w:rPr>
        <w:t>Honorables Diputados</w:t>
      </w:r>
    </w:p>
    <w:p w14:paraId="760DD7A3" w14:textId="77777777" w:rsidR="00B953D1" w:rsidRPr="00B953D1" w:rsidRDefault="00B953D1" w:rsidP="00B953D1">
      <w:pPr>
        <w:spacing w:after="120" w:line="240" w:lineRule="auto"/>
        <w:rPr>
          <w:rFonts w:ascii="Arial" w:eastAsia="Arial" w:hAnsi="Arial" w:cs="Arial"/>
          <w:b/>
          <w:bCs/>
          <w:sz w:val="24"/>
          <w:szCs w:val="24"/>
          <w:lang w:eastAsia="es-CO"/>
        </w:rPr>
      </w:pPr>
      <w:r w:rsidRPr="00B953D1">
        <w:rPr>
          <w:rFonts w:ascii="Arial" w:eastAsia="Arial" w:hAnsi="Arial" w:cs="Arial"/>
          <w:b/>
          <w:bCs/>
          <w:sz w:val="24"/>
          <w:szCs w:val="24"/>
          <w:lang w:eastAsia="es-CO"/>
        </w:rPr>
        <w:t>ASAMBLEA DEPARTAMENTAL DEL VALLE DEL CAUCA</w:t>
      </w:r>
    </w:p>
    <w:p w14:paraId="0C166C19" w14:textId="77777777" w:rsidR="00B953D1" w:rsidRPr="00B953D1" w:rsidRDefault="00B953D1" w:rsidP="00B953D1">
      <w:pPr>
        <w:spacing w:after="120" w:line="240" w:lineRule="auto"/>
        <w:rPr>
          <w:rFonts w:ascii="Arial" w:eastAsia="Arial" w:hAnsi="Arial" w:cs="Arial"/>
          <w:sz w:val="24"/>
          <w:szCs w:val="24"/>
          <w:lang w:eastAsia="es-CO"/>
        </w:rPr>
      </w:pPr>
      <w:r w:rsidRPr="00B953D1">
        <w:rPr>
          <w:rFonts w:ascii="Arial" w:eastAsia="Arial" w:hAnsi="Arial" w:cs="Arial"/>
          <w:sz w:val="24"/>
          <w:szCs w:val="24"/>
          <w:lang w:eastAsia="es-CO"/>
        </w:rPr>
        <w:t>Calle 9 No 8 - 60. Edificio San Luis</w:t>
      </w:r>
    </w:p>
    <w:p w14:paraId="533DB381" w14:textId="77777777" w:rsidR="00B953D1" w:rsidRPr="00B953D1" w:rsidRDefault="00B953D1" w:rsidP="00B953D1">
      <w:pPr>
        <w:spacing w:after="120" w:line="240" w:lineRule="auto"/>
        <w:rPr>
          <w:rFonts w:ascii="Arial" w:eastAsia="Arial" w:hAnsi="Arial" w:cs="Arial"/>
          <w:sz w:val="24"/>
          <w:szCs w:val="24"/>
          <w:lang w:eastAsia="es-CO"/>
        </w:rPr>
      </w:pPr>
      <w:r w:rsidRPr="00B953D1">
        <w:rPr>
          <w:rFonts w:ascii="Arial" w:eastAsia="Arial" w:hAnsi="Arial" w:cs="Arial"/>
          <w:sz w:val="24"/>
          <w:szCs w:val="24"/>
          <w:lang w:eastAsia="es-CO"/>
        </w:rPr>
        <w:t>Cali – Valle del Cauca</w:t>
      </w:r>
    </w:p>
    <w:p w14:paraId="011C2D17" w14:textId="77777777" w:rsidR="00B953D1" w:rsidRPr="00B953D1" w:rsidRDefault="00B953D1" w:rsidP="00B953D1">
      <w:pPr>
        <w:rPr>
          <w:rFonts w:ascii="Arial" w:eastAsia="Arial" w:hAnsi="Arial" w:cs="Arial"/>
          <w:sz w:val="10"/>
          <w:szCs w:val="10"/>
          <w:lang w:eastAsia="es-CO"/>
        </w:rPr>
      </w:pPr>
    </w:p>
    <w:p w14:paraId="30FA7AF0" w14:textId="77777777" w:rsidR="00B953D1" w:rsidRPr="00B953D1" w:rsidRDefault="00B953D1" w:rsidP="00B953D1">
      <w:pPr>
        <w:ind w:left="993" w:hanging="993"/>
        <w:jc w:val="both"/>
        <w:rPr>
          <w:rFonts w:ascii="Arial" w:eastAsia="Arial" w:hAnsi="Arial" w:cs="Arial"/>
          <w:lang w:eastAsia="es-CO"/>
        </w:rPr>
      </w:pPr>
      <w:r w:rsidRPr="00B953D1">
        <w:rPr>
          <w:rFonts w:ascii="Arial" w:eastAsia="Arial" w:hAnsi="Arial" w:cs="Arial"/>
          <w:b/>
          <w:bCs/>
          <w:lang w:eastAsia="es-CO"/>
        </w:rPr>
        <w:t>Asunto:</w:t>
      </w:r>
      <w:r w:rsidRPr="00B953D1">
        <w:rPr>
          <w:rFonts w:ascii="Arial" w:eastAsia="Arial" w:hAnsi="Arial" w:cs="Arial"/>
          <w:lang w:eastAsia="es-CO"/>
        </w:rPr>
        <w:t xml:space="preserve"> Informe segundo semestre vigencia 2025, acerca de la Tasa de Seguridad y Convivencia Ciudadana del Departamento del Valle del Cauca</w:t>
      </w:r>
      <w:r w:rsidRPr="00B953D1">
        <w:rPr>
          <w:rFonts w:ascii="Arial" w:eastAsia="Arial" w:hAnsi="Arial" w:cs="Arial"/>
          <w:color w:val="26282A"/>
          <w:highlight w:val="white"/>
          <w:lang w:eastAsia="es-CO"/>
        </w:rPr>
        <w:t>.</w:t>
      </w:r>
    </w:p>
    <w:p w14:paraId="144B09C8" w14:textId="77777777" w:rsidR="00B953D1" w:rsidRPr="00B953D1" w:rsidRDefault="00B953D1" w:rsidP="00B953D1">
      <w:pPr>
        <w:jc w:val="both"/>
        <w:rPr>
          <w:rFonts w:ascii="Arial" w:eastAsia="Arial" w:hAnsi="Arial" w:cs="Arial"/>
          <w:lang w:eastAsia="es-CO"/>
        </w:rPr>
      </w:pPr>
    </w:p>
    <w:p w14:paraId="1DC2EC4D" w14:textId="77777777" w:rsidR="00B953D1" w:rsidRPr="00B953D1" w:rsidRDefault="00B953D1" w:rsidP="00B953D1">
      <w:pPr>
        <w:jc w:val="both"/>
        <w:rPr>
          <w:rFonts w:ascii="Arial" w:eastAsia="Arial" w:hAnsi="Arial" w:cs="Arial"/>
          <w:lang w:eastAsia="es-CO"/>
        </w:rPr>
      </w:pPr>
      <w:r w:rsidRPr="00B953D1">
        <w:rPr>
          <w:rFonts w:ascii="Arial" w:eastAsia="Arial" w:hAnsi="Arial" w:cs="Arial"/>
          <w:lang w:eastAsia="es-CO"/>
        </w:rPr>
        <w:t>Cordial saludo,</w:t>
      </w:r>
    </w:p>
    <w:p w14:paraId="59F00F5D" w14:textId="77777777" w:rsidR="00B953D1" w:rsidRPr="00B953D1" w:rsidRDefault="00B953D1" w:rsidP="00B953D1">
      <w:pPr>
        <w:jc w:val="both"/>
        <w:rPr>
          <w:rFonts w:ascii="Arial" w:eastAsia="Arial" w:hAnsi="Arial" w:cs="Arial"/>
          <w:sz w:val="10"/>
          <w:szCs w:val="10"/>
          <w:lang w:eastAsia="es-CO"/>
        </w:rPr>
      </w:pPr>
    </w:p>
    <w:p w14:paraId="698A4C9F" w14:textId="77777777" w:rsidR="00B953D1" w:rsidRPr="00B953D1" w:rsidRDefault="00B953D1" w:rsidP="00B953D1">
      <w:pPr>
        <w:shd w:val="clear" w:color="auto" w:fill="FFFFFF"/>
        <w:jc w:val="both"/>
        <w:rPr>
          <w:rFonts w:ascii="Arial" w:eastAsia="Arial" w:hAnsi="Arial" w:cs="Arial"/>
          <w:lang w:eastAsia="es-CO"/>
        </w:rPr>
      </w:pPr>
      <w:r w:rsidRPr="00B953D1">
        <w:rPr>
          <w:rFonts w:ascii="Arial" w:eastAsia="Arial" w:hAnsi="Arial" w:cs="Arial"/>
          <w:color w:val="000000"/>
          <w:lang w:eastAsia="es-CO"/>
        </w:rPr>
        <w:t xml:space="preserve">Acorde con lo encomendado a la Secretaría de Convivencia y Seguridad Ciudadana del Departamento, procedo a presentar a la Honorable Asamblea Departamental, </w:t>
      </w:r>
      <w:r w:rsidRPr="00B953D1">
        <w:rPr>
          <w:rFonts w:ascii="Arial" w:eastAsia="Arial" w:hAnsi="Arial" w:cs="Arial"/>
          <w:lang w:eastAsia="es-CO"/>
        </w:rPr>
        <w:t>el informe para el segundo semestre de la vigencia 2025, sobre el desempeño y ejecución de la Tasa Especial de Seguridad y Convivencia Ciudadana del Departamento del Valle del Cauca.</w:t>
      </w:r>
    </w:p>
    <w:p w14:paraId="79AA4C38" w14:textId="77777777" w:rsidR="00B953D1" w:rsidRPr="00B953D1" w:rsidRDefault="00B953D1" w:rsidP="00B953D1">
      <w:pPr>
        <w:shd w:val="clear" w:color="auto" w:fill="FFFFFF"/>
        <w:jc w:val="both"/>
        <w:rPr>
          <w:rFonts w:ascii="Arial" w:eastAsia="Arial" w:hAnsi="Arial" w:cs="Arial"/>
          <w:sz w:val="10"/>
          <w:szCs w:val="10"/>
          <w:lang w:eastAsia="es-CO"/>
        </w:rPr>
      </w:pPr>
    </w:p>
    <w:p w14:paraId="153B0618" w14:textId="77777777" w:rsidR="00B953D1" w:rsidRPr="00B953D1" w:rsidRDefault="00B953D1" w:rsidP="00B953D1">
      <w:pPr>
        <w:shd w:val="clear" w:color="auto" w:fill="FFFFFF"/>
        <w:jc w:val="both"/>
        <w:rPr>
          <w:rFonts w:ascii="Arial" w:eastAsia="Arial" w:hAnsi="Arial" w:cs="Arial"/>
          <w:color w:val="000000"/>
          <w:lang w:eastAsia="es-CO"/>
        </w:rPr>
      </w:pPr>
      <w:r w:rsidRPr="00B953D1">
        <w:rPr>
          <w:rFonts w:ascii="Arial" w:eastAsia="Arial" w:hAnsi="Arial" w:cs="Arial"/>
          <w:color w:val="000000"/>
          <w:lang w:eastAsia="es-CO"/>
        </w:rPr>
        <w:t>Cordialmente,</w:t>
      </w:r>
    </w:p>
    <w:p w14:paraId="1465830A" w14:textId="77777777" w:rsidR="00B953D1" w:rsidRPr="00B953D1" w:rsidRDefault="00B953D1" w:rsidP="00B953D1">
      <w:pPr>
        <w:shd w:val="clear" w:color="auto" w:fill="FFFFFF"/>
        <w:jc w:val="both"/>
        <w:rPr>
          <w:rFonts w:ascii="Arial" w:eastAsia="Arial" w:hAnsi="Arial" w:cs="Arial"/>
          <w:color w:val="000000"/>
          <w:lang w:eastAsia="es-CO"/>
        </w:rPr>
      </w:pPr>
    </w:p>
    <w:p w14:paraId="1560D294" w14:textId="77777777" w:rsidR="00B953D1" w:rsidRPr="00B953D1" w:rsidRDefault="00B953D1" w:rsidP="00B953D1">
      <w:pPr>
        <w:shd w:val="clear" w:color="auto" w:fill="FFFFFF"/>
        <w:jc w:val="both"/>
        <w:rPr>
          <w:rFonts w:ascii="Arial" w:eastAsia="Arial" w:hAnsi="Arial" w:cs="Arial"/>
          <w:color w:val="000000"/>
          <w:lang w:eastAsia="es-CO"/>
        </w:rPr>
      </w:pPr>
    </w:p>
    <w:p w14:paraId="3E7B373B" w14:textId="77777777" w:rsidR="00B953D1" w:rsidRPr="00B953D1" w:rsidRDefault="00B953D1" w:rsidP="00B953D1">
      <w:pPr>
        <w:shd w:val="clear" w:color="auto" w:fill="FFFFFF"/>
        <w:jc w:val="both"/>
        <w:rPr>
          <w:rFonts w:ascii="Arial" w:eastAsia="Arial" w:hAnsi="Arial" w:cs="Arial"/>
          <w:color w:val="000000"/>
          <w:lang w:eastAsia="es-CO"/>
        </w:rPr>
      </w:pPr>
    </w:p>
    <w:p w14:paraId="1802A682" w14:textId="77777777" w:rsidR="00B953D1" w:rsidRPr="00B953D1" w:rsidRDefault="00B953D1" w:rsidP="00B953D1">
      <w:pPr>
        <w:shd w:val="clear" w:color="auto" w:fill="FFFFFF"/>
        <w:jc w:val="both"/>
        <w:rPr>
          <w:rFonts w:ascii="Arial" w:eastAsia="Arial" w:hAnsi="Arial" w:cs="Arial"/>
          <w:b/>
          <w:bCs/>
          <w:color w:val="000000"/>
          <w:sz w:val="10"/>
          <w:szCs w:val="10"/>
          <w:lang w:eastAsia="es-CO"/>
        </w:rPr>
      </w:pPr>
    </w:p>
    <w:p w14:paraId="38BA750F" w14:textId="77777777" w:rsidR="00B953D1" w:rsidRPr="00B953D1" w:rsidRDefault="00B953D1" w:rsidP="00B953D1">
      <w:pPr>
        <w:spacing w:after="0" w:line="240" w:lineRule="auto"/>
        <w:jc w:val="both"/>
        <w:rPr>
          <w:rFonts w:ascii="Arial" w:eastAsia="Arial" w:hAnsi="Arial" w:cs="Arial"/>
          <w:b/>
          <w:bCs/>
          <w:color w:val="222222"/>
          <w:sz w:val="24"/>
          <w:szCs w:val="24"/>
          <w:lang w:eastAsia="es-CO"/>
        </w:rPr>
      </w:pPr>
      <w:r w:rsidRPr="00B953D1">
        <w:rPr>
          <w:rFonts w:ascii="Arial" w:eastAsia="Arial" w:hAnsi="Arial" w:cs="Arial"/>
          <w:b/>
          <w:bCs/>
          <w:color w:val="222222"/>
          <w:sz w:val="24"/>
          <w:szCs w:val="24"/>
          <w:lang w:eastAsia="es-CO"/>
        </w:rPr>
        <w:t>GUILLERMO LONDOÑO RICAURTE</w:t>
      </w:r>
    </w:p>
    <w:p w14:paraId="6429A440" w14:textId="77777777" w:rsidR="00B953D1" w:rsidRPr="00B953D1" w:rsidRDefault="00B953D1" w:rsidP="00B953D1">
      <w:pPr>
        <w:spacing w:after="0" w:line="240" w:lineRule="auto"/>
        <w:jc w:val="both"/>
        <w:rPr>
          <w:rFonts w:ascii="Arial" w:eastAsia="Arial" w:hAnsi="Arial" w:cs="Arial"/>
          <w:color w:val="222222"/>
          <w:sz w:val="24"/>
          <w:szCs w:val="24"/>
          <w:lang w:eastAsia="es-CO"/>
        </w:rPr>
      </w:pPr>
      <w:r w:rsidRPr="00B953D1">
        <w:rPr>
          <w:rFonts w:ascii="Arial" w:eastAsia="Arial" w:hAnsi="Arial" w:cs="Arial"/>
          <w:color w:val="222222"/>
          <w:sz w:val="24"/>
          <w:szCs w:val="24"/>
          <w:lang w:eastAsia="es-CO"/>
        </w:rPr>
        <w:t>Secretario de Convivencia y Seguridad Ciudadana</w:t>
      </w:r>
    </w:p>
    <w:p w14:paraId="2C8F295B" w14:textId="77777777" w:rsidR="00B953D1" w:rsidRPr="00B953D1" w:rsidRDefault="00B953D1" w:rsidP="00B953D1">
      <w:pPr>
        <w:spacing w:after="0" w:line="240" w:lineRule="auto"/>
        <w:jc w:val="both"/>
        <w:rPr>
          <w:rFonts w:ascii="Arial" w:eastAsia="Arial" w:hAnsi="Arial" w:cs="Arial"/>
          <w:color w:val="222222"/>
          <w:sz w:val="24"/>
          <w:szCs w:val="24"/>
          <w:lang w:eastAsia="es-CO"/>
        </w:rPr>
      </w:pPr>
      <w:r w:rsidRPr="00B953D1">
        <w:rPr>
          <w:rFonts w:ascii="Arial" w:eastAsia="Arial" w:hAnsi="Arial" w:cs="Arial"/>
          <w:color w:val="222222"/>
          <w:sz w:val="24"/>
          <w:szCs w:val="24"/>
          <w:lang w:eastAsia="es-CO"/>
        </w:rPr>
        <w:t>Gobernación del Valle del Cauca</w:t>
      </w:r>
    </w:p>
    <w:p w14:paraId="0B325670" w14:textId="77777777" w:rsidR="00B953D1" w:rsidRPr="00B953D1" w:rsidRDefault="00B953D1" w:rsidP="00B953D1">
      <w:pPr>
        <w:spacing w:after="0" w:line="240" w:lineRule="auto"/>
        <w:jc w:val="both"/>
        <w:rPr>
          <w:rFonts w:ascii="Arial" w:eastAsia="Arial" w:hAnsi="Arial" w:cs="Arial"/>
          <w:color w:val="222222"/>
          <w:sz w:val="24"/>
          <w:szCs w:val="24"/>
          <w:lang w:eastAsia="es-CO"/>
        </w:rPr>
      </w:pPr>
    </w:p>
    <w:p w14:paraId="252ABA04" w14:textId="77777777" w:rsidR="00B953D1" w:rsidRPr="00B953D1" w:rsidRDefault="00B953D1" w:rsidP="00B953D1">
      <w:pPr>
        <w:spacing w:after="0" w:line="240" w:lineRule="auto"/>
        <w:jc w:val="both"/>
        <w:rPr>
          <w:rFonts w:ascii="Arial" w:eastAsia="Arial" w:hAnsi="Arial" w:cs="Arial"/>
          <w:color w:val="222222"/>
          <w:sz w:val="16"/>
          <w:szCs w:val="16"/>
          <w:lang w:eastAsia="es-CO"/>
        </w:rPr>
      </w:pPr>
      <w:r w:rsidRPr="00B953D1">
        <w:rPr>
          <w:rFonts w:ascii="Arial" w:eastAsia="Arial" w:hAnsi="Arial" w:cs="Arial"/>
          <w:color w:val="222222"/>
          <w:sz w:val="16"/>
          <w:szCs w:val="16"/>
          <w:lang w:eastAsia="es-CO"/>
        </w:rPr>
        <w:t xml:space="preserve">Proyectó: Fernando Benítez Montes Oca- Profesional Especializado- </w:t>
      </w:r>
      <w:proofErr w:type="gramStart"/>
      <w:r w:rsidRPr="00B953D1">
        <w:rPr>
          <w:rFonts w:ascii="Arial" w:eastAsia="Arial" w:hAnsi="Arial" w:cs="Arial"/>
          <w:color w:val="222222"/>
          <w:sz w:val="16"/>
          <w:szCs w:val="16"/>
          <w:lang w:eastAsia="es-CO"/>
        </w:rPr>
        <w:t>Contratista ,</w:t>
      </w:r>
      <w:proofErr w:type="gramEnd"/>
      <w:r w:rsidRPr="00B953D1">
        <w:rPr>
          <w:rFonts w:ascii="Arial" w:eastAsia="Arial" w:hAnsi="Arial" w:cs="Arial"/>
          <w:color w:val="222222"/>
          <w:sz w:val="16"/>
          <w:szCs w:val="16"/>
          <w:lang w:eastAsia="es-CO"/>
        </w:rPr>
        <w:t xml:space="preserve"> Adriana Rojas Giraldo- Profesional Especializada- Contratista.</w:t>
      </w:r>
    </w:p>
    <w:p w14:paraId="732EEF2F" w14:textId="77777777" w:rsidR="00B953D1" w:rsidRPr="00B953D1" w:rsidRDefault="00B953D1" w:rsidP="00B953D1">
      <w:pPr>
        <w:spacing w:after="0" w:line="240" w:lineRule="auto"/>
        <w:jc w:val="both"/>
        <w:rPr>
          <w:rFonts w:ascii="Arial" w:eastAsia="Arial" w:hAnsi="Arial" w:cs="Arial"/>
          <w:color w:val="222222"/>
          <w:sz w:val="16"/>
          <w:szCs w:val="16"/>
          <w:lang w:eastAsia="es-CO"/>
        </w:rPr>
      </w:pPr>
      <w:r w:rsidRPr="00B953D1">
        <w:rPr>
          <w:rFonts w:ascii="Arial" w:eastAsia="Arial" w:hAnsi="Arial" w:cs="Arial"/>
          <w:color w:val="222222"/>
          <w:sz w:val="16"/>
          <w:szCs w:val="16"/>
          <w:lang w:eastAsia="es-CO"/>
        </w:rPr>
        <w:t>Revisó: Lina Marcela Escobar Ramírez - Subdirectora Técnica de Apoyo a la Gestión.</w:t>
      </w:r>
    </w:p>
    <w:p w14:paraId="6A9AE611" w14:textId="77777777" w:rsidR="00B953D1" w:rsidRPr="00B953D1" w:rsidRDefault="00B953D1" w:rsidP="00B953D1">
      <w:pPr>
        <w:spacing w:after="0" w:line="240" w:lineRule="auto"/>
        <w:jc w:val="both"/>
        <w:rPr>
          <w:rFonts w:ascii="Arial" w:eastAsia="Arial" w:hAnsi="Arial" w:cs="Arial"/>
          <w:color w:val="222222"/>
          <w:sz w:val="16"/>
          <w:szCs w:val="16"/>
          <w:lang w:eastAsia="es-CO"/>
        </w:rPr>
      </w:pPr>
      <w:r w:rsidRPr="00B953D1">
        <w:rPr>
          <w:rFonts w:ascii="Arial" w:eastAsia="Arial" w:hAnsi="Arial" w:cs="Arial"/>
          <w:color w:val="222222"/>
          <w:sz w:val="16"/>
          <w:szCs w:val="16"/>
          <w:lang w:eastAsia="es-CO"/>
        </w:rPr>
        <w:t xml:space="preserve">Revisó: </w:t>
      </w:r>
      <w:r w:rsidRPr="00B953D1">
        <w:rPr>
          <w:rFonts w:ascii="Arial" w:eastAsia="Arial" w:hAnsi="Arial" w:cs="Arial"/>
          <w:color w:val="222222"/>
          <w:sz w:val="16"/>
          <w:szCs w:val="16"/>
          <w:lang w:eastAsia="es-CO"/>
        </w:rPr>
        <w:tab/>
        <w:t>Jorge Hernelio Saldarriaga Romero – Profesional Especializado – Contratista. Diego Fernando Trujillo Cabrera – Profesional Especializado - Contratista</w:t>
      </w:r>
    </w:p>
    <w:p w14:paraId="356F7378" w14:textId="26B538D7" w:rsidR="00306779" w:rsidRPr="00306779" w:rsidRDefault="00306779" w:rsidP="00306779">
      <w:pPr>
        <w:spacing w:after="0" w:line="240" w:lineRule="auto"/>
        <w:jc w:val="both"/>
        <w:rPr>
          <w:rFonts w:ascii="Arial" w:hAnsi="Arial" w:cs="Arial"/>
          <w:i/>
          <w:sz w:val="23"/>
          <w:szCs w:val="23"/>
          <w:lang w:val="es-ES" w:eastAsia="es-ES"/>
        </w:rPr>
      </w:pPr>
    </w:p>
    <w:p w14:paraId="0FAD8A14" w14:textId="77777777" w:rsidR="00306779" w:rsidRPr="00306779" w:rsidRDefault="00306779" w:rsidP="00306779">
      <w:pPr>
        <w:spacing w:after="0" w:line="240" w:lineRule="auto"/>
        <w:jc w:val="both"/>
        <w:rPr>
          <w:rFonts w:ascii="Arial" w:hAnsi="Arial" w:cs="Arial"/>
          <w:sz w:val="23"/>
          <w:szCs w:val="23"/>
          <w:lang w:val="es-ES" w:eastAsia="es-ES"/>
        </w:rPr>
      </w:pPr>
    </w:p>
    <w:p w14:paraId="188B43B1" w14:textId="19D3B25B" w:rsidR="00306779" w:rsidRPr="00C30FF6" w:rsidRDefault="00306779" w:rsidP="00306779">
      <w:pPr>
        <w:shd w:val="clear" w:color="auto" w:fill="FFFFFF"/>
        <w:spacing w:after="0" w:line="240" w:lineRule="auto"/>
        <w:jc w:val="both"/>
        <w:rPr>
          <w:rFonts w:ascii="Arial" w:eastAsia="Times New Roman" w:hAnsi="Arial" w:cs="Arial"/>
          <w:iCs/>
          <w:color w:val="222222"/>
          <w:sz w:val="23"/>
          <w:szCs w:val="23"/>
          <w:lang w:val="es-ES" w:eastAsia="es-ES"/>
        </w:rPr>
      </w:pPr>
      <w:r w:rsidRPr="00306779">
        <w:rPr>
          <w:rFonts w:ascii="Arial" w:eastAsia="Times New Roman" w:hAnsi="Arial" w:cs="Arial"/>
          <w:iCs/>
          <w:color w:val="222222"/>
          <w:sz w:val="23"/>
          <w:szCs w:val="23"/>
          <w:lang w:val="es-ES" w:eastAsia="es-ES"/>
        </w:rPr>
        <w:lastRenderedPageBreak/>
        <w:t>Es pertinente manifestar a usted que la Gobernación del Valle del Cauca</w:t>
      </w:r>
      <w:r w:rsidR="00C30FF6">
        <w:rPr>
          <w:rFonts w:ascii="Arial" w:eastAsia="Times New Roman" w:hAnsi="Arial" w:cs="Arial"/>
          <w:iCs/>
          <w:color w:val="222222"/>
          <w:sz w:val="23"/>
          <w:szCs w:val="23"/>
          <w:lang w:val="es-ES" w:eastAsia="es-ES"/>
        </w:rPr>
        <w:t xml:space="preserve"> </w:t>
      </w:r>
      <w:r w:rsidRPr="00306779">
        <w:rPr>
          <w:rFonts w:ascii="Arial" w:eastAsia="Times New Roman" w:hAnsi="Arial" w:cs="Arial"/>
          <w:iCs/>
          <w:color w:val="222222"/>
          <w:sz w:val="23"/>
          <w:szCs w:val="23"/>
          <w:lang w:val="es-ES" w:eastAsia="es-ES"/>
        </w:rPr>
        <w:t xml:space="preserve">ejecuta los programas relativos al mantenimiento de la seguridad en el territorio del Valle del Cauca, habida consideración </w:t>
      </w:r>
      <w:r w:rsidR="00C30FF6">
        <w:rPr>
          <w:rFonts w:ascii="Arial" w:eastAsia="Times New Roman" w:hAnsi="Arial" w:cs="Arial"/>
          <w:iCs/>
          <w:color w:val="222222"/>
          <w:sz w:val="23"/>
          <w:szCs w:val="23"/>
          <w:lang w:val="es-ES" w:eastAsia="es-ES"/>
        </w:rPr>
        <w:t>d</w:t>
      </w:r>
      <w:r w:rsidRPr="00306779">
        <w:rPr>
          <w:rFonts w:ascii="Arial" w:eastAsia="Times New Roman" w:hAnsi="Arial" w:cs="Arial"/>
          <w:iCs/>
          <w:color w:val="222222"/>
          <w:sz w:val="23"/>
          <w:szCs w:val="23"/>
          <w:lang w:val="es-ES" w:eastAsia="es-ES"/>
        </w:rPr>
        <w:t>el carácter esencial y primordial que se ha reconocido al servicio de seguridad y por su relación íntima con la garantía al derecho a la vida y la supervivencia, éste se presta</w:t>
      </w:r>
      <w:r w:rsidR="00CF3D04">
        <w:rPr>
          <w:rFonts w:ascii="Arial" w:eastAsia="Times New Roman" w:hAnsi="Arial" w:cs="Arial"/>
          <w:iCs/>
          <w:color w:val="222222"/>
          <w:sz w:val="23"/>
          <w:szCs w:val="23"/>
          <w:lang w:val="es-ES" w:eastAsia="es-ES"/>
        </w:rPr>
        <w:t xml:space="preserve"> de manera permanente en los cuarenta (40) Municipios y dos (2) Distritos Especiales del Departamento del Valle del Cauca</w:t>
      </w:r>
      <w:r w:rsidR="00CF3D04" w:rsidRPr="00306779">
        <w:rPr>
          <w:rFonts w:ascii="Arial" w:eastAsia="Times New Roman" w:hAnsi="Arial" w:cs="Arial"/>
          <w:iCs/>
          <w:color w:val="222222"/>
          <w:sz w:val="23"/>
          <w:szCs w:val="23"/>
          <w:lang w:val="es-ES" w:eastAsia="es-ES"/>
        </w:rPr>
        <w:t>.</w:t>
      </w:r>
    </w:p>
    <w:p w14:paraId="31B0993F" w14:textId="77777777" w:rsidR="00306779" w:rsidRPr="00306779" w:rsidRDefault="00306779" w:rsidP="00306779">
      <w:pPr>
        <w:shd w:val="clear" w:color="auto" w:fill="FFFFFF"/>
        <w:spacing w:after="0" w:line="240" w:lineRule="auto"/>
        <w:jc w:val="both"/>
        <w:rPr>
          <w:rFonts w:ascii="Arial" w:eastAsia="Times New Roman" w:hAnsi="Arial" w:cs="Arial"/>
          <w:color w:val="222222"/>
          <w:sz w:val="24"/>
          <w:szCs w:val="24"/>
          <w:lang w:val="es-ES" w:eastAsia="es-ES"/>
        </w:rPr>
      </w:pPr>
      <w:r w:rsidRPr="00306779">
        <w:rPr>
          <w:rFonts w:ascii="Arial" w:eastAsia="Times New Roman" w:hAnsi="Arial" w:cs="Arial"/>
          <w:iCs/>
          <w:color w:val="222222"/>
          <w:sz w:val="23"/>
          <w:szCs w:val="23"/>
          <w:lang w:val="es-ES" w:eastAsia="es-ES"/>
        </w:rPr>
        <w:t>  </w:t>
      </w:r>
    </w:p>
    <w:p w14:paraId="5EF3C559" w14:textId="77777777" w:rsidR="00306779" w:rsidRPr="00306779" w:rsidRDefault="00306779" w:rsidP="00306779">
      <w:pPr>
        <w:shd w:val="clear" w:color="auto" w:fill="FFFFFF"/>
        <w:spacing w:after="0" w:line="240" w:lineRule="auto"/>
        <w:jc w:val="both"/>
        <w:rPr>
          <w:rFonts w:ascii="Arial" w:eastAsia="Times New Roman" w:hAnsi="Arial" w:cs="Arial"/>
          <w:color w:val="222222"/>
          <w:sz w:val="23"/>
          <w:szCs w:val="23"/>
          <w:lang w:val="es-ES" w:eastAsia="es-ES"/>
        </w:rPr>
      </w:pPr>
      <w:r w:rsidRPr="00306779">
        <w:rPr>
          <w:rFonts w:ascii="Arial" w:eastAsia="Times New Roman" w:hAnsi="Arial" w:cs="Arial"/>
          <w:iCs/>
          <w:color w:val="222222"/>
          <w:sz w:val="23"/>
          <w:szCs w:val="23"/>
          <w:lang w:val="es-ES" w:eastAsia="es-ES"/>
        </w:rPr>
        <w:t>En claro lo anterior, debe indicarse que la prestación de tal servicio, en la forma en que lo ha planeado la Gobernación del Departamento, conlleva unos costos asociados a los proyectos aprobados y cuya suerte depende del recaudo de la Tasa Especial de Seguridad y Convivencia Ciudadana, misma que fue aprobada por la Asamblea Departamental del Valle del Cauca, y que es deber de esta Gobernación recaudar hasta tanto se haya modificado la Ordenanza que establece sus elementos.</w:t>
      </w:r>
    </w:p>
    <w:p w14:paraId="48E6E1C4" w14:textId="77777777" w:rsidR="00306779" w:rsidRPr="00306779" w:rsidRDefault="00306779" w:rsidP="00306779">
      <w:pPr>
        <w:shd w:val="clear" w:color="auto" w:fill="FFFFFF"/>
        <w:spacing w:after="0" w:line="240" w:lineRule="auto"/>
        <w:jc w:val="both"/>
        <w:rPr>
          <w:rFonts w:ascii="Arial" w:eastAsia="Times New Roman" w:hAnsi="Arial" w:cs="Arial"/>
          <w:color w:val="222222"/>
          <w:sz w:val="24"/>
          <w:szCs w:val="24"/>
          <w:lang w:val="es-ES" w:eastAsia="es-ES"/>
        </w:rPr>
      </w:pPr>
      <w:r w:rsidRPr="00306779">
        <w:rPr>
          <w:rFonts w:ascii="Arial" w:eastAsia="Times New Roman" w:hAnsi="Arial" w:cs="Arial"/>
          <w:iCs/>
          <w:color w:val="222222"/>
          <w:sz w:val="23"/>
          <w:szCs w:val="23"/>
          <w:lang w:val="es-ES" w:eastAsia="es-ES"/>
        </w:rPr>
        <w:t> </w:t>
      </w:r>
    </w:p>
    <w:p w14:paraId="5C6FEE66" w14:textId="61EF8E00" w:rsidR="00306779" w:rsidRPr="00306779" w:rsidRDefault="00306779" w:rsidP="00CF3D04">
      <w:pPr>
        <w:spacing w:after="0" w:line="240" w:lineRule="auto"/>
        <w:jc w:val="both"/>
        <w:rPr>
          <w:rFonts w:ascii="Arial" w:eastAsia="Times New Roman" w:hAnsi="Arial" w:cs="Arial"/>
          <w:sz w:val="23"/>
          <w:szCs w:val="23"/>
          <w:lang w:val="es-ES" w:eastAsia="es-ES"/>
        </w:rPr>
      </w:pPr>
      <w:r w:rsidRPr="00306779">
        <w:rPr>
          <w:rFonts w:ascii="Arial" w:eastAsia="Times New Roman" w:hAnsi="Arial" w:cs="Arial"/>
          <w:iCs/>
          <w:color w:val="222222"/>
          <w:sz w:val="23"/>
          <w:szCs w:val="23"/>
          <w:lang w:val="es-ES" w:eastAsia="es-ES"/>
        </w:rPr>
        <w:t xml:space="preserve">En su caso particular, el servicio de Energía Eléctrica le es suministrado por las Empresas Municipales de Cali – Emcali E.I.C.E. E.S.P., en la </w:t>
      </w:r>
      <w:r w:rsidR="00CF3D04" w:rsidRPr="00306779">
        <w:rPr>
          <w:rFonts w:ascii="Arial" w:eastAsia="Times New Roman" w:hAnsi="Arial" w:cs="Arial"/>
          <w:sz w:val="23"/>
          <w:szCs w:val="23"/>
          <w:lang w:eastAsia="es-ES"/>
        </w:rPr>
        <w:t>Calle 28 N°85-36, Torre 2 Apartamento 20</w:t>
      </w:r>
      <w:r w:rsidR="00CF3D04">
        <w:rPr>
          <w:rFonts w:ascii="Arial" w:eastAsia="Times New Roman" w:hAnsi="Arial" w:cs="Arial"/>
          <w:sz w:val="23"/>
          <w:szCs w:val="23"/>
          <w:lang w:eastAsia="es-ES"/>
        </w:rPr>
        <w:t>4</w:t>
      </w:r>
      <w:r w:rsidR="00CF3D04">
        <w:rPr>
          <w:rFonts w:ascii="Arial" w:eastAsia="Times New Roman" w:hAnsi="Arial" w:cs="Arial"/>
          <w:sz w:val="23"/>
          <w:szCs w:val="23"/>
          <w:lang w:val="es-ES" w:eastAsia="es-ES"/>
        </w:rPr>
        <w:t xml:space="preserve"> </w:t>
      </w:r>
      <w:r w:rsidRPr="00306779">
        <w:rPr>
          <w:rFonts w:ascii="Arial" w:eastAsia="Times New Roman" w:hAnsi="Arial" w:cs="Arial"/>
          <w:sz w:val="23"/>
          <w:szCs w:val="23"/>
          <w:lang w:val="es-ES" w:eastAsia="es-ES"/>
        </w:rPr>
        <w:t xml:space="preserve">del Municipio de Cali, y para facilitar los procesos lo ha identificado con el suscriptor y/o contrato No </w:t>
      </w:r>
      <w:r w:rsidR="00CF3D04">
        <w:rPr>
          <w:rFonts w:ascii="Arial" w:eastAsia="Times New Roman" w:hAnsi="Arial" w:cs="Arial"/>
          <w:sz w:val="23"/>
          <w:szCs w:val="23"/>
          <w:lang w:val="es-ES" w:eastAsia="es-ES"/>
        </w:rPr>
        <w:t>2006911</w:t>
      </w:r>
      <w:r w:rsidRPr="00306779">
        <w:rPr>
          <w:rFonts w:ascii="Arial" w:eastAsia="Times New Roman" w:hAnsi="Arial" w:cs="Arial"/>
          <w:sz w:val="23"/>
          <w:szCs w:val="23"/>
          <w:lang w:val="es-ES" w:eastAsia="es-ES"/>
        </w:rPr>
        <w:t xml:space="preserve">. Este predio está identificado con </w:t>
      </w:r>
      <w:r w:rsidRPr="00306779">
        <w:rPr>
          <w:rFonts w:ascii="Arial" w:eastAsia="Times New Roman" w:hAnsi="Arial" w:cs="Arial"/>
          <w:b/>
          <w:sz w:val="23"/>
          <w:szCs w:val="23"/>
          <w:u w:val="single"/>
          <w:lang w:val="es-ES" w:eastAsia="es-ES"/>
        </w:rPr>
        <w:t xml:space="preserve">uso </w:t>
      </w:r>
      <w:r w:rsidR="00CF3D04">
        <w:rPr>
          <w:rFonts w:ascii="Arial" w:eastAsia="Times New Roman" w:hAnsi="Arial" w:cs="Arial"/>
          <w:b/>
          <w:sz w:val="23"/>
          <w:szCs w:val="23"/>
          <w:u w:val="single"/>
          <w:lang w:val="es-ES" w:eastAsia="es-ES"/>
        </w:rPr>
        <w:t xml:space="preserve">residencial, estrato cinco (5) </w:t>
      </w:r>
      <w:r w:rsidRPr="00306779">
        <w:rPr>
          <w:rFonts w:ascii="Arial" w:eastAsia="Times New Roman" w:hAnsi="Arial" w:cs="Arial"/>
          <w:sz w:val="23"/>
          <w:szCs w:val="23"/>
          <w:lang w:val="es-ES" w:eastAsia="es-ES"/>
        </w:rPr>
        <w:t xml:space="preserve">y con base en ello EMCALI aplica la estructura tarifaria que le corresponde y </w:t>
      </w:r>
      <w:r w:rsidR="00CF3D04">
        <w:rPr>
          <w:rFonts w:ascii="Arial" w:eastAsia="Times New Roman" w:hAnsi="Arial" w:cs="Arial"/>
          <w:sz w:val="23"/>
          <w:szCs w:val="23"/>
          <w:lang w:val="es-ES" w:eastAsia="es-ES"/>
        </w:rPr>
        <w:t xml:space="preserve">que es </w:t>
      </w:r>
      <w:r w:rsidRPr="00306779">
        <w:rPr>
          <w:rFonts w:ascii="Arial" w:eastAsia="Times New Roman" w:hAnsi="Arial" w:cs="Arial"/>
          <w:sz w:val="23"/>
          <w:szCs w:val="23"/>
          <w:lang w:val="es-ES" w:eastAsia="es-ES"/>
        </w:rPr>
        <w:t xml:space="preserve">regulada por la Comisión de Regulación de Energía Eléctrica –CREG, adscrita al Ministerio de Minas y Energía.  </w:t>
      </w:r>
    </w:p>
    <w:p w14:paraId="4D19A2DC" w14:textId="77777777" w:rsidR="00306779" w:rsidRPr="00306779" w:rsidRDefault="00306779" w:rsidP="00306779">
      <w:pPr>
        <w:spacing w:after="0" w:line="240" w:lineRule="auto"/>
        <w:ind w:right="-8"/>
        <w:jc w:val="both"/>
        <w:rPr>
          <w:rFonts w:ascii="Arial" w:hAnsi="Arial" w:cs="Arial"/>
          <w:sz w:val="23"/>
          <w:szCs w:val="23"/>
          <w:lang w:val="es-ES" w:eastAsia="es-ES"/>
        </w:rPr>
      </w:pPr>
    </w:p>
    <w:p w14:paraId="6B89A9A9" w14:textId="779F1A16" w:rsidR="00306779" w:rsidRPr="00306779" w:rsidRDefault="00306779" w:rsidP="00306779">
      <w:pPr>
        <w:spacing w:after="0" w:line="240" w:lineRule="auto"/>
        <w:ind w:right="-8"/>
        <w:jc w:val="both"/>
        <w:rPr>
          <w:rFonts w:ascii="Arial" w:hAnsi="Arial" w:cs="Arial"/>
          <w:sz w:val="23"/>
          <w:szCs w:val="23"/>
          <w:lang w:val="es-ES" w:eastAsia="es-ES"/>
        </w:rPr>
      </w:pPr>
      <w:r w:rsidRPr="00306779">
        <w:rPr>
          <w:rFonts w:ascii="Arial" w:hAnsi="Arial" w:cs="Arial"/>
          <w:sz w:val="23"/>
          <w:szCs w:val="23"/>
          <w:lang w:val="es-ES" w:eastAsia="es-ES"/>
        </w:rPr>
        <w:t xml:space="preserve">Es importante explicar a usted el cobro de diferentes valores incluidos en su facturación, entre los cuales se encuentra el componente “OTROS CONCEPTOS” que incluye entre otros a la </w:t>
      </w:r>
      <w:r w:rsidRPr="00306779">
        <w:rPr>
          <w:rFonts w:ascii="Arial" w:hAnsi="Arial" w:cs="Arial"/>
          <w:b/>
          <w:sz w:val="23"/>
          <w:szCs w:val="23"/>
          <w:u w:val="single"/>
          <w:lang w:val="es-ES" w:eastAsia="es-ES"/>
        </w:rPr>
        <w:t>Tasa Especial de Seguridad y Convivencia Ciudadana</w:t>
      </w:r>
      <w:r w:rsidRPr="00306779">
        <w:rPr>
          <w:rFonts w:ascii="Arial" w:hAnsi="Arial" w:cs="Arial"/>
          <w:sz w:val="23"/>
          <w:szCs w:val="23"/>
          <w:lang w:val="es-ES" w:eastAsia="es-ES"/>
        </w:rPr>
        <w:t xml:space="preserve">, por lo cual a continuación procedemos a explicarle los elementos generales de dicha tasa, elementos que se encuentran regulados en la Ordenanza </w:t>
      </w:r>
      <w:r w:rsidR="00F931B8">
        <w:rPr>
          <w:rFonts w:ascii="Arial" w:hAnsi="Arial" w:cs="Arial"/>
          <w:sz w:val="23"/>
          <w:szCs w:val="23"/>
          <w:lang w:val="es-ES" w:eastAsia="es-ES"/>
        </w:rPr>
        <w:t xml:space="preserve">mencionada en el </w:t>
      </w:r>
      <w:r w:rsidR="004A7D1D">
        <w:rPr>
          <w:rFonts w:ascii="Arial" w:hAnsi="Arial" w:cs="Arial"/>
          <w:sz w:val="23"/>
          <w:szCs w:val="23"/>
          <w:lang w:val="es-ES" w:eastAsia="es-ES"/>
        </w:rPr>
        <w:t>presente</w:t>
      </w:r>
      <w:r w:rsidR="00F931B8">
        <w:rPr>
          <w:rFonts w:ascii="Arial" w:hAnsi="Arial" w:cs="Arial"/>
          <w:sz w:val="23"/>
          <w:szCs w:val="23"/>
          <w:lang w:val="es-ES" w:eastAsia="es-ES"/>
        </w:rPr>
        <w:t xml:space="preserve"> documento</w:t>
      </w:r>
      <w:r w:rsidRPr="00306779">
        <w:rPr>
          <w:rFonts w:ascii="Arial" w:hAnsi="Arial" w:cs="Arial"/>
          <w:sz w:val="23"/>
          <w:szCs w:val="23"/>
          <w:lang w:val="es-ES" w:eastAsia="es-ES"/>
        </w:rPr>
        <w:t>.</w:t>
      </w:r>
    </w:p>
    <w:p w14:paraId="1B3EAD23" w14:textId="77777777" w:rsidR="00306779" w:rsidRPr="00306779" w:rsidRDefault="00306779" w:rsidP="00306779">
      <w:pPr>
        <w:spacing w:after="0" w:line="240" w:lineRule="auto"/>
        <w:jc w:val="both"/>
        <w:rPr>
          <w:rFonts w:ascii="Arial" w:hAnsi="Arial" w:cs="Arial"/>
          <w:sz w:val="24"/>
          <w:szCs w:val="24"/>
          <w:lang w:val="es-ES" w:eastAsia="es-ES"/>
        </w:rPr>
      </w:pPr>
    </w:p>
    <w:p w14:paraId="4E84CB31"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El primer elemento es la destinación, la cual se enfoca principalmente a </w:t>
      </w:r>
      <w:r w:rsidRPr="00306779">
        <w:rPr>
          <w:rFonts w:ascii="Arial" w:hAnsi="Arial" w:cs="Arial"/>
          <w:i/>
          <w:sz w:val="23"/>
          <w:szCs w:val="23"/>
          <w:lang w:val="es-ES" w:eastAsia="es-ES"/>
        </w:rPr>
        <w:t xml:space="preserve">“dotación, material de guerra, reconstrucción de cuarteles y otras instalaciones, compra de equipo de comunicación, compra de terrenos, montaje y operación de redes de inteligencia, recompensas a personas que colaboren con la justicia y seguridad de las mismas; servicios personales, dotación y raciones, nuevos agentes y soldados, mientras se inicia la siguiente vigencia o en la realización de gastos destinados a generar un ambiente que propicie la seguridad y la convivencia ciudadana, para garantizar la preservación del orden público”, </w:t>
      </w:r>
      <w:r w:rsidRPr="00306779">
        <w:rPr>
          <w:rFonts w:ascii="Arial" w:hAnsi="Arial" w:cs="Arial"/>
          <w:sz w:val="23"/>
          <w:szCs w:val="23"/>
          <w:lang w:val="es-ES" w:eastAsia="es-ES"/>
        </w:rPr>
        <w:t>en los términos del artículo 7º de la ley 1421 de 2010.</w:t>
      </w:r>
    </w:p>
    <w:p w14:paraId="5773E879" w14:textId="77777777" w:rsidR="00306779" w:rsidRPr="00306779" w:rsidRDefault="00306779" w:rsidP="00306779">
      <w:pPr>
        <w:spacing w:after="0" w:line="240" w:lineRule="auto"/>
        <w:jc w:val="both"/>
        <w:rPr>
          <w:rFonts w:ascii="Arial" w:hAnsi="Arial" w:cs="Arial"/>
          <w:sz w:val="24"/>
          <w:szCs w:val="24"/>
          <w:lang w:val="es-ES" w:eastAsia="es-ES"/>
        </w:rPr>
      </w:pPr>
    </w:p>
    <w:p w14:paraId="14AA4359" w14:textId="77777777" w:rsidR="00306779" w:rsidRPr="00306779" w:rsidRDefault="00306779" w:rsidP="00306779">
      <w:pPr>
        <w:spacing w:after="0" w:line="240" w:lineRule="auto"/>
        <w:jc w:val="both"/>
        <w:rPr>
          <w:rFonts w:ascii="Arial" w:hAnsi="Arial" w:cs="Arial"/>
          <w:i/>
          <w:sz w:val="23"/>
          <w:szCs w:val="23"/>
          <w:lang w:val="es-ES" w:eastAsia="es-ES"/>
        </w:rPr>
      </w:pPr>
      <w:r w:rsidRPr="00306779">
        <w:rPr>
          <w:rFonts w:ascii="Arial" w:hAnsi="Arial" w:cs="Arial"/>
          <w:sz w:val="23"/>
          <w:szCs w:val="23"/>
          <w:lang w:val="es-ES" w:eastAsia="es-ES"/>
        </w:rPr>
        <w:t>Un segundo elemento es el sujeto pasivo, el cual lo constituyen “</w:t>
      </w:r>
      <w:r w:rsidRPr="00306779">
        <w:rPr>
          <w:rFonts w:ascii="Arial" w:hAnsi="Arial" w:cs="Arial"/>
          <w:i/>
          <w:sz w:val="23"/>
          <w:szCs w:val="23"/>
          <w:lang w:val="es-ES" w:eastAsia="es-ES"/>
        </w:rPr>
        <w:t xml:space="preserve">(…) los beneficiarios directos o indirectos del Servicio Público de Seguridad y Convivencia Ciudadana, quienes lo cancelarán en su condición de usuario del servicio público de energía eléctrica”, </w:t>
      </w:r>
      <w:r w:rsidRPr="00306779">
        <w:rPr>
          <w:rFonts w:ascii="Arial" w:hAnsi="Arial" w:cs="Arial"/>
          <w:sz w:val="23"/>
          <w:szCs w:val="23"/>
          <w:lang w:val="es-ES" w:eastAsia="es-ES"/>
        </w:rPr>
        <w:t xml:space="preserve">de esta manera los sujetos pasivos de la Tasa Especial son todos los beneficiarios de servicio público de seguridad y convivencia ciudadana, y solamente para efectos de su </w:t>
      </w:r>
      <w:r w:rsidRPr="00306779">
        <w:rPr>
          <w:rFonts w:ascii="Arial" w:hAnsi="Arial" w:cs="Arial"/>
          <w:sz w:val="23"/>
          <w:szCs w:val="23"/>
          <w:lang w:val="es-ES" w:eastAsia="es-ES"/>
        </w:rPr>
        <w:lastRenderedPageBreak/>
        <w:t>determinación se tiene en cuenta su condición de usuarios del servicio público domiciliario de energía eléctrica</w:t>
      </w:r>
      <w:r w:rsidRPr="00306779">
        <w:rPr>
          <w:rFonts w:ascii="Arial" w:hAnsi="Arial" w:cs="Arial"/>
          <w:i/>
          <w:sz w:val="23"/>
          <w:szCs w:val="23"/>
          <w:lang w:val="es-ES" w:eastAsia="es-ES"/>
        </w:rPr>
        <w:t>.</w:t>
      </w:r>
    </w:p>
    <w:p w14:paraId="62E67B8E" w14:textId="77777777" w:rsidR="00306779" w:rsidRPr="00306779" w:rsidRDefault="00306779" w:rsidP="00306779">
      <w:pPr>
        <w:spacing w:after="0" w:line="240" w:lineRule="auto"/>
        <w:jc w:val="both"/>
        <w:rPr>
          <w:rFonts w:ascii="Arial" w:hAnsi="Arial" w:cs="Arial"/>
          <w:sz w:val="24"/>
          <w:szCs w:val="24"/>
          <w:lang w:val="es-ES" w:eastAsia="es-ES"/>
        </w:rPr>
      </w:pPr>
    </w:p>
    <w:p w14:paraId="3F1EE8B4"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Valga la pena aclarar, que al establecerse el sujeto pasivo de esta manera no se está relacionando la tasa especial al servicio público de energía eléctrica, sino que se hace uso </w:t>
      </w:r>
    </w:p>
    <w:p w14:paraId="5857B008"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del </w:t>
      </w:r>
      <w:r w:rsidRPr="00306779">
        <w:rPr>
          <w:rFonts w:ascii="Arial" w:hAnsi="Arial" w:cs="Arial"/>
          <w:b/>
          <w:sz w:val="23"/>
          <w:szCs w:val="23"/>
          <w:u w:val="single"/>
          <w:lang w:val="es-ES" w:eastAsia="es-ES"/>
        </w:rPr>
        <w:t>censo de usuarios de los comercializadores de energía</w:t>
      </w:r>
      <w:r w:rsidRPr="00306779">
        <w:rPr>
          <w:rFonts w:ascii="Arial" w:hAnsi="Arial" w:cs="Arial"/>
          <w:sz w:val="23"/>
          <w:szCs w:val="23"/>
          <w:lang w:val="es-ES" w:eastAsia="es-ES"/>
        </w:rPr>
        <w:t xml:space="preserve"> departamentales para lograr la determinación real de los beneficiarios del servicio público de seguridad y convivencia ciudadana.</w:t>
      </w:r>
    </w:p>
    <w:p w14:paraId="3708F76D" w14:textId="77777777" w:rsidR="00306779" w:rsidRPr="00306779" w:rsidRDefault="00306779" w:rsidP="00306779">
      <w:pPr>
        <w:spacing w:after="0" w:line="240" w:lineRule="auto"/>
        <w:jc w:val="both"/>
        <w:rPr>
          <w:rFonts w:ascii="Arial" w:hAnsi="Arial" w:cs="Arial"/>
          <w:sz w:val="24"/>
          <w:szCs w:val="24"/>
          <w:lang w:val="es-ES" w:eastAsia="es-ES"/>
        </w:rPr>
      </w:pPr>
    </w:p>
    <w:p w14:paraId="6E08E63D"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Siendo así, al ser usuario del servicio público de energía eléctrica queda determinada como beneficiario del servicio público de seguridad y convivencia ciudadana, y, por consiguiente, es sujeto pasivo de dicho Tributo.  La Ordenanza 425 del 1 de agosto de 2016 en su Artículo Octavo señala que: </w:t>
      </w:r>
    </w:p>
    <w:p w14:paraId="6675A399" w14:textId="77777777" w:rsidR="00306779" w:rsidRPr="00306779" w:rsidRDefault="00306779" w:rsidP="00306779">
      <w:pPr>
        <w:spacing w:after="0" w:line="240" w:lineRule="auto"/>
        <w:jc w:val="both"/>
        <w:rPr>
          <w:rFonts w:ascii="Arial" w:hAnsi="Arial" w:cs="Arial"/>
          <w:sz w:val="24"/>
          <w:szCs w:val="24"/>
          <w:lang w:val="es-ES" w:eastAsia="es-ES"/>
        </w:rPr>
      </w:pPr>
    </w:p>
    <w:p w14:paraId="4A122515" w14:textId="77777777" w:rsidR="00306779" w:rsidRPr="00306779" w:rsidRDefault="00306779" w:rsidP="00306779">
      <w:pPr>
        <w:spacing w:after="0" w:line="240" w:lineRule="auto"/>
        <w:jc w:val="both"/>
        <w:rPr>
          <w:rFonts w:ascii="Arial" w:hAnsi="Arial" w:cs="Arial"/>
          <w:i/>
          <w:sz w:val="23"/>
          <w:szCs w:val="23"/>
          <w:lang w:val="es-ES" w:eastAsia="es-ES"/>
        </w:rPr>
      </w:pPr>
      <w:r w:rsidRPr="00306779">
        <w:rPr>
          <w:rFonts w:ascii="Arial" w:hAnsi="Arial" w:cs="Arial"/>
          <w:i/>
          <w:sz w:val="23"/>
          <w:szCs w:val="23"/>
          <w:lang w:val="es-ES" w:eastAsia="es-ES"/>
        </w:rPr>
        <w:t>“… Tarifa. - Consiste en el porcentaje (%) que se aplicara al valor del consumo de energía eléctrica facturado al sujeto pasivo en el Departamento del Valle del Cauca de conformidad con el tipo de predio –suscriptor. Para el cálculo de esta tarifa se tiene en cuanta la capacidad de pago de cada uno de estos usuarios, atendiendo para ello la estratificación socioeconómica adoptada por cada uno de los Municipios y la actividad productiva o de servicios. tal como se establece en la siguiente tabla:</w:t>
      </w:r>
    </w:p>
    <w:p w14:paraId="3525842D" w14:textId="77777777" w:rsidR="00306779" w:rsidRPr="00306779" w:rsidRDefault="00306779" w:rsidP="00306779">
      <w:pPr>
        <w:spacing w:after="0" w:line="240" w:lineRule="auto"/>
        <w:jc w:val="both"/>
        <w:rPr>
          <w:rFonts w:ascii="Arial" w:eastAsia="Times New Roman" w:hAnsi="Arial" w:cs="Arial"/>
          <w:sz w:val="16"/>
          <w:szCs w:val="16"/>
          <w:lang w:val="es-ES" w:eastAsia="es-ES"/>
        </w:rPr>
      </w:pPr>
    </w:p>
    <w:tbl>
      <w:tblPr>
        <w:tblStyle w:val="Tablaconcuadrcula"/>
        <w:tblW w:w="0" w:type="auto"/>
        <w:jc w:val="center"/>
        <w:tblLook w:val="04A0" w:firstRow="1" w:lastRow="0" w:firstColumn="1" w:lastColumn="0" w:noHBand="0" w:noVBand="1"/>
      </w:tblPr>
      <w:tblGrid>
        <w:gridCol w:w="2354"/>
        <w:gridCol w:w="1496"/>
        <w:gridCol w:w="1585"/>
      </w:tblGrid>
      <w:tr w:rsidR="00306779" w:rsidRPr="00306779" w14:paraId="4885ECA9" w14:textId="77777777" w:rsidTr="008F53F5">
        <w:trPr>
          <w:trHeight w:val="18"/>
          <w:jc w:val="center"/>
        </w:trPr>
        <w:tc>
          <w:tcPr>
            <w:tcW w:w="2354" w:type="dxa"/>
            <w:vAlign w:val="center"/>
          </w:tcPr>
          <w:p w14:paraId="7B4C7B40" w14:textId="77777777" w:rsidR="00306779" w:rsidRPr="00306779" w:rsidRDefault="00306779" w:rsidP="00306779">
            <w:pPr>
              <w:jc w:val="center"/>
              <w:rPr>
                <w:rFonts w:ascii="Arial" w:eastAsia="Times New Roman" w:hAnsi="Arial" w:cs="Arial"/>
                <w:sz w:val="23"/>
                <w:szCs w:val="23"/>
              </w:rPr>
            </w:pPr>
          </w:p>
          <w:p w14:paraId="40213C56"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TIPO DE PREDIO SUSCRIPTOR</w:t>
            </w:r>
          </w:p>
        </w:tc>
        <w:tc>
          <w:tcPr>
            <w:tcW w:w="1496" w:type="dxa"/>
            <w:vAlign w:val="center"/>
          </w:tcPr>
          <w:p w14:paraId="56149345" w14:textId="77777777" w:rsidR="00306779" w:rsidRPr="00306779" w:rsidRDefault="00306779" w:rsidP="00306779">
            <w:pPr>
              <w:jc w:val="center"/>
              <w:rPr>
                <w:rFonts w:ascii="Arial" w:eastAsia="Times New Roman" w:hAnsi="Arial" w:cs="Arial"/>
                <w:sz w:val="23"/>
                <w:szCs w:val="23"/>
              </w:rPr>
            </w:pPr>
          </w:p>
          <w:p w14:paraId="6E62AAB6"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ESTRATO</w:t>
            </w:r>
          </w:p>
        </w:tc>
        <w:tc>
          <w:tcPr>
            <w:tcW w:w="1585" w:type="dxa"/>
            <w:vAlign w:val="center"/>
          </w:tcPr>
          <w:p w14:paraId="5A3BF07E"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TARIFA MENSUAL SOBRE CONSUMO</w:t>
            </w:r>
          </w:p>
        </w:tc>
      </w:tr>
      <w:tr w:rsidR="00306779" w:rsidRPr="00306779" w14:paraId="0E619C0B" w14:textId="77777777" w:rsidTr="008F53F5">
        <w:trPr>
          <w:trHeight w:val="313"/>
          <w:jc w:val="center"/>
        </w:trPr>
        <w:tc>
          <w:tcPr>
            <w:tcW w:w="2354" w:type="dxa"/>
            <w:vAlign w:val="center"/>
          </w:tcPr>
          <w:p w14:paraId="54D4F5E5" w14:textId="77777777" w:rsidR="00306779" w:rsidRPr="005639AC" w:rsidRDefault="00306779" w:rsidP="00306779">
            <w:pPr>
              <w:jc w:val="both"/>
              <w:rPr>
                <w:rFonts w:ascii="Arial" w:eastAsia="Times New Roman" w:hAnsi="Arial" w:cs="Arial"/>
                <w:sz w:val="23"/>
                <w:szCs w:val="23"/>
              </w:rPr>
            </w:pPr>
            <w:r w:rsidRPr="005639AC">
              <w:rPr>
                <w:rFonts w:ascii="Arial" w:eastAsia="Times New Roman" w:hAnsi="Arial" w:cs="Arial"/>
                <w:sz w:val="23"/>
                <w:szCs w:val="23"/>
              </w:rPr>
              <w:t>Estrato 4</w:t>
            </w:r>
          </w:p>
        </w:tc>
        <w:tc>
          <w:tcPr>
            <w:tcW w:w="1496" w:type="dxa"/>
            <w:vAlign w:val="center"/>
          </w:tcPr>
          <w:p w14:paraId="08EA3E9E" w14:textId="77777777" w:rsidR="00306779" w:rsidRPr="005639AC" w:rsidRDefault="00306779" w:rsidP="00306779">
            <w:pPr>
              <w:jc w:val="center"/>
              <w:rPr>
                <w:rFonts w:ascii="Arial" w:eastAsia="Times New Roman" w:hAnsi="Arial" w:cs="Arial"/>
                <w:sz w:val="23"/>
                <w:szCs w:val="23"/>
              </w:rPr>
            </w:pPr>
            <w:r w:rsidRPr="005639AC">
              <w:rPr>
                <w:rFonts w:ascii="Arial" w:eastAsia="Times New Roman" w:hAnsi="Arial" w:cs="Arial"/>
                <w:sz w:val="23"/>
                <w:szCs w:val="23"/>
              </w:rPr>
              <w:t>IV</w:t>
            </w:r>
          </w:p>
        </w:tc>
        <w:tc>
          <w:tcPr>
            <w:tcW w:w="1585" w:type="dxa"/>
            <w:vAlign w:val="center"/>
          </w:tcPr>
          <w:p w14:paraId="1D70E082" w14:textId="77777777" w:rsidR="00306779" w:rsidRPr="005639AC" w:rsidRDefault="00306779" w:rsidP="00306779">
            <w:pPr>
              <w:jc w:val="center"/>
              <w:rPr>
                <w:rFonts w:ascii="Arial" w:eastAsia="Times New Roman" w:hAnsi="Arial" w:cs="Arial"/>
                <w:sz w:val="23"/>
                <w:szCs w:val="23"/>
              </w:rPr>
            </w:pPr>
            <w:r w:rsidRPr="005639AC">
              <w:rPr>
                <w:rFonts w:ascii="Arial" w:eastAsia="Times New Roman" w:hAnsi="Arial" w:cs="Arial"/>
                <w:sz w:val="23"/>
                <w:szCs w:val="23"/>
              </w:rPr>
              <w:t>1%</w:t>
            </w:r>
          </w:p>
        </w:tc>
      </w:tr>
      <w:tr w:rsidR="00306779" w:rsidRPr="00306779" w14:paraId="4AB9FB55" w14:textId="77777777" w:rsidTr="008F53F5">
        <w:trPr>
          <w:trHeight w:val="386"/>
          <w:jc w:val="center"/>
        </w:trPr>
        <w:tc>
          <w:tcPr>
            <w:tcW w:w="2354" w:type="dxa"/>
            <w:vAlign w:val="center"/>
          </w:tcPr>
          <w:p w14:paraId="51AC0A0B" w14:textId="77777777" w:rsidR="00306779" w:rsidRPr="005639AC" w:rsidRDefault="00306779" w:rsidP="00306779">
            <w:pPr>
              <w:jc w:val="both"/>
              <w:rPr>
                <w:rFonts w:ascii="Arial" w:eastAsia="Times New Roman" w:hAnsi="Arial" w:cs="Arial"/>
                <w:b/>
                <w:bCs/>
                <w:sz w:val="23"/>
                <w:szCs w:val="23"/>
                <w:highlight w:val="yellow"/>
              </w:rPr>
            </w:pPr>
            <w:r w:rsidRPr="005639AC">
              <w:rPr>
                <w:rFonts w:ascii="Arial" w:eastAsia="Times New Roman" w:hAnsi="Arial" w:cs="Arial"/>
                <w:b/>
                <w:bCs/>
                <w:sz w:val="23"/>
                <w:szCs w:val="23"/>
                <w:highlight w:val="yellow"/>
              </w:rPr>
              <w:t>Estrato 5</w:t>
            </w:r>
          </w:p>
        </w:tc>
        <w:tc>
          <w:tcPr>
            <w:tcW w:w="1496" w:type="dxa"/>
            <w:vAlign w:val="center"/>
          </w:tcPr>
          <w:p w14:paraId="500A1CBD" w14:textId="77777777" w:rsidR="00306779" w:rsidRPr="005639AC" w:rsidRDefault="00306779" w:rsidP="00306779">
            <w:pPr>
              <w:jc w:val="center"/>
              <w:rPr>
                <w:rFonts w:ascii="Arial" w:eastAsia="Times New Roman" w:hAnsi="Arial" w:cs="Arial"/>
                <w:b/>
                <w:bCs/>
                <w:sz w:val="23"/>
                <w:szCs w:val="23"/>
                <w:highlight w:val="yellow"/>
              </w:rPr>
            </w:pPr>
            <w:r w:rsidRPr="005639AC">
              <w:rPr>
                <w:rFonts w:ascii="Arial" w:eastAsia="Times New Roman" w:hAnsi="Arial" w:cs="Arial"/>
                <w:b/>
                <w:bCs/>
                <w:sz w:val="23"/>
                <w:szCs w:val="23"/>
                <w:highlight w:val="yellow"/>
              </w:rPr>
              <w:t>V</w:t>
            </w:r>
          </w:p>
        </w:tc>
        <w:tc>
          <w:tcPr>
            <w:tcW w:w="1585" w:type="dxa"/>
            <w:vAlign w:val="center"/>
          </w:tcPr>
          <w:p w14:paraId="2EFD6936" w14:textId="77777777" w:rsidR="00306779" w:rsidRPr="005639AC" w:rsidRDefault="00306779" w:rsidP="00306779">
            <w:pPr>
              <w:jc w:val="center"/>
              <w:rPr>
                <w:rFonts w:ascii="Arial" w:eastAsia="Times New Roman" w:hAnsi="Arial" w:cs="Arial"/>
                <w:b/>
                <w:bCs/>
                <w:sz w:val="23"/>
                <w:szCs w:val="23"/>
                <w:highlight w:val="yellow"/>
              </w:rPr>
            </w:pPr>
            <w:r w:rsidRPr="005639AC">
              <w:rPr>
                <w:rFonts w:ascii="Arial" w:eastAsia="Times New Roman" w:hAnsi="Arial" w:cs="Arial"/>
                <w:b/>
                <w:bCs/>
                <w:sz w:val="23"/>
                <w:szCs w:val="23"/>
                <w:highlight w:val="yellow"/>
              </w:rPr>
              <w:t>2%</w:t>
            </w:r>
          </w:p>
        </w:tc>
      </w:tr>
      <w:tr w:rsidR="00306779" w:rsidRPr="00306779" w14:paraId="22F92BCB" w14:textId="77777777" w:rsidTr="008F53F5">
        <w:trPr>
          <w:trHeight w:val="313"/>
          <w:jc w:val="center"/>
        </w:trPr>
        <w:tc>
          <w:tcPr>
            <w:tcW w:w="2354" w:type="dxa"/>
            <w:vAlign w:val="center"/>
          </w:tcPr>
          <w:p w14:paraId="5BEBC6FE" w14:textId="77777777" w:rsidR="00306779" w:rsidRPr="00306779" w:rsidRDefault="00306779" w:rsidP="00306779">
            <w:pPr>
              <w:jc w:val="both"/>
              <w:rPr>
                <w:rFonts w:ascii="Arial" w:eastAsia="Times New Roman" w:hAnsi="Arial" w:cs="Arial"/>
                <w:sz w:val="23"/>
                <w:szCs w:val="23"/>
              </w:rPr>
            </w:pPr>
            <w:r w:rsidRPr="00306779">
              <w:rPr>
                <w:rFonts w:ascii="Arial" w:eastAsia="Times New Roman" w:hAnsi="Arial" w:cs="Arial"/>
                <w:sz w:val="23"/>
                <w:szCs w:val="23"/>
              </w:rPr>
              <w:t>Estrato 6</w:t>
            </w:r>
          </w:p>
        </w:tc>
        <w:tc>
          <w:tcPr>
            <w:tcW w:w="1496" w:type="dxa"/>
            <w:vAlign w:val="center"/>
          </w:tcPr>
          <w:p w14:paraId="7F3DD350"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VI</w:t>
            </w:r>
          </w:p>
        </w:tc>
        <w:tc>
          <w:tcPr>
            <w:tcW w:w="1585" w:type="dxa"/>
            <w:vAlign w:val="center"/>
          </w:tcPr>
          <w:p w14:paraId="01E0AA7D"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2%</w:t>
            </w:r>
          </w:p>
        </w:tc>
      </w:tr>
      <w:tr w:rsidR="00306779" w:rsidRPr="00306779" w14:paraId="4208545D" w14:textId="77777777" w:rsidTr="008F53F5">
        <w:trPr>
          <w:trHeight w:val="386"/>
          <w:jc w:val="center"/>
        </w:trPr>
        <w:tc>
          <w:tcPr>
            <w:tcW w:w="2354" w:type="dxa"/>
            <w:vAlign w:val="center"/>
          </w:tcPr>
          <w:p w14:paraId="4C11CEEF" w14:textId="77777777" w:rsidR="00306779" w:rsidRPr="00CF3D04" w:rsidRDefault="00306779" w:rsidP="00306779">
            <w:pPr>
              <w:jc w:val="both"/>
              <w:rPr>
                <w:rFonts w:ascii="Arial" w:eastAsia="Times New Roman" w:hAnsi="Arial" w:cs="Arial"/>
                <w:bCs/>
                <w:sz w:val="23"/>
                <w:szCs w:val="23"/>
              </w:rPr>
            </w:pPr>
            <w:r w:rsidRPr="00CF3D04">
              <w:rPr>
                <w:rFonts w:ascii="Arial" w:eastAsia="Times New Roman" w:hAnsi="Arial" w:cs="Arial"/>
                <w:bCs/>
                <w:sz w:val="23"/>
                <w:szCs w:val="23"/>
              </w:rPr>
              <w:t>Comercial</w:t>
            </w:r>
          </w:p>
        </w:tc>
        <w:tc>
          <w:tcPr>
            <w:tcW w:w="1496" w:type="dxa"/>
            <w:vAlign w:val="center"/>
          </w:tcPr>
          <w:p w14:paraId="623C7C8A" w14:textId="77777777" w:rsidR="00306779" w:rsidRPr="00CF3D04" w:rsidRDefault="00306779" w:rsidP="00306779">
            <w:pPr>
              <w:jc w:val="both"/>
              <w:rPr>
                <w:rFonts w:ascii="Arial" w:eastAsia="Times New Roman" w:hAnsi="Arial" w:cs="Arial"/>
                <w:bCs/>
                <w:sz w:val="23"/>
                <w:szCs w:val="23"/>
              </w:rPr>
            </w:pPr>
          </w:p>
        </w:tc>
        <w:tc>
          <w:tcPr>
            <w:tcW w:w="1585" w:type="dxa"/>
            <w:vAlign w:val="center"/>
          </w:tcPr>
          <w:p w14:paraId="4582B28B" w14:textId="77777777" w:rsidR="00306779" w:rsidRPr="00CF3D04" w:rsidRDefault="00306779" w:rsidP="00306779">
            <w:pPr>
              <w:jc w:val="center"/>
              <w:rPr>
                <w:rFonts w:ascii="Arial" w:eastAsia="Times New Roman" w:hAnsi="Arial" w:cs="Arial"/>
                <w:bCs/>
                <w:sz w:val="23"/>
                <w:szCs w:val="23"/>
              </w:rPr>
            </w:pPr>
            <w:r w:rsidRPr="00CF3D04">
              <w:rPr>
                <w:rFonts w:ascii="Arial" w:eastAsia="Times New Roman" w:hAnsi="Arial" w:cs="Arial"/>
                <w:bCs/>
                <w:sz w:val="23"/>
                <w:szCs w:val="23"/>
              </w:rPr>
              <w:t>1.7%</w:t>
            </w:r>
          </w:p>
        </w:tc>
      </w:tr>
      <w:tr w:rsidR="00306779" w:rsidRPr="00306779" w14:paraId="4B22705A" w14:textId="77777777" w:rsidTr="008F53F5">
        <w:trPr>
          <w:trHeight w:val="279"/>
          <w:jc w:val="center"/>
        </w:trPr>
        <w:tc>
          <w:tcPr>
            <w:tcW w:w="2354" w:type="dxa"/>
            <w:vAlign w:val="center"/>
          </w:tcPr>
          <w:p w14:paraId="549953C4" w14:textId="77777777" w:rsidR="00306779" w:rsidRPr="00306779" w:rsidRDefault="00306779" w:rsidP="00306779">
            <w:pPr>
              <w:jc w:val="both"/>
              <w:rPr>
                <w:rFonts w:ascii="Arial" w:eastAsia="Times New Roman" w:hAnsi="Arial" w:cs="Arial"/>
                <w:sz w:val="23"/>
                <w:szCs w:val="23"/>
              </w:rPr>
            </w:pPr>
            <w:r w:rsidRPr="00306779">
              <w:rPr>
                <w:rFonts w:ascii="Arial" w:eastAsia="Times New Roman" w:hAnsi="Arial" w:cs="Arial"/>
                <w:sz w:val="23"/>
                <w:szCs w:val="23"/>
              </w:rPr>
              <w:t>Industrial</w:t>
            </w:r>
          </w:p>
        </w:tc>
        <w:tc>
          <w:tcPr>
            <w:tcW w:w="1496" w:type="dxa"/>
            <w:vAlign w:val="center"/>
          </w:tcPr>
          <w:p w14:paraId="192F7A32" w14:textId="77777777" w:rsidR="00306779" w:rsidRPr="00306779" w:rsidRDefault="00306779" w:rsidP="00306779">
            <w:pPr>
              <w:jc w:val="both"/>
              <w:rPr>
                <w:rFonts w:ascii="Arial" w:eastAsia="Times New Roman" w:hAnsi="Arial" w:cs="Arial"/>
                <w:sz w:val="23"/>
                <w:szCs w:val="23"/>
              </w:rPr>
            </w:pPr>
          </w:p>
        </w:tc>
        <w:tc>
          <w:tcPr>
            <w:tcW w:w="1585" w:type="dxa"/>
            <w:vAlign w:val="center"/>
          </w:tcPr>
          <w:p w14:paraId="4D6F8A88"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1.7%</w:t>
            </w:r>
          </w:p>
        </w:tc>
      </w:tr>
      <w:tr w:rsidR="00306779" w:rsidRPr="00306779" w14:paraId="147D663B" w14:textId="77777777" w:rsidTr="008F53F5">
        <w:trPr>
          <w:trHeight w:val="354"/>
          <w:jc w:val="center"/>
        </w:trPr>
        <w:tc>
          <w:tcPr>
            <w:tcW w:w="2354" w:type="dxa"/>
            <w:vAlign w:val="center"/>
          </w:tcPr>
          <w:p w14:paraId="033D0A96" w14:textId="77777777" w:rsidR="00306779" w:rsidRPr="00306779" w:rsidRDefault="00306779" w:rsidP="00306779">
            <w:pPr>
              <w:jc w:val="both"/>
              <w:rPr>
                <w:rFonts w:ascii="Arial" w:eastAsia="Times New Roman" w:hAnsi="Arial" w:cs="Arial"/>
                <w:sz w:val="23"/>
                <w:szCs w:val="23"/>
              </w:rPr>
            </w:pPr>
            <w:r w:rsidRPr="00306779">
              <w:rPr>
                <w:rFonts w:ascii="Arial" w:eastAsia="Times New Roman" w:hAnsi="Arial" w:cs="Arial"/>
                <w:sz w:val="23"/>
                <w:szCs w:val="23"/>
              </w:rPr>
              <w:t>Especial</w:t>
            </w:r>
          </w:p>
        </w:tc>
        <w:tc>
          <w:tcPr>
            <w:tcW w:w="1496" w:type="dxa"/>
            <w:vAlign w:val="center"/>
          </w:tcPr>
          <w:p w14:paraId="57CBC075" w14:textId="77777777" w:rsidR="00306779" w:rsidRPr="00306779" w:rsidRDefault="00306779" w:rsidP="00306779">
            <w:pPr>
              <w:jc w:val="both"/>
              <w:rPr>
                <w:rFonts w:ascii="Arial" w:eastAsia="Times New Roman" w:hAnsi="Arial" w:cs="Arial"/>
                <w:sz w:val="23"/>
                <w:szCs w:val="23"/>
              </w:rPr>
            </w:pPr>
          </w:p>
        </w:tc>
        <w:tc>
          <w:tcPr>
            <w:tcW w:w="1585" w:type="dxa"/>
            <w:vAlign w:val="center"/>
          </w:tcPr>
          <w:p w14:paraId="3EA3298A"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1.7%</w:t>
            </w:r>
          </w:p>
        </w:tc>
      </w:tr>
      <w:tr w:rsidR="00306779" w:rsidRPr="00306779" w14:paraId="70A6BDEC" w14:textId="77777777" w:rsidTr="008F53F5">
        <w:trPr>
          <w:trHeight w:val="460"/>
          <w:jc w:val="center"/>
        </w:trPr>
        <w:tc>
          <w:tcPr>
            <w:tcW w:w="2354" w:type="dxa"/>
            <w:vAlign w:val="center"/>
          </w:tcPr>
          <w:p w14:paraId="29C7A9C5" w14:textId="77777777" w:rsidR="00306779" w:rsidRPr="00306779" w:rsidRDefault="00306779" w:rsidP="00306779">
            <w:pPr>
              <w:jc w:val="both"/>
              <w:rPr>
                <w:rFonts w:ascii="Arial" w:eastAsia="Times New Roman" w:hAnsi="Arial" w:cs="Arial"/>
                <w:sz w:val="23"/>
                <w:szCs w:val="23"/>
              </w:rPr>
            </w:pPr>
            <w:r w:rsidRPr="00306779">
              <w:rPr>
                <w:rFonts w:ascii="Arial" w:eastAsia="Times New Roman" w:hAnsi="Arial" w:cs="Arial"/>
                <w:sz w:val="23"/>
                <w:szCs w:val="23"/>
              </w:rPr>
              <w:t>Oficial- Publico</w:t>
            </w:r>
          </w:p>
        </w:tc>
        <w:tc>
          <w:tcPr>
            <w:tcW w:w="1496" w:type="dxa"/>
            <w:vAlign w:val="center"/>
          </w:tcPr>
          <w:p w14:paraId="6BC8B737" w14:textId="77777777" w:rsidR="00306779" w:rsidRPr="00306779" w:rsidRDefault="00306779" w:rsidP="00306779">
            <w:pPr>
              <w:jc w:val="both"/>
              <w:rPr>
                <w:rFonts w:ascii="Arial" w:eastAsia="Times New Roman" w:hAnsi="Arial" w:cs="Arial"/>
                <w:sz w:val="23"/>
                <w:szCs w:val="23"/>
              </w:rPr>
            </w:pPr>
          </w:p>
        </w:tc>
        <w:tc>
          <w:tcPr>
            <w:tcW w:w="1585" w:type="dxa"/>
            <w:vAlign w:val="center"/>
          </w:tcPr>
          <w:p w14:paraId="0E29B238"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1.0%</w:t>
            </w:r>
          </w:p>
        </w:tc>
      </w:tr>
      <w:tr w:rsidR="00306779" w:rsidRPr="00306779" w14:paraId="07951DBE" w14:textId="77777777" w:rsidTr="008F53F5">
        <w:trPr>
          <w:trHeight w:val="354"/>
          <w:jc w:val="center"/>
        </w:trPr>
        <w:tc>
          <w:tcPr>
            <w:tcW w:w="2354" w:type="dxa"/>
            <w:vAlign w:val="center"/>
          </w:tcPr>
          <w:p w14:paraId="47D0EDB0" w14:textId="77777777" w:rsidR="00306779" w:rsidRPr="00306779" w:rsidRDefault="00306779" w:rsidP="00306779">
            <w:pPr>
              <w:jc w:val="both"/>
              <w:rPr>
                <w:rFonts w:ascii="Arial" w:eastAsia="Times New Roman" w:hAnsi="Arial" w:cs="Arial"/>
                <w:sz w:val="23"/>
                <w:szCs w:val="23"/>
              </w:rPr>
            </w:pPr>
            <w:r w:rsidRPr="00306779">
              <w:rPr>
                <w:rFonts w:ascii="Arial" w:eastAsia="Times New Roman" w:hAnsi="Arial" w:cs="Arial"/>
                <w:sz w:val="23"/>
                <w:szCs w:val="23"/>
              </w:rPr>
              <w:t>Otros</w:t>
            </w:r>
          </w:p>
        </w:tc>
        <w:tc>
          <w:tcPr>
            <w:tcW w:w="1496" w:type="dxa"/>
            <w:vAlign w:val="center"/>
          </w:tcPr>
          <w:p w14:paraId="353B4298" w14:textId="77777777" w:rsidR="00306779" w:rsidRPr="00306779" w:rsidRDefault="00306779" w:rsidP="00306779">
            <w:pPr>
              <w:jc w:val="both"/>
              <w:rPr>
                <w:rFonts w:ascii="Arial" w:eastAsia="Times New Roman" w:hAnsi="Arial" w:cs="Arial"/>
                <w:sz w:val="23"/>
                <w:szCs w:val="23"/>
              </w:rPr>
            </w:pPr>
          </w:p>
        </w:tc>
        <w:tc>
          <w:tcPr>
            <w:tcW w:w="1585" w:type="dxa"/>
            <w:vAlign w:val="center"/>
          </w:tcPr>
          <w:p w14:paraId="3D7689E6" w14:textId="77777777" w:rsidR="00306779" w:rsidRPr="00306779" w:rsidRDefault="00306779" w:rsidP="00306779">
            <w:pPr>
              <w:jc w:val="center"/>
              <w:rPr>
                <w:rFonts w:ascii="Arial" w:eastAsia="Times New Roman" w:hAnsi="Arial" w:cs="Arial"/>
                <w:sz w:val="23"/>
                <w:szCs w:val="23"/>
              </w:rPr>
            </w:pPr>
            <w:r w:rsidRPr="00306779">
              <w:rPr>
                <w:rFonts w:ascii="Arial" w:eastAsia="Times New Roman" w:hAnsi="Arial" w:cs="Arial"/>
                <w:sz w:val="23"/>
                <w:szCs w:val="23"/>
              </w:rPr>
              <w:t>1.7%</w:t>
            </w:r>
          </w:p>
        </w:tc>
      </w:tr>
    </w:tbl>
    <w:p w14:paraId="7EA2A5B0" w14:textId="77777777" w:rsidR="00306779" w:rsidRPr="00306779" w:rsidRDefault="00306779" w:rsidP="00306779">
      <w:pPr>
        <w:spacing w:after="0" w:line="240" w:lineRule="auto"/>
        <w:jc w:val="both"/>
        <w:rPr>
          <w:rFonts w:ascii="Arial" w:hAnsi="Arial" w:cs="Arial"/>
          <w:sz w:val="16"/>
          <w:szCs w:val="16"/>
          <w:lang w:val="es-ES" w:eastAsia="es-ES"/>
        </w:rPr>
      </w:pPr>
    </w:p>
    <w:p w14:paraId="191B143E" w14:textId="3F4EC972" w:rsidR="00314781" w:rsidRDefault="005639AC" w:rsidP="00306779">
      <w:pPr>
        <w:spacing w:after="0" w:line="240" w:lineRule="auto"/>
        <w:jc w:val="both"/>
        <w:rPr>
          <w:rFonts w:ascii="Arial" w:hAnsi="Arial" w:cs="Arial"/>
          <w:sz w:val="23"/>
          <w:szCs w:val="23"/>
          <w:lang w:val="es-ES" w:eastAsia="es-ES"/>
        </w:rPr>
      </w:pPr>
      <w:r>
        <w:rPr>
          <w:rFonts w:ascii="Arial" w:hAnsi="Arial" w:cs="Arial"/>
          <w:sz w:val="23"/>
          <w:szCs w:val="23"/>
          <w:lang w:val="es-ES" w:eastAsia="es-ES"/>
        </w:rPr>
        <w:t>Igualmente, la</w:t>
      </w:r>
      <w:r w:rsidR="00314781">
        <w:rPr>
          <w:rFonts w:ascii="Arial" w:hAnsi="Arial" w:cs="Arial"/>
          <w:sz w:val="23"/>
          <w:szCs w:val="23"/>
          <w:lang w:val="es-ES" w:eastAsia="es-ES"/>
        </w:rPr>
        <w:t xml:space="preserve"> </w:t>
      </w:r>
      <w:r>
        <w:rPr>
          <w:rFonts w:ascii="Arial" w:hAnsi="Arial" w:cs="Arial"/>
          <w:sz w:val="23"/>
          <w:szCs w:val="23"/>
          <w:lang w:val="es-ES" w:eastAsia="es-ES"/>
        </w:rPr>
        <w:t>Ordenanza</w:t>
      </w:r>
      <w:r w:rsidR="00314781">
        <w:rPr>
          <w:rFonts w:ascii="Arial" w:hAnsi="Arial" w:cs="Arial"/>
          <w:sz w:val="23"/>
          <w:szCs w:val="23"/>
          <w:lang w:val="es-ES" w:eastAsia="es-ES"/>
        </w:rPr>
        <w:t xml:space="preserve"> No </w:t>
      </w:r>
      <w:r>
        <w:rPr>
          <w:rFonts w:ascii="Arial" w:hAnsi="Arial" w:cs="Arial"/>
          <w:sz w:val="23"/>
          <w:szCs w:val="23"/>
          <w:lang w:val="es-ES" w:eastAsia="es-ES"/>
        </w:rPr>
        <w:t xml:space="preserve">573 del 10 de noviembre de 2021 POR MEDIO DE LA CUAL SE MODIFICA PARCIALMENTE LA ORDENANZA 474 DE 2017, en su PARÁGRAFO 3 del ARTICULO 287.- Tarifa, estableció que “… </w:t>
      </w:r>
      <w:r w:rsidRPr="005639AC">
        <w:rPr>
          <w:rFonts w:ascii="Arial" w:hAnsi="Arial" w:cs="Arial"/>
          <w:sz w:val="23"/>
          <w:szCs w:val="23"/>
          <w:lang w:val="es-ES" w:eastAsia="es-ES"/>
        </w:rPr>
        <w:t xml:space="preserve">en ningún caso la </w:t>
      </w:r>
      <w:r>
        <w:rPr>
          <w:rFonts w:ascii="Arial" w:hAnsi="Arial" w:cs="Arial"/>
          <w:sz w:val="23"/>
          <w:szCs w:val="23"/>
          <w:lang w:val="es-ES" w:eastAsia="es-ES"/>
        </w:rPr>
        <w:t>T</w:t>
      </w:r>
      <w:r w:rsidRPr="005639AC">
        <w:rPr>
          <w:rFonts w:ascii="Arial" w:hAnsi="Arial" w:cs="Arial"/>
          <w:sz w:val="23"/>
          <w:szCs w:val="23"/>
          <w:lang w:val="es-ES" w:eastAsia="es-ES"/>
        </w:rPr>
        <w:t xml:space="preserve">asa </w:t>
      </w:r>
      <w:r w:rsidR="00F4020E">
        <w:rPr>
          <w:rFonts w:ascii="Arial" w:hAnsi="Arial" w:cs="Arial"/>
          <w:sz w:val="23"/>
          <w:szCs w:val="23"/>
          <w:lang w:val="es-ES" w:eastAsia="es-ES"/>
        </w:rPr>
        <w:t>E</w:t>
      </w:r>
      <w:r w:rsidRPr="005639AC">
        <w:rPr>
          <w:rFonts w:ascii="Arial" w:hAnsi="Arial" w:cs="Arial"/>
          <w:sz w:val="23"/>
          <w:szCs w:val="23"/>
          <w:lang w:val="es-ES" w:eastAsia="es-ES"/>
        </w:rPr>
        <w:t xml:space="preserve">special liquidada será inferior al 5% de la </w:t>
      </w:r>
      <w:r>
        <w:rPr>
          <w:rFonts w:ascii="Arial" w:hAnsi="Arial" w:cs="Arial"/>
          <w:sz w:val="23"/>
          <w:szCs w:val="23"/>
          <w:lang w:val="es-ES" w:eastAsia="es-ES"/>
        </w:rPr>
        <w:t>U</w:t>
      </w:r>
      <w:r w:rsidRPr="005639AC">
        <w:rPr>
          <w:rFonts w:ascii="Arial" w:hAnsi="Arial" w:cs="Arial"/>
          <w:sz w:val="23"/>
          <w:szCs w:val="23"/>
          <w:lang w:val="es-ES" w:eastAsia="es-ES"/>
        </w:rPr>
        <w:t xml:space="preserve">nidad de </w:t>
      </w:r>
      <w:r>
        <w:rPr>
          <w:rFonts w:ascii="Arial" w:hAnsi="Arial" w:cs="Arial"/>
          <w:sz w:val="23"/>
          <w:szCs w:val="23"/>
          <w:lang w:val="es-ES" w:eastAsia="es-ES"/>
        </w:rPr>
        <w:t>V</w:t>
      </w:r>
      <w:r w:rsidRPr="005639AC">
        <w:rPr>
          <w:rFonts w:ascii="Arial" w:hAnsi="Arial" w:cs="Arial"/>
          <w:sz w:val="23"/>
          <w:szCs w:val="23"/>
          <w:lang w:val="es-ES" w:eastAsia="es-ES"/>
        </w:rPr>
        <w:t xml:space="preserve">alor </w:t>
      </w:r>
      <w:r>
        <w:rPr>
          <w:rFonts w:ascii="Arial" w:hAnsi="Arial" w:cs="Arial"/>
          <w:sz w:val="23"/>
          <w:szCs w:val="23"/>
          <w:lang w:val="es-ES" w:eastAsia="es-ES"/>
        </w:rPr>
        <w:t>T</w:t>
      </w:r>
      <w:r w:rsidRPr="005639AC">
        <w:rPr>
          <w:rFonts w:ascii="Arial" w:hAnsi="Arial" w:cs="Arial"/>
          <w:sz w:val="23"/>
          <w:szCs w:val="23"/>
          <w:lang w:val="es-ES" w:eastAsia="es-ES"/>
        </w:rPr>
        <w:t xml:space="preserve">ributario </w:t>
      </w:r>
      <w:r>
        <w:rPr>
          <w:rFonts w:ascii="Arial" w:hAnsi="Arial" w:cs="Arial"/>
          <w:sz w:val="23"/>
          <w:szCs w:val="23"/>
          <w:lang w:val="es-ES" w:eastAsia="es-ES"/>
        </w:rPr>
        <w:t>(U</w:t>
      </w:r>
      <w:r w:rsidRPr="005639AC">
        <w:rPr>
          <w:rFonts w:ascii="Arial" w:hAnsi="Arial" w:cs="Arial"/>
          <w:sz w:val="23"/>
          <w:szCs w:val="23"/>
          <w:lang w:val="es-ES" w:eastAsia="es-ES"/>
        </w:rPr>
        <w:t>VT</w:t>
      </w:r>
      <w:r>
        <w:rPr>
          <w:rFonts w:ascii="Arial" w:hAnsi="Arial" w:cs="Arial"/>
          <w:sz w:val="23"/>
          <w:szCs w:val="23"/>
          <w:lang w:val="es-ES" w:eastAsia="es-ES"/>
        </w:rPr>
        <w:t>)</w:t>
      </w:r>
      <w:r w:rsidRPr="005639AC">
        <w:rPr>
          <w:rFonts w:ascii="Arial" w:hAnsi="Arial" w:cs="Arial"/>
          <w:sz w:val="23"/>
          <w:szCs w:val="23"/>
          <w:lang w:val="es-ES" w:eastAsia="es-ES"/>
        </w:rPr>
        <w:t xml:space="preserve"> vigente en el periodo de liquidación</w:t>
      </w:r>
      <w:r>
        <w:rPr>
          <w:rFonts w:ascii="Arial" w:hAnsi="Arial" w:cs="Arial"/>
          <w:sz w:val="23"/>
          <w:szCs w:val="23"/>
          <w:lang w:val="es-ES" w:eastAsia="es-ES"/>
        </w:rPr>
        <w:t>…”</w:t>
      </w:r>
      <w:r w:rsidR="008A01DB">
        <w:rPr>
          <w:rFonts w:ascii="Arial" w:hAnsi="Arial" w:cs="Arial"/>
          <w:sz w:val="23"/>
          <w:szCs w:val="23"/>
          <w:lang w:val="es-ES" w:eastAsia="es-ES"/>
        </w:rPr>
        <w:t xml:space="preserve">. </w:t>
      </w:r>
    </w:p>
    <w:p w14:paraId="7E165674" w14:textId="5EE7FC9E" w:rsidR="008A01DB" w:rsidRDefault="008A01DB" w:rsidP="00306779">
      <w:pPr>
        <w:spacing w:after="0" w:line="240" w:lineRule="auto"/>
        <w:jc w:val="both"/>
        <w:rPr>
          <w:rFonts w:ascii="Arial" w:hAnsi="Arial" w:cs="Arial"/>
          <w:sz w:val="23"/>
          <w:szCs w:val="23"/>
          <w:lang w:val="es-ES" w:eastAsia="es-ES"/>
        </w:rPr>
      </w:pPr>
      <w:r>
        <w:rPr>
          <w:rFonts w:ascii="Arial" w:hAnsi="Arial" w:cs="Arial"/>
          <w:sz w:val="23"/>
          <w:szCs w:val="23"/>
          <w:lang w:val="es-ES" w:eastAsia="es-ES"/>
        </w:rPr>
        <w:lastRenderedPageBreak/>
        <w:t>El valor de la UVT para la vigencia 2026 determinado por el DIAN que corresponde a la factura por usted adjunta a su requerimiento es de $52.374 y el 5% correspondería a $2.618.70, que es exactamente el valor facturado por el tributo de Tasa Especial de Seguridad y Convivencia Ciudadana.</w:t>
      </w:r>
    </w:p>
    <w:p w14:paraId="68E5B49B" w14:textId="77777777" w:rsidR="00306779" w:rsidRPr="00306779" w:rsidRDefault="00306779" w:rsidP="00306779">
      <w:pPr>
        <w:spacing w:after="0" w:line="240" w:lineRule="auto"/>
        <w:jc w:val="both"/>
        <w:rPr>
          <w:rFonts w:ascii="Arial" w:hAnsi="Arial" w:cs="Arial"/>
          <w:lang w:val="es-ES" w:eastAsia="es-ES"/>
        </w:rPr>
      </w:pPr>
    </w:p>
    <w:p w14:paraId="4F4E8C01"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Queremos señalar a usted, que los valores señalados son </w:t>
      </w:r>
      <w:r w:rsidRPr="00306779">
        <w:rPr>
          <w:rFonts w:ascii="Arial" w:hAnsi="Arial" w:cs="Arial"/>
          <w:b/>
          <w:sz w:val="23"/>
          <w:szCs w:val="23"/>
          <w:u w:val="single"/>
          <w:lang w:val="es-ES" w:eastAsia="es-ES"/>
        </w:rPr>
        <w:t>el único impuesto que está incluido en la factura del servicio público de energía eléctrica de su predio sujeto pasivo</w:t>
      </w:r>
      <w:r w:rsidRPr="00306779">
        <w:rPr>
          <w:rFonts w:ascii="Arial" w:hAnsi="Arial" w:cs="Arial"/>
          <w:sz w:val="23"/>
          <w:szCs w:val="23"/>
          <w:lang w:val="es-ES" w:eastAsia="es-ES"/>
        </w:rPr>
        <w:t>, como elemento de cualquier tributo, y es la persona en la que recae la obligación tributaria, en ese contexto, la Asamblea Departamental, lo estableció en el Artículo Cuarto de la Ordenanza No. 425 de 2016 y corresponde a la Tasa Especial de Seguridad y Convivencia Ciudadana.</w:t>
      </w:r>
    </w:p>
    <w:p w14:paraId="135DD935" w14:textId="77777777" w:rsidR="00306779" w:rsidRPr="00306779" w:rsidRDefault="00306779" w:rsidP="00306779">
      <w:pPr>
        <w:spacing w:after="0" w:line="240" w:lineRule="auto"/>
        <w:jc w:val="both"/>
        <w:rPr>
          <w:rFonts w:ascii="Arial" w:hAnsi="Arial" w:cs="Arial"/>
          <w:lang w:val="es-ES" w:eastAsia="es-ES"/>
        </w:rPr>
      </w:pPr>
    </w:p>
    <w:p w14:paraId="12628DBD"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Ahora bien, en el caso en concreto, al ser usted usuario del servicio público de energía eléctrica queda determinado como beneficiario del servicio público de seguridad y convivencia ciudadana, y por consiguiente es sujeto pasivo de dicho Tributo y </w:t>
      </w:r>
      <w:r w:rsidRPr="00306779">
        <w:rPr>
          <w:rFonts w:ascii="Arial" w:hAnsi="Arial" w:cs="Arial"/>
          <w:b/>
          <w:sz w:val="23"/>
          <w:szCs w:val="23"/>
          <w:u w:val="single"/>
          <w:lang w:val="es-ES" w:eastAsia="es-ES"/>
        </w:rPr>
        <w:t>se le factura el porcentaje autorizado con base en dos fuentes: su tipo de uso (residencial o comercial o industrial) y el consumo de Energía ($) facturado en este caso por las Empresas Municipales de Cali –EMCALI E.I.C.E. E.S.P.</w:t>
      </w:r>
    </w:p>
    <w:p w14:paraId="69E44A13" w14:textId="77777777" w:rsidR="00306779" w:rsidRPr="00306779" w:rsidRDefault="00306779" w:rsidP="00306779">
      <w:pPr>
        <w:widowControl w:val="0"/>
        <w:autoSpaceDE w:val="0"/>
        <w:autoSpaceDN w:val="0"/>
        <w:adjustRightInd w:val="0"/>
        <w:spacing w:after="0" w:line="240" w:lineRule="auto"/>
        <w:jc w:val="both"/>
        <w:rPr>
          <w:rFonts w:ascii="Arial" w:eastAsia="Times New Roman" w:hAnsi="Arial" w:cs="Arial"/>
          <w:noProof/>
          <w:lang w:val="es-ES" w:eastAsia="es-ES"/>
        </w:rPr>
      </w:pPr>
    </w:p>
    <w:p w14:paraId="75FAA081" w14:textId="77777777"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El artículo Noveno de la Ordenanza No. 425 de 2016 establece que es deber de los comercializadores facturar y recaudar la Tasa Especial de Seguridad y Convivencia Ciudadana de la siguiente manera: </w:t>
      </w:r>
    </w:p>
    <w:p w14:paraId="2AEC5A65" w14:textId="77777777" w:rsidR="00306779" w:rsidRPr="00306779" w:rsidRDefault="00306779" w:rsidP="00306779">
      <w:pPr>
        <w:widowControl w:val="0"/>
        <w:autoSpaceDE w:val="0"/>
        <w:autoSpaceDN w:val="0"/>
        <w:adjustRightInd w:val="0"/>
        <w:spacing w:after="0" w:line="240" w:lineRule="auto"/>
        <w:jc w:val="both"/>
        <w:rPr>
          <w:rFonts w:ascii="Arial" w:hAnsi="Arial" w:cs="Arial"/>
          <w:lang w:val="es-ES" w:eastAsia="es-ES"/>
        </w:rPr>
      </w:pPr>
    </w:p>
    <w:p w14:paraId="48548CF6" w14:textId="77777777" w:rsidR="00306779" w:rsidRPr="00306779" w:rsidRDefault="00306779" w:rsidP="00306779">
      <w:pPr>
        <w:widowControl w:val="0"/>
        <w:autoSpaceDE w:val="0"/>
        <w:autoSpaceDN w:val="0"/>
        <w:adjustRightInd w:val="0"/>
        <w:spacing w:after="0" w:line="240" w:lineRule="auto"/>
        <w:jc w:val="both"/>
        <w:rPr>
          <w:rFonts w:ascii="Arial" w:eastAsia="Times New Roman" w:hAnsi="Arial" w:cs="Arial"/>
          <w:i/>
          <w:noProof/>
          <w:sz w:val="23"/>
          <w:szCs w:val="23"/>
          <w:lang w:val="es-ES" w:eastAsia="es-ES"/>
        </w:rPr>
      </w:pPr>
      <w:r w:rsidRPr="00306779">
        <w:rPr>
          <w:rFonts w:ascii="Arial" w:eastAsia="Times New Roman" w:hAnsi="Arial" w:cs="Arial"/>
          <w:i/>
          <w:noProof/>
          <w:sz w:val="23"/>
          <w:szCs w:val="23"/>
          <w:lang w:val="es-ES" w:eastAsia="es-ES"/>
        </w:rPr>
        <w:t>“</w:t>
      </w:r>
      <w:r w:rsidRPr="00306779">
        <w:rPr>
          <w:rFonts w:ascii="Arial" w:eastAsia="Times New Roman" w:hAnsi="Arial" w:cs="Arial"/>
          <w:b/>
          <w:i/>
          <w:noProof/>
          <w:sz w:val="23"/>
          <w:szCs w:val="23"/>
          <w:lang w:val="es-ES" w:eastAsia="es-ES"/>
        </w:rPr>
        <w:t>Artículo Noveno.- LIQUIDACIÓN, FACTURACIÓN Y RECAUDO:</w:t>
      </w:r>
      <w:r w:rsidRPr="00306779">
        <w:rPr>
          <w:rFonts w:ascii="Arial" w:eastAsia="Times New Roman" w:hAnsi="Arial" w:cs="Arial"/>
          <w:i/>
          <w:noProof/>
          <w:sz w:val="23"/>
          <w:szCs w:val="23"/>
          <w:lang w:val="es-ES" w:eastAsia="es-ES"/>
        </w:rPr>
        <w:t xml:space="preserve"> Deberán Facturar y recaudar la Tasa Especial que se impone mediante la presente ordenanza, las personas que en los términos de las leyes 142 y 143 de 1994 y normas que las reglamentan, modifique, sustituyan o deroguen, actúen como comercializadoras y/o prestadoras del servicio público de energía eléctrica y vendan dicha energía a usuarios regulados y no regulados en el Departamento. Para tal efecto, estas entidades deberán incluir el valor de la Tasa Especial en la facturación que envíen mensualmente o por el período correspondiente, a sus usuarios.”</w:t>
      </w:r>
    </w:p>
    <w:p w14:paraId="6EB0A303" w14:textId="77777777" w:rsidR="00306779" w:rsidRPr="00306779" w:rsidRDefault="00306779" w:rsidP="00306779">
      <w:pPr>
        <w:widowControl w:val="0"/>
        <w:autoSpaceDE w:val="0"/>
        <w:autoSpaceDN w:val="0"/>
        <w:adjustRightInd w:val="0"/>
        <w:spacing w:after="0" w:line="240" w:lineRule="auto"/>
        <w:jc w:val="both"/>
        <w:rPr>
          <w:rFonts w:ascii="Arial" w:eastAsia="Times New Roman" w:hAnsi="Arial" w:cs="Arial"/>
          <w:noProof/>
          <w:lang w:val="es-ES" w:eastAsia="es-ES"/>
        </w:rPr>
      </w:pPr>
    </w:p>
    <w:p w14:paraId="096AAEA4" w14:textId="33AF3924" w:rsidR="00306779" w:rsidRPr="00306779" w:rsidRDefault="00306779" w:rsidP="00306779">
      <w:pPr>
        <w:spacing w:after="0" w:line="240" w:lineRule="auto"/>
        <w:jc w:val="both"/>
        <w:rPr>
          <w:rFonts w:ascii="Arial" w:hAnsi="Arial" w:cs="Arial"/>
          <w:sz w:val="23"/>
          <w:szCs w:val="23"/>
          <w:lang w:val="es-ES" w:eastAsia="es-ES"/>
        </w:rPr>
      </w:pPr>
      <w:r w:rsidRPr="00306779">
        <w:rPr>
          <w:rFonts w:ascii="Arial" w:hAnsi="Arial" w:cs="Arial"/>
          <w:sz w:val="23"/>
          <w:szCs w:val="23"/>
          <w:lang w:val="es-ES" w:eastAsia="es-ES"/>
        </w:rPr>
        <w:t xml:space="preserve">Conforme a la norma citada anteriormente, los Comercializadores de Energía, en este caso EMCALI EICE ESP realiza la facturación y recaudo de la Tasa Especial de Seguridad y Convivencia Ciudadana, mediante la inclusión del valor del tributo en la facturación mensual. En el momento que la empresa comercializadora atienda su solicitud de retiro de la acometida y aparato de medición del servicio de energía eléctrica, si es pertinente; dejará este predio de ser usuario pasivo, </w:t>
      </w:r>
      <w:r w:rsidRPr="00306779">
        <w:rPr>
          <w:rFonts w:ascii="Arial" w:hAnsi="Arial" w:cs="Arial"/>
          <w:b/>
          <w:i/>
          <w:sz w:val="23"/>
          <w:szCs w:val="23"/>
          <w:lang w:val="es-ES" w:eastAsia="es-ES"/>
        </w:rPr>
        <w:t xml:space="preserve">dejará de tener la condición de usuario del servicio público de energía eléctrica </w:t>
      </w:r>
      <w:r w:rsidRPr="00306779">
        <w:rPr>
          <w:rFonts w:ascii="Arial" w:hAnsi="Arial" w:cs="Arial"/>
          <w:sz w:val="23"/>
          <w:szCs w:val="23"/>
          <w:lang w:val="es-ES" w:eastAsia="es-ES"/>
        </w:rPr>
        <w:t>y por supuesto no se facturara por defecto la contribución de la tasa Especial de seguridad y convivencia ciudadana, mientras esta situación exista, la Gobernación del Valle del Ca</w:t>
      </w:r>
      <w:r w:rsidR="008A01DB">
        <w:rPr>
          <w:rFonts w:ascii="Arial" w:hAnsi="Arial" w:cs="Arial"/>
          <w:sz w:val="23"/>
          <w:szCs w:val="23"/>
          <w:lang w:val="es-ES" w:eastAsia="es-ES"/>
        </w:rPr>
        <w:t>u</w:t>
      </w:r>
      <w:r w:rsidRPr="00306779">
        <w:rPr>
          <w:rFonts w:ascii="Arial" w:hAnsi="Arial" w:cs="Arial"/>
          <w:sz w:val="23"/>
          <w:szCs w:val="23"/>
          <w:lang w:val="es-ES" w:eastAsia="es-ES"/>
        </w:rPr>
        <w:t>ca, en cumplimiento de las normas existentes facturará el tributo a ella encomendado cobrar.</w:t>
      </w:r>
    </w:p>
    <w:p w14:paraId="5CBA897E" w14:textId="77777777" w:rsidR="00306779" w:rsidRPr="00306779" w:rsidRDefault="00306779" w:rsidP="00306779">
      <w:pPr>
        <w:spacing w:after="0" w:line="240" w:lineRule="auto"/>
        <w:jc w:val="both"/>
        <w:rPr>
          <w:rFonts w:ascii="Arial" w:hAnsi="Arial" w:cs="Arial"/>
          <w:sz w:val="23"/>
          <w:szCs w:val="23"/>
          <w:lang w:val="es-ES" w:eastAsia="es-ES"/>
        </w:rPr>
      </w:pPr>
    </w:p>
    <w:p w14:paraId="7B397E49" w14:textId="77777777" w:rsidR="00306779" w:rsidRPr="00306779" w:rsidRDefault="00306779" w:rsidP="00306779">
      <w:pPr>
        <w:spacing w:after="0" w:line="240" w:lineRule="auto"/>
        <w:jc w:val="both"/>
        <w:rPr>
          <w:rFonts w:ascii="Arial" w:hAnsi="Arial" w:cs="Arial"/>
          <w:sz w:val="23"/>
          <w:szCs w:val="23"/>
          <w:lang w:val="es-ES" w:eastAsia="es-ES"/>
        </w:rPr>
      </w:pPr>
    </w:p>
    <w:p w14:paraId="67AEBCB7" w14:textId="77777777" w:rsidR="00306779" w:rsidRPr="00306779" w:rsidRDefault="00306779" w:rsidP="00306779">
      <w:pPr>
        <w:spacing w:after="0" w:line="240" w:lineRule="auto"/>
        <w:jc w:val="both"/>
        <w:rPr>
          <w:rFonts w:ascii="Arial" w:hAnsi="Arial" w:cs="Arial"/>
          <w:sz w:val="23"/>
          <w:szCs w:val="23"/>
          <w:lang w:val="es-ES" w:eastAsia="es-ES"/>
        </w:rPr>
      </w:pPr>
    </w:p>
    <w:p w14:paraId="2D102218" w14:textId="2F2CB14B" w:rsidR="008A01DB" w:rsidRDefault="008A01DB" w:rsidP="00306779">
      <w:pPr>
        <w:spacing w:after="0" w:line="240" w:lineRule="auto"/>
        <w:jc w:val="both"/>
        <w:rPr>
          <w:rFonts w:ascii="Arial" w:hAnsi="Arial" w:cs="Arial"/>
          <w:sz w:val="23"/>
          <w:szCs w:val="23"/>
          <w:lang w:val="es-ES" w:eastAsia="es-ES"/>
        </w:rPr>
      </w:pPr>
      <w:r>
        <w:rPr>
          <w:rFonts w:ascii="Arial" w:hAnsi="Arial" w:cs="Arial"/>
          <w:sz w:val="23"/>
          <w:szCs w:val="23"/>
          <w:lang w:val="es-ES" w:eastAsia="es-ES"/>
        </w:rPr>
        <w:t>En caso que usted solicite el retiro de</w:t>
      </w:r>
      <w:r w:rsidR="004D7F29">
        <w:rPr>
          <w:rFonts w:ascii="Arial" w:hAnsi="Arial" w:cs="Arial"/>
          <w:sz w:val="23"/>
          <w:szCs w:val="23"/>
          <w:lang w:val="es-ES" w:eastAsia="es-ES"/>
        </w:rPr>
        <w:t>l cobro</w:t>
      </w:r>
      <w:r>
        <w:rPr>
          <w:rFonts w:ascii="Arial" w:hAnsi="Arial" w:cs="Arial"/>
          <w:sz w:val="23"/>
          <w:szCs w:val="23"/>
          <w:lang w:val="es-ES" w:eastAsia="es-ES"/>
        </w:rPr>
        <w:t xml:space="preserve"> de este tributo en la factura del servicio público de energía </w:t>
      </w:r>
      <w:r w:rsidR="004D7F29">
        <w:rPr>
          <w:rFonts w:ascii="Arial" w:hAnsi="Arial" w:cs="Arial"/>
          <w:sz w:val="23"/>
          <w:szCs w:val="23"/>
          <w:lang w:val="es-ES" w:eastAsia="es-ES"/>
        </w:rPr>
        <w:t>eléctrica</w:t>
      </w:r>
      <w:r>
        <w:rPr>
          <w:rFonts w:ascii="Arial" w:hAnsi="Arial" w:cs="Arial"/>
          <w:sz w:val="23"/>
          <w:szCs w:val="23"/>
          <w:lang w:val="es-ES" w:eastAsia="es-ES"/>
        </w:rPr>
        <w:t xml:space="preserve">, la Gobernación del Valle del Cauca </w:t>
      </w:r>
      <w:r w:rsidR="004D7F29">
        <w:rPr>
          <w:rFonts w:ascii="Arial" w:hAnsi="Arial" w:cs="Arial"/>
          <w:sz w:val="23"/>
          <w:szCs w:val="23"/>
          <w:lang w:val="es-ES" w:eastAsia="es-ES"/>
        </w:rPr>
        <w:t>procederá</w:t>
      </w:r>
      <w:r>
        <w:rPr>
          <w:rFonts w:ascii="Arial" w:hAnsi="Arial" w:cs="Arial"/>
          <w:sz w:val="23"/>
          <w:szCs w:val="23"/>
          <w:lang w:val="es-ES" w:eastAsia="es-ES"/>
        </w:rPr>
        <w:t xml:space="preserve"> a emitir a usted una factura para el pago de la </w:t>
      </w:r>
      <w:r w:rsidR="004D7F29">
        <w:rPr>
          <w:rFonts w:ascii="Arial" w:hAnsi="Arial" w:cs="Arial"/>
          <w:sz w:val="23"/>
          <w:szCs w:val="23"/>
          <w:lang w:val="es-ES" w:eastAsia="es-ES"/>
        </w:rPr>
        <w:t>T</w:t>
      </w:r>
      <w:r>
        <w:rPr>
          <w:rFonts w:ascii="Arial" w:hAnsi="Arial" w:cs="Arial"/>
          <w:sz w:val="23"/>
          <w:szCs w:val="23"/>
          <w:lang w:val="es-ES" w:eastAsia="es-ES"/>
        </w:rPr>
        <w:t xml:space="preserve">asa Especial de </w:t>
      </w:r>
      <w:r w:rsidR="004D7F29">
        <w:rPr>
          <w:rFonts w:ascii="Arial" w:hAnsi="Arial" w:cs="Arial"/>
          <w:sz w:val="23"/>
          <w:szCs w:val="23"/>
          <w:lang w:val="es-ES" w:eastAsia="es-ES"/>
        </w:rPr>
        <w:t>Seg</w:t>
      </w:r>
      <w:r>
        <w:rPr>
          <w:rFonts w:ascii="Arial" w:hAnsi="Arial" w:cs="Arial"/>
          <w:sz w:val="23"/>
          <w:szCs w:val="23"/>
          <w:lang w:val="es-ES" w:eastAsia="es-ES"/>
        </w:rPr>
        <w:t xml:space="preserve">uridad y </w:t>
      </w:r>
      <w:r w:rsidR="004D7F29">
        <w:rPr>
          <w:rFonts w:ascii="Arial" w:hAnsi="Arial" w:cs="Arial"/>
          <w:sz w:val="23"/>
          <w:szCs w:val="23"/>
          <w:lang w:val="es-ES" w:eastAsia="es-ES"/>
        </w:rPr>
        <w:t>C</w:t>
      </w:r>
      <w:r>
        <w:rPr>
          <w:rFonts w:ascii="Arial" w:hAnsi="Arial" w:cs="Arial"/>
          <w:sz w:val="23"/>
          <w:szCs w:val="23"/>
          <w:lang w:val="es-ES" w:eastAsia="es-ES"/>
        </w:rPr>
        <w:t xml:space="preserve">onvivencia </w:t>
      </w:r>
      <w:r w:rsidR="004D7F29">
        <w:rPr>
          <w:rFonts w:ascii="Arial" w:hAnsi="Arial" w:cs="Arial"/>
          <w:sz w:val="23"/>
          <w:szCs w:val="23"/>
          <w:lang w:val="es-ES" w:eastAsia="es-ES"/>
        </w:rPr>
        <w:t>Ciudadana</w:t>
      </w:r>
      <w:r>
        <w:rPr>
          <w:rFonts w:ascii="Arial" w:hAnsi="Arial" w:cs="Arial"/>
          <w:sz w:val="23"/>
          <w:szCs w:val="23"/>
          <w:lang w:val="es-ES" w:eastAsia="es-ES"/>
        </w:rPr>
        <w:t xml:space="preserve">, </w:t>
      </w:r>
      <w:r w:rsidR="004D7F29">
        <w:rPr>
          <w:rFonts w:ascii="Arial" w:hAnsi="Arial" w:cs="Arial"/>
          <w:sz w:val="23"/>
          <w:szCs w:val="23"/>
          <w:lang w:val="es-ES" w:eastAsia="es-ES"/>
        </w:rPr>
        <w:t>trámite</w:t>
      </w:r>
      <w:r>
        <w:rPr>
          <w:rFonts w:ascii="Arial" w:hAnsi="Arial" w:cs="Arial"/>
          <w:sz w:val="23"/>
          <w:szCs w:val="23"/>
          <w:lang w:val="es-ES" w:eastAsia="es-ES"/>
        </w:rPr>
        <w:t xml:space="preserve"> que deberá realizar en las ventanillas d</w:t>
      </w:r>
      <w:r w:rsidR="004D7F29">
        <w:rPr>
          <w:rFonts w:ascii="Arial" w:hAnsi="Arial" w:cs="Arial"/>
          <w:sz w:val="23"/>
          <w:szCs w:val="23"/>
          <w:lang w:val="es-ES" w:eastAsia="es-ES"/>
        </w:rPr>
        <w:t xml:space="preserve">el primer piso de la Gobernación del </w:t>
      </w:r>
      <w:r w:rsidR="002117D3">
        <w:rPr>
          <w:rFonts w:ascii="Arial" w:hAnsi="Arial" w:cs="Arial"/>
          <w:sz w:val="23"/>
          <w:szCs w:val="23"/>
          <w:lang w:val="es-ES" w:eastAsia="es-ES"/>
        </w:rPr>
        <w:t>V</w:t>
      </w:r>
      <w:r w:rsidR="004D7F29">
        <w:rPr>
          <w:rFonts w:ascii="Arial" w:hAnsi="Arial" w:cs="Arial"/>
          <w:sz w:val="23"/>
          <w:szCs w:val="23"/>
          <w:lang w:val="es-ES" w:eastAsia="es-ES"/>
        </w:rPr>
        <w:t>alle del Cauca.</w:t>
      </w:r>
    </w:p>
    <w:p w14:paraId="34445DD0" w14:textId="77777777" w:rsidR="008A01DB" w:rsidRDefault="008A01DB" w:rsidP="00306779">
      <w:pPr>
        <w:spacing w:after="0" w:line="240" w:lineRule="auto"/>
        <w:jc w:val="both"/>
        <w:rPr>
          <w:rFonts w:ascii="Arial" w:hAnsi="Arial" w:cs="Arial"/>
          <w:sz w:val="23"/>
          <w:szCs w:val="23"/>
          <w:lang w:val="es-ES" w:eastAsia="es-ES"/>
        </w:rPr>
      </w:pPr>
    </w:p>
    <w:p w14:paraId="358A9E9C" w14:textId="1307CB54" w:rsidR="00306779" w:rsidRPr="00306779" w:rsidRDefault="00306779" w:rsidP="00306779">
      <w:pPr>
        <w:spacing w:after="0" w:line="240" w:lineRule="auto"/>
        <w:jc w:val="both"/>
        <w:rPr>
          <w:rFonts w:ascii="Arial" w:hAnsi="Arial" w:cs="Arial"/>
          <w:b/>
          <w:sz w:val="23"/>
          <w:szCs w:val="23"/>
          <w:lang w:val="es-ES" w:eastAsia="es-ES"/>
        </w:rPr>
      </w:pPr>
      <w:r w:rsidRPr="00306779">
        <w:rPr>
          <w:rFonts w:ascii="Arial" w:hAnsi="Arial" w:cs="Arial"/>
          <w:sz w:val="23"/>
          <w:szCs w:val="23"/>
          <w:lang w:val="es-ES" w:eastAsia="es-ES"/>
        </w:rPr>
        <w:t>Estamos enviando copia del presente documento al Área de Atención Escrita de la Dirección Atención al Cliente de las Empresas Municipales de Cali - EMCALI E.I.C.E E.S.P., para los fines pertinentes y trámites a que haya lugar.</w:t>
      </w:r>
    </w:p>
    <w:p w14:paraId="21F39041" w14:textId="77777777" w:rsidR="00306779" w:rsidRPr="00306779" w:rsidRDefault="00306779" w:rsidP="00306779">
      <w:pPr>
        <w:spacing w:after="0" w:line="240" w:lineRule="auto"/>
        <w:jc w:val="both"/>
        <w:rPr>
          <w:rFonts w:ascii="Arial" w:eastAsia="Times New Roman" w:hAnsi="Arial" w:cs="Arial"/>
          <w:b/>
          <w:sz w:val="16"/>
          <w:szCs w:val="16"/>
          <w:lang w:val="es-ES" w:eastAsia="es-ES"/>
        </w:rPr>
      </w:pPr>
    </w:p>
    <w:p w14:paraId="17F1CF54" w14:textId="77777777" w:rsidR="00306779" w:rsidRPr="00306779" w:rsidRDefault="00306779" w:rsidP="00306779">
      <w:pPr>
        <w:widowControl w:val="0"/>
        <w:autoSpaceDE w:val="0"/>
        <w:autoSpaceDN w:val="0"/>
        <w:adjustRightInd w:val="0"/>
        <w:spacing w:after="0" w:line="240" w:lineRule="auto"/>
        <w:jc w:val="both"/>
        <w:rPr>
          <w:rFonts w:ascii="Arial" w:eastAsia="Times New Roman" w:hAnsi="Arial" w:cs="Arial"/>
          <w:noProof/>
          <w:sz w:val="23"/>
          <w:szCs w:val="23"/>
          <w:lang w:val="es-ES" w:eastAsia="es-ES"/>
        </w:rPr>
      </w:pPr>
      <w:r w:rsidRPr="00306779">
        <w:rPr>
          <w:rFonts w:ascii="Arial" w:eastAsia="Times New Roman" w:hAnsi="Arial" w:cs="Arial"/>
          <w:noProof/>
          <w:sz w:val="23"/>
          <w:szCs w:val="23"/>
          <w:lang w:val="es-ES" w:eastAsia="es-ES"/>
        </w:rPr>
        <w:t>Esperamos haber resuelto su inquietud, y en todo caso, agradecemos</w:t>
      </w:r>
      <w:r w:rsidRPr="00306779">
        <w:rPr>
          <w:rFonts w:ascii="Arial" w:eastAsia="Times New Roman" w:hAnsi="Arial" w:cs="Arial"/>
          <w:b/>
          <w:noProof/>
          <w:sz w:val="23"/>
          <w:szCs w:val="23"/>
          <w:lang w:val="es-ES" w:eastAsia="es-ES"/>
        </w:rPr>
        <w:t xml:space="preserve"> </w:t>
      </w:r>
      <w:r w:rsidRPr="00306779">
        <w:rPr>
          <w:rFonts w:ascii="Arial" w:eastAsia="Times New Roman" w:hAnsi="Arial" w:cs="Arial"/>
          <w:noProof/>
          <w:sz w:val="23"/>
          <w:szCs w:val="23"/>
          <w:lang w:val="es-ES" w:eastAsia="es-ES"/>
        </w:rPr>
        <w:t>su contribución, pues con su pago, usted colabora con la gestión de seguridad del Departamento, gestión que mejora nuestra calidad de vida y el progreso de toda la Comunidad Valle Caucana.</w:t>
      </w:r>
    </w:p>
    <w:p w14:paraId="32AB8875" w14:textId="77777777" w:rsidR="00306779" w:rsidRPr="00306779" w:rsidRDefault="00306779" w:rsidP="00306779">
      <w:pPr>
        <w:shd w:val="clear" w:color="auto" w:fill="FFFFFF"/>
        <w:spacing w:after="0" w:line="240" w:lineRule="auto"/>
        <w:jc w:val="both"/>
        <w:rPr>
          <w:rFonts w:ascii="Arial" w:eastAsia="Times New Roman" w:hAnsi="Arial" w:cs="Arial"/>
          <w:color w:val="000000"/>
          <w:lang w:val="es-ES_tradnl" w:eastAsia="es-ES"/>
        </w:rPr>
      </w:pPr>
    </w:p>
    <w:p w14:paraId="799EBA28" w14:textId="77777777" w:rsidR="00306779" w:rsidRPr="00306779" w:rsidRDefault="00306779" w:rsidP="00306779">
      <w:pPr>
        <w:shd w:val="clear" w:color="auto" w:fill="FFFFFF"/>
        <w:spacing w:after="0" w:line="240" w:lineRule="auto"/>
        <w:jc w:val="both"/>
        <w:rPr>
          <w:rFonts w:ascii="Arial" w:eastAsia="Times New Roman" w:hAnsi="Arial" w:cs="Arial"/>
          <w:color w:val="000000"/>
          <w:sz w:val="23"/>
          <w:szCs w:val="23"/>
          <w:lang w:val="es-ES" w:eastAsia="es-ES"/>
        </w:rPr>
      </w:pPr>
      <w:r w:rsidRPr="00306779">
        <w:rPr>
          <w:rFonts w:ascii="Arial" w:eastAsia="Times New Roman" w:hAnsi="Arial" w:cs="Arial"/>
          <w:color w:val="000000"/>
          <w:sz w:val="23"/>
          <w:szCs w:val="23"/>
          <w:lang w:val="es-ES" w:eastAsia="es-ES"/>
        </w:rPr>
        <w:t>Cordialmente,</w:t>
      </w:r>
    </w:p>
    <w:p w14:paraId="59587F93" w14:textId="77777777" w:rsidR="00306779" w:rsidRPr="00306779" w:rsidRDefault="00306779" w:rsidP="00306779">
      <w:pPr>
        <w:shd w:val="clear" w:color="auto" w:fill="FFFFFF"/>
        <w:spacing w:after="0" w:line="240" w:lineRule="auto"/>
        <w:jc w:val="both"/>
        <w:rPr>
          <w:rFonts w:ascii="Arial" w:eastAsia="Times New Roman" w:hAnsi="Arial" w:cs="Arial"/>
          <w:color w:val="000000"/>
          <w:sz w:val="23"/>
          <w:szCs w:val="23"/>
          <w:lang w:val="es-ES" w:eastAsia="es-ES"/>
        </w:rPr>
      </w:pPr>
    </w:p>
    <w:p w14:paraId="30D39BAC" w14:textId="77777777" w:rsidR="00C942B5" w:rsidRDefault="00C942B5" w:rsidP="00C942B5">
      <w:pPr>
        <w:rPr>
          <w:rFonts w:ascii="Arial" w:hAnsi="Arial" w:cs="Arial"/>
        </w:rPr>
      </w:pPr>
    </w:p>
    <w:p w14:paraId="3B91F638" w14:textId="77777777" w:rsidR="00247D73" w:rsidRDefault="00247D73" w:rsidP="00C942B5">
      <w:pPr>
        <w:rPr>
          <w:rFonts w:ascii="Arial" w:hAnsi="Arial" w:cs="Arial"/>
        </w:rPr>
      </w:pPr>
    </w:p>
    <w:p w14:paraId="284C2A5F" w14:textId="77777777" w:rsidR="00247D73" w:rsidRDefault="00247D73" w:rsidP="00C942B5">
      <w:pPr>
        <w:rPr>
          <w:rFonts w:ascii="Arial" w:hAnsi="Arial" w:cs="Arial"/>
        </w:rPr>
      </w:pPr>
    </w:p>
    <w:p w14:paraId="2D8B8BCD" w14:textId="77777777" w:rsidR="00247D73" w:rsidRDefault="00247D73" w:rsidP="00C942B5">
      <w:pPr>
        <w:rPr>
          <w:rFonts w:ascii="Arial" w:hAnsi="Arial" w:cs="Arial"/>
        </w:rPr>
      </w:pPr>
    </w:p>
    <w:p w14:paraId="65C8F39A" w14:textId="77777777" w:rsidR="00C942B5" w:rsidRPr="00C942B5" w:rsidRDefault="00C942B5" w:rsidP="00F122D1">
      <w:pPr>
        <w:spacing w:after="0" w:line="240" w:lineRule="atLeast"/>
        <w:rPr>
          <w:rFonts w:ascii="Arial" w:hAnsi="Arial" w:cs="Arial"/>
        </w:rPr>
      </w:pPr>
    </w:p>
    <w:p w14:paraId="5EFEAA42" w14:textId="161CA884" w:rsidR="00C942B5" w:rsidRPr="00C942B5" w:rsidRDefault="00F122D1" w:rsidP="00F122D1">
      <w:pPr>
        <w:spacing w:after="0" w:line="240" w:lineRule="atLeast"/>
        <w:rPr>
          <w:rFonts w:ascii="Arial" w:hAnsi="Arial" w:cs="Arial"/>
        </w:rPr>
      </w:pPr>
      <w:r>
        <w:rPr>
          <w:rFonts w:ascii="Arial" w:hAnsi="Arial" w:cs="Arial"/>
        </w:rPr>
        <w:t>_________________________________________</w:t>
      </w:r>
    </w:p>
    <w:p w14:paraId="7C451850" w14:textId="191AF1C1" w:rsidR="00C942B5" w:rsidRPr="004D7F29" w:rsidRDefault="004D7F29" w:rsidP="00F122D1">
      <w:pPr>
        <w:spacing w:after="0" w:line="240" w:lineRule="atLeast"/>
        <w:rPr>
          <w:rFonts w:ascii="Arial" w:hAnsi="Arial" w:cs="Arial"/>
          <w:b/>
          <w:bCs/>
        </w:rPr>
      </w:pPr>
      <w:r w:rsidRPr="004D7F29">
        <w:rPr>
          <w:rFonts w:ascii="Arial" w:hAnsi="Arial" w:cs="Arial"/>
          <w:b/>
          <w:bCs/>
        </w:rPr>
        <w:t>GUILELRMO LONDOÑO RICAURTE</w:t>
      </w:r>
    </w:p>
    <w:p w14:paraId="01C2B292" w14:textId="0EABFA44" w:rsidR="00C942B5" w:rsidRPr="00C942B5" w:rsidRDefault="004D7F29" w:rsidP="00F122D1">
      <w:pPr>
        <w:spacing w:after="0" w:line="240" w:lineRule="atLeast"/>
        <w:rPr>
          <w:rFonts w:ascii="Arial" w:hAnsi="Arial" w:cs="Arial"/>
        </w:rPr>
      </w:pPr>
      <w:r>
        <w:rPr>
          <w:rFonts w:ascii="Arial" w:hAnsi="Arial" w:cs="Arial"/>
        </w:rPr>
        <w:t>Secretario de Convivencia y Seguridad Ciudadana</w:t>
      </w:r>
    </w:p>
    <w:p w14:paraId="3CEA500F" w14:textId="77777777" w:rsidR="00C942B5" w:rsidRPr="00C942B5" w:rsidRDefault="00C942B5" w:rsidP="00C942B5">
      <w:pPr>
        <w:spacing w:after="0" w:line="240" w:lineRule="auto"/>
        <w:rPr>
          <w:rFonts w:ascii="Arial" w:hAnsi="Arial" w:cs="Arial"/>
        </w:rPr>
      </w:pPr>
    </w:p>
    <w:p w14:paraId="0B2F1F87" w14:textId="3C03995F" w:rsidR="00C942B5" w:rsidRPr="00C942B5" w:rsidRDefault="00C942B5" w:rsidP="00C942B5">
      <w:pPr>
        <w:rPr>
          <w:rFonts w:ascii="Arial" w:hAnsi="Arial" w:cs="Arial"/>
        </w:rPr>
      </w:pPr>
      <w:r w:rsidRPr="00C942B5">
        <w:rPr>
          <w:rFonts w:ascii="Arial" w:hAnsi="Arial" w:cs="Arial"/>
        </w:rPr>
        <w:t>Copia:</w:t>
      </w:r>
      <w:r w:rsidR="002823DF">
        <w:rPr>
          <w:rFonts w:ascii="Arial" w:hAnsi="Arial" w:cs="Arial"/>
        </w:rPr>
        <w:t xml:space="preserve"> </w:t>
      </w:r>
      <w:r w:rsidR="00247D73">
        <w:rPr>
          <w:rFonts w:ascii="Arial" w:hAnsi="Arial" w:cs="Arial"/>
        </w:rPr>
        <w:t>Archivo</w:t>
      </w:r>
    </w:p>
    <w:p w14:paraId="27258F94" w14:textId="2DE0779F" w:rsidR="000F6246" w:rsidRPr="000F6246" w:rsidRDefault="004D7F29" w:rsidP="000F6246">
      <w:pPr>
        <w:spacing w:after="0" w:line="240" w:lineRule="auto"/>
        <w:rPr>
          <w:rFonts w:ascii="Arial" w:hAnsi="Arial" w:cs="Arial"/>
          <w:sz w:val="18"/>
          <w:szCs w:val="18"/>
        </w:rPr>
      </w:pPr>
      <w:r>
        <w:rPr>
          <w:rFonts w:ascii="Arial" w:hAnsi="Arial" w:cs="Arial"/>
          <w:sz w:val="18"/>
          <w:szCs w:val="18"/>
        </w:rPr>
        <w:t>Proyectó y elaboró: Ing. Ferando Benítez Montes de Oca- Profesional Especializado - Contratista</w:t>
      </w:r>
    </w:p>
    <w:p w14:paraId="6701EFD0" w14:textId="125B0F4F" w:rsidR="000F6246" w:rsidRPr="000F6246" w:rsidRDefault="000F6246" w:rsidP="000F6246">
      <w:pPr>
        <w:spacing w:after="0" w:line="240" w:lineRule="auto"/>
        <w:rPr>
          <w:rFonts w:ascii="Arial" w:hAnsi="Arial" w:cs="Arial"/>
          <w:sz w:val="18"/>
          <w:szCs w:val="18"/>
        </w:rPr>
      </w:pPr>
      <w:r w:rsidRPr="000F6246">
        <w:rPr>
          <w:rFonts w:ascii="Arial" w:hAnsi="Arial" w:cs="Arial"/>
          <w:sz w:val="18"/>
          <w:szCs w:val="18"/>
        </w:rPr>
        <w:t>Revisó:</w:t>
      </w:r>
      <w:r w:rsidR="004D7F29">
        <w:rPr>
          <w:rFonts w:ascii="Arial" w:hAnsi="Arial" w:cs="Arial"/>
          <w:sz w:val="18"/>
          <w:szCs w:val="18"/>
        </w:rPr>
        <w:t xml:space="preserve"> Diego Fernando Trujillo Cabrera- Profesional Especializado- Contratista </w:t>
      </w:r>
    </w:p>
    <w:p w14:paraId="35571F70" w14:textId="0E05AB25" w:rsidR="005D5FCF" w:rsidRPr="000F6246" w:rsidRDefault="000F6246" w:rsidP="000F6246">
      <w:pPr>
        <w:spacing w:after="0" w:line="240" w:lineRule="auto"/>
        <w:rPr>
          <w:rFonts w:ascii="Arial" w:hAnsi="Arial" w:cs="Arial"/>
          <w:sz w:val="18"/>
          <w:szCs w:val="18"/>
        </w:rPr>
      </w:pPr>
      <w:r w:rsidRPr="00247D73">
        <w:rPr>
          <w:rFonts w:ascii="Arial" w:hAnsi="Arial" w:cs="Arial"/>
          <w:sz w:val="18"/>
          <w:szCs w:val="18"/>
        </w:rPr>
        <w:t>Archívese en: (</w:t>
      </w:r>
      <w:r w:rsidR="00247D73" w:rsidRPr="00247D73">
        <w:rPr>
          <w:rFonts w:ascii="Arial" w:hAnsi="Arial" w:cs="Arial"/>
          <w:sz w:val="18"/>
          <w:szCs w:val="18"/>
        </w:rPr>
        <w:t>Carpeta Derechos de Petición – Externos)</w:t>
      </w:r>
    </w:p>
    <w:sectPr w:rsidR="005D5FCF" w:rsidRPr="000F6246" w:rsidSect="00805100">
      <w:headerReference w:type="even" r:id="rId6"/>
      <w:headerReference w:type="default" r:id="rId7"/>
      <w:headerReference w:type="first" r:id="rId8"/>
      <w:pgSz w:w="12240" w:h="15840"/>
      <w:pgMar w:top="2410" w:right="1701"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EF528" w14:textId="77777777" w:rsidR="000B7ACA" w:rsidRDefault="000B7ACA" w:rsidP="007431B3">
      <w:pPr>
        <w:spacing w:after="0" w:line="240" w:lineRule="auto"/>
      </w:pPr>
      <w:r>
        <w:separator/>
      </w:r>
    </w:p>
  </w:endnote>
  <w:endnote w:type="continuationSeparator" w:id="0">
    <w:p w14:paraId="3F4FFD2A" w14:textId="77777777" w:rsidR="000B7ACA" w:rsidRDefault="000B7ACA" w:rsidP="00743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C0942" w14:textId="77777777" w:rsidR="000B7ACA" w:rsidRDefault="000B7ACA" w:rsidP="007431B3">
      <w:pPr>
        <w:spacing w:after="0" w:line="240" w:lineRule="auto"/>
      </w:pPr>
      <w:r>
        <w:separator/>
      </w:r>
    </w:p>
  </w:footnote>
  <w:footnote w:type="continuationSeparator" w:id="0">
    <w:p w14:paraId="0AA538F3" w14:textId="77777777" w:rsidR="000B7ACA" w:rsidRDefault="000B7ACA" w:rsidP="00743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0F75" w14:textId="0BDE8BCC" w:rsidR="007431B3" w:rsidRDefault="000B7ACA">
    <w:pPr>
      <w:pStyle w:val="Encabezado"/>
    </w:pPr>
    <w:r>
      <w:rPr>
        <w:noProof/>
      </w:rPr>
      <w:pict w14:anchorId="73A5B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707454" o:spid="_x0000_s1027" type="#_x0000_t75" alt="" style="position:absolute;margin-left:0;margin-top:0;width:612.05pt;height:792.05pt;z-index:-251657216;mso-wrap-edited:f;mso-width-percent:0;mso-height-percent:0;mso-position-horizontal:center;mso-position-horizontal-relative:margin;mso-position-vertical:center;mso-position-vertical-relative:margin;mso-width-percent:0;mso-height-percent:0" o:allowincell="f">
          <v:imagedata r:id="rId1" o:title="MEMBRETE_Mesa de trabaj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2C242" w14:textId="546F2E43" w:rsidR="007431B3" w:rsidRDefault="006A4CF3" w:rsidP="007431B3">
    <w:pPr>
      <w:pStyle w:val="Encabezado"/>
    </w:pPr>
    <w:r w:rsidRPr="00DF6863">
      <w:rPr>
        <w:noProof/>
      </w:rPr>
      <w:drawing>
        <wp:anchor distT="0" distB="0" distL="114300" distR="114300" simplePos="0" relativeHeight="251662336" behindDoc="0" locked="0" layoutInCell="1" allowOverlap="1" wp14:anchorId="484EA1AC" wp14:editId="078F07A8">
          <wp:simplePos x="0" y="0"/>
          <wp:positionH relativeFrom="column">
            <wp:posOffset>1035177</wp:posOffset>
          </wp:positionH>
          <wp:positionV relativeFrom="paragraph">
            <wp:posOffset>-195580</wp:posOffset>
          </wp:positionV>
          <wp:extent cx="4089114" cy="1044134"/>
          <wp:effectExtent l="0" t="0" r="635"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089114" cy="1044134"/>
                  </a:xfrm>
                  <a:prstGeom prst="rect">
                    <a:avLst/>
                  </a:prstGeom>
                </pic:spPr>
              </pic:pic>
            </a:graphicData>
          </a:graphic>
          <wp14:sizeRelH relativeFrom="page">
            <wp14:pctWidth>0</wp14:pctWidth>
          </wp14:sizeRelH>
          <wp14:sizeRelV relativeFrom="page">
            <wp14:pctHeight>0</wp14:pctHeight>
          </wp14:sizeRelV>
        </wp:anchor>
      </w:drawing>
    </w:r>
    <w:r w:rsidR="000B7ACA">
      <w:rPr>
        <w:noProof/>
      </w:rPr>
      <w:pict w14:anchorId="68333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707455" o:spid="_x0000_s1026" type="#_x0000_t75" alt="" style="position:absolute;margin-left:-73.9pt;margin-top:16pt;width:612.05pt;height:670.55pt;z-index:-251656192;mso-wrap-edited:f;mso-width-percent:0;mso-height-percent:0;mso-position-horizontal-relative:margin;mso-position-vertical-relative:margin;mso-width-percent:0;mso-height-percent:0" o:allowincell="f">
          <v:imagedata r:id="rId2" o:title="MEMBRETE_Mesa de trabajo 1" croptop="10054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20A9" w14:textId="0F7BB562" w:rsidR="007431B3" w:rsidRDefault="000B7ACA">
    <w:pPr>
      <w:pStyle w:val="Encabezado"/>
    </w:pPr>
    <w:r>
      <w:rPr>
        <w:noProof/>
      </w:rPr>
      <w:pict w14:anchorId="17EA2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707453" o:spid="_x0000_s1025" type="#_x0000_t75" alt="" style="position:absolute;margin-left:0;margin-top:0;width:612.05pt;height:792.05pt;z-index:-251658240;mso-wrap-edited:f;mso-width-percent:0;mso-height-percent:0;mso-position-horizontal:center;mso-position-horizontal-relative:margin;mso-position-vertical:center;mso-position-vertical-relative:margin;mso-width-percent:0;mso-height-percent:0" o:allowincell="f">
          <v:imagedata r:id="rId1" o:title="MEMBRETE_Mesa de trabajo 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1B3"/>
    <w:rsid w:val="00076BEC"/>
    <w:rsid w:val="000B7ACA"/>
    <w:rsid w:val="000F6246"/>
    <w:rsid w:val="00126B75"/>
    <w:rsid w:val="001C1E09"/>
    <w:rsid w:val="001E1D1E"/>
    <w:rsid w:val="002117D3"/>
    <w:rsid w:val="00247D73"/>
    <w:rsid w:val="0025589A"/>
    <w:rsid w:val="002823DF"/>
    <w:rsid w:val="002D6EC3"/>
    <w:rsid w:val="00306779"/>
    <w:rsid w:val="00314781"/>
    <w:rsid w:val="00355410"/>
    <w:rsid w:val="00456AC5"/>
    <w:rsid w:val="004A7D1D"/>
    <w:rsid w:val="004D7F29"/>
    <w:rsid w:val="00510840"/>
    <w:rsid w:val="00516917"/>
    <w:rsid w:val="00517AFA"/>
    <w:rsid w:val="005639AC"/>
    <w:rsid w:val="005A63AC"/>
    <w:rsid w:val="005D5FCF"/>
    <w:rsid w:val="00645B07"/>
    <w:rsid w:val="006865E5"/>
    <w:rsid w:val="006A4CF3"/>
    <w:rsid w:val="006B07D1"/>
    <w:rsid w:val="00737525"/>
    <w:rsid w:val="007431B3"/>
    <w:rsid w:val="007D17F7"/>
    <w:rsid w:val="00805100"/>
    <w:rsid w:val="0083151C"/>
    <w:rsid w:val="008A01DB"/>
    <w:rsid w:val="008A22A7"/>
    <w:rsid w:val="008C05AB"/>
    <w:rsid w:val="00981863"/>
    <w:rsid w:val="00AA72F5"/>
    <w:rsid w:val="00AB4F09"/>
    <w:rsid w:val="00B537D3"/>
    <w:rsid w:val="00B953D1"/>
    <w:rsid w:val="00BC7A62"/>
    <w:rsid w:val="00C30FF6"/>
    <w:rsid w:val="00C61E06"/>
    <w:rsid w:val="00C942B5"/>
    <w:rsid w:val="00CF3D04"/>
    <w:rsid w:val="00D45AFB"/>
    <w:rsid w:val="00D512D3"/>
    <w:rsid w:val="00EC5B76"/>
    <w:rsid w:val="00F122D1"/>
    <w:rsid w:val="00F4020E"/>
    <w:rsid w:val="00F931B8"/>
    <w:rsid w:val="00FA67B7"/>
    <w:rsid w:val="00FD3A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589E"/>
  <w15:chartTrackingRefBased/>
  <w15:docId w15:val="{FB74A507-4B1A-4736-AC3E-61BB04312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431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31B3"/>
  </w:style>
  <w:style w:type="paragraph" w:styleId="Piedepgina">
    <w:name w:val="footer"/>
    <w:basedOn w:val="Normal"/>
    <w:link w:val="PiedepginaCar"/>
    <w:uiPriority w:val="99"/>
    <w:unhideWhenUsed/>
    <w:rsid w:val="007431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31B3"/>
  </w:style>
  <w:style w:type="table" w:styleId="Tablaconcuadrcula">
    <w:name w:val="Table Grid"/>
    <w:basedOn w:val="Tablanormal"/>
    <w:uiPriority w:val="39"/>
    <w:rsid w:val="00306779"/>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06779"/>
    <w:rPr>
      <w:color w:val="0563C1" w:themeColor="hyperlink"/>
      <w:u w:val="single"/>
    </w:rPr>
  </w:style>
  <w:style w:type="character" w:styleId="Mencinsinresolver">
    <w:name w:val="Unresolved Mention"/>
    <w:basedOn w:val="Fuentedeprrafopredeter"/>
    <w:uiPriority w:val="99"/>
    <w:semiHidden/>
    <w:unhideWhenUsed/>
    <w:rsid w:val="00306779"/>
    <w:rPr>
      <w:color w:val="605E5C"/>
      <w:shd w:val="clear" w:color="auto" w:fill="E1DFDD"/>
    </w:rPr>
  </w:style>
  <w:style w:type="paragraph" w:styleId="NormalWeb">
    <w:name w:val="Normal (Web)"/>
    <w:basedOn w:val="Normal"/>
    <w:uiPriority w:val="99"/>
    <w:semiHidden/>
    <w:unhideWhenUsed/>
    <w:rsid w:val="00C30FF6"/>
    <w:pPr>
      <w:spacing w:before="100" w:beforeAutospacing="1" w:after="100" w:afterAutospacing="1" w:line="240" w:lineRule="auto"/>
    </w:pPr>
    <w:rPr>
      <w:rFonts w:ascii="Times New Roman" w:eastAsia="Times New Roman" w:hAnsi="Times New Roman" w:cs="Times New Roman"/>
      <w:sz w:val="24"/>
      <w:szCs w:val="24"/>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1625</Words>
  <Characters>8552</Characters>
  <Application>Microsoft Office Word</Application>
  <DocSecurity>0</DocSecurity>
  <Lines>208</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andres patiño zapata</dc:creator>
  <cp:keywords/>
  <dc:description/>
  <cp:lastModifiedBy>FERNANDO BENITEZ</cp:lastModifiedBy>
  <cp:revision>2</cp:revision>
  <cp:lastPrinted>2024-04-29T14:29:00Z</cp:lastPrinted>
  <dcterms:created xsi:type="dcterms:W3CDTF">2026-05-20T04:03:00Z</dcterms:created>
  <dcterms:modified xsi:type="dcterms:W3CDTF">2026-05-20T04:03:00Z</dcterms:modified>
</cp:coreProperties>
</file>