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6B4AA449" w:rsidR="00A75D9C" w:rsidRPr="00D23BA9" w:rsidRDefault="16AAF97D" w:rsidP="00A75D9C">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930CE4"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ES_tradnl"/>
        </w:rPr>
      </w:pPr>
      <w:r w:rsidRPr="00930CE4">
        <w:rPr>
          <w:rFonts w:ascii="Verdana" w:hAnsi="Verdana" w:cs="Arial"/>
          <w:b/>
          <w:bCs/>
          <w:sz w:val="22"/>
          <w:szCs w:val="22"/>
          <w:lang w:val="es-ES_tradnl"/>
        </w:rPr>
        <w:t xml:space="preserve">Aportes Legales: </w:t>
      </w:r>
      <w:r w:rsidR="00187A52" w:rsidRPr="00930CE4">
        <w:rPr>
          <w:rFonts w:ascii="Verdana" w:hAnsi="Verdana" w:cs="Arial"/>
          <w:sz w:val="22"/>
          <w:szCs w:val="22"/>
          <w:lang w:val="es-ES_tradnl"/>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930CE4">
        <w:rPr>
          <w:rFonts w:ascii="Verdana" w:hAnsi="Verdana" w:cs="Arial"/>
          <w:sz w:val="22"/>
          <w:szCs w:val="22"/>
          <w:lang w:val="es-ES_tradnl"/>
        </w:rPr>
        <w:t>.</w:t>
      </w:r>
      <w:r w:rsidRPr="00930CE4">
        <w:rPr>
          <w:rFonts w:ascii="Verdana" w:hAnsi="Verdana" w:cs="Arial"/>
          <w:b/>
          <w:bCs/>
          <w:sz w:val="22"/>
          <w:szCs w:val="22"/>
          <w:lang w:val="es-ES_tradnl"/>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930CE4"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_tradnl"/>
        </w:rPr>
      </w:pPr>
      <w:r w:rsidRPr="00930CE4">
        <w:rPr>
          <w:rFonts w:ascii="Verdana" w:hAnsi="Verdana" w:cs="Arial"/>
          <w:b/>
          <w:bCs/>
          <w:sz w:val="22"/>
          <w:szCs w:val="22"/>
          <w:lang w:val="es-ES_tradnl"/>
        </w:rPr>
        <w:t>Pliego de Condiciones Tipo</w:t>
      </w:r>
      <w:r w:rsidRPr="00930CE4">
        <w:rPr>
          <w:rFonts w:ascii="Verdana" w:hAnsi="Verdana" w:cs="Arial"/>
          <w:sz w:val="22"/>
          <w:szCs w:val="22"/>
          <w:lang w:val="es-ES_tradnl"/>
        </w:rPr>
        <w:t xml:space="preserve">: </w:t>
      </w:r>
      <w:r w:rsidR="4A5593C6" w:rsidRPr="00930CE4">
        <w:rPr>
          <w:rFonts w:ascii="Verdana" w:hAnsi="Verdana" w:cs="Arial"/>
          <w:sz w:val="22"/>
          <w:szCs w:val="22"/>
          <w:lang w:val="es-ES_tradnl"/>
        </w:rPr>
        <w:t xml:space="preserve">Documento estructurado, actualizado y publicado por </w:t>
      </w:r>
      <w:r w:rsidR="1AA8A239" w:rsidRPr="00930CE4">
        <w:rPr>
          <w:rFonts w:ascii="Verdana" w:hAnsi="Verdana" w:cs="Arial"/>
          <w:sz w:val="22"/>
          <w:szCs w:val="22"/>
          <w:lang w:val="es-ES_tradnl"/>
        </w:rPr>
        <w:t xml:space="preserve">la Agencia Nacional de Contratación </w:t>
      </w:r>
      <w:r w:rsidR="180DE065" w:rsidRPr="00930CE4">
        <w:rPr>
          <w:rFonts w:ascii="Verdana" w:hAnsi="Verdana" w:cs="Arial"/>
          <w:sz w:val="22"/>
          <w:szCs w:val="22"/>
          <w:lang w:val="es-ES_tradnl"/>
        </w:rPr>
        <w:t xml:space="preserve">Pública - </w:t>
      </w:r>
      <w:r w:rsidR="4A5593C6" w:rsidRPr="00930CE4">
        <w:rPr>
          <w:rFonts w:ascii="Verdana" w:hAnsi="Verdana" w:cs="Arial"/>
          <w:sz w:val="22"/>
          <w:szCs w:val="22"/>
          <w:lang w:val="es-ES_tradnl"/>
        </w:rPr>
        <w:t>Colombia Compra Eficiente que incorpora las condiciones habilitantes, requisitos de puntaje y demás aspectos señalados en el artículo 1 de la Ley 2022 de 2020</w:t>
      </w:r>
      <w:r w:rsidRPr="00930CE4">
        <w:rPr>
          <w:rFonts w:ascii="Verdana" w:hAnsi="Verdana" w:cs="Arial"/>
          <w:sz w:val="22"/>
          <w:szCs w:val="22"/>
          <w:lang w:val="es-ES_tradnl"/>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0427E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 xml:space="preserve">Dícese de la técnica empleada para una mayor compactación y homogeneidad de material, mediante la extracción del aire, con la utilización de aparatos vibradores movidos por combustible o energía </w:t>
      </w:r>
      <w:r w:rsidRPr="000427E9">
        <w:rPr>
          <w:rFonts w:ascii="Verdana" w:eastAsia="Arial" w:hAnsi="Verdana" w:cs="Arial"/>
          <w:sz w:val="22"/>
          <w:szCs w:val="22"/>
          <w:lang w:val="es-ES"/>
        </w:rPr>
        <w:t>eléctrica.</w:t>
      </w:r>
    </w:p>
    <w:p w14:paraId="6AE585B3" w14:textId="77777777" w:rsidR="00A767B6" w:rsidRPr="000427E9" w:rsidRDefault="00A767B6" w:rsidP="00D23BA9">
      <w:pPr>
        <w:pStyle w:val="Prrafodelista"/>
        <w:spacing w:after="240"/>
        <w:ind w:left="851" w:hanging="851"/>
        <w:jc w:val="both"/>
        <w:rPr>
          <w:rFonts w:ascii="Verdana" w:eastAsia="Arial" w:hAnsi="Verdana" w:cs="Arial"/>
          <w:sz w:val="22"/>
          <w:szCs w:val="22"/>
          <w:lang w:val="es-ES"/>
        </w:rPr>
      </w:pPr>
    </w:p>
    <w:p w14:paraId="4124FF82" w14:textId="50CA48D0"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0427E9">
        <w:rPr>
          <w:rFonts w:ascii="Verdana" w:eastAsia="Arial" w:hAnsi="Verdana" w:cs="Arial"/>
          <w:b/>
          <w:bCs/>
          <w:sz w:val="22"/>
          <w:szCs w:val="22"/>
          <w:lang w:val="es-ES"/>
        </w:rPr>
        <w:t xml:space="preserve">Urbanismo: </w:t>
      </w:r>
      <w:r w:rsidRPr="000427E9">
        <w:rPr>
          <w:rFonts w:ascii="Verdana" w:eastAsia="Arial" w:hAnsi="Verdana" w:cs="Arial"/>
          <w:sz w:val="22"/>
          <w:szCs w:val="22"/>
          <w:lang w:val="es-ES"/>
        </w:rPr>
        <w:t>Constituye la organización u ordenación de las edificaciones y los espacios de una ciudad acorde con un marco normativo vigente aplicable. Es por tant</w:t>
      </w:r>
      <w:r w:rsidRPr="00D23BA9">
        <w:rPr>
          <w:rFonts w:ascii="Verdana" w:eastAsia="Arial" w:hAnsi="Verdana" w:cs="Arial"/>
          <w:sz w:val="22"/>
          <w:szCs w:val="22"/>
          <w:lang w:val="es-ES"/>
        </w:rPr>
        <w: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w:t>
      </w:r>
      <w:r w:rsidRPr="00D23BA9">
        <w:rPr>
          <w:rFonts w:ascii="Verdana" w:hAnsi="Verdana" w:cstheme="minorHAnsi"/>
          <w:sz w:val="22"/>
          <w:szCs w:val="22"/>
          <w:lang w:val="es-ES"/>
        </w:rPr>
        <w:lastRenderedPageBreak/>
        <w:t>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w:t>
      </w:r>
      <w:r w:rsidR="564B3A39" w:rsidRPr="00D23BA9">
        <w:rPr>
          <w:rFonts w:ascii="Verdana" w:eastAsiaTheme="minorEastAsia" w:hAnsi="Verdana" w:cstheme="minorBidi"/>
          <w:sz w:val="22"/>
          <w:szCs w:val="22"/>
          <w:lang w:val="es-ES" w:eastAsia="es-ES"/>
        </w:rPr>
        <w:lastRenderedPageBreak/>
        <w:t xml:space="preserve">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 xml:space="preserve">Son los índices que determinan la intervención máxima requerida para la construcción o adecuación de edificaciones en el suelo rural, en función de racionalizar la </w:t>
      </w:r>
      <w:r w:rsidRPr="00D23BA9">
        <w:rPr>
          <w:rFonts w:ascii="Verdana" w:eastAsiaTheme="minorEastAsia" w:hAnsi="Verdana" w:cstheme="minorHAnsi"/>
          <w:sz w:val="22"/>
          <w:szCs w:val="22"/>
          <w:lang w:val="es-ES" w:eastAsia="es-ES"/>
        </w:rPr>
        <w:lastRenderedPageBreak/>
        <w:t>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w:t>
      </w:r>
      <w:r w:rsidRPr="00D23BA9">
        <w:rPr>
          <w:rFonts w:ascii="Verdana" w:hAnsi="Verdana" w:cstheme="minorHAnsi"/>
          <w:sz w:val="22"/>
          <w:szCs w:val="22"/>
          <w:lang w:val="es-ES"/>
        </w:rPr>
        <w:lastRenderedPageBreak/>
        <w:t>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xml:space="preserve">, tales como: tribunales, juzgados, Fiscalía, Cuerpo Técnico de Investigación (CTI), DECYPOL, cárceles, Palacio de Justicia, Palacio nacional, defensorías de </w:t>
      </w:r>
      <w:r w:rsidRPr="00D23BA9">
        <w:rPr>
          <w:rFonts w:ascii="Verdana" w:eastAsiaTheme="minorEastAsia" w:hAnsi="Verdana" w:cstheme="minorBidi"/>
          <w:sz w:val="22"/>
          <w:szCs w:val="22"/>
          <w:lang w:eastAsia="es-ES"/>
        </w:rPr>
        <w:lastRenderedPageBreak/>
        <w:t>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w:t>
      </w:r>
      <w:r w:rsidRPr="00D23BA9">
        <w:rPr>
          <w:rFonts w:ascii="Verdana" w:hAnsi="Verdana" w:cstheme="minorHAnsi"/>
          <w:sz w:val="22"/>
          <w:szCs w:val="22"/>
          <w:lang w:val="es-ES"/>
        </w:rPr>
        <w:lastRenderedPageBreak/>
        <w:t>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w:t>
      </w:r>
      <w:r w:rsidRPr="00D23BA9">
        <w:rPr>
          <w:rFonts w:ascii="Verdana" w:eastAsiaTheme="minorEastAsia" w:hAnsi="Verdana" w:cstheme="minorHAnsi"/>
          <w:sz w:val="22"/>
          <w:szCs w:val="22"/>
          <w:lang w:val="es-ES" w:eastAsia="es-ES"/>
        </w:rPr>
        <w:lastRenderedPageBreak/>
        <w:t>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w:t>
      </w:r>
      <w:r w:rsidRPr="00D23BA9">
        <w:rPr>
          <w:rFonts w:ascii="Verdana" w:eastAsiaTheme="minorEastAsia" w:hAnsi="Verdana" w:cstheme="minorHAnsi"/>
          <w:sz w:val="22"/>
          <w:szCs w:val="22"/>
          <w:lang w:val="es-ES" w:eastAsia="es-ES"/>
        </w:rPr>
        <w:lastRenderedPageBreak/>
        <w:t>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xml:space="preserve"> Parques en los que entre el 1% y el 30% de área está destinada a la recreación activa, permitiendo </w:t>
      </w:r>
      <w:r w:rsidRPr="00D23BA9">
        <w:rPr>
          <w:rFonts w:ascii="Verdana" w:hAnsi="Verdana" w:cstheme="minorHAnsi"/>
          <w:sz w:val="22"/>
          <w:szCs w:val="22"/>
          <w:lang w:val="es-ES"/>
        </w:rPr>
        <w:lastRenderedPageBreak/>
        <w:t>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w:t>
      </w:r>
      <w:r w:rsidRPr="00D23BA9">
        <w:rPr>
          <w:rFonts w:ascii="Verdana" w:hAnsi="Verdana" w:cstheme="minorHAnsi"/>
          <w:sz w:val="22"/>
          <w:szCs w:val="22"/>
          <w:lang w:val="es-ES"/>
        </w:rPr>
        <w:lastRenderedPageBreak/>
        <w:t>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lastRenderedPageBreak/>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w:t>
      </w:r>
      <w:r w:rsidRPr="00D23BA9">
        <w:rPr>
          <w:rFonts w:ascii="Verdana" w:eastAsiaTheme="minorEastAsia" w:hAnsi="Verdana" w:cstheme="minorHAnsi"/>
          <w:sz w:val="22"/>
          <w:szCs w:val="22"/>
          <w:lang w:eastAsia="es-ES"/>
        </w:rPr>
        <w:lastRenderedPageBreak/>
        <w:t>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dependiendo </w:t>
      </w:r>
      <w:r w:rsidRPr="00D23BA9">
        <w:rPr>
          <w:rFonts w:ascii="Verdana" w:eastAsiaTheme="minorEastAsia" w:hAnsi="Verdana" w:cstheme="minorHAnsi"/>
          <w:sz w:val="22"/>
          <w:szCs w:val="22"/>
          <w:lang w:eastAsia="es-ES"/>
        </w:rPr>
        <w:lastRenderedPageBreak/>
        <w:t>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5ABFE" w14:textId="77777777" w:rsidR="007F17AF" w:rsidRDefault="007F17AF" w:rsidP="004F2C35">
      <w:r>
        <w:separator/>
      </w:r>
    </w:p>
  </w:endnote>
  <w:endnote w:type="continuationSeparator" w:id="0">
    <w:p w14:paraId="5D7140B8" w14:textId="77777777" w:rsidR="007F17AF" w:rsidRDefault="007F17AF" w:rsidP="004F2C35">
      <w:r>
        <w:continuationSeparator/>
      </w:r>
    </w:p>
  </w:endnote>
  <w:endnote w:type="continuationNotice" w:id="1">
    <w:p w14:paraId="377BD409" w14:textId="77777777" w:rsidR="007F17AF" w:rsidRDefault="007F17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BD74122" w:rsidR="000B19F2" w:rsidRDefault="00930CE4">
    <w:pPr>
      <w:pStyle w:val="Piedepgina"/>
      <w:jc w:val="right"/>
    </w:pPr>
    <w:r>
      <w:rPr>
        <w:noProof/>
      </w:rPr>
      <w:drawing>
        <wp:anchor distT="0" distB="0" distL="114300" distR="114300" simplePos="0" relativeHeight="251659264" behindDoc="1" locked="0" layoutInCell="1" allowOverlap="1" wp14:anchorId="0BEAAE84" wp14:editId="00B7FAFB">
          <wp:simplePos x="0" y="0"/>
          <wp:positionH relativeFrom="column">
            <wp:posOffset>-1056450</wp:posOffset>
          </wp:positionH>
          <wp:positionV relativeFrom="paragraph">
            <wp:posOffset>22860</wp:posOffset>
          </wp:positionV>
          <wp:extent cx="5612130" cy="1007745"/>
          <wp:effectExtent l="0" t="0" r="7620" b="1905"/>
          <wp:wrapNone/>
          <wp:docPr id="1753263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92231" name="Imagen 2130692231"/>
                  <pic:cNvPicPr/>
                </pic:nvPicPr>
                <pic:blipFill>
                  <a:blip r:embed="rId1">
                    <a:extLst>
                      <a:ext uri="{28A0092B-C50C-407E-A947-70E740481C1C}">
                        <a14:useLocalDpi xmlns:a14="http://schemas.microsoft.com/office/drawing/2010/main" val="0"/>
                      </a:ext>
                    </a:extLst>
                  </a:blip>
                  <a:stretch>
                    <a:fillRect/>
                  </a:stretch>
                </pic:blipFill>
                <pic:spPr>
                  <a:xfrm>
                    <a:off x="0" y="0"/>
                    <a:ext cx="5612130" cy="1007745"/>
                  </a:xfrm>
                  <a:prstGeom prst="rect">
                    <a:avLst/>
                  </a:prstGeom>
                </pic:spPr>
              </pic:pic>
            </a:graphicData>
          </a:graphic>
          <wp14:sizeRelH relativeFrom="page">
            <wp14:pctWidth>0</wp14:pctWidth>
          </wp14:sizeRelH>
          <wp14:sizeRelV relativeFrom="page">
            <wp14:pctHeight>0</wp14:pctHeight>
          </wp14:sizeRelV>
        </wp:anchor>
      </w:drawing>
    </w: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D5CE8" w14:textId="77777777" w:rsidR="007F17AF" w:rsidRDefault="007F17AF" w:rsidP="004F2C35">
      <w:r>
        <w:separator/>
      </w:r>
    </w:p>
  </w:footnote>
  <w:footnote w:type="continuationSeparator" w:id="0">
    <w:p w14:paraId="3A0E752F" w14:textId="77777777" w:rsidR="007F17AF" w:rsidRDefault="007F17AF" w:rsidP="004F2C35">
      <w:r>
        <w:continuationSeparator/>
      </w:r>
    </w:p>
  </w:footnote>
  <w:footnote w:type="continuationNotice" w:id="1">
    <w:p w14:paraId="7141BC15" w14:textId="77777777" w:rsidR="007F17AF" w:rsidRDefault="007F17A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792868447">
    <w:abstractNumId w:val="2"/>
  </w:num>
  <w:num w:numId="2" w16cid:durableId="519053926">
    <w:abstractNumId w:val="5"/>
  </w:num>
  <w:num w:numId="3" w16cid:durableId="966936256">
    <w:abstractNumId w:val="11"/>
  </w:num>
  <w:num w:numId="4" w16cid:durableId="360279329">
    <w:abstractNumId w:val="7"/>
  </w:num>
  <w:num w:numId="5" w16cid:durableId="1561863444">
    <w:abstractNumId w:val="15"/>
  </w:num>
  <w:num w:numId="6" w16cid:durableId="816149833">
    <w:abstractNumId w:val="9"/>
  </w:num>
  <w:num w:numId="7" w16cid:durableId="678772715">
    <w:abstractNumId w:val="12"/>
  </w:num>
  <w:num w:numId="8" w16cid:durableId="976254081">
    <w:abstractNumId w:val="0"/>
  </w:num>
  <w:num w:numId="9" w16cid:durableId="1984774006">
    <w:abstractNumId w:val="8"/>
  </w:num>
  <w:num w:numId="10" w16cid:durableId="1834450524">
    <w:abstractNumId w:val="13"/>
  </w:num>
  <w:num w:numId="11" w16cid:durableId="2061439837">
    <w:abstractNumId w:val="14"/>
  </w:num>
  <w:num w:numId="12" w16cid:durableId="945428405">
    <w:abstractNumId w:val="4"/>
  </w:num>
  <w:num w:numId="13" w16cid:durableId="1881094029">
    <w:abstractNumId w:val="3"/>
  </w:num>
  <w:num w:numId="14" w16cid:durableId="1325088478">
    <w:abstractNumId w:val="10"/>
  </w:num>
  <w:num w:numId="15" w16cid:durableId="1012099588">
    <w:abstractNumId w:val="1"/>
  </w:num>
  <w:num w:numId="16" w16cid:durableId="173658128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27E9"/>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1AB0"/>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2662"/>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7A"/>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17AF"/>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2FBB"/>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0CE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5D9C"/>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AE"/>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36DB"/>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3ED1"/>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67</Pages>
  <Words>23715</Words>
  <Characters>130438</Characters>
  <Application>Microsoft Office Word</Application>
  <DocSecurity>0</DocSecurity>
  <Lines>1086</Lines>
  <Paragraphs>307</Paragraphs>
  <ScaleCrop>false</ScaleCrop>
  <Company/>
  <LinksUpToDate>false</LinksUpToDate>
  <CharactersWithSpaces>153846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Jorge David Gonzalez</cp:lastModifiedBy>
  <cp:revision>129</cp:revision>
  <cp:lastPrinted>2022-06-28T19:25:00Z</cp:lastPrinted>
  <dcterms:created xsi:type="dcterms:W3CDTF">2024-06-06T15:04:00Z</dcterms:created>
  <dcterms:modified xsi:type="dcterms:W3CDTF">2026-07-01T22:32:00Z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