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4A1C2" w14:textId="77777777" w:rsidR="00311E6F" w:rsidRPr="00311E6F" w:rsidRDefault="00311E6F" w:rsidP="00311E6F">
      <w:pPr>
        <w:spacing w:before="100" w:beforeAutospacing="1" w:after="100" w:afterAutospacing="1" w:line="240" w:lineRule="auto"/>
        <w:jc w:val="center"/>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E.S.E. HOSPITAL SAN FRANCISCO DE ASÍS DE PALERMO – HUILA</w:t>
      </w:r>
    </w:p>
    <w:p w14:paraId="2A9E601A" w14:textId="0C89340D" w:rsidR="00311E6F" w:rsidRPr="00311E6F" w:rsidRDefault="00311E6F" w:rsidP="00311E6F">
      <w:pPr>
        <w:spacing w:before="100" w:beforeAutospacing="1" w:after="100" w:afterAutospacing="1" w:line="240" w:lineRule="auto"/>
        <w:jc w:val="center"/>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ADENDA No. 0</w:t>
      </w:r>
      <w:r w:rsidR="001A45E8">
        <w:rPr>
          <w:rFonts w:ascii="Times New Roman" w:eastAsia="Times New Roman" w:hAnsi="Times New Roman" w:cs="Times New Roman"/>
          <w:b/>
          <w:bCs/>
          <w:kern w:val="0"/>
          <w:lang w:eastAsia="es-CO"/>
          <w14:ligatures w14:val="none"/>
        </w:rPr>
        <w:t>2</w:t>
      </w:r>
      <w:r w:rsidRPr="00311E6F">
        <w:rPr>
          <w:rFonts w:ascii="Times New Roman" w:eastAsia="Times New Roman" w:hAnsi="Times New Roman" w:cs="Times New Roman"/>
          <w:kern w:val="0"/>
          <w:lang w:eastAsia="es-CO"/>
          <w14:ligatures w14:val="none"/>
        </w:rPr>
        <w:br/>
      </w:r>
      <w:r w:rsidRPr="00311E6F">
        <w:rPr>
          <w:rFonts w:ascii="Times New Roman" w:eastAsia="Times New Roman" w:hAnsi="Times New Roman" w:cs="Times New Roman"/>
          <w:b/>
          <w:bCs/>
          <w:kern w:val="0"/>
          <w:lang w:eastAsia="es-CO"/>
          <w14:ligatures w14:val="none"/>
        </w:rPr>
        <w:t>CONVOCATORIA PÚBLICA No. 001 DE 2026</w:t>
      </w:r>
    </w:p>
    <w:p w14:paraId="18D98A02" w14:textId="77777777" w:rsidR="00311E6F" w:rsidRPr="00311E6F" w:rsidRDefault="00311E6F" w:rsidP="00311E6F">
      <w:pPr>
        <w:spacing w:before="100" w:beforeAutospacing="1" w:after="100" w:afterAutospacing="1" w:line="240" w:lineRule="auto"/>
        <w:jc w:val="center"/>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"POR MEDIO DE LA CUAL SE MODIFICAN LOS TÉRMINOS DE REFERENCIA DEFINITIVOS DE LA CONVOCATORIA PÚBLICA No. 001 DE 2026"</w:t>
      </w:r>
    </w:p>
    <w:p w14:paraId="6C9029EB" w14:textId="77777777" w:rsidR="00311E6F" w:rsidRPr="00311E6F" w:rsidRDefault="00311E6F" w:rsidP="00311E6F">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El Gerente de la E.S.E. Hospital San Francisco de Asís de Palermo – Huila, en ejercicio de las facultades legales y estatutarias, en especial las conferidas por el Acuerdo No. 017 de 2024 – Manual de Contratación de la Entidad,</w:t>
      </w:r>
    </w:p>
    <w:p w14:paraId="71A5093D" w14:textId="77777777" w:rsidR="00311E6F" w:rsidRPr="00311E6F" w:rsidRDefault="00311E6F" w:rsidP="00311E6F">
      <w:pPr>
        <w:spacing w:before="100" w:beforeAutospacing="1" w:after="100" w:afterAutospacing="1" w:line="240" w:lineRule="auto"/>
        <w:jc w:val="center"/>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CONSIDERANDO</w:t>
      </w:r>
    </w:p>
    <w:p w14:paraId="63606683" w14:textId="77777777" w:rsidR="00311E6F" w:rsidRPr="00311E6F" w:rsidRDefault="00311E6F" w:rsidP="00311E6F">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Que mediante Resolución Administrativa No. 108 de 2026 se ordenó la apertura de la Convocatoria Pública No. 001 de 2026, cuyo objeto consiste en la </w:t>
      </w:r>
      <w:r w:rsidRPr="00311E6F">
        <w:rPr>
          <w:rFonts w:ascii="Times New Roman" w:eastAsia="Times New Roman" w:hAnsi="Times New Roman" w:cs="Times New Roman"/>
          <w:b/>
          <w:bCs/>
          <w:kern w:val="0"/>
          <w:lang w:eastAsia="es-CO"/>
          <w14:ligatures w14:val="none"/>
        </w:rPr>
        <w:t>"Adquisición de elementos de equipos biomédicos para la ejecución de las actividades a cargo de los Equipos Básicos de Salud de la E.S.E. Hospital San Francisco de Asís de Palermo – Huila".</w:t>
      </w:r>
    </w:p>
    <w:p w14:paraId="32CB53BA" w14:textId="77777777" w:rsidR="00813834" w:rsidRDefault="00311E6F" w:rsidP="00311E6F">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Que </w:t>
      </w:r>
      <w:r>
        <w:rPr>
          <w:rFonts w:ascii="Times New Roman" w:eastAsia="Times New Roman" w:hAnsi="Times New Roman" w:cs="Times New Roman"/>
          <w:kern w:val="0"/>
          <w:lang w:eastAsia="es-CO"/>
          <w14:ligatures w14:val="none"/>
        </w:rPr>
        <w:t>previo al</w:t>
      </w:r>
      <w:r w:rsidRPr="00311E6F">
        <w:rPr>
          <w:rFonts w:ascii="Times New Roman" w:eastAsia="Times New Roman" w:hAnsi="Times New Roman" w:cs="Times New Roman"/>
          <w:kern w:val="0"/>
          <w:lang w:eastAsia="es-CO"/>
          <w14:ligatures w14:val="none"/>
        </w:rPr>
        <w:t xml:space="preserve"> término establecido para </w:t>
      </w:r>
      <w:r>
        <w:rPr>
          <w:rFonts w:ascii="Times New Roman" w:eastAsia="Times New Roman" w:hAnsi="Times New Roman" w:cs="Times New Roman"/>
          <w:kern w:val="0"/>
          <w:lang w:eastAsia="es-CO"/>
          <w14:ligatures w14:val="none"/>
        </w:rPr>
        <w:t xml:space="preserve">presentar propuestas – cierre de la convocatoria - </w:t>
      </w:r>
      <w:r w:rsidRPr="00311E6F">
        <w:rPr>
          <w:rFonts w:ascii="Times New Roman" w:eastAsia="Times New Roman" w:hAnsi="Times New Roman" w:cs="Times New Roman"/>
          <w:kern w:val="0"/>
          <w:lang w:eastAsia="es-CO"/>
          <w14:ligatures w14:val="none"/>
        </w:rPr>
        <w:t xml:space="preserve">Definitivos fueron radicadas observaciones por la sociedad </w:t>
      </w:r>
      <w:r w:rsidRPr="00311E6F">
        <w:rPr>
          <w:rFonts w:ascii="Times New Roman" w:eastAsia="Times New Roman" w:hAnsi="Times New Roman" w:cs="Times New Roman"/>
          <w:b/>
          <w:bCs/>
          <w:kern w:val="0"/>
          <w:lang w:eastAsia="es-CO"/>
          <w14:ligatures w14:val="none"/>
        </w:rPr>
        <w:t>GRUPO DALAS S.A.S.</w:t>
      </w:r>
      <w:r w:rsidRPr="00311E6F">
        <w:rPr>
          <w:rFonts w:ascii="Times New Roman" w:eastAsia="Times New Roman" w:hAnsi="Times New Roman" w:cs="Times New Roman"/>
          <w:kern w:val="0"/>
          <w:lang w:eastAsia="es-CO"/>
          <w14:ligatures w14:val="none"/>
        </w:rPr>
        <w:t>, relacionadas con los indicadores financieros habilitantes, la inconsistencia detectada entre el Anexo Técnico y los requisitos habilitantes respecto del Termómetro Infrarrojo (Pistola), así como la ausencia del Anexo No. 2 en la plataforma SECOP II.</w:t>
      </w:r>
      <w:r w:rsidRPr="00311E6F">
        <w:rPr>
          <w:rFonts w:ascii="Times New Roman" w:eastAsia="Times New Roman" w:hAnsi="Times New Roman" w:cs="Times New Roman"/>
          <w:kern w:val="0"/>
          <w:lang w:eastAsia="es-CO"/>
          <w14:ligatures w14:val="none"/>
        </w:rPr>
        <w:br/>
      </w:r>
    </w:p>
    <w:p w14:paraId="0449AB73" w14:textId="5C3D329B" w:rsidR="00311E6F" w:rsidRPr="00311E6F" w:rsidRDefault="00311E6F" w:rsidP="00311E6F">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Que el Comité de Contratación analizó cada una de las observaciones presentadas, concluyendo que las mismas resultan procedentes, en la medida en que su acogimiento fortalece los principios de transparencia, economía, selección objetiva, libre concurrencia, igualdad, responsabilidad y pluralidad de oferentes que orientan la contratación de la Entidad.</w:t>
      </w:r>
    </w:p>
    <w:p w14:paraId="194317EC" w14:textId="77777777" w:rsidR="00311E6F" w:rsidRPr="00311E6F" w:rsidRDefault="00311E6F" w:rsidP="00813834">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Que, particularmente, se evidenció que los indicadores financieros inicialmente establecidos no guardan una relación de proporcionalidad con el valor del proceso contractual, cuyo presupuesto oficial asciende a la suma de </w:t>
      </w:r>
      <w:r w:rsidRPr="00311E6F">
        <w:rPr>
          <w:rFonts w:ascii="Times New Roman" w:eastAsia="Times New Roman" w:hAnsi="Times New Roman" w:cs="Times New Roman"/>
          <w:b/>
          <w:bCs/>
          <w:kern w:val="0"/>
          <w:lang w:eastAsia="es-CO"/>
          <w14:ligatures w14:val="none"/>
        </w:rPr>
        <w:t>CATORCE MILLONES CUATROCIENTOS NUEVE MIL QUINIENTOS NOVENTA Y CUATRO PESOS ($14.409.594) M/CTE</w:t>
      </w:r>
      <w:r w:rsidRPr="00311E6F">
        <w:rPr>
          <w:rFonts w:ascii="Times New Roman" w:eastAsia="Times New Roman" w:hAnsi="Times New Roman" w:cs="Times New Roman"/>
          <w:kern w:val="0"/>
          <w:lang w:eastAsia="es-CO"/>
          <w14:ligatures w14:val="none"/>
        </w:rPr>
        <w:t>, circunstancia que podría restringir injustificadamente la participación de potenciales oferentes.</w:t>
      </w:r>
    </w:p>
    <w:p w14:paraId="3DF9749A" w14:textId="77777777" w:rsidR="00311E6F" w:rsidRPr="00311E6F" w:rsidRDefault="00311E6F" w:rsidP="00813834">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Que igualmente se tuvo en consideración que el contrato contempla como forma de pago el </w:t>
      </w:r>
      <w:r w:rsidRPr="00311E6F">
        <w:rPr>
          <w:rFonts w:ascii="Times New Roman" w:eastAsia="Times New Roman" w:hAnsi="Times New Roman" w:cs="Times New Roman"/>
          <w:b/>
          <w:bCs/>
          <w:kern w:val="0"/>
          <w:lang w:eastAsia="es-CO"/>
          <w14:ligatures w14:val="none"/>
        </w:rPr>
        <w:t>pago contra entrega</w:t>
      </w:r>
      <w:r w:rsidRPr="00311E6F">
        <w:rPr>
          <w:rFonts w:ascii="Times New Roman" w:eastAsia="Times New Roman" w:hAnsi="Times New Roman" w:cs="Times New Roman"/>
          <w:kern w:val="0"/>
          <w:lang w:eastAsia="es-CO"/>
          <w14:ligatures w14:val="none"/>
        </w:rPr>
        <w:t>, modalidad que disminuye sustancialmente el riesgo financiero para la Entidad, toda vez que el desembolso de los recursos públicos únicamente se efectuará una vez recibidos a satisfacción los bienes objeto del contrato, razón por la cual resulta procedente flexibilizar los indicadores financieros inicialmente previstos sin comprometer la adecuada protección del patrimonio público.</w:t>
      </w:r>
    </w:p>
    <w:p w14:paraId="25FB16CE" w14:textId="77777777" w:rsidR="00311E6F" w:rsidRPr="00311E6F" w:rsidRDefault="00311E6F" w:rsidP="00813834">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lastRenderedPageBreak/>
        <w:t xml:space="preserve">Que revisado el Anexo Técnico se constató la omisión del </w:t>
      </w:r>
      <w:r w:rsidRPr="00311E6F">
        <w:rPr>
          <w:rFonts w:ascii="Times New Roman" w:eastAsia="Times New Roman" w:hAnsi="Times New Roman" w:cs="Times New Roman"/>
          <w:b/>
          <w:bCs/>
          <w:kern w:val="0"/>
          <w:lang w:eastAsia="es-CO"/>
          <w14:ligatures w14:val="none"/>
        </w:rPr>
        <w:t>Termómetro Infrarrojo (Pistola)</w:t>
      </w:r>
      <w:r w:rsidRPr="00311E6F">
        <w:rPr>
          <w:rFonts w:ascii="Times New Roman" w:eastAsia="Times New Roman" w:hAnsi="Times New Roman" w:cs="Times New Roman"/>
          <w:kern w:val="0"/>
          <w:lang w:eastAsia="es-CO"/>
          <w14:ligatures w14:val="none"/>
        </w:rPr>
        <w:t>, pese a encontrarse previsto dentro de los requisitos habilitantes, circunstancia que hace necesario armonizar la documentación del proceso para evitar interpretaciones ambiguas y garantizar igualdad de condiciones entre todos los interesados.</w:t>
      </w:r>
    </w:p>
    <w:p w14:paraId="2CA6B507" w14:textId="471BCFD7" w:rsidR="00311E6F" w:rsidRPr="00311E6F" w:rsidRDefault="00311E6F" w:rsidP="00813834">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Que igualmente se verificó que el </w:t>
      </w:r>
      <w:r w:rsidRPr="00311E6F">
        <w:rPr>
          <w:rFonts w:ascii="Times New Roman" w:eastAsia="Times New Roman" w:hAnsi="Times New Roman" w:cs="Times New Roman"/>
          <w:b/>
          <w:bCs/>
          <w:kern w:val="0"/>
          <w:lang w:eastAsia="es-CO"/>
          <w14:ligatures w14:val="none"/>
        </w:rPr>
        <w:t>Anexo No. 2</w:t>
      </w:r>
      <w:r w:rsidR="00813834">
        <w:rPr>
          <w:rFonts w:ascii="Times New Roman" w:eastAsia="Times New Roman" w:hAnsi="Times New Roman" w:cs="Times New Roman"/>
          <w:b/>
          <w:bCs/>
          <w:kern w:val="0"/>
          <w:lang w:eastAsia="es-CO"/>
          <w14:ligatures w14:val="none"/>
        </w:rPr>
        <w:t>; como anexo 2, no fue cargado, pero si el anexo técnico que contiene y cumple la misma función; la cual consiste en detallar, discriminar y especificar las características de los equipos requeridos por la entidad contratante</w:t>
      </w:r>
      <w:r w:rsidRPr="00311E6F">
        <w:rPr>
          <w:rFonts w:ascii="Times New Roman" w:eastAsia="Times New Roman" w:hAnsi="Times New Roman" w:cs="Times New Roman"/>
          <w:kern w:val="0"/>
          <w:lang w:eastAsia="es-CO"/>
          <w14:ligatures w14:val="none"/>
        </w:rPr>
        <w:t>, razón por la cual procede su publicación</w:t>
      </w:r>
      <w:r w:rsidR="00813834">
        <w:rPr>
          <w:rFonts w:ascii="Times New Roman" w:eastAsia="Times New Roman" w:hAnsi="Times New Roman" w:cs="Times New Roman"/>
          <w:kern w:val="0"/>
          <w:lang w:eastAsia="es-CO"/>
          <w14:ligatures w14:val="none"/>
        </w:rPr>
        <w:t xml:space="preserve">, haciendo la aclaración que el ANEXO TECNICO O ANEXO 2, es el mismo e idéntico, precisando que el </w:t>
      </w:r>
      <w:r w:rsidR="00813834" w:rsidRPr="00311E6F">
        <w:rPr>
          <w:rFonts w:ascii="Times New Roman" w:eastAsia="Times New Roman" w:hAnsi="Times New Roman" w:cs="Times New Roman"/>
          <w:b/>
          <w:bCs/>
          <w:kern w:val="0"/>
          <w:lang w:eastAsia="es-CO"/>
          <w14:ligatures w14:val="none"/>
        </w:rPr>
        <w:t>Termómetro Infrarrojo (Pistola)</w:t>
      </w:r>
      <w:r w:rsidR="00813834" w:rsidRPr="00311E6F">
        <w:rPr>
          <w:rFonts w:ascii="Times New Roman" w:eastAsia="Times New Roman" w:hAnsi="Times New Roman" w:cs="Times New Roman"/>
          <w:kern w:val="0"/>
          <w:lang w:eastAsia="es-CO"/>
          <w14:ligatures w14:val="none"/>
        </w:rPr>
        <w:t>,</w:t>
      </w:r>
      <w:r w:rsidR="00813834">
        <w:rPr>
          <w:rFonts w:ascii="Times New Roman" w:eastAsia="Times New Roman" w:hAnsi="Times New Roman" w:cs="Times New Roman"/>
          <w:kern w:val="0"/>
          <w:lang w:eastAsia="es-CO"/>
          <w14:ligatures w14:val="none"/>
        </w:rPr>
        <w:t xml:space="preserve"> se debe incluir en los equipos que debe suministrar el oferente</w:t>
      </w:r>
      <w:r w:rsidRPr="00311E6F">
        <w:rPr>
          <w:rFonts w:ascii="Times New Roman" w:eastAsia="Times New Roman" w:hAnsi="Times New Roman" w:cs="Times New Roman"/>
          <w:kern w:val="0"/>
          <w:lang w:eastAsia="es-CO"/>
          <w14:ligatures w14:val="none"/>
        </w:rPr>
        <w:t>.</w:t>
      </w:r>
    </w:p>
    <w:p w14:paraId="127B9F5E" w14:textId="77777777"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En mérito de lo expuesto,</w:t>
      </w:r>
    </w:p>
    <w:p w14:paraId="2B9D9A1D" w14:textId="77777777" w:rsidR="00311E6F" w:rsidRPr="00311E6F" w:rsidRDefault="00311E6F" w:rsidP="00813834">
      <w:pPr>
        <w:spacing w:before="100" w:beforeAutospacing="1" w:after="100" w:afterAutospacing="1" w:line="240" w:lineRule="auto"/>
        <w:jc w:val="center"/>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SE DISPONE</w:t>
      </w:r>
    </w:p>
    <w:p w14:paraId="582E1084" w14:textId="77777777" w:rsidR="00311E6F" w:rsidRPr="00311E6F" w:rsidRDefault="00311E6F" w:rsidP="000461DD">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s-CO"/>
          <w14:ligatures w14:val="none"/>
        </w:rPr>
      </w:pPr>
      <w:r w:rsidRPr="00311E6F">
        <w:rPr>
          <w:rFonts w:ascii="Times New Roman" w:eastAsia="Times New Roman" w:hAnsi="Times New Roman" w:cs="Times New Roman"/>
          <w:b/>
          <w:bCs/>
          <w:kern w:val="0"/>
          <w:sz w:val="27"/>
          <w:szCs w:val="27"/>
          <w:lang w:eastAsia="es-CO"/>
          <w14:ligatures w14:val="none"/>
        </w:rPr>
        <w:t>ARTÍCULO PRIMERO. Modificación de los indicadores financieros.</w:t>
      </w:r>
    </w:p>
    <w:p w14:paraId="7A3C8AD1" w14:textId="77777777"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Se modifica el Capítulo III – Requisitos Habilitantes – Capacidad Financiera, el cual quedará así:</w:t>
      </w:r>
    </w:p>
    <w:p w14:paraId="2C9FEBBE" w14:textId="77777777" w:rsidR="00311E6F" w:rsidRPr="00311E6F" w:rsidRDefault="00311E6F" w:rsidP="00311E6F">
      <w:pPr>
        <w:numPr>
          <w:ilvl w:val="0"/>
          <w:numId w:val="1"/>
        </w:num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Índice de Endeudamiento:</w:t>
      </w:r>
      <w:r w:rsidRPr="00311E6F">
        <w:rPr>
          <w:rFonts w:ascii="Times New Roman" w:eastAsia="Times New Roman" w:hAnsi="Times New Roman" w:cs="Times New Roman"/>
          <w:kern w:val="0"/>
          <w:lang w:eastAsia="es-CO"/>
          <w14:ligatures w14:val="none"/>
        </w:rPr>
        <w:t xml:space="preserve"> Menor o igual a </w:t>
      </w:r>
      <w:r w:rsidRPr="00311E6F">
        <w:rPr>
          <w:rFonts w:ascii="Times New Roman" w:eastAsia="Times New Roman" w:hAnsi="Times New Roman" w:cs="Times New Roman"/>
          <w:b/>
          <w:bCs/>
          <w:kern w:val="0"/>
          <w:lang w:eastAsia="es-CO"/>
          <w14:ligatures w14:val="none"/>
        </w:rPr>
        <w:t>0.70</w:t>
      </w:r>
      <w:r w:rsidRPr="00311E6F">
        <w:rPr>
          <w:rFonts w:ascii="Times New Roman" w:eastAsia="Times New Roman" w:hAnsi="Times New Roman" w:cs="Times New Roman"/>
          <w:kern w:val="0"/>
          <w:lang w:eastAsia="es-CO"/>
          <w14:ligatures w14:val="none"/>
        </w:rPr>
        <w:t>.</w:t>
      </w:r>
    </w:p>
    <w:p w14:paraId="0E23B05E" w14:textId="77777777" w:rsidR="00311E6F" w:rsidRPr="00311E6F" w:rsidRDefault="00311E6F" w:rsidP="00311E6F">
      <w:pPr>
        <w:numPr>
          <w:ilvl w:val="0"/>
          <w:numId w:val="1"/>
        </w:num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Razón de Cobertura de Intereses:</w:t>
      </w:r>
      <w:r w:rsidRPr="00311E6F">
        <w:rPr>
          <w:rFonts w:ascii="Times New Roman" w:eastAsia="Times New Roman" w:hAnsi="Times New Roman" w:cs="Times New Roman"/>
          <w:kern w:val="0"/>
          <w:lang w:eastAsia="es-CO"/>
          <w14:ligatures w14:val="none"/>
        </w:rPr>
        <w:t xml:space="preserve"> Mayor o igual a </w:t>
      </w:r>
      <w:r w:rsidRPr="00311E6F">
        <w:rPr>
          <w:rFonts w:ascii="Times New Roman" w:eastAsia="Times New Roman" w:hAnsi="Times New Roman" w:cs="Times New Roman"/>
          <w:b/>
          <w:bCs/>
          <w:kern w:val="0"/>
          <w:lang w:eastAsia="es-CO"/>
          <w14:ligatures w14:val="none"/>
        </w:rPr>
        <w:t>2.0</w:t>
      </w:r>
      <w:r w:rsidRPr="00311E6F">
        <w:rPr>
          <w:rFonts w:ascii="Times New Roman" w:eastAsia="Times New Roman" w:hAnsi="Times New Roman" w:cs="Times New Roman"/>
          <w:kern w:val="0"/>
          <w:lang w:eastAsia="es-CO"/>
          <w14:ligatures w14:val="none"/>
        </w:rPr>
        <w:t>.</w:t>
      </w:r>
    </w:p>
    <w:p w14:paraId="0A31BF8C" w14:textId="77777777"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En caso de que el proponente no registre gastos financieros en sus estados financieros con corte a 31 de diciembre de 2025, este indicador no será objeto de evaluación, bastando para ello certificación suscrita por el contador público y/o revisor fiscal, según corresponda.</w:t>
      </w:r>
    </w:p>
    <w:p w14:paraId="318E1695" w14:textId="77777777"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Se mantienen sin modificación los siguientes indicadores:</w:t>
      </w:r>
    </w:p>
    <w:p w14:paraId="330518DD" w14:textId="77777777" w:rsidR="00311E6F" w:rsidRPr="00311E6F" w:rsidRDefault="00311E6F" w:rsidP="00311E6F">
      <w:pPr>
        <w:numPr>
          <w:ilvl w:val="0"/>
          <w:numId w:val="2"/>
        </w:num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Rentabilidad del Patrimonio (ROE): Mayor o igual al </w:t>
      </w:r>
      <w:r w:rsidRPr="00311E6F">
        <w:rPr>
          <w:rFonts w:ascii="Times New Roman" w:eastAsia="Times New Roman" w:hAnsi="Times New Roman" w:cs="Times New Roman"/>
          <w:b/>
          <w:bCs/>
          <w:kern w:val="0"/>
          <w:lang w:eastAsia="es-CO"/>
          <w14:ligatures w14:val="none"/>
        </w:rPr>
        <w:t>7%</w:t>
      </w:r>
      <w:r w:rsidRPr="00311E6F">
        <w:rPr>
          <w:rFonts w:ascii="Times New Roman" w:eastAsia="Times New Roman" w:hAnsi="Times New Roman" w:cs="Times New Roman"/>
          <w:kern w:val="0"/>
          <w:lang w:eastAsia="es-CO"/>
          <w14:ligatures w14:val="none"/>
        </w:rPr>
        <w:t>.</w:t>
      </w:r>
    </w:p>
    <w:p w14:paraId="65979BBE" w14:textId="77777777" w:rsidR="00311E6F" w:rsidRPr="00311E6F" w:rsidRDefault="00311E6F" w:rsidP="00311E6F">
      <w:pPr>
        <w:numPr>
          <w:ilvl w:val="0"/>
          <w:numId w:val="2"/>
        </w:num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Rentabilidad del Activo (ROA): Mayor o igual al </w:t>
      </w:r>
      <w:r w:rsidRPr="00311E6F">
        <w:rPr>
          <w:rFonts w:ascii="Times New Roman" w:eastAsia="Times New Roman" w:hAnsi="Times New Roman" w:cs="Times New Roman"/>
          <w:b/>
          <w:bCs/>
          <w:kern w:val="0"/>
          <w:lang w:eastAsia="es-CO"/>
          <w14:ligatures w14:val="none"/>
        </w:rPr>
        <w:t>4%</w:t>
      </w:r>
      <w:r w:rsidRPr="00311E6F">
        <w:rPr>
          <w:rFonts w:ascii="Times New Roman" w:eastAsia="Times New Roman" w:hAnsi="Times New Roman" w:cs="Times New Roman"/>
          <w:kern w:val="0"/>
          <w:lang w:eastAsia="es-CO"/>
          <w14:ligatures w14:val="none"/>
        </w:rPr>
        <w:t>.</w:t>
      </w:r>
    </w:p>
    <w:p w14:paraId="043EB07A" w14:textId="77777777" w:rsidR="00311E6F" w:rsidRPr="00311E6F" w:rsidRDefault="00311E6F" w:rsidP="00311E6F">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311E6F">
        <w:rPr>
          <w:rFonts w:ascii="Times New Roman" w:eastAsia="Times New Roman" w:hAnsi="Times New Roman" w:cs="Times New Roman"/>
          <w:b/>
          <w:bCs/>
          <w:kern w:val="0"/>
          <w:sz w:val="27"/>
          <w:szCs w:val="27"/>
          <w:lang w:eastAsia="es-CO"/>
          <w14:ligatures w14:val="none"/>
        </w:rPr>
        <w:t>ARTÍCULO SEGUNDO. Modificación del Anexo Técnico.</w:t>
      </w:r>
    </w:p>
    <w:p w14:paraId="7404F3BC" w14:textId="77777777"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Se incorpora al Anexo Técnico y al Formulario de Oferta Económica el siguiente equipo biomédico:</w:t>
      </w:r>
    </w:p>
    <w:p w14:paraId="7D077512" w14:textId="3CB93CAC" w:rsidR="00311E6F" w:rsidRPr="00311E6F" w:rsidRDefault="00311E6F" w:rsidP="00311E6F">
      <w:pPr>
        <w:numPr>
          <w:ilvl w:val="0"/>
          <w:numId w:val="3"/>
        </w:num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Termómetro Infrarrojo (Pistola):</w:t>
      </w:r>
      <w:r w:rsidRPr="00311E6F">
        <w:rPr>
          <w:rFonts w:ascii="Times New Roman" w:eastAsia="Times New Roman" w:hAnsi="Times New Roman" w:cs="Times New Roman"/>
          <w:kern w:val="0"/>
          <w:lang w:eastAsia="es-CO"/>
          <w14:ligatures w14:val="none"/>
        </w:rPr>
        <w:t xml:space="preserve"> Una (1) unidad, con las especificaciones técnicas previstas por la Entidad</w:t>
      </w:r>
      <w:r w:rsidR="00AC75AC">
        <w:rPr>
          <w:rFonts w:ascii="Times New Roman" w:eastAsia="Times New Roman" w:hAnsi="Times New Roman" w:cs="Times New Roman"/>
          <w:kern w:val="0"/>
          <w:lang w:eastAsia="es-CO"/>
          <w14:ligatures w14:val="none"/>
        </w:rPr>
        <w:t>, en el Anexo 2 o Anexo Técnico</w:t>
      </w:r>
      <w:r w:rsidRPr="00311E6F">
        <w:rPr>
          <w:rFonts w:ascii="Times New Roman" w:eastAsia="Times New Roman" w:hAnsi="Times New Roman" w:cs="Times New Roman"/>
          <w:kern w:val="0"/>
          <w:lang w:eastAsia="es-CO"/>
          <w14:ligatures w14:val="none"/>
        </w:rPr>
        <w:t>.</w:t>
      </w:r>
    </w:p>
    <w:p w14:paraId="22232475" w14:textId="77777777"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En consecuencia, los proponentes deberán incluir este elemento dentro de su propuesta económica.</w:t>
      </w:r>
    </w:p>
    <w:p w14:paraId="393A6C27" w14:textId="77777777" w:rsidR="00311E6F" w:rsidRPr="00311E6F" w:rsidRDefault="00311E6F" w:rsidP="00311E6F">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311E6F">
        <w:rPr>
          <w:rFonts w:ascii="Times New Roman" w:eastAsia="Times New Roman" w:hAnsi="Times New Roman" w:cs="Times New Roman"/>
          <w:b/>
          <w:bCs/>
          <w:kern w:val="0"/>
          <w:sz w:val="27"/>
          <w:szCs w:val="27"/>
          <w:lang w:eastAsia="es-CO"/>
          <w14:ligatures w14:val="none"/>
        </w:rPr>
        <w:t>ARTÍCULO TERCERO. Publicación del Anexo No. 2.</w:t>
      </w:r>
    </w:p>
    <w:p w14:paraId="1153F13B" w14:textId="5A1163A0" w:rsidR="00311E6F" w:rsidRPr="00311E6F" w:rsidRDefault="00311E6F" w:rsidP="00642B49">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lastRenderedPageBreak/>
        <w:t xml:space="preserve">La Entidad procederá a publicar en la plataforma SECOP II el archivo correspondiente al </w:t>
      </w:r>
      <w:r w:rsidRPr="00311E6F">
        <w:rPr>
          <w:rFonts w:ascii="Times New Roman" w:eastAsia="Times New Roman" w:hAnsi="Times New Roman" w:cs="Times New Roman"/>
          <w:b/>
          <w:bCs/>
          <w:kern w:val="0"/>
          <w:lang w:eastAsia="es-CO"/>
          <w14:ligatures w14:val="none"/>
        </w:rPr>
        <w:t>Anexo</w:t>
      </w:r>
      <w:r w:rsidR="00642B49">
        <w:rPr>
          <w:rFonts w:ascii="Times New Roman" w:eastAsia="Times New Roman" w:hAnsi="Times New Roman" w:cs="Times New Roman"/>
          <w:b/>
          <w:bCs/>
          <w:kern w:val="0"/>
          <w:lang w:eastAsia="es-CO"/>
          <w14:ligatures w14:val="none"/>
        </w:rPr>
        <w:t xml:space="preserve"> Técnico o Anexo</w:t>
      </w:r>
      <w:r w:rsidRPr="00311E6F">
        <w:rPr>
          <w:rFonts w:ascii="Times New Roman" w:eastAsia="Times New Roman" w:hAnsi="Times New Roman" w:cs="Times New Roman"/>
          <w:b/>
          <w:bCs/>
          <w:kern w:val="0"/>
          <w:lang w:eastAsia="es-CO"/>
          <w14:ligatures w14:val="none"/>
        </w:rPr>
        <w:t xml:space="preserve"> No. 2</w:t>
      </w:r>
      <w:r w:rsidRPr="00311E6F">
        <w:rPr>
          <w:rFonts w:ascii="Times New Roman" w:eastAsia="Times New Roman" w:hAnsi="Times New Roman" w:cs="Times New Roman"/>
          <w:kern w:val="0"/>
          <w:lang w:eastAsia="es-CO"/>
          <w14:ligatures w14:val="none"/>
        </w:rPr>
        <w:t>, el cual hará parte integral de los Términos de Referencia y deberá ser diligenciado y presentado por los oferentes en los términos allí establecidos.</w:t>
      </w:r>
    </w:p>
    <w:p w14:paraId="5C5A2ED6" w14:textId="77777777" w:rsidR="00311E6F" w:rsidRPr="00311E6F" w:rsidRDefault="00311E6F" w:rsidP="00311E6F">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311E6F">
        <w:rPr>
          <w:rFonts w:ascii="Times New Roman" w:eastAsia="Times New Roman" w:hAnsi="Times New Roman" w:cs="Times New Roman"/>
          <w:b/>
          <w:bCs/>
          <w:kern w:val="0"/>
          <w:sz w:val="27"/>
          <w:szCs w:val="27"/>
          <w:lang w:eastAsia="es-CO"/>
          <w14:ligatures w14:val="none"/>
        </w:rPr>
        <w:t>ARTÍCULO CUARTO. Ampliación del término para presentar ofertas.</w:t>
      </w:r>
    </w:p>
    <w:p w14:paraId="0AC3AFBF" w14:textId="4868FEEB" w:rsidR="00311E6F" w:rsidRDefault="00311E6F" w:rsidP="00E80494">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 xml:space="preserve">Como consecuencia de las modificaciones introducidas mediante la presente Adenda y con el propósito de garantizar el principio de pluralidad de oferentes, se amplía el plazo para la presentación de propuestas, de conformidad con el cronograma </w:t>
      </w:r>
      <w:r w:rsidR="003B38B6">
        <w:rPr>
          <w:rFonts w:ascii="Times New Roman" w:eastAsia="Times New Roman" w:hAnsi="Times New Roman" w:cs="Times New Roman"/>
          <w:kern w:val="0"/>
          <w:lang w:eastAsia="es-CO"/>
          <w14:ligatures w14:val="none"/>
        </w:rPr>
        <w:t>visible reglones abajo</w:t>
      </w:r>
      <w:r w:rsidRPr="00311E6F">
        <w:rPr>
          <w:rFonts w:ascii="Times New Roman" w:eastAsia="Times New Roman" w:hAnsi="Times New Roman" w:cs="Times New Roman"/>
          <w:kern w:val="0"/>
          <w:lang w:eastAsia="es-CO"/>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1"/>
        <w:gridCol w:w="4135"/>
      </w:tblGrid>
      <w:tr w:rsidR="00BD0B7C" w:rsidRPr="0088790E" w14:paraId="0345B6F2" w14:textId="77777777" w:rsidTr="00B23A2E">
        <w:trPr>
          <w:tblCellSpacing w:w="15" w:type="dxa"/>
        </w:trPr>
        <w:tc>
          <w:tcPr>
            <w:tcW w:w="0" w:type="auto"/>
            <w:vAlign w:val="center"/>
            <w:hideMark/>
          </w:tcPr>
          <w:p w14:paraId="3EB71A26" w14:textId="77777777" w:rsidR="00BD0B7C" w:rsidRPr="0088790E" w:rsidRDefault="00BD0B7C" w:rsidP="00B23A2E">
            <w:pPr>
              <w:spacing w:after="0" w:line="240" w:lineRule="auto"/>
              <w:jc w:val="center"/>
              <w:rPr>
                <w:rFonts w:ascii="Times New Roman" w:eastAsia="Times New Roman" w:hAnsi="Times New Roman" w:cs="Times New Roman"/>
                <w:b/>
                <w:bCs/>
                <w:kern w:val="0"/>
                <w:lang w:eastAsia="es-CO"/>
                <w14:ligatures w14:val="none"/>
              </w:rPr>
            </w:pPr>
            <w:r w:rsidRPr="0088790E">
              <w:rPr>
                <w:rFonts w:ascii="Times New Roman" w:eastAsia="Times New Roman" w:hAnsi="Times New Roman" w:cs="Times New Roman"/>
                <w:b/>
                <w:bCs/>
                <w:kern w:val="0"/>
                <w:lang w:eastAsia="es-CO"/>
                <w14:ligatures w14:val="none"/>
              </w:rPr>
              <w:t>ACTIVIDAD</w:t>
            </w:r>
          </w:p>
        </w:tc>
        <w:tc>
          <w:tcPr>
            <w:tcW w:w="0" w:type="auto"/>
            <w:vAlign w:val="center"/>
            <w:hideMark/>
          </w:tcPr>
          <w:p w14:paraId="1172FC4C" w14:textId="77777777" w:rsidR="00BD0B7C" w:rsidRPr="0088790E" w:rsidRDefault="00BD0B7C" w:rsidP="00B23A2E">
            <w:pPr>
              <w:spacing w:after="0" w:line="240" w:lineRule="auto"/>
              <w:jc w:val="center"/>
              <w:rPr>
                <w:rFonts w:ascii="Times New Roman" w:eastAsia="Times New Roman" w:hAnsi="Times New Roman" w:cs="Times New Roman"/>
                <w:b/>
                <w:bCs/>
                <w:kern w:val="0"/>
                <w:lang w:eastAsia="es-CO"/>
                <w14:ligatures w14:val="none"/>
              </w:rPr>
            </w:pPr>
            <w:r w:rsidRPr="0088790E">
              <w:rPr>
                <w:rFonts w:ascii="Times New Roman" w:eastAsia="Times New Roman" w:hAnsi="Times New Roman" w:cs="Times New Roman"/>
                <w:b/>
                <w:bCs/>
                <w:kern w:val="0"/>
                <w:lang w:eastAsia="es-CO"/>
                <w14:ligatures w14:val="none"/>
              </w:rPr>
              <w:t>NUEVA FECHA</w:t>
            </w:r>
          </w:p>
        </w:tc>
      </w:tr>
      <w:tr w:rsidR="00BD0B7C" w:rsidRPr="0088790E" w14:paraId="2B13B7C4" w14:textId="77777777" w:rsidTr="00B23A2E">
        <w:trPr>
          <w:tblCellSpacing w:w="15" w:type="dxa"/>
        </w:trPr>
        <w:tc>
          <w:tcPr>
            <w:tcW w:w="0" w:type="auto"/>
            <w:vAlign w:val="center"/>
            <w:hideMark/>
          </w:tcPr>
          <w:p w14:paraId="24881265" w14:textId="77777777"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Presentación de propuestas</w:t>
            </w:r>
          </w:p>
        </w:tc>
        <w:tc>
          <w:tcPr>
            <w:tcW w:w="0" w:type="auto"/>
            <w:vAlign w:val="center"/>
            <w:hideMark/>
          </w:tcPr>
          <w:p w14:paraId="1336742E" w14:textId="3A94B2F9"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 xml:space="preserve">Hasta el </w:t>
            </w:r>
            <w:r>
              <w:rPr>
                <w:rFonts w:ascii="Times New Roman" w:eastAsia="Times New Roman" w:hAnsi="Times New Roman" w:cs="Times New Roman"/>
                <w:kern w:val="0"/>
                <w:lang w:eastAsia="es-CO"/>
                <w14:ligatures w14:val="none"/>
              </w:rPr>
              <w:t>8</w:t>
            </w:r>
            <w:r w:rsidRPr="0088790E">
              <w:rPr>
                <w:rFonts w:ascii="Times New Roman" w:eastAsia="Times New Roman" w:hAnsi="Times New Roman" w:cs="Times New Roman"/>
                <w:kern w:val="0"/>
                <w:lang w:eastAsia="es-CO"/>
                <w14:ligatures w14:val="none"/>
              </w:rPr>
              <w:t xml:space="preserve"> de</w:t>
            </w:r>
            <w:r>
              <w:rPr>
                <w:rFonts w:ascii="Times New Roman" w:eastAsia="Times New Roman" w:hAnsi="Times New Roman" w:cs="Times New Roman"/>
                <w:kern w:val="0"/>
                <w:lang w:eastAsia="es-CO"/>
                <w14:ligatures w14:val="none"/>
              </w:rPr>
              <w:t xml:space="preserve"> Julio de</w:t>
            </w:r>
            <w:r w:rsidRPr="0088790E">
              <w:rPr>
                <w:rFonts w:ascii="Times New Roman" w:eastAsia="Times New Roman" w:hAnsi="Times New Roman" w:cs="Times New Roman"/>
                <w:kern w:val="0"/>
                <w:lang w:eastAsia="es-CO"/>
                <w14:ligatures w14:val="none"/>
              </w:rPr>
              <w:t xml:space="preserve"> 2026, a las</w:t>
            </w:r>
            <w:r>
              <w:rPr>
                <w:rFonts w:ascii="Times New Roman" w:eastAsia="Times New Roman" w:hAnsi="Times New Roman" w:cs="Times New Roman"/>
                <w:kern w:val="0"/>
                <w:lang w:eastAsia="es-CO"/>
                <w14:ligatures w14:val="none"/>
              </w:rPr>
              <w:t xml:space="preserve"> 9:00 Am </w:t>
            </w:r>
          </w:p>
        </w:tc>
      </w:tr>
      <w:tr w:rsidR="00BD0B7C" w:rsidRPr="0088790E" w14:paraId="318EEC93" w14:textId="77777777" w:rsidTr="00B23A2E">
        <w:trPr>
          <w:tblCellSpacing w:w="15" w:type="dxa"/>
        </w:trPr>
        <w:tc>
          <w:tcPr>
            <w:tcW w:w="0" w:type="auto"/>
            <w:vAlign w:val="center"/>
            <w:hideMark/>
          </w:tcPr>
          <w:p w14:paraId="2E7DB6BE" w14:textId="77777777"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Evaluación de ofertas</w:t>
            </w:r>
          </w:p>
        </w:tc>
        <w:tc>
          <w:tcPr>
            <w:tcW w:w="0" w:type="auto"/>
            <w:vAlign w:val="center"/>
            <w:hideMark/>
          </w:tcPr>
          <w:p w14:paraId="27D85704" w14:textId="6E30C366"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Hasta el 1</w:t>
            </w:r>
            <w:r w:rsidR="004A5CE4">
              <w:rPr>
                <w:rFonts w:ascii="Times New Roman" w:eastAsia="Times New Roman" w:hAnsi="Times New Roman" w:cs="Times New Roman"/>
                <w:kern w:val="0"/>
                <w:lang w:eastAsia="es-CO"/>
                <w14:ligatures w14:val="none"/>
              </w:rPr>
              <w:t>5</w:t>
            </w:r>
            <w:r w:rsidRPr="0088790E">
              <w:rPr>
                <w:rFonts w:ascii="Times New Roman" w:eastAsia="Times New Roman" w:hAnsi="Times New Roman" w:cs="Times New Roman"/>
                <w:kern w:val="0"/>
                <w:lang w:eastAsia="es-CO"/>
                <w14:ligatures w14:val="none"/>
              </w:rPr>
              <w:t xml:space="preserve"> de</w:t>
            </w:r>
            <w:r>
              <w:rPr>
                <w:rFonts w:ascii="Times New Roman" w:eastAsia="Times New Roman" w:hAnsi="Times New Roman" w:cs="Times New Roman"/>
                <w:kern w:val="0"/>
                <w:lang w:eastAsia="es-CO"/>
                <w14:ligatures w14:val="none"/>
              </w:rPr>
              <w:t xml:space="preserve"> Julio de 2026</w:t>
            </w:r>
          </w:p>
        </w:tc>
      </w:tr>
      <w:tr w:rsidR="00BD0B7C" w:rsidRPr="0088790E" w14:paraId="10CF1FD3" w14:textId="77777777" w:rsidTr="00B23A2E">
        <w:trPr>
          <w:tblCellSpacing w:w="15" w:type="dxa"/>
        </w:trPr>
        <w:tc>
          <w:tcPr>
            <w:tcW w:w="0" w:type="auto"/>
            <w:vAlign w:val="center"/>
            <w:hideMark/>
          </w:tcPr>
          <w:p w14:paraId="53169F1D" w14:textId="77777777"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Publicación del informe de evaluación</w:t>
            </w:r>
          </w:p>
        </w:tc>
        <w:tc>
          <w:tcPr>
            <w:tcW w:w="0" w:type="auto"/>
            <w:vAlign w:val="center"/>
            <w:hideMark/>
          </w:tcPr>
          <w:p w14:paraId="25E301F7" w14:textId="27FD7B1A"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 xml:space="preserve"> 1</w:t>
            </w:r>
            <w:r w:rsidR="004A5CE4">
              <w:rPr>
                <w:rFonts w:ascii="Times New Roman" w:eastAsia="Times New Roman" w:hAnsi="Times New Roman" w:cs="Times New Roman"/>
                <w:kern w:val="0"/>
                <w:lang w:eastAsia="es-CO"/>
                <w14:ligatures w14:val="none"/>
              </w:rPr>
              <w:t>5</w:t>
            </w:r>
            <w:r>
              <w:rPr>
                <w:rFonts w:ascii="Times New Roman" w:eastAsia="Times New Roman" w:hAnsi="Times New Roman" w:cs="Times New Roman"/>
                <w:kern w:val="0"/>
                <w:lang w:eastAsia="es-CO"/>
                <w14:ligatures w14:val="none"/>
              </w:rPr>
              <w:t xml:space="preserve"> de julio de 2026</w:t>
            </w:r>
          </w:p>
        </w:tc>
      </w:tr>
      <w:tr w:rsidR="00BD0B7C" w:rsidRPr="0088790E" w14:paraId="14E59811" w14:textId="77777777" w:rsidTr="00B23A2E">
        <w:trPr>
          <w:tblCellSpacing w:w="15" w:type="dxa"/>
        </w:trPr>
        <w:tc>
          <w:tcPr>
            <w:tcW w:w="0" w:type="auto"/>
            <w:vAlign w:val="center"/>
            <w:hideMark/>
          </w:tcPr>
          <w:p w14:paraId="750492E1" w14:textId="77777777"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Presentación de observaciones y subsanaciones</w:t>
            </w:r>
          </w:p>
        </w:tc>
        <w:tc>
          <w:tcPr>
            <w:tcW w:w="0" w:type="auto"/>
            <w:vAlign w:val="center"/>
            <w:hideMark/>
          </w:tcPr>
          <w:p w14:paraId="4B83A88A" w14:textId="2DB9DF3B"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 xml:space="preserve"> Hasta el 2</w:t>
            </w:r>
            <w:r w:rsidR="00536E47">
              <w:rPr>
                <w:rFonts w:ascii="Times New Roman" w:eastAsia="Times New Roman" w:hAnsi="Times New Roman" w:cs="Times New Roman"/>
                <w:kern w:val="0"/>
                <w:lang w:eastAsia="es-CO"/>
                <w14:ligatures w14:val="none"/>
              </w:rPr>
              <w:t>2</w:t>
            </w:r>
            <w:r>
              <w:rPr>
                <w:rFonts w:ascii="Times New Roman" w:eastAsia="Times New Roman" w:hAnsi="Times New Roman" w:cs="Times New Roman"/>
                <w:kern w:val="0"/>
                <w:lang w:eastAsia="es-CO"/>
                <w14:ligatures w14:val="none"/>
              </w:rPr>
              <w:t xml:space="preserve"> de Julio de </w:t>
            </w:r>
            <w:r w:rsidRPr="0088790E">
              <w:rPr>
                <w:rFonts w:ascii="Times New Roman" w:eastAsia="Times New Roman" w:hAnsi="Times New Roman" w:cs="Times New Roman"/>
                <w:kern w:val="0"/>
                <w:lang w:eastAsia="es-CO"/>
                <w14:ligatures w14:val="none"/>
              </w:rPr>
              <w:t>2026</w:t>
            </w:r>
          </w:p>
        </w:tc>
      </w:tr>
      <w:tr w:rsidR="00BD0B7C" w:rsidRPr="0088790E" w14:paraId="5190695D" w14:textId="77777777" w:rsidTr="00B23A2E">
        <w:trPr>
          <w:tblCellSpacing w:w="15" w:type="dxa"/>
        </w:trPr>
        <w:tc>
          <w:tcPr>
            <w:tcW w:w="0" w:type="auto"/>
            <w:vAlign w:val="center"/>
            <w:hideMark/>
          </w:tcPr>
          <w:p w14:paraId="47078729" w14:textId="77777777"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Respuesta a observaciones</w:t>
            </w:r>
          </w:p>
        </w:tc>
        <w:tc>
          <w:tcPr>
            <w:tcW w:w="0" w:type="auto"/>
            <w:vAlign w:val="center"/>
            <w:hideMark/>
          </w:tcPr>
          <w:p w14:paraId="06D91893" w14:textId="26F50B1A"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 xml:space="preserve"> Hasta el 2</w:t>
            </w:r>
            <w:r w:rsidR="00536E47">
              <w:rPr>
                <w:rFonts w:ascii="Times New Roman" w:eastAsia="Times New Roman" w:hAnsi="Times New Roman" w:cs="Times New Roman"/>
                <w:kern w:val="0"/>
                <w:lang w:eastAsia="es-CO"/>
                <w14:ligatures w14:val="none"/>
              </w:rPr>
              <w:t>9</w:t>
            </w:r>
            <w:r>
              <w:rPr>
                <w:rFonts w:ascii="Times New Roman" w:eastAsia="Times New Roman" w:hAnsi="Times New Roman" w:cs="Times New Roman"/>
                <w:kern w:val="0"/>
                <w:lang w:eastAsia="es-CO"/>
                <w14:ligatures w14:val="none"/>
              </w:rPr>
              <w:t xml:space="preserve"> de Julio de 2026</w:t>
            </w:r>
          </w:p>
        </w:tc>
      </w:tr>
      <w:tr w:rsidR="00BD0B7C" w:rsidRPr="0088790E" w14:paraId="6056783E" w14:textId="77777777" w:rsidTr="00B23A2E">
        <w:trPr>
          <w:tblCellSpacing w:w="15" w:type="dxa"/>
        </w:trPr>
        <w:tc>
          <w:tcPr>
            <w:tcW w:w="0" w:type="auto"/>
            <w:vAlign w:val="center"/>
            <w:hideMark/>
          </w:tcPr>
          <w:p w14:paraId="2C26E3D6" w14:textId="77777777"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Adjudicación</w:t>
            </w:r>
          </w:p>
        </w:tc>
        <w:tc>
          <w:tcPr>
            <w:tcW w:w="0" w:type="auto"/>
            <w:vAlign w:val="center"/>
            <w:hideMark/>
          </w:tcPr>
          <w:p w14:paraId="6AFF546B" w14:textId="64FF21E3" w:rsidR="00BD0B7C" w:rsidRPr="0088790E" w:rsidRDefault="00E80494" w:rsidP="00B23A2E">
            <w:pPr>
              <w:spacing w:after="0" w:line="240" w:lineRule="auto"/>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30</w:t>
            </w:r>
            <w:r w:rsidR="00BD0B7C">
              <w:rPr>
                <w:rFonts w:ascii="Times New Roman" w:eastAsia="Times New Roman" w:hAnsi="Times New Roman" w:cs="Times New Roman"/>
                <w:kern w:val="0"/>
                <w:lang w:eastAsia="es-CO"/>
                <w14:ligatures w14:val="none"/>
              </w:rPr>
              <w:t xml:space="preserve"> de Julio de 2026</w:t>
            </w:r>
          </w:p>
        </w:tc>
      </w:tr>
      <w:tr w:rsidR="00BD0B7C" w:rsidRPr="0088790E" w14:paraId="5A25267E" w14:textId="77777777" w:rsidTr="00B23A2E">
        <w:trPr>
          <w:tblCellSpacing w:w="15" w:type="dxa"/>
        </w:trPr>
        <w:tc>
          <w:tcPr>
            <w:tcW w:w="0" w:type="auto"/>
            <w:vAlign w:val="center"/>
            <w:hideMark/>
          </w:tcPr>
          <w:p w14:paraId="704FC799" w14:textId="77777777" w:rsidR="00BD0B7C" w:rsidRPr="0088790E" w:rsidRDefault="00BD0B7C" w:rsidP="00B23A2E">
            <w:pPr>
              <w:spacing w:after="0" w:line="240" w:lineRule="auto"/>
              <w:rPr>
                <w:rFonts w:ascii="Times New Roman" w:eastAsia="Times New Roman" w:hAnsi="Times New Roman" w:cs="Times New Roman"/>
                <w:kern w:val="0"/>
                <w:lang w:eastAsia="es-CO"/>
                <w14:ligatures w14:val="none"/>
              </w:rPr>
            </w:pPr>
            <w:r w:rsidRPr="0088790E">
              <w:rPr>
                <w:rFonts w:ascii="Times New Roman" w:eastAsia="Times New Roman" w:hAnsi="Times New Roman" w:cs="Times New Roman"/>
                <w:kern w:val="0"/>
                <w:lang w:eastAsia="es-CO"/>
                <w14:ligatures w14:val="none"/>
              </w:rPr>
              <w:t>Elaboración y legalización del contrato</w:t>
            </w:r>
          </w:p>
        </w:tc>
        <w:tc>
          <w:tcPr>
            <w:tcW w:w="0" w:type="auto"/>
            <w:vAlign w:val="center"/>
            <w:hideMark/>
          </w:tcPr>
          <w:p w14:paraId="3FA93A0F" w14:textId="7BD18745" w:rsidR="00BD0B7C" w:rsidRPr="0088790E" w:rsidRDefault="00E80494" w:rsidP="00B23A2E">
            <w:pPr>
              <w:spacing w:after="0" w:line="240" w:lineRule="auto"/>
              <w:rPr>
                <w:rFonts w:ascii="Times New Roman" w:eastAsia="Times New Roman" w:hAnsi="Times New Roman" w:cs="Times New Roman"/>
                <w:kern w:val="0"/>
                <w:lang w:eastAsia="es-CO"/>
                <w14:ligatures w14:val="none"/>
              </w:rPr>
            </w:pPr>
            <w:r>
              <w:rPr>
                <w:rFonts w:ascii="Times New Roman" w:eastAsia="Times New Roman" w:hAnsi="Times New Roman" w:cs="Times New Roman"/>
                <w:kern w:val="0"/>
                <w:lang w:eastAsia="es-CO"/>
                <w14:ligatures w14:val="none"/>
              </w:rPr>
              <w:t>30</w:t>
            </w:r>
            <w:r w:rsidR="00BD0B7C">
              <w:rPr>
                <w:rFonts w:ascii="Times New Roman" w:eastAsia="Times New Roman" w:hAnsi="Times New Roman" w:cs="Times New Roman"/>
                <w:kern w:val="0"/>
                <w:lang w:eastAsia="es-CO"/>
                <w14:ligatures w14:val="none"/>
              </w:rPr>
              <w:t xml:space="preserve"> de Julio de 2026</w:t>
            </w:r>
          </w:p>
        </w:tc>
      </w:tr>
    </w:tbl>
    <w:p w14:paraId="3DCB638E" w14:textId="77777777" w:rsidR="00BD0B7C" w:rsidRPr="00311E6F" w:rsidRDefault="00BD0B7C"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p>
    <w:p w14:paraId="1039EA5D" w14:textId="77777777" w:rsidR="00311E6F" w:rsidRPr="00311E6F" w:rsidRDefault="00311E6F" w:rsidP="00311E6F">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311E6F">
        <w:rPr>
          <w:rFonts w:ascii="Times New Roman" w:eastAsia="Times New Roman" w:hAnsi="Times New Roman" w:cs="Times New Roman"/>
          <w:b/>
          <w:bCs/>
          <w:kern w:val="0"/>
          <w:sz w:val="27"/>
          <w:szCs w:val="27"/>
          <w:lang w:eastAsia="es-CO"/>
          <w14:ligatures w14:val="none"/>
        </w:rPr>
        <w:t>ARTÍCULO QUINTO. Permanencia de las demás condiciones.</w:t>
      </w:r>
    </w:p>
    <w:p w14:paraId="18E09933" w14:textId="77777777" w:rsidR="00311E6F" w:rsidRPr="00311E6F" w:rsidRDefault="00311E6F" w:rsidP="003B38B6">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Las demás estipulaciones contenidas en la Resolución de Apertura, los Estudios Previos, los Términos de Referencia Definitivos y sus anexos continúan vigentes y conservan plena validez jurídica, en todo aquello que no haya sido expresamente modificado mediante la presente Adenda.</w:t>
      </w:r>
    </w:p>
    <w:p w14:paraId="7B6201D4" w14:textId="77777777" w:rsidR="00311E6F" w:rsidRPr="00311E6F" w:rsidRDefault="00311E6F" w:rsidP="00311E6F">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311E6F">
        <w:rPr>
          <w:rFonts w:ascii="Times New Roman" w:eastAsia="Times New Roman" w:hAnsi="Times New Roman" w:cs="Times New Roman"/>
          <w:b/>
          <w:bCs/>
          <w:kern w:val="0"/>
          <w:sz w:val="27"/>
          <w:szCs w:val="27"/>
          <w:lang w:eastAsia="es-CO"/>
          <w14:ligatures w14:val="none"/>
        </w:rPr>
        <w:t>ARTÍCULO SEXTO. Publicación.</w:t>
      </w:r>
    </w:p>
    <w:p w14:paraId="79ED2D14" w14:textId="77777777" w:rsidR="00311E6F" w:rsidRPr="00311E6F" w:rsidRDefault="00311E6F" w:rsidP="004E29C5">
      <w:pPr>
        <w:spacing w:before="100" w:beforeAutospacing="1" w:after="100" w:afterAutospacing="1" w:line="240" w:lineRule="auto"/>
        <w:jc w:val="both"/>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Ordénese la publicación de la presente Adenda en el Sistema Electrónico para la Contratación Pública – SECOP II, para conocimiento de todos los interesados.</w:t>
      </w:r>
    </w:p>
    <w:p w14:paraId="1AE75D44" w14:textId="77777777" w:rsidR="00311E6F" w:rsidRPr="00311E6F" w:rsidRDefault="00311E6F" w:rsidP="004E29C5">
      <w:pPr>
        <w:spacing w:before="100" w:beforeAutospacing="1" w:after="100" w:afterAutospacing="1" w:line="240" w:lineRule="auto"/>
        <w:jc w:val="center"/>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PUBLÍQUESE Y CÚMPLASE.</w:t>
      </w:r>
    </w:p>
    <w:p w14:paraId="38F1BD10" w14:textId="2F56B991"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kern w:val="0"/>
          <w:lang w:eastAsia="es-CO"/>
          <w14:ligatures w14:val="none"/>
        </w:rPr>
        <w:t>Dada en Palermo – Huila, a los</w:t>
      </w:r>
      <w:r w:rsidR="004E29C5">
        <w:rPr>
          <w:rFonts w:ascii="Times New Roman" w:eastAsia="Times New Roman" w:hAnsi="Times New Roman" w:cs="Times New Roman"/>
          <w:kern w:val="0"/>
          <w:lang w:eastAsia="es-CO"/>
          <w14:ligatures w14:val="none"/>
        </w:rPr>
        <w:t xml:space="preserve"> seis (6)</w:t>
      </w:r>
      <w:r w:rsidRPr="00311E6F">
        <w:rPr>
          <w:rFonts w:ascii="Times New Roman" w:eastAsia="Times New Roman" w:hAnsi="Times New Roman" w:cs="Times New Roman"/>
          <w:kern w:val="0"/>
          <w:lang w:eastAsia="es-CO"/>
          <w14:ligatures w14:val="none"/>
        </w:rPr>
        <w:t xml:space="preserve"> días del mes de julio de 2026.</w:t>
      </w:r>
    </w:p>
    <w:p w14:paraId="754C2386" w14:textId="77777777" w:rsidR="000461DD" w:rsidRDefault="000461DD" w:rsidP="00311E6F">
      <w:pPr>
        <w:spacing w:before="100" w:beforeAutospacing="1" w:after="100" w:afterAutospacing="1" w:line="240" w:lineRule="auto"/>
        <w:rPr>
          <w:rFonts w:ascii="Times New Roman" w:eastAsia="Times New Roman" w:hAnsi="Times New Roman" w:cs="Times New Roman"/>
          <w:b/>
          <w:bCs/>
          <w:kern w:val="0"/>
          <w:lang w:eastAsia="es-CO"/>
          <w14:ligatures w14:val="none"/>
        </w:rPr>
      </w:pPr>
    </w:p>
    <w:p w14:paraId="2CEEF3F8" w14:textId="158047B8" w:rsidR="00311E6F" w:rsidRPr="00311E6F" w:rsidRDefault="00311E6F" w:rsidP="00311E6F">
      <w:pPr>
        <w:spacing w:before="100" w:beforeAutospacing="1" w:after="100" w:afterAutospacing="1" w:line="240" w:lineRule="auto"/>
        <w:rPr>
          <w:rFonts w:ascii="Times New Roman" w:eastAsia="Times New Roman" w:hAnsi="Times New Roman" w:cs="Times New Roman"/>
          <w:kern w:val="0"/>
          <w:lang w:eastAsia="es-CO"/>
          <w14:ligatures w14:val="none"/>
        </w:rPr>
      </w:pPr>
      <w:r w:rsidRPr="00311E6F">
        <w:rPr>
          <w:rFonts w:ascii="Times New Roman" w:eastAsia="Times New Roman" w:hAnsi="Times New Roman" w:cs="Times New Roman"/>
          <w:b/>
          <w:bCs/>
          <w:kern w:val="0"/>
          <w:lang w:eastAsia="es-CO"/>
          <w14:ligatures w14:val="none"/>
        </w:rPr>
        <w:t>RAIMUNDO LOSADA GARCÍA</w:t>
      </w:r>
      <w:r w:rsidRPr="00311E6F">
        <w:rPr>
          <w:rFonts w:ascii="Times New Roman" w:eastAsia="Times New Roman" w:hAnsi="Times New Roman" w:cs="Times New Roman"/>
          <w:kern w:val="0"/>
          <w:lang w:eastAsia="es-CO"/>
          <w14:ligatures w14:val="none"/>
        </w:rPr>
        <w:br/>
      </w:r>
      <w:r w:rsidRPr="00311E6F">
        <w:rPr>
          <w:rFonts w:ascii="Times New Roman" w:eastAsia="Times New Roman" w:hAnsi="Times New Roman" w:cs="Times New Roman"/>
          <w:b/>
          <w:bCs/>
          <w:kern w:val="0"/>
          <w:lang w:eastAsia="es-CO"/>
          <w14:ligatures w14:val="none"/>
        </w:rPr>
        <w:t>Gerente</w:t>
      </w:r>
      <w:r w:rsidRPr="00311E6F">
        <w:rPr>
          <w:rFonts w:ascii="Times New Roman" w:eastAsia="Times New Roman" w:hAnsi="Times New Roman" w:cs="Times New Roman"/>
          <w:kern w:val="0"/>
          <w:lang w:eastAsia="es-CO"/>
          <w14:ligatures w14:val="none"/>
        </w:rPr>
        <w:br/>
      </w:r>
      <w:r w:rsidRPr="00311E6F">
        <w:rPr>
          <w:rFonts w:ascii="Times New Roman" w:eastAsia="Times New Roman" w:hAnsi="Times New Roman" w:cs="Times New Roman"/>
          <w:b/>
          <w:bCs/>
          <w:kern w:val="0"/>
          <w:lang w:eastAsia="es-CO"/>
          <w14:ligatures w14:val="none"/>
        </w:rPr>
        <w:t>E.S.E. Hospital San Francisco de Asís de Palermo – Huila</w:t>
      </w:r>
    </w:p>
    <w:p w14:paraId="2E53E294" w14:textId="77777777" w:rsidR="008F458A" w:rsidRDefault="008F458A"/>
    <w:sectPr w:rsidR="008F458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0FF8"/>
    <w:multiLevelType w:val="multilevel"/>
    <w:tmpl w:val="C534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A0D1B"/>
    <w:multiLevelType w:val="multilevel"/>
    <w:tmpl w:val="0DBA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F4B7B"/>
    <w:multiLevelType w:val="multilevel"/>
    <w:tmpl w:val="EB5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E6F"/>
    <w:rsid w:val="000461DD"/>
    <w:rsid w:val="0004792A"/>
    <w:rsid w:val="001A45E8"/>
    <w:rsid w:val="00311E6F"/>
    <w:rsid w:val="003A3A98"/>
    <w:rsid w:val="003B38B6"/>
    <w:rsid w:val="004A5CE4"/>
    <w:rsid w:val="004E29C5"/>
    <w:rsid w:val="00536E47"/>
    <w:rsid w:val="005B0FD2"/>
    <w:rsid w:val="00642B49"/>
    <w:rsid w:val="00813834"/>
    <w:rsid w:val="008F458A"/>
    <w:rsid w:val="00AC75AC"/>
    <w:rsid w:val="00AD173B"/>
    <w:rsid w:val="00BD0B7C"/>
    <w:rsid w:val="00E804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ADC5"/>
  <w15:chartTrackingRefBased/>
  <w15:docId w15:val="{690A3F1F-00F6-40F4-8C3E-21916BB5D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311E6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11E6F"/>
    <w:rPr>
      <w:rFonts w:ascii="Times New Roman" w:eastAsia="Times New Roman" w:hAnsi="Times New Roman" w:cs="Times New Roman"/>
      <w:b/>
      <w:bCs/>
      <w:kern w:val="0"/>
      <w:sz w:val="27"/>
      <w:szCs w:val="27"/>
      <w:lang w:eastAsia="es-CO"/>
      <w14:ligatures w14:val="none"/>
    </w:rPr>
  </w:style>
  <w:style w:type="paragraph" w:customStyle="1" w:styleId="isselectedend">
    <w:name w:val="isselectedend"/>
    <w:basedOn w:val="Normal"/>
    <w:rsid w:val="00311E6F"/>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styleId="Textoennegrita">
    <w:name w:val="Strong"/>
    <w:basedOn w:val="Fuentedeprrafopredeter"/>
    <w:uiPriority w:val="22"/>
    <w:qFormat/>
    <w:rsid w:val="00311E6F"/>
    <w:rPr>
      <w:b/>
      <w:bCs/>
    </w:rPr>
  </w:style>
  <w:style w:type="paragraph" w:styleId="NormalWeb">
    <w:name w:val="Normal (Web)"/>
    <w:basedOn w:val="Normal"/>
    <w:uiPriority w:val="99"/>
    <w:semiHidden/>
    <w:unhideWhenUsed/>
    <w:rsid w:val="00311E6F"/>
    <w:pPr>
      <w:spacing w:before="100" w:beforeAutospacing="1" w:after="100" w:afterAutospacing="1" w:line="240" w:lineRule="auto"/>
    </w:pPr>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33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960</Words>
  <Characters>5281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Perdomo</dc:creator>
  <cp:keywords/>
  <dc:description/>
  <cp:lastModifiedBy>Jose Perdomo</cp:lastModifiedBy>
  <cp:revision>2</cp:revision>
  <dcterms:created xsi:type="dcterms:W3CDTF">2026-07-06T22:19:00Z</dcterms:created>
  <dcterms:modified xsi:type="dcterms:W3CDTF">2026-07-06T22:19:00Z</dcterms:modified>
</cp:coreProperties>
</file>