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EBFDD" w14:textId="77777777" w:rsidR="00FE1A44" w:rsidRPr="00CB2A6B" w:rsidRDefault="00FE1A44" w:rsidP="0077727E">
      <w:pPr>
        <w:jc w:val="center"/>
        <w:rPr>
          <w:rFonts w:ascii="Verdana" w:hAnsi="Verdana" w:cs="Arial"/>
          <w:b/>
          <w:color w:val="000000" w:themeColor="text1"/>
        </w:rPr>
      </w:pPr>
    </w:p>
    <w:p w14:paraId="3146EDED" w14:textId="77777777" w:rsidR="00B81B1F" w:rsidRPr="00CB2A6B" w:rsidRDefault="00B81B1F" w:rsidP="007C702A">
      <w:pPr>
        <w:rPr>
          <w:rFonts w:ascii="Verdana" w:hAnsi="Verdana" w:cs="Arial"/>
          <w:color w:val="000000" w:themeColor="text1"/>
          <w:lang w:val="es-ES_tradnl" w:eastAsia="es-CO"/>
        </w:rPr>
      </w:pPr>
    </w:p>
    <w:p w14:paraId="09226901" w14:textId="77777777" w:rsidR="0058222E" w:rsidRPr="00CB2A6B" w:rsidRDefault="0058222E" w:rsidP="007C702A">
      <w:pPr>
        <w:rPr>
          <w:rFonts w:ascii="Verdana" w:hAnsi="Verdana" w:cs="Arial"/>
          <w:color w:val="000000" w:themeColor="text1"/>
          <w:lang w:val="es-ES_tradnl" w:eastAsia="es-CO"/>
        </w:rPr>
      </w:pPr>
    </w:p>
    <w:p w14:paraId="0822FEEB" w14:textId="5A00D6E2" w:rsidR="00D70D7B" w:rsidRPr="00CB2A6B" w:rsidRDefault="00D70D7B" w:rsidP="187604FC">
      <w:pPr>
        <w:rPr>
          <w:rFonts w:ascii="Verdana" w:hAnsi="Verdana" w:cs="Arial"/>
          <w:color w:val="000000" w:themeColor="text1"/>
          <w:lang w:val="es-ES" w:eastAsia="es-CO"/>
        </w:rPr>
      </w:pPr>
      <w:r w:rsidRPr="00CB2A6B">
        <w:rPr>
          <w:rFonts w:ascii="Verdana" w:hAnsi="Verdana" w:cs="Arial"/>
          <w:color w:val="000000" w:themeColor="text1"/>
          <w:lang w:val="es-ES" w:eastAsia="es-CO"/>
        </w:rPr>
        <w:t xml:space="preserve">Para el presente </w:t>
      </w:r>
      <w:r w:rsidR="00C61BDB" w:rsidRPr="00CB2A6B">
        <w:rPr>
          <w:rFonts w:ascii="Verdana" w:hAnsi="Verdana" w:cs="Arial"/>
          <w:color w:val="000000" w:themeColor="text1"/>
          <w:lang w:val="es-ES" w:eastAsia="es-CO"/>
        </w:rPr>
        <w:t xml:space="preserve">procedimiento </w:t>
      </w:r>
      <w:r w:rsidRPr="00CB2A6B">
        <w:rPr>
          <w:rFonts w:ascii="Verdana" w:hAnsi="Verdana" w:cs="Arial"/>
          <w:color w:val="000000" w:themeColor="text1"/>
          <w:lang w:val="es-ES" w:eastAsia="es-CO"/>
        </w:rPr>
        <w:t xml:space="preserve">contractual, en atención </w:t>
      </w:r>
      <w:r w:rsidR="00B81B1F" w:rsidRPr="00CB2A6B">
        <w:rPr>
          <w:rFonts w:ascii="Verdana" w:hAnsi="Verdana" w:cs="Arial"/>
          <w:color w:val="000000" w:themeColor="text1"/>
          <w:lang w:val="es-ES" w:eastAsia="es-CO"/>
        </w:rPr>
        <w:t>a la</w:t>
      </w:r>
      <w:r w:rsidRPr="00CB2A6B">
        <w:rPr>
          <w:rFonts w:ascii="Verdana" w:hAnsi="Verdana" w:cs="Arial"/>
          <w:color w:val="000000" w:themeColor="text1"/>
          <w:lang w:val="es-ES" w:eastAsia="es-CO"/>
        </w:rPr>
        <w:t xml:space="preserve"> Ley 1150 de 2007 y los artículos 2.2.1.1.1.3.1 y 2.2.1.1.1.6.</w:t>
      </w:r>
      <w:r w:rsidR="00B81B1F" w:rsidRPr="00CB2A6B">
        <w:rPr>
          <w:rFonts w:ascii="Verdana" w:hAnsi="Verdana" w:cs="Arial"/>
          <w:color w:val="000000" w:themeColor="text1"/>
          <w:lang w:val="es-ES" w:eastAsia="es-CO"/>
        </w:rPr>
        <w:t>3. del</w:t>
      </w:r>
      <w:r w:rsidRPr="00CB2A6B">
        <w:rPr>
          <w:rFonts w:ascii="Verdana" w:hAnsi="Verdana" w:cs="Arial"/>
          <w:color w:val="000000" w:themeColor="text1"/>
          <w:lang w:val="es-ES" w:eastAsia="es-CO"/>
        </w:rPr>
        <w:t xml:space="preserve"> Decreto </w:t>
      </w:r>
      <w:r w:rsidR="00B81B1F" w:rsidRPr="00CB2A6B">
        <w:rPr>
          <w:rFonts w:ascii="Verdana" w:hAnsi="Verdana" w:cs="Arial"/>
          <w:color w:val="000000" w:themeColor="text1"/>
          <w:lang w:val="es-ES" w:eastAsia="es-CO"/>
        </w:rPr>
        <w:t>1082 de</w:t>
      </w:r>
      <w:r w:rsidR="006E6D9B" w:rsidRPr="00CB2A6B">
        <w:rPr>
          <w:rFonts w:ascii="Verdana" w:hAnsi="Verdana" w:cs="Arial"/>
          <w:color w:val="000000" w:themeColor="text1"/>
          <w:lang w:val="es-ES" w:eastAsia="es-CO"/>
        </w:rPr>
        <w:t xml:space="preserve"> 2015, entiéndase por </w:t>
      </w:r>
      <w:r w:rsidR="00624AC2" w:rsidRPr="00CB2A6B">
        <w:rPr>
          <w:rFonts w:ascii="Verdana" w:hAnsi="Verdana" w:cs="Arial"/>
          <w:color w:val="000000" w:themeColor="text1"/>
          <w:lang w:val="es-ES" w:eastAsia="es-CO"/>
        </w:rPr>
        <w:t>r</w:t>
      </w:r>
      <w:r w:rsidRPr="00CB2A6B">
        <w:rPr>
          <w:rFonts w:ascii="Verdana" w:hAnsi="Verdana" w:cs="Arial"/>
          <w:color w:val="000000" w:themeColor="text1"/>
          <w:lang w:val="es-ES" w:eastAsia="es-CO"/>
        </w:rPr>
        <w:t>iesgo</w:t>
      </w:r>
      <w:r w:rsidR="006E6D9B" w:rsidRPr="00CB2A6B">
        <w:rPr>
          <w:rFonts w:ascii="Verdana" w:hAnsi="Verdana" w:cs="Arial"/>
          <w:color w:val="000000" w:themeColor="text1"/>
          <w:lang w:val="es-ES" w:eastAsia="es-CO"/>
        </w:rPr>
        <w:t xml:space="preserve"> </w:t>
      </w:r>
      <w:r w:rsidRPr="00CB2A6B">
        <w:rPr>
          <w:rFonts w:ascii="Verdana" w:hAnsi="Verdana" w:cs="Arial"/>
          <w:color w:val="000000" w:themeColor="text1"/>
          <w:lang w:val="es-ES" w:eastAsia="es-CO"/>
        </w:rPr>
        <w:t xml:space="preserve">la probabilidad de ocurrencia de eventos aleatorios que afecten el desarrollo </w:t>
      </w:r>
      <w:proofErr w:type="gramStart"/>
      <w:r w:rsidRPr="00CB2A6B">
        <w:rPr>
          <w:rFonts w:ascii="Verdana" w:hAnsi="Verdana" w:cs="Arial"/>
          <w:color w:val="000000" w:themeColor="text1"/>
          <w:lang w:val="es-ES" w:eastAsia="es-CO"/>
        </w:rPr>
        <w:t>del mismo</w:t>
      </w:r>
      <w:proofErr w:type="gramEnd"/>
      <w:r w:rsidRPr="00CB2A6B">
        <w:rPr>
          <w:rFonts w:ascii="Verdana" w:hAnsi="Verdana" w:cs="Arial"/>
          <w:color w:val="000000" w:themeColor="text1"/>
          <w:lang w:val="es-ES" w:eastAsia="es-CO"/>
        </w:rPr>
        <w:t xml:space="preserve">, generando una variación sobre el resultado esperado, tanto en relación con los costos </w:t>
      </w:r>
      <w:r w:rsidR="00B81B1F" w:rsidRPr="00CB2A6B">
        <w:rPr>
          <w:rFonts w:ascii="Verdana" w:hAnsi="Verdana" w:cs="Arial"/>
          <w:color w:val="000000" w:themeColor="text1"/>
          <w:lang w:val="es-ES" w:eastAsia="es-CO"/>
        </w:rPr>
        <w:t>como con</w:t>
      </w:r>
      <w:r w:rsidRPr="00CB2A6B">
        <w:rPr>
          <w:rFonts w:ascii="Verdana" w:hAnsi="Verdana" w:cs="Arial"/>
          <w:color w:val="000000" w:themeColor="text1"/>
          <w:lang w:val="es-ES" w:eastAsia="es-CO"/>
        </w:rPr>
        <w:t xml:space="preserve"> las actividades a desarrollar en la ejecución contractual.</w:t>
      </w:r>
    </w:p>
    <w:p w14:paraId="419A2FA6" w14:textId="77777777" w:rsidR="00B81B1F" w:rsidRPr="00CB2A6B" w:rsidRDefault="00B81B1F" w:rsidP="007C702A">
      <w:pPr>
        <w:rPr>
          <w:rFonts w:ascii="Verdana" w:hAnsi="Verdana" w:cs="Arial"/>
          <w:color w:val="000000" w:themeColor="text1"/>
          <w:lang w:val="es-ES_tradnl" w:eastAsia="es-CO"/>
        </w:rPr>
      </w:pPr>
    </w:p>
    <w:p w14:paraId="5322C892" w14:textId="6D4072CB" w:rsidR="00D70D7B" w:rsidRPr="00CB2A6B" w:rsidRDefault="00D70D7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Corresponderá al contratista seleccionado la asunción de</w:t>
      </w:r>
      <w:r w:rsidR="006E6D9B" w:rsidRPr="00CB2A6B">
        <w:rPr>
          <w:rFonts w:ascii="Verdana" w:hAnsi="Verdana" w:cs="Arial"/>
          <w:color w:val="000000" w:themeColor="text1"/>
          <w:lang w:val="es-ES_tradnl" w:eastAsia="es-CO"/>
        </w:rPr>
        <w:t>l R</w:t>
      </w:r>
      <w:r w:rsidRPr="00CB2A6B">
        <w:rPr>
          <w:rFonts w:ascii="Verdana" w:hAnsi="Verdana" w:cs="Arial"/>
          <w:color w:val="000000" w:themeColor="text1"/>
          <w:lang w:val="es-ES_tradnl" w:eastAsia="es-CO"/>
        </w:rPr>
        <w:t xml:space="preserve">iesgo previsible propio de este tipo de contratación asumiendo su costo, siempre que el mismo no se encuentre expresamente a cargo de la </w:t>
      </w:r>
      <w:r w:rsidR="00624AC2" w:rsidRPr="00CB2A6B">
        <w:rPr>
          <w:rFonts w:ascii="Verdana" w:hAnsi="Verdana" w:cs="Arial"/>
          <w:color w:val="000000" w:themeColor="text1"/>
          <w:lang w:val="es-ES_tradnl" w:eastAsia="es-CO"/>
        </w:rPr>
        <w:t>e</w:t>
      </w:r>
      <w:r w:rsidRPr="00CB2A6B">
        <w:rPr>
          <w:rFonts w:ascii="Verdana" w:hAnsi="Verdana" w:cs="Arial"/>
          <w:color w:val="000000" w:themeColor="text1"/>
          <w:lang w:val="es-ES_tradnl" w:eastAsia="es-CO"/>
        </w:rPr>
        <w:t xml:space="preserve">ntidad en el contrato. </w:t>
      </w:r>
    </w:p>
    <w:p w14:paraId="78757E00" w14:textId="77777777" w:rsidR="00B81B1F" w:rsidRPr="00CB2A6B" w:rsidRDefault="00B81B1F" w:rsidP="007C702A">
      <w:pPr>
        <w:rPr>
          <w:rFonts w:ascii="Verdana" w:hAnsi="Verdana" w:cs="Arial"/>
          <w:color w:val="000000" w:themeColor="text1"/>
          <w:lang w:val="es-ES_tradnl" w:eastAsia="es-CO"/>
        </w:rPr>
      </w:pPr>
    </w:p>
    <w:p w14:paraId="2E7008F5" w14:textId="14484365" w:rsidR="00545461" w:rsidRPr="00CB2A6B" w:rsidRDefault="006E6D9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 xml:space="preserve">De acuerdo con </w:t>
      </w:r>
      <w:r w:rsidR="00C61BDB" w:rsidRPr="00CB2A6B">
        <w:rPr>
          <w:rFonts w:ascii="Verdana" w:hAnsi="Verdana" w:cs="Arial"/>
          <w:color w:val="000000" w:themeColor="text1"/>
          <w:lang w:val="es-ES_tradnl" w:eastAsia="es-CO"/>
        </w:rPr>
        <w:t xml:space="preserve">procedimiento </w:t>
      </w:r>
      <w:r w:rsidR="00545461" w:rsidRPr="00CB2A6B">
        <w:rPr>
          <w:rFonts w:ascii="Verdana" w:hAnsi="Verdana" w:cs="Arial"/>
          <w:color w:val="000000" w:themeColor="text1"/>
          <w:lang w:val="es-ES_tradnl" w:eastAsia="es-CO"/>
        </w:rPr>
        <w:t xml:space="preserve">de la referencia, nos permitimos establecer la tipificación, estimación y asignación de los riesgos previsibles que puedan afectar el presente </w:t>
      </w:r>
      <w:r w:rsidR="00C61BDB" w:rsidRPr="00CB2A6B">
        <w:rPr>
          <w:rFonts w:ascii="Verdana" w:hAnsi="Verdana" w:cs="Arial"/>
          <w:color w:val="000000" w:themeColor="text1"/>
          <w:lang w:val="es-ES_tradnl" w:eastAsia="es-CO"/>
        </w:rPr>
        <w:t>procedimiento</w:t>
      </w:r>
      <w:r w:rsidR="00545461" w:rsidRPr="00CB2A6B">
        <w:rPr>
          <w:rFonts w:ascii="Verdana" w:hAnsi="Verdana" w:cs="Arial"/>
          <w:color w:val="000000" w:themeColor="text1"/>
          <w:lang w:val="es-ES_tradnl" w:eastAsia="es-CO"/>
        </w:rPr>
        <w:t>.</w:t>
      </w:r>
    </w:p>
    <w:p w14:paraId="50AA65CC" w14:textId="77777777" w:rsidR="005E5030" w:rsidRPr="00CB2A6B" w:rsidRDefault="005E5030" w:rsidP="00D70D7B">
      <w:pPr>
        <w:spacing w:after="100" w:afterAutospacing="1"/>
        <w:rPr>
          <w:rFonts w:ascii="Verdana" w:eastAsia="SimSun" w:hAnsi="Verdana" w:cs="Arial"/>
          <w:b/>
          <w:color w:val="000000" w:themeColor="text1"/>
          <w:kern w:val="3"/>
          <w:u w:val="single"/>
          <w:lang w:eastAsia="zh-CN" w:bidi="hi-IN"/>
        </w:rPr>
      </w:pPr>
    </w:p>
    <w:p w14:paraId="4D84E88B" w14:textId="77777777" w:rsidR="0058222E" w:rsidRPr="00CB2A6B" w:rsidRDefault="00815604" w:rsidP="00D70D7B">
      <w:pPr>
        <w:spacing w:after="100" w:afterAutospacing="1"/>
        <w:rPr>
          <w:rFonts w:ascii="Verdana" w:eastAsia="SimSun" w:hAnsi="Verdana" w:cs="Arial"/>
          <w:color w:val="000000" w:themeColor="text1"/>
          <w:kern w:val="3"/>
          <w:lang w:eastAsia="zh-CN" w:bidi="hi-IN"/>
        </w:rPr>
      </w:pPr>
      <w:r w:rsidRPr="00CB2A6B">
        <w:rPr>
          <w:rFonts w:ascii="Verdana" w:eastAsia="SimSun" w:hAnsi="Verdana" w:cs="Arial"/>
          <w:b/>
          <w:color w:val="000000" w:themeColor="text1"/>
          <w:kern w:val="3"/>
          <w:u w:val="single"/>
          <w:lang w:eastAsia="zh-CN" w:bidi="hi-IN"/>
        </w:rPr>
        <w:t>Matriz de Riesgos</w:t>
      </w:r>
    </w:p>
    <w:p w14:paraId="74770F23" w14:textId="77777777" w:rsidR="00815604" w:rsidRPr="00CB2A6B" w:rsidRDefault="00815604" w:rsidP="00CA0724">
      <w:pPr>
        <w:spacing w:after="100" w:afterAutospacing="1"/>
        <w:rPr>
          <w:rFonts w:ascii="Verdana" w:eastAsia="SimSun" w:hAnsi="Verdana" w:cs="Arial"/>
          <w:kern w:val="3"/>
          <w:lang w:eastAsia="zh-CN" w:bidi="hi-IN"/>
        </w:rPr>
      </w:pPr>
    </w:p>
    <w:tbl>
      <w:tblPr>
        <w:tblW w:w="5000" w:type="pct"/>
        <w:tblCellMar>
          <w:left w:w="70" w:type="dxa"/>
          <w:right w:w="70" w:type="dxa"/>
        </w:tblCellMar>
        <w:tblLook w:val="04A0" w:firstRow="1" w:lastRow="0" w:firstColumn="1" w:lastColumn="0" w:noHBand="0" w:noVBand="1"/>
      </w:tblPr>
      <w:tblGrid>
        <w:gridCol w:w="279"/>
        <w:gridCol w:w="280"/>
        <w:gridCol w:w="280"/>
        <w:gridCol w:w="280"/>
        <w:gridCol w:w="280"/>
        <w:gridCol w:w="1053"/>
        <w:gridCol w:w="919"/>
        <w:gridCol w:w="280"/>
        <w:gridCol w:w="280"/>
        <w:gridCol w:w="280"/>
        <w:gridCol w:w="280"/>
        <w:gridCol w:w="280"/>
        <w:gridCol w:w="1238"/>
        <w:gridCol w:w="280"/>
        <w:gridCol w:w="280"/>
        <w:gridCol w:w="280"/>
        <w:gridCol w:w="280"/>
        <w:gridCol w:w="280"/>
        <w:gridCol w:w="416"/>
        <w:gridCol w:w="280"/>
        <w:gridCol w:w="280"/>
        <w:gridCol w:w="983"/>
        <w:gridCol w:w="280"/>
        <w:gridCol w:w="144"/>
      </w:tblGrid>
      <w:tr w:rsidR="00CA0724" w:rsidRPr="00CA0724" w14:paraId="3FFC83B2" w14:textId="77777777" w:rsidTr="00CA0724">
        <w:trPr>
          <w:gridAfter w:val="1"/>
          <w:wAfter w:w="33" w:type="pct"/>
          <w:trHeight w:val="540"/>
        </w:trPr>
        <w:tc>
          <w:tcPr>
            <w:tcW w:w="76" w:type="pct"/>
            <w:vMerge w:val="restart"/>
            <w:tcBorders>
              <w:top w:val="single" w:sz="4" w:space="0" w:color="000000"/>
              <w:left w:val="single" w:sz="4" w:space="0" w:color="000000"/>
              <w:bottom w:val="single" w:sz="4" w:space="0" w:color="000000"/>
              <w:right w:val="single" w:sz="4" w:space="0" w:color="000000"/>
            </w:tcBorders>
            <w:shd w:val="clear" w:color="333333" w:fill="A6A6A6"/>
            <w:vAlign w:val="center"/>
            <w:hideMark/>
          </w:tcPr>
          <w:p w14:paraId="2AEB666D"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N</w:t>
            </w:r>
          </w:p>
        </w:tc>
        <w:tc>
          <w:tcPr>
            <w:tcW w:w="76" w:type="pct"/>
            <w:vMerge w:val="restart"/>
            <w:tcBorders>
              <w:top w:val="single" w:sz="4" w:space="0" w:color="000000"/>
              <w:left w:val="single" w:sz="4" w:space="0" w:color="000000"/>
              <w:bottom w:val="single" w:sz="4" w:space="0" w:color="000000"/>
              <w:right w:val="single" w:sz="4" w:space="0" w:color="000000"/>
            </w:tcBorders>
            <w:shd w:val="clear" w:color="333333" w:fill="A6A6A6"/>
            <w:textDirection w:val="btLr"/>
            <w:vAlign w:val="center"/>
            <w:hideMark/>
          </w:tcPr>
          <w:p w14:paraId="23C51A72"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Clase</w:t>
            </w:r>
          </w:p>
        </w:tc>
        <w:tc>
          <w:tcPr>
            <w:tcW w:w="76" w:type="pct"/>
            <w:vMerge w:val="restart"/>
            <w:tcBorders>
              <w:top w:val="single" w:sz="4" w:space="0" w:color="000000"/>
              <w:left w:val="single" w:sz="4" w:space="0" w:color="000000"/>
              <w:bottom w:val="single" w:sz="4" w:space="0" w:color="000000"/>
              <w:right w:val="single" w:sz="4" w:space="0" w:color="000000"/>
            </w:tcBorders>
            <w:shd w:val="clear" w:color="333333" w:fill="A6A6A6"/>
            <w:textDirection w:val="btLr"/>
            <w:vAlign w:val="center"/>
            <w:hideMark/>
          </w:tcPr>
          <w:p w14:paraId="5B945FC1"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Fuente</w:t>
            </w:r>
          </w:p>
        </w:tc>
        <w:tc>
          <w:tcPr>
            <w:tcW w:w="76" w:type="pct"/>
            <w:vMerge w:val="restart"/>
            <w:tcBorders>
              <w:top w:val="single" w:sz="4" w:space="0" w:color="000000"/>
              <w:left w:val="single" w:sz="4" w:space="0" w:color="000000"/>
              <w:bottom w:val="single" w:sz="4" w:space="0" w:color="000000"/>
              <w:right w:val="single" w:sz="4" w:space="0" w:color="000000"/>
            </w:tcBorders>
            <w:shd w:val="clear" w:color="333333" w:fill="A6A6A6"/>
            <w:textDirection w:val="btLr"/>
            <w:vAlign w:val="center"/>
            <w:hideMark/>
          </w:tcPr>
          <w:p w14:paraId="662A4EDF"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Etapa</w:t>
            </w:r>
          </w:p>
        </w:tc>
        <w:tc>
          <w:tcPr>
            <w:tcW w:w="76" w:type="pct"/>
            <w:vMerge w:val="restart"/>
            <w:tcBorders>
              <w:top w:val="single" w:sz="4" w:space="0" w:color="000000"/>
              <w:left w:val="single" w:sz="4" w:space="0" w:color="000000"/>
              <w:bottom w:val="single" w:sz="4" w:space="0" w:color="000000"/>
              <w:right w:val="single" w:sz="4" w:space="0" w:color="000000"/>
            </w:tcBorders>
            <w:shd w:val="clear" w:color="333333" w:fill="A6A6A6"/>
            <w:textDirection w:val="btLr"/>
            <w:vAlign w:val="center"/>
            <w:hideMark/>
          </w:tcPr>
          <w:p w14:paraId="0020A01A"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Tipo</w:t>
            </w:r>
          </w:p>
        </w:tc>
        <w:tc>
          <w:tcPr>
            <w:tcW w:w="828" w:type="pct"/>
            <w:vMerge w:val="restart"/>
            <w:tcBorders>
              <w:top w:val="single" w:sz="4" w:space="0" w:color="000000"/>
              <w:left w:val="single" w:sz="4" w:space="0" w:color="000000"/>
              <w:bottom w:val="single" w:sz="4" w:space="0" w:color="000000"/>
              <w:right w:val="single" w:sz="4" w:space="0" w:color="000000"/>
            </w:tcBorders>
            <w:shd w:val="clear" w:color="333333" w:fill="A6A6A6"/>
            <w:vAlign w:val="center"/>
            <w:hideMark/>
          </w:tcPr>
          <w:p w14:paraId="7EAAA5D0"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Descripción</w:t>
            </w:r>
          </w:p>
        </w:tc>
        <w:tc>
          <w:tcPr>
            <w:tcW w:w="399" w:type="pct"/>
            <w:vMerge w:val="restart"/>
            <w:tcBorders>
              <w:top w:val="single" w:sz="4" w:space="0" w:color="000000"/>
              <w:left w:val="single" w:sz="4" w:space="0" w:color="000000"/>
              <w:bottom w:val="single" w:sz="4" w:space="0" w:color="000000"/>
              <w:right w:val="single" w:sz="4" w:space="0" w:color="000000"/>
            </w:tcBorders>
            <w:shd w:val="clear" w:color="333333" w:fill="A6A6A6"/>
            <w:vAlign w:val="center"/>
            <w:hideMark/>
          </w:tcPr>
          <w:p w14:paraId="73A80862"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Consecuencia de la ocurrencia del evento</w:t>
            </w:r>
          </w:p>
        </w:tc>
        <w:tc>
          <w:tcPr>
            <w:tcW w:w="90" w:type="pct"/>
            <w:vMerge w:val="restart"/>
            <w:tcBorders>
              <w:top w:val="single" w:sz="4" w:space="0" w:color="000000"/>
              <w:left w:val="single" w:sz="4" w:space="0" w:color="000000"/>
              <w:bottom w:val="single" w:sz="4" w:space="0" w:color="000000"/>
              <w:right w:val="single" w:sz="4" w:space="0" w:color="000000"/>
            </w:tcBorders>
            <w:shd w:val="clear" w:color="333333" w:fill="A6A6A6"/>
            <w:textDirection w:val="btLr"/>
            <w:vAlign w:val="center"/>
            <w:hideMark/>
          </w:tcPr>
          <w:p w14:paraId="10568E84"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Probabilidad</w:t>
            </w:r>
          </w:p>
        </w:tc>
        <w:tc>
          <w:tcPr>
            <w:tcW w:w="90" w:type="pct"/>
            <w:vMerge w:val="restart"/>
            <w:tcBorders>
              <w:top w:val="single" w:sz="4" w:space="0" w:color="000000"/>
              <w:left w:val="single" w:sz="4" w:space="0" w:color="000000"/>
              <w:bottom w:val="single" w:sz="4" w:space="0" w:color="000000"/>
              <w:right w:val="single" w:sz="4" w:space="0" w:color="000000"/>
            </w:tcBorders>
            <w:shd w:val="clear" w:color="333333" w:fill="A6A6A6"/>
            <w:textDirection w:val="btLr"/>
            <w:vAlign w:val="center"/>
            <w:hideMark/>
          </w:tcPr>
          <w:p w14:paraId="63A61B9E"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Impacto</w:t>
            </w:r>
          </w:p>
        </w:tc>
        <w:tc>
          <w:tcPr>
            <w:tcW w:w="90" w:type="pct"/>
            <w:vMerge w:val="restart"/>
            <w:tcBorders>
              <w:top w:val="single" w:sz="4" w:space="0" w:color="000000"/>
              <w:left w:val="single" w:sz="4" w:space="0" w:color="000000"/>
              <w:bottom w:val="single" w:sz="4" w:space="0" w:color="000000"/>
              <w:right w:val="single" w:sz="4" w:space="0" w:color="000000"/>
            </w:tcBorders>
            <w:shd w:val="clear" w:color="333333" w:fill="A6A6A6"/>
            <w:textDirection w:val="btLr"/>
            <w:vAlign w:val="center"/>
            <w:hideMark/>
          </w:tcPr>
          <w:p w14:paraId="767E690B"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Valoración</w:t>
            </w:r>
          </w:p>
        </w:tc>
        <w:tc>
          <w:tcPr>
            <w:tcW w:w="90" w:type="pct"/>
            <w:vMerge w:val="restart"/>
            <w:tcBorders>
              <w:top w:val="single" w:sz="4" w:space="0" w:color="000000"/>
              <w:left w:val="single" w:sz="4" w:space="0" w:color="000000"/>
              <w:bottom w:val="single" w:sz="4" w:space="0" w:color="000000"/>
              <w:right w:val="single" w:sz="4" w:space="0" w:color="000000"/>
            </w:tcBorders>
            <w:shd w:val="clear" w:color="333333" w:fill="A6A6A6"/>
            <w:textDirection w:val="btLr"/>
            <w:vAlign w:val="center"/>
            <w:hideMark/>
          </w:tcPr>
          <w:p w14:paraId="6A90B35E"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Categoría</w:t>
            </w:r>
          </w:p>
        </w:tc>
        <w:tc>
          <w:tcPr>
            <w:tcW w:w="90" w:type="pct"/>
            <w:vMerge w:val="restart"/>
            <w:tcBorders>
              <w:top w:val="single" w:sz="4" w:space="0" w:color="000000"/>
              <w:left w:val="single" w:sz="4" w:space="0" w:color="000000"/>
              <w:bottom w:val="single" w:sz="4" w:space="0" w:color="000000"/>
              <w:right w:val="single" w:sz="4" w:space="0" w:color="000000"/>
            </w:tcBorders>
            <w:shd w:val="clear" w:color="C0C0C0" w:fill="C0C0C0"/>
            <w:textDirection w:val="btLr"/>
            <w:vAlign w:val="center"/>
            <w:hideMark/>
          </w:tcPr>
          <w:p w14:paraId="4C3E1E66"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¿A quién se le asigna?</w:t>
            </w:r>
          </w:p>
        </w:tc>
        <w:tc>
          <w:tcPr>
            <w:tcW w:w="830" w:type="pct"/>
            <w:vMerge w:val="restart"/>
            <w:tcBorders>
              <w:top w:val="single" w:sz="4" w:space="0" w:color="000000"/>
              <w:left w:val="single" w:sz="4" w:space="0" w:color="000000"/>
              <w:bottom w:val="single" w:sz="4" w:space="0" w:color="000000"/>
              <w:right w:val="single" w:sz="4" w:space="0" w:color="000000"/>
            </w:tcBorders>
            <w:shd w:val="clear" w:color="C0C0C0" w:fill="C0C0C0"/>
            <w:vAlign w:val="center"/>
            <w:hideMark/>
          </w:tcPr>
          <w:p w14:paraId="0621158F"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Tratamiento/Control a ser implementado</w:t>
            </w:r>
          </w:p>
        </w:tc>
        <w:tc>
          <w:tcPr>
            <w:tcW w:w="359" w:type="pct"/>
            <w:gridSpan w:val="4"/>
            <w:tcBorders>
              <w:top w:val="single" w:sz="4" w:space="0" w:color="000000"/>
              <w:left w:val="nil"/>
              <w:bottom w:val="single" w:sz="4" w:space="0" w:color="000000"/>
              <w:right w:val="single" w:sz="4" w:space="0" w:color="000000"/>
            </w:tcBorders>
            <w:shd w:val="clear" w:color="C0C0C0" w:fill="C0C0C0"/>
            <w:vAlign w:val="center"/>
            <w:hideMark/>
          </w:tcPr>
          <w:p w14:paraId="3E44D502"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Impacto después del tratamiento</w:t>
            </w:r>
          </w:p>
        </w:tc>
        <w:tc>
          <w:tcPr>
            <w:tcW w:w="143" w:type="pct"/>
            <w:vMerge w:val="restart"/>
            <w:tcBorders>
              <w:top w:val="single" w:sz="4" w:space="0" w:color="000000"/>
              <w:left w:val="single" w:sz="4" w:space="0" w:color="000000"/>
              <w:bottom w:val="single" w:sz="4" w:space="0" w:color="000000"/>
              <w:right w:val="single" w:sz="4" w:space="0" w:color="000000"/>
            </w:tcBorders>
            <w:shd w:val="clear" w:color="C0C0C0" w:fill="C0C0C0"/>
            <w:textDirection w:val="btLr"/>
            <w:vAlign w:val="center"/>
            <w:hideMark/>
          </w:tcPr>
          <w:p w14:paraId="71AC8132"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¿Afecta la ejecución del contrato?</w:t>
            </w:r>
          </w:p>
        </w:tc>
        <w:tc>
          <w:tcPr>
            <w:tcW w:w="179" w:type="pct"/>
            <w:vMerge w:val="restart"/>
            <w:tcBorders>
              <w:top w:val="single" w:sz="4" w:space="0" w:color="000000"/>
              <w:left w:val="single" w:sz="4" w:space="0" w:color="000000"/>
              <w:bottom w:val="single" w:sz="4" w:space="0" w:color="000000"/>
              <w:right w:val="single" w:sz="4" w:space="0" w:color="000000"/>
            </w:tcBorders>
            <w:shd w:val="clear" w:color="C0C0C0" w:fill="C0C0C0"/>
            <w:textDirection w:val="btLr"/>
            <w:vAlign w:val="center"/>
            <w:hideMark/>
          </w:tcPr>
          <w:p w14:paraId="01E54258"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Responsable por implementar el tratamiento</w:t>
            </w:r>
          </w:p>
        </w:tc>
        <w:tc>
          <w:tcPr>
            <w:tcW w:w="183" w:type="pct"/>
            <w:vMerge w:val="restart"/>
            <w:tcBorders>
              <w:top w:val="single" w:sz="4" w:space="0" w:color="000000"/>
              <w:left w:val="single" w:sz="4" w:space="0" w:color="000000"/>
              <w:bottom w:val="single" w:sz="4" w:space="0" w:color="000000"/>
              <w:right w:val="single" w:sz="4" w:space="0" w:color="000000"/>
            </w:tcBorders>
            <w:shd w:val="clear" w:color="C0C0C0" w:fill="C0C0C0"/>
            <w:textDirection w:val="btLr"/>
            <w:vAlign w:val="center"/>
            <w:hideMark/>
          </w:tcPr>
          <w:p w14:paraId="532EE217"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Fecha estimada en que se inicia el tratamiento</w:t>
            </w:r>
          </w:p>
        </w:tc>
        <w:tc>
          <w:tcPr>
            <w:tcW w:w="222" w:type="pct"/>
            <w:vMerge w:val="restart"/>
            <w:tcBorders>
              <w:top w:val="single" w:sz="4" w:space="0" w:color="000000"/>
              <w:left w:val="single" w:sz="4" w:space="0" w:color="000000"/>
              <w:bottom w:val="single" w:sz="4" w:space="0" w:color="000000"/>
              <w:right w:val="single" w:sz="4" w:space="0" w:color="000000"/>
            </w:tcBorders>
            <w:shd w:val="clear" w:color="C0C0C0" w:fill="C0C0C0"/>
            <w:textDirection w:val="btLr"/>
            <w:vAlign w:val="center"/>
            <w:hideMark/>
          </w:tcPr>
          <w:p w14:paraId="48A46812"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Fecha estimada en que se completa el tratamiento</w:t>
            </w:r>
          </w:p>
        </w:tc>
        <w:tc>
          <w:tcPr>
            <w:tcW w:w="997" w:type="pct"/>
            <w:gridSpan w:val="2"/>
            <w:tcBorders>
              <w:top w:val="single" w:sz="4" w:space="0" w:color="000000"/>
              <w:left w:val="nil"/>
              <w:bottom w:val="single" w:sz="4" w:space="0" w:color="000000"/>
              <w:right w:val="single" w:sz="4" w:space="0" w:color="000000"/>
            </w:tcBorders>
            <w:shd w:val="clear" w:color="C0C0C0" w:fill="C0C0C0"/>
            <w:vAlign w:val="center"/>
            <w:hideMark/>
          </w:tcPr>
          <w:p w14:paraId="6639519B"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Monitoreo y revisión</w:t>
            </w:r>
          </w:p>
        </w:tc>
      </w:tr>
      <w:tr w:rsidR="00CA0724" w:rsidRPr="00CA0724" w14:paraId="1DB1561D" w14:textId="77777777" w:rsidTr="00CA0724">
        <w:trPr>
          <w:gridAfter w:val="1"/>
          <w:wAfter w:w="33" w:type="pct"/>
          <w:trHeight w:val="525"/>
        </w:trPr>
        <w:tc>
          <w:tcPr>
            <w:tcW w:w="76" w:type="pct"/>
            <w:vMerge/>
            <w:tcBorders>
              <w:top w:val="single" w:sz="4" w:space="0" w:color="000000"/>
              <w:left w:val="single" w:sz="4" w:space="0" w:color="000000"/>
              <w:bottom w:val="single" w:sz="4" w:space="0" w:color="000000"/>
              <w:right w:val="single" w:sz="4" w:space="0" w:color="000000"/>
            </w:tcBorders>
            <w:vAlign w:val="center"/>
            <w:hideMark/>
          </w:tcPr>
          <w:p w14:paraId="55551C14"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76" w:type="pct"/>
            <w:vMerge/>
            <w:tcBorders>
              <w:top w:val="single" w:sz="4" w:space="0" w:color="000000"/>
              <w:left w:val="single" w:sz="4" w:space="0" w:color="000000"/>
              <w:bottom w:val="single" w:sz="4" w:space="0" w:color="000000"/>
              <w:right w:val="single" w:sz="4" w:space="0" w:color="000000"/>
            </w:tcBorders>
            <w:vAlign w:val="center"/>
            <w:hideMark/>
          </w:tcPr>
          <w:p w14:paraId="3D2311FE"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76" w:type="pct"/>
            <w:vMerge/>
            <w:tcBorders>
              <w:top w:val="single" w:sz="4" w:space="0" w:color="000000"/>
              <w:left w:val="single" w:sz="4" w:space="0" w:color="000000"/>
              <w:bottom w:val="single" w:sz="4" w:space="0" w:color="000000"/>
              <w:right w:val="single" w:sz="4" w:space="0" w:color="000000"/>
            </w:tcBorders>
            <w:vAlign w:val="center"/>
            <w:hideMark/>
          </w:tcPr>
          <w:p w14:paraId="0576183E"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76" w:type="pct"/>
            <w:vMerge/>
            <w:tcBorders>
              <w:top w:val="single" w:sz="4" w:space="0" w:color="000000"/>
              <w:left w:val="single" w:sz="4" w:space="0" w:color="000000"/>
              <w:bottom w:val="single" w:sz="4" w:space="0" w:color="000000"/>
              <w:right w:val="single" w:sz="4" w:space="0" w:color="000000"/>
            </w:tcBorders>
            <w:vAlign w:val="center"/>
            <w:hideMark/>
          </w:tcPr>
          <w:p w14:paraId="1E8CA345"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76" w:type="pct"/>
            <w:vMerge/>
            <w:tcBorders>
              <w:top w:val="single" w:sz="4" w:space="0" w:color="000000"/>
              <w:left w:val="single" w:sz="4" w:space="0" w:color="000000"/>
              <w:bottom w:val="single" w:sz="4" w:space="0" w:color="000000"/>
              <w:right w:val="single" w:sz="4" w:space="0" w:color="000000"/>
            </w:tcBorders>
            <w:vAlign w:val="center"/>
            <w:hideMark/>
          </w:tcPr>
          <w:p w14:paraId="14605002"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828" w:type="pct"/>
            <w:vMerge/>
            <w:tcBorders>
              <w:top w:val="single" w:sz="4" w:space="0" w:color="000000"/>
              <w:left w:val="single" w:sz="4" w:space="0" w:color="000000"/>
              <w:bottom w:val="single" w:sz="4" w:space="0" w:color="000000"/>
              <w:right w:val="single" w:sz="4" w:space="0" w:color="000000"/>
            </w:tcBorders>
            <w:vAlign w:val="center"/>
            <w:hideMark/>
          </w:tcPr>
          <w:p w14:paraId="4DEA0A35"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399" w:type="pct"/>
            <w:vMerge/>
            <w:tcBorders>
              <w:top w:val="single" w:sz="4" w:space="0" w:color="000000"/>
              <w:left w:val="single" w:sz="4" w:space="0" w:color="000000"/>
              <w:bottom w:val="single" w:sz="4" w:space="0" w:color="000000"/>
              <w:right w:val="single" w:sz="4" w:space="0" w:color="000000"/>
            </w:tcBorders>
            <w:vAlign w:val="center"/>
            <w:hideMark/>
          </w:tcPr>
          <w:p w14:paraId="269676E9"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90" w:type="pct"/>
            <w:vMerge/>
            <w:tcBorders>
              <w:top w:val="single" w:sz="4" w:space="0" w:color="000000"/>
              <w:left w:val="single" w:sz="4" w:space="0" w:color="000000"/>
              <w:bottom w:val="single" w:sz="4" w:space="0" w:color="000000"/>
              <w:right w:val="single" w:sz="4" w:space="0" w:color="000000"/>
            </w:tcBorders>
            <w:vAlign w:val="center"/>
            <w:hideMark/>
          </w:tcPr>
          <w:p w14:paraId="755C9272"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90" w:type="pct"/>
            <w:vMerge/>
            <w:tcBorders>
              <w:top w:val="single" w:sz="4" w:space="0" w:color="000000"/>
              <w:left w:val="single" w:sz="4" w:space="0" w:color="000000"/>
              <w:bottom w:val="single" w:sz="4" w:space="0" w:color="000000"/>
              <w:right w:val="single" w:sz="4" w:space="0" w:color="000000"/>
            </w:tcBorders>
            <w:vAlign w:val="center"/>
            <w:hideMark/>
          </w:tcPr>
          <w:p w14:paraId="7B6B1C64"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90" w:type="pct"/>
            <w:vMerge/>
            <w:tcBorders>
              <w:top w:val="single" w:sz="4" w:space="0" w:color="000000"/>
              <w:left w:val="single" w:sz="4" w:space="0" w:color="000000"/>
              <w:bottom w:val="single" w:sz="4" w:space="0" w:color="000000"/>
              <w:right w:val="single" w:sz="4" w:space="0" w:color="000000"/>
            </w:tcBorders>
            <w:vAlign w:val="center"/>
            <w:hideMark/>
          </w:tcPr>
          <w:p w14:paraId="572D27A1"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90" w:type="pct"/>
            <w:vMerge/>
            <w:tcBorders>
              <w:top w:val="single" w:sz="4" w:space="0" w:color="000000"/>
              <w:left w:val="single" w:sz="4" w:space="0" w:color="000000"/>
              <w:bottom w:val="single" w:sz="4" w:space="0" w:color="000000"/>
              <w:right w:val="single" w:sz="4" w:space="0" w:color="000000"/>
            </w:tcBorders>
            <w:vAlign w:val="center"/>
            <w:hideMark/>
          </w:tcPr>
          <w:p w14:paraId="7A563CB4"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90" w:type="pct"/>
            <w:vMerge/>
            <w:tcBorders>
              <w:top w:val="single" w:sz="4" w:space="0" w:color="000000"/>
              <w:left w:val="single" w:sz="4" w:space="0" w:color="000000"/>
              <w:bottom w:val="single" w:sz="4" w:space="0" w:color="000000"/>
              <w:right w:val="single" w:sz="4" w:space="0" w:color="000000"/>
            </w:tcBorders>
            <w:vAlign w:val="center"/>
            <w:hideMark/>
          </w:tcPr>
          <w:p w14:paraId="5963B0D6"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830" w:type="pct"/>
            <w:vMerge/>
            <w:tcBorders>
              <w:top w:val="single" w:sz="4" w:space="0" w:color="000000"/>
              <w:left w:val="single" w:sz="4" w:space="0" w:color="000000"/>
              <w:bottom w:val="single" w:sz="4" w:space="0" w:color="000000"/>
              <w:right w:val="single" w:sz="4" w:space="0" w:color="000000"/>
            </w:tcBorders>
            <w:vAlign w:val="center"/>
            <w:hideMark/>
          </w:tcPr>
          <w:p w14:paraId="6083EDDD"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90" w:type="pct"/>
            <w:vMerge w:val="restart"/>
            <w:tcBorders>
              <w:top w:val="nil"/>
              <w:left w:val="single" w:sz="4" w:space="0" w:color="000000"/>
              <w:bottom w:val="single" w:sz="4" w:space="0" w:color="000000"/>
              <w:right w:val="single" w:sz="4" w:space="0" w:color="000000"/>
            </w:tcBorders>
            <w:shd w:val="clear" w:color="C0C0C0" w:fill="C0C0C0"/>
            <w:textDirection w:val="btLr"/>
            <w:vAlign w:val="center"/>
            <w:hideMark/>
          </w:tcPr>
          <w:p w14:paraId="4049153F"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Probabilidad</w:t>
            </w:r>
          </w:p>
        </w:tc>
        <w:tc>
          <w:tcPr>
            <w:tcW w:w="90" w:type="pct"/>
            <w:vMerge w:val="restart"/>
            <w:tcBorders>
              <w:top w:val="nil"/>
              <w:left w:val="single" w:sz="4" w:space="0" w:color="000000"/>
              <w:bottom w:val="single" w:sz="4" w:space="0" w:color="000000"/>
              <w:right w:val="single" w:sz="4" w:space="0" w:color="000000"/>
            </w:tcBorders>
            <w:shd w:val="clear" w:color="C0C0C0" w:fill="C0C0C0"/>
            <w:textDirection w:val="btLr"/>
            <w:vAlign w:val="center"/>
            <w:hideMark/>
          </w:tcPr>
          <w:p w14:paraId="4EC0E32F"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Impacto</w:t>
            </w:r>
          </w:p>
        </w:tc>
        <w:tc>
          <w:tcPr>
            <w:tcW w:w="90" w:type="pct"/>
            <w:vMerge w:val="restart"/>
            <w:tcBorders>
              <w:top w:val="nil"/>
              <w:left w:val="single" w:sz="4" w:space="0" w:color="000000"/>
              <w:bottom w:val="single" w:sz="4" w:space="0" w:color="000000"/>
              <w:right w:val="single" w:sz="4" w:space="0" w:color="000000"/>
            </w:tcBorders>
            <w:shd w:val="clear" w:color="C0C0C0" w:fill="C0C0C0"/>
            <w:textDirection w:val="btLr"/>
            <w:vAlign w:val="center"/>
            <w:hideMark/>
          </w:tcPr>
          <w:p w14:paraId="58D85EFC"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 xml:space="preserve">Valoración </w:t>
            </w:r>
          </w:p>
        </w:tc>
        <w:tc>
          <w:tcPr>
            <w:tcW w:w="90" w:type="pct"/>
            <w:vMerge w:val="restart"/>
            <w:tcBorders>
              <w:top w:val="nil"/>
              <w:left w:val="single" w:sz="4" w:space="0" w:color="000000"/>
              <w:bottom w:val="single" w:sz="4" w:space="0" w:color="000000"/>
              <w:right w:val="single" w:sz="4" w:space="0" w:color="000000"/>
            </w:tcBorders>
            <w:shd w:val="clear" w:color="C0C0C0" w:fill="C0C0C0"/>
            <w:textDirection w:val="btLr"/>
            <w:vAlign w:val="center"/>
            <w:hideMark/>
          </w:tcPr>
          <w:p w14:paraId="7FC0CC60"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Categoría</w:t>
            </w:r>
          </w:p>
        </w:tc>
        <w:tc>
          <w:tcPr>
            <w:tcW w:w="143" w:type="pct"/>
            <w:vMerge/>
            <w:tcBorders>
              <w:top w:val="single" w:sz="4" w:space="0" w:color="000000"/>
              <w:left w:val="single" w:sz="4" w:space="0" w:color="000000"/>
              <w:bottom w:val="single" w:sz="4" w:space="0" w:color="000000"/>
              <w:right w:val="single" w:sz="4" w:space="0" w:color="000000"/>
            </w:tcBorders>
            <w:vAlign w:val="center"/>
            <w:hideMark/>
          </w:tcPr>
          <w:p w14:paraId="226D6F1F"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179" w:type="pct"/>
            <w:vMerge/>
            <w:tcBorders>
              <w:top w:val="single" w:sz="4" w:space="0" w:color="000000"/>
              <w:left w:val="single" w:sz="4" w:space="0" w:color="000000"/>
              <w:bottom w:val="single" w:sz="4" w:space="0" w:color="000000"/>
              <w:right w:val="single" w:sz="4" w:space="0" w:color="000000"/>
            </w:tcBorders>
            <w:vAlign w:val="center"/>
            <w:hideMark/>
          </w:tcPr>
          <w:p w14:paraId="5B4CAFA2"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183" w:type="pct"/>
            <w:vMerge/>
            <w:tcBorders>
              <w:top w:val="single" w:sz="4" w:space="0" w:color="000000"/>
              <w:left w:val="single" w:sz="4" w:space="0" w:color="000000"/>
              <w:bottom w:val="single" w:sz="4" w:space="0" w:color="000000"/>
              <w:right w:val="single" w:sz="4" w:space="0" w:color="000000"/>
            </w:tcBorders>
            <w:vAlign w:val="center"/>
            <w:hideMark/>
          </w:tcPr>
          <w:p w14:paraId="27FABC9C"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222" w:type="pct"/>
            <w:vMerge/>
            <w:tcBorders>
              <w:top w:val="single" w:sz="4" w:space="0" w:color="000000"/>
              <w:left w:val="single" w:sz="4" w:space="0" w:color="000000"/>
              <w:bottom w:val="single" w:sz="4" w:space="0" w:color="000000"/>
              <w:right w:val="single" w:sz="4" w:space="0" w:color="000000"/>
            </w:tcBorders>
            <w:vAlign w:val="center"/>
            <w:hideMark/>
          </w:tcPr>
          <w:p w14:paraId="59226F95"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828" w:type="pct"/>
            <w:vMerge w:val="restart"/>
            <w:tcBorders>
              <w:top w:val="nil"/>
              <w:left w:val="single" w:sz="4" w:space="0" w:color="000000"/>
              <w:bottom w:val="single" w:sz="4" w:space="0" w:color="000000"/>
              <w:right w:val="single" w:sz="4" w:space="0" w:color="000000"/>
            </w:tcBorders>
            <w:shd w:val="clear" w:color="C0C0C0" w:fill="C0C0C0"/>
            <w:textDirection w:val="btLr"/>
            <w:vAlign w:val="center"/>
            <w:hideMark/>
          </w:tcPr>
          <w:p w14:paraId="191F88D7"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 xml:space="preserve">¿Cómo se </w:t>
            </w:r>
            <w:proofErr w:type="gramStart"/>
            <w:r w:rsidRPr="00CA0724">
              <w:rPr>
                <w:rFonts w:ascii="Arial" w:eastAsia="Times New Roman" w:hAnsi="Arial" w:cs="Arial"/>
                <w:b/>
                <w:bCs/>
                <w:sz w:val="16"/>
                <w:szCs w:val="16"/>
                <w:lang w:eastAsia="es-CO"/>
              </w:rPr>
              <w:t>realiza  el</w:t>
            </w:r>
            <w:proofErr w:type="gramEnd"/>
            <w:r w:rsidRPr="00CA0724">
              <w:rPr>
                <w:rFonts w:ascii="Arial" w:eastAsia="Times New Roman" w:hAnsi="Arial" w:cs="Arial"/>
                <w:b/>
                <w:bCs/>
                <w:sz w:val="16"/>
                <w:szCs w:val="16"/>
                <w:lang w:eastAsia="es-CO"/>
              </w:rPr>
              <w:t xml:space="preserve"> monitoreo?</w:t>
            </w:r>
          </w:p>
        </w:tc>
        <w:tc>
          <w:tcPr>
            <w:tcW w:w="169" w:type="pct"/>
            <w:vMerge w:val="restart"/>
            <w:tcBorders>
              <w:top w:val="nil"/>
              <w:left w:val="single" w:sz="4" w:space="0" w:color="000000"/>
              <w:bottom w:val="single" w:sz="4" w:space="0" w:color="000000"/>
              <w:right w:val="single" w:sz="4" w:space="0" w:color="000000"/>
            </w:tcBorders>
            <w:shd w:val="clear" w:color="C0C0C0" w:fill="C0C0C0"/>
            <w:textDirection w:val="btLr"/>
            <w:vAlign w:val="center"/>
            <w:hideMark/>
          </w:tcPr>
          <w:p w14:paraId="69D14E2F"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r w:rsidRPr="00CA0724">
              <w:rPr>
                <w:rFonts w:ascii="Arial" w:eastAsia="Times New Roman" w:hAnsi="Arial" w:cs="Arial"/>
                <w:b/>
                <w:bCs/>
                <w:sz w:val="16"/>
                <w:szCs w:val="16"/>
                <w:lang w:eastAsia="es-CO"/>
              </w:rPr>
              <w:t>Periodicidad</w:t>
            </w:r>
          </w:p>
        </w:tc>
      </w:tr>
      <w:tr w:rsidR="00CA0724" w:rsidRPr="00CA0724" w14:paraId="1A99B39C" w14:textId="77777777" w:rsidTr="00CA0724">
        <w:trPr>
          <w:trHeight w:val="630"/>
        </w:trPr>
        <w:tc>
          <w:tcPr>
            <w:tcW w:w="76" w:type="pct"/>
            <w:vMerge/>
            <w:tcBorders>
              <w:top w:val="single" w:sz="4" w:space="0" w:color="000000"/>
              <w:left w:val="single" w:sz="4" w:space="0" w:color="000000"/>
              <w:bottom w:val="single" w:sz="4" w:space="0" w:color="000000"/>
              <w:right w:val="single" w:sz="4" w:space="0" w:color="000000"/>
            </w:tcBorders>
            <w:vAlign w:val="center"/>
            <w:hideMark/>
          </w:tcPr>
          <w:p w14:paraId="374165BC"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76" w:type="pct"/>
            <w:vMerge/>
            <w:tcBorders>
              <w:top w:val="single" w:sz="4" w:space="0" w:color="000000"/>
              <w:left w:val="single" w:sz="4" w:space="0" w:color="000000"/>
              <w:bottom w:val="single" w:sz="4" w:space="0" w:color="000000"/>
              <w:right w:val="single" w:sz="4" w:space="0" w:color="000000"/>
            </w:tcBorders>
            <w:vAlign w:val="center"/>
            <w:hideMark/>
          </w:tcPr>
          <w:p w14:paraId="62E8B6E9"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76" w:type="pct"/>
            <w:vMerge/>
            <w:tcBorders>
              <w:top w:val="single" w:sz="4" w:space="0" w:color="000000"/>
              <w:left w:val="single" w:sz="4" w:space="0" w:color="000000"/>
              <w:bottom w:val="single" w:sz="4" w:space="0" w:color="000000"/>
              <w:right w:val="single" w:sz="4" w:space="0" w:color="000000"/>
            </w:tcBorders>
            <w:vAlign w:val="center"/>
            <w:hideMark/>
          </w:tcPr>
          <w:p w14:paraId="14BDEBC7"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76" w:type="pct"/>
            <w:vMerge/>
            <w:tcBorders>
              <w:top w:val="single" w:sz="4" w:space="0" w:color="000000"/>
              <w:left w:val="single" w:sz="4" w:space="0" w:color="000000"/>
              <w:bottom w:val="single" w:sz="4" w:space="0" w:color="000000"/>
              <w:right w:val="single" w:sz="4" w:space="0" w:color="000000"/>
            </w:tcBorders>
            <w:vAlign w:val="center"/>
            <w:hideMark/>
          </w:tcPr>
          <w:p w14:paraId="550AF0AE"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76" w:type="pct"/>
            <w:vMerge/>
            <w:tcBorders>
              <w:top w:val="single" w:sz="4" w:space="0" w:color="000000"/>
              <w:left w:val="single" w:sz="4" w:space="0" w:color="000000"/>
              <w:bottom w:val="single" w:sz="4" w:space="0" w:color="000000"/>
              <w:right w:val="single" w:sz="4" w:space="0" w:color="000000"/>
            </w:tcBorders>
            <w:vAlign w:val="center"/>
            <w:hideMark/>
          </w:tcPr>
          <w:p w14:paraId="1FC036AD"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828" w:type="pct"/>
            <w:vMerge/>
            <w:tcBorders>
              <w:top w:val="single" w:sz="4" w:space="0" w:color="000000"/>
              <w:left w:val="single" w:sz="4" w:space="0" w:color="000000"/>
              <w:bottom w:val="single" w:sz="4" w:space="0" w:color="000000"/>
              <w:right w:val="single" w:sz="4" w:space="0" w:color="000000"/>
            </w:tcBorders>
            <w:vAlign w:val="center"/>
            <w:hideMark/>
          </w:tcPr>
          <w:p w14:paraId="2BFE612B"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399" w:type="pct"/>
            <w:vMerge/>
            <w:tcBorders>
              <w:top w:val="single" w:sz="4" w:space="0" w:color="000000"/>
              <w:left w:val="single" w:sz="4" w:space="0" w:color="000000"/>
              <w:bottom w:val="single" w:sz="4" w:space="0" w:color="000000"/>
              <w:right w:val="single" w:sz="4" w:space="0" w:color="000000"/>
            </w:tcBorders>
            <w:vAlign w:val="center"/>
            <w:hideMark/>
          </w:tcPr>
          <w:p w14:paraId="58E26BB0"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90" w:type="pct"/>
            <w:vMerge/>
            <w:tcBorders>
              <w:top w:val="single" w:sz="4" w:space="0" w:color="000000"/>
              <w:left w:val="single" w:sz="4" w:space="0" w:color="000000"/>
              <w:bottom w:val="single" w:sz="4" w:space="0" w:color="000000"/>
              <w:right w:val="single" w:sz="4" w:space="0" w:color="000000"/>
            </w:tcBorders>
            <w:vAlign w:val="center"/>
            <w:hideMark/>
          </w:tcPr>
          <w:p w14:paraId="014A1A34"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90" w:type="pct"/>
            <w:vMerge/>
            <w:tcBorders>
              <w:top w:val="single" w:sz="4" w:space="0" w:color="000000"/>
              <w:left w:val="single" w:sz="4" w:space="0" w:color="000000"/>
              <w:bottom w:val="single" w:sz="4" w:space="0" w:color="000000"/>
              <w:right w:val="single" w:sz="4" w:space="0" w:color="000000"/>
            </w:tcBorders>
            <w:vAlign w:val="center"/>
            <w:hideMark/>
          </w:tcPr>
          <w:p w14:paraId="12DBF983"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90" w:type="pct"/>
            <w:vMerge/>
            <w:tcBorders>
              <w:top w:val="single" w:sz="4" w:space="0" w:color="000000"/>
              <w:left w:val="single" w:sz="4" w:space="0" w:color="000000"/>
              <w:bottom w:val="single" w:sz="4" w:space="0" w:color="000000"/>
              <w:right w:val="single" w:sz="4" w:space="0" w:color="000000"/>
            </w:tcBorders>
            <w:vAlign w:val="center"/>
            <w:hideMark/>
          </w:tcPr>
          <w:p w14:paraId="1BFFC80C"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90" w:type="pct"/>
            <w:vMerge/>
            <w:tcBorders>
              <w:top w:val="single" w:sz="4" w:space="0" w:color="000000"/>
              <w:left w:val="single" w:sz="4" w:space="0" w:color="000000"/>
              <w:bottom w:val="single" w:sz="4" w:space="0" w:color="000000"/>
              <w:right w:val="single" w:sz="4" w:space="0" w:color="000000"/>
            </w:tcBorders>
            <w:vAlign w:val="center"/>
            <w:hideMark/>
          </w:tcPr>
          <w:p w14:paraId="3EAA2ED7"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90" w:type="pct"/>
            <w:vMerge/>
            <w:tcBorders>
              <w:top w:val="single" w:sz="4" w:space="0" w:color="000000"/>
              <w:left w:val="single" w:sz="4" w:space="0" w:color="000000"/>
              <w:bottom w:val="single" w:sz="4" w:space="0" w:color="000000"/>
              <w:right w:val="single" w:sz="4" w:space="0" w:color="000000"/>
            </w:tcBorders>
            <w:vAlign w:val="center"/>
            <w:hideMark/>
          </w:tcPr>
          <w:p w14:paraId="21D3D253"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830" w:type="pct"/>
            <w:vMerge/>
            <w:tcBorders>
              <w:top w:val="single" w:sz="4" w:space="0" w:color="000000"/>
              <w:left w:val="single" w:sz="4" w:space="0" w:color="000000"/>
              <w:bottom w:val="single" w:sz="4" w:space="0" w:color="000000"/>
              <w:right w:val="single" w:sz="4" w:space="0" w:color="000000"/>
            </w:tcBorders>
            <w:vAlign w:val="center"/>
            <w:hideMark/>
          </w:tcPr>
          <w:p w14:paraId="56387EA3"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90" w:type="pct"/>
            <w:vMerge/>
            <w:tcBorders>
              <w:top w:val="nil"/>
              <w:left w:val="single" w:sz="4" w:space="0" w:color="000000"/>
              <w:bottom w:val="single" w:sz="4" w:space="0" w:color="000000"/>
              <w:right w:val="single" w:sz="4" w:space="0" w:color="000000"/>
            </w:tcBorders>
            <w:vAlign w:val="center"/>
            <w:hideMark/>
          </w:tcPr>
          <w:p w14:paraId="505F0DCD"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90" w:type="pct"/>
            <w:vMerge/>
            <w:tcBorders>
              <w:top w:val="nil"/>
              <w:left w:val="single" w:sz="4" w:space="0" w:color="000000"/>
              <w:bottom w:val="single" w:sz="4" w:space="0" w:color="000000"/>
              <w:right w:val="single" w:sz="4" w:space="0" w:color="000000"/>
            </w:tcBorders>
            <w:vAlign w:val="center"/>
            <w:hideMark/>
          </w:tcPr>
          <w:p w14:paraId="69A16276"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90" w:type="pct"/>
            <w:vMerge/>
            <w:tcBorders>
              <w:top w:val="nil"/>
              <w:left w:val="single" w:sz="4" w:space="0" w:color="000000"/>
              <w:bottom w:val="single" w:sz="4" w:space="0" w:color="000000"/>
              <w:right w:val="single" w:sz="4" w:space="0" w:color="000000"/>
            </w:tcBorders>
            <w:vAlign w:val="center"/>
            <w:hideMark/>
          </w:tcPr>
          <w:p w14:paraId="6F4B45C5"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90" w:type="pct"/>
            <w:vMerge/>
            <w:tcBorders>
              <w:top w:val="nil"/>
              <w:left w:val="single" w:sz="4" w:space="0" w:color="000000"/>
              <w:bottom w:val="single" w:sz="4" w:space="0" w:color="000000"/>
              <w:right w:val="single" w:sz="4" w:space="0" w:color="000000"/>
            </w:tcBorders>
            <w:vAlign w:val="center"/>
            <w:hideMark/>
          </w:tcPr>
          <w:p w14:paraId="35C08EE7"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143" w:type="pct"/>
            <w:vMerge/>
            <w:tcBorders>
              <w:top w:val="single" w:sz="4" w:space="0" w:color="000000"/>
              <w:left w:val="single" w:sz="4" w:space="0" w:color="000000"/>
              <w:bottom w:val="single" w:sz="4" w:space="0" w:color="000000"/>
              <w:right w:val="single" w:sz="4" w:space="0" w:color="000000"/>
            </w:tcBorders>
            <w:vAlign w:val="center"/>
            <w:hideMark/>
          </w:tcPr>
          <w:p w14:paraId="373702F8"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179" w:type="pct"/>
            <w:vMerge/>
            <w:tcBorders>
              <w:top w:val="single" w:sz="4" w:space="0" w:color="000000"/>
              <w:left w:val="single" w:sz="4" w:space="0" w:color="000000"/>
              <w:bottom w:val="single" w:sz="4" w:space="0" w:color="000000"/>
              <w:right w:val="single" w:sz="4" w:space="0" w:color="000000"/>
            </w:tcBorders>
            <w:vAlign w:val="center"/>
            <w:hideMark/>
          </w:tcPr>
          <w:p w14:paraId="5479AFC5"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183" w:type="pct"/>
            <w:vMerge/>
            <w:tcBorders>
              <w:top w:val="single" w:sz="4" w:space="0" w:color="000000"/>
              <w:left w:val="single" w:sz="4" w:space="0" w:color="000000"/>
              <w:bottom w:val="single" w:sz="4" w:space="0" w:color="000000"/>
              <w:right w:val="single" w:sz="4" w:space="0" w:color="000000"/>
            </w:tcBorders>
            <w:vAlign w:val="center"/>
            <w:hideMark/>
          </w:tcPr>
          <w:p w14:paraId="5B5903F0"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222" w:type="pct"/>
            <w:vMerge/>
            <w:tcBorders>
              <w:top w:val="single" w:sz="4" w:space="0" w:color="000000"/>
              <w:left w:val="single" w:sz="4" w:space="0" w:color="000000"/>
              <w:bottom w:val="single" w:sz="4" w:space="0" w:color="000000"/>
              <w:right w:val="single" w:sz="4" w:space="0" w:color="000000"/>
            </w:tcBorders>
            <w:vAlign w:val="center"/>
            <w:hideMark/>
          </w:tcPr>
          <w:p w14:paraId="00F8F332"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828" w:type="pct"/>
            <w:vMerge/>
            <w:tcBorders>
              <w:top w:val="nil"/>
              <w:left w:val="single" w:sz="4" w:space="0" w:color="000000"/>
              <w:bottom w:val="single" w:sz="4" w:space="0" w:color="000000"/>
              <w:right w:val="single" w:sz="4" w:space="0" w:color="000000"/>
            </w:tcBorders>
            <w:vAlign w:val="center"/>
            <w:hideMark/>
          </w:tcPr>
          <w:p w14:paraId="699672F1"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169" w:type="pct"/>
            <w:vMerge/>
            <w:tcBorders>
              <w:top w:val="nil"/>
              <w:left w:val="single" w:sz="4" w:space="0" w:color="000000"/>
              <w:bottom w:val="single" w:sz="4" w:space="0" w:color="000000"/>
              <w:right w:val="single" w:sz="4" w:space="0" w:color="000000"/>
            </w:tcBorders>
            <w:vAlign w:val="center"/>
            <w:hideMark/>
          </w:tcPr>
          <w:p w14:paraId="4BC48714" w14:textId="77777777" w:rsidR="00CA0724" w:rsidRPr="00CA0724" w:rsidRDefault="00CA0724" w:rsidP="00CA0724">
            <w:pPr>
              <w:spacing w:line="240" w:lineRule="auto"/>
              <w:contextualSpacing w:val="0"/>
              <w:jc w:val="left"/>
              <w:rPr>
                <w:rFonts w:ascii="Arial" w:eastAsia="Times New Roman" w:hAnsi="Arial" w:cs="Arial"/>
                <w:b/>
                <w:bCs/>
                <w:sz w:val="16"/>
                <w:szCs w:val="16"/>
                <w:lang w:eastAsia="es-CO"/>
              </w:rPr>
            </w:pPr>
          </w:p>
        </w:tc>
        <w:tc>
          <w:tcPr>
            <w:tcW w:w="33" w:type="pct"/>
            <w:tcBorders>
              <w:top w:val="nil"/>
              <w:left w:val="nil"/>
              <w:bottom w:val="nil"/>
              <w:right w:val="nil"/>
            </w:tcBorders>
            <w:noWrap/>
            <w:vAlign w:val="bottom"/>
            <w:hideMark/>
          </w:tcPr>
          <w:p w14:paraId="4D7EF56A" w14:textId="77777777" w:rsidR="00CA0724" w:rsidRPr="00CA0724" w:rsidRDefault="00CA0724" w:rsidP="00CA0724">
            <w:pPr>
              <w:spacing w:line="240" w:lineRule="auto"/>
              <w:contextualSpacing w:val="0"/>
              <w:jc w:val="center"/>
              <w:rPr>
                <w:rFonts w:ascii="Arial" w:eastAsia="Times New Roman" w:hAnsi="Arial" w:cs="Arial"/>
                <w:b/>
                <w:bCs/>
                <w:sz w:val="16"/>
                <w:szCs w:val="16"/>
                <w:lang w:eastAsia="es-CO"/>
              </w:rPr>
            </w:pPr>
          </w:p>
        </w:tc>
      </w:tr>
      <w:tr w:rsidR="00CA0724" w:rsidRPr="00CA0724" w14:paraId="7799BDB4" w14:textId="77777777" w:rsidTr="00CA0724">
        <w:trPr>
          <w:trHeight w:val="1800"/>
        </w:trPr>
        <w:tc>
          <w:tcPr>
            <w:tcW w:w="76" w:type="pct"/>
            <w:tcBorders>
              <w:top w:val="nil"/>
              <w:left w:val="single" w:sz="4" w:space="0" w:color="000000"/>
              <w:bottom w:val="single" w:sz="4" w:space="0" w:color="000000"/>
              <w:right w:val="single" w:sz="4" w:space="0" w:color="000000"/>
            </w:tcBorders>
            <w:shd w:val="clear" w:color="000000" w:fill="FFFFFF"/>
            <w:textDirection w:val="btLr"/>
            <w:vAlign w:val="center"/>
            <w:hideMark/>
          </w:tcPr>
          <w:p w14:paraId="158C21D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1</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3BFA26F8"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General</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06B5BBFC"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Externo</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04F95564"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Selección</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6C4DA28F"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Económico</w:t>
            </w:r>
          </w:p>
        </w:tc>
        <w:tc>
          <w:tcPr>
            <w:tcW w:w="828" w:type="pct"/>
            <w:tcBorders>
              <w:top w:val="nil"/>
              <w:left w:val="nil"/>
              <w:bottom w:val="single" w:sz="4" w:space="0" w:color="000000"/>
              <w:right w:val="single" w:sz="4" w:space="0" w:color="000000"/>
            </w:tcBorders>
            <w:shd w:val="clear" w:color="000000" w:fill="FFFFFF"/>
            <w:vAlign w:val="center"/>
            <w:hideMark/>
          </w:tcPr>
          <w:p w14:paraId="796241DB"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 xml:space="preserve">Poca participación de oferentes. Se refiere a la posibilidad de que en el proceso de selección se presente un número reducido de proponentes, o incluso ausencia de pluralidad de ofertas, lo cual puede afectar la competencia, limitar la obtención de mejores condiciones técnicas y económicas para la entidad, y </w:t>
            </w:r>
            <w:r w:rsidRPr="00CA0724">
              <w:rPr>
                <w:rFonts w:ascii="Arial" w:eastAsia="Times New Roman" w:hAnsi="Arial" w:cs="Arial"/>
                <w:sz w:val="16"/>
                <w:szCs w:val="16"/>
                <w:lang w:eastAsia="es-CO"/>
              </w:rPr>
              <w:lastRenderedPageBreak/>
              <w:t>disminuir la eficiencia del proceso contractual.</w:t>
            </w:r>
          </w:p>
        </w:tc>
        <w:tc>
          <w:tcPr>
            <w:tcW w:w="399" w:type="pct"/>
            <w:tcBorders>
              <w:top w:val="nil"/>
              <w:left w:val="nil"/>
              <w:bottom w:val="single" w:sz="4" w:space="0" w:color="000000"/>
              <w:right w:val="single" w:sz="4" w:space="0" w:color="000000"/>
            </w:tcBorders>
            <w:shd w:val="clear" w:color="000000" w:fill="FFFFFF"/>
            <w:vAlign w:val="center"/>
            <w:hideMark/>
          </w:tcPr>
          <w:p w14:paraId="49855CC7"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proofErr w:type="spellStart"/>
            <w:r w:rsidRPr="00CA0724">
              <w:rPr>
                <w:rFonts w:ascii="Arial" w:eastAsia="Times New Roman" w:hAnsi="Arial" w:cs="Arial"/>
                <w:sz w:val="16"/>
                <w:szCs w:val="16"/>
                <w:lang w:eastAsia="es-CO"/>
              </w:rPr>
              <w:lastRenderedPageBreak/>
              <w:t>Declaracion</w:t>
            </w:r>
            <w:proofErr w:type="spellEnd"/>
            <w:r w:rsidRPr="00CA0724">
              <w:rPr>
                <w:rFonts w:ascii="Arial" w:eastAsia="Times New Roman" w:hAnsi="Arial" w:cs="Arial"/>
                <w:sz w:val="16"/>
                <w:szCs w:val="16"/>
                <w:lang w:eastAsia="es-CO"/>
              </w:rPr>
              <w:t xml:space="preserve"> del proceso como desierto </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1C451FA1"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3</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22DB1518"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7</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49C4F6A3"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6</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2436988B"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bajo</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5D86D15B"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Municipio</w:t>
            </w:r>
          </w:p>
        </w:tc>
        <w:tc>
          <w:tcPr>
            <w:tcW w:w="830" w:type="pct"/>
            <w:tcBorders>
              <w:top w:val="nil"/>
              <w:left w:val="nil"/>
              <w:bottom w:val="single" w:sz="4" w:space="0" w:color="000000"/>
              <w:right w:val="single" w:sz="4" w:space="0" w:color="000000"/>
            </w:tcBorders>
            <w:shd w:val="clear" w:color="000000" w:fill="FFFFFF"/>
            <w:vAlign w:val="center"/>
            <w:hideMark/>
          </w:tcPr>
          <w:p w14:paraId="181A6721"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Revisión detallada de los ítems, cantidades y descripciones de las actividades contempladas en el proceso, con el fin de garantizar la claridad, precisión y coherencia técnica de los requerimientos, facilitando la participación de múltiples oferentes y promoviendo la pluralidad en el proceso de selección.</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47F31303"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532D3281"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7</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07F76598"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6</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39012CD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bajo</w:t>
            </w:r>
          </w:p>
        </w:tc>
        <w:tc>
          <w:tcPr>
            <w:tcW w:w="143" w:type="pct"/>
            <w:tcBorders>
              <w:top w:val="nil"/>
              <w:left w:val="nil"/>
              <w:bottom w:val="single" w:sz="4" w:space="0" w:color="000000"/>
              <w:right w:val="single" w:sz="4" w:space="0" w:color="000000"/>
            </w:tcBorders>
            <w:shd w:val="clear" w:color="000000" w:fill="FFFFFF"/>
            <w:textDirection w:val="btLr"/>
            <w:vAlign w:val="center"/>
            <w:hideMark/>
          </w:tcPr>
          <w:p w14:paraId="7D213B65"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SI</w:t>
            </w:r>
          </w:p>
        </w:tc>
        <w:tc>
          <w:tcPr>
            <w:tcW w:w="179" w:type="pct"/>
            <w:tcBorders>
              <w:top w:val="nil"/>
              <w:left w:val="nil"/>
              <w:bottom w:val="single" w:sz="4" w:space="0" w:color="000000"/>
              <w:right w:val="single" w:sz="4" w:space="0" w:color="000000"/>
            </w:tcBorders>
            <w:shd w:val="clear" w:color="000000" w:fill="FFFFFF"/>
            <w:textDirection w:val="btLr"/>
            <w:vAlign w:val="center"/>
            <w:hideMark/>
          </w:tcPr>
          <w:p w14:paraId="7EF079FD"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Secretaria de Cultura</w:t>
            </w:r>
          </w:p>
        </w:tc>
        <w:tc>
          <w:tcPr>
            <w:tcW w:w="183" w:type="pct"/>
            <w:tcBorders>
              <w:top w:val="nil"/>
              <w:left w:val="nil"/>
              <w:bottom w:val="single" w:sz="4" w:space="0" w:color="000000"/>
              <w:right w:val="single" w:sz="4" w:space="0" w:color="000000"/>
            </w:tcBorders>
            <w:shd w:val="clear" w:color="000000" w:fill="FFFFFF"/>
            <w:textDirection w:val="btLr"/>
            <w:vAlign w:val="center"/>
            <w:hideMark/>
          </w:tcPr>
          <w:p w14:paraId="6A84D91E"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Etapa de selección</w:t>
            </w:r>
          </w:p>
        </w:tc>
        <w:tc>
          <w:tcPr>
            <w:tcW w:w="222" w:type="pct"/>
            <w:tcBorders>
              <w:top w:val="nil"/>
              <w:left w:val="nil"/>
              <w:bottom w:val="single" w:sz="4" w:space="0" w:color="000000"/>
              <w:right w:val="single" w:sz="4" w:space="0" w:color="000000"/>
            </w:tcBorders>
            <w:shd w:val="clear" w:color="000000" w:fill="FFFFFF"/>
            <w:textDirection w:val="btLr"/>
            <w:vAlign w:val="center"/>
            <w:hideMark/>
          </w:tcPr>
          <w:p w14:paraId="058A37A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Etapa de selección</w:t>
            </w:r>
          </w:p>
        </w:tc>
        <w:tc>
          <w:tcPr>
            <w:tcW w:w="828" w:type="pct"/>
            <w:tcBorders>
              <w:top w:val="nil"/>
              <w:left w:val="nil"/>
              <w:bottom w:val="single" w:sz="4" w:space="0" w:color="000000"/>
              <w:right w:val="single" w:sz="4" w:space="0" w:color="000000"/>
            </w:tcBorders>
            <w:shd w:val="clear" w:color="000000" w:fill="FFFFFF"/>
            <w:vAlign w:val="center"/>
            <w:hideMark/>
          </w:tcPr>
          <w:p w14:paraId="2284EC43"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Seguimiento por parte del grupo de Contratación a los casos en que se presente la situación</w:t>
            </w:r>
          </w:p>
        </w:tc>
        <w:tc>
          <w:tcPr>
            <w:tcW w:w="169" w:type="pct"/>
            <w:tcBorders>
              <w:top w:val="nil"/>
              <w:left w:val="nil"/>
              <w:bottom w:val="single" w:sz="4" w:space="0" w:color="000000"/>
              <w:right w:val="single" w:sz="4" w:space="0" w:color="000000"/>
            </w:tcBorders>
            <w:shd w:val="clear" w:color="000000" w:fill="FFFFFF"/>
            <w:textDirection w:val="btLr"/>
            <w:vAlign w:val="center"/>
            <w:hideMark/>
          </w:tcPr>
          <w:p w14:paraId="606898D6"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Una vez</w:t>
            </w:r>
          </w:p>
        </w:tc>
        <w:tc>
          <w:tcPr>
            <w:tcW w:w="33" w:type="pct"/>
            <w:vAlign w:val="center"/>
            <w:hideMark/>
          </w:tcPr>
          <w:p w14:paraId="27BC230F" w14:textId="77777777" w:rsidR="00CA0724" w:rsidRPr="00CA0724" w:rsidRDefault="00CA0724" w:rsidP="00CA0724">
            <w:pPr>
              <w:spacing w:line="240" w:lineRule="auto"/>
              <w:contextualSpacing w:val="0"/>
              <w:jc w:val="left"/>
              <w:rPr>
                <w:rFonts w:ascii="Times New Roman" w:eastAsia="Times New Roman" w:hAnsi="Times New Roman" w:cs="Times New Roman"/>
                <w:sz w:val="20"/>
                <w:szCs w:val="20"/>
                <w:lang w:eastAsia="es-CO"/>
              </w:rPr>
            </w:pPr>
          </w:p>
        </w:tc>
      </w:tr>
      <w:tr w:rsidR="00CA0724" w:rsidRPr="00CA0724" w14:paraId="6FCAB658" w14:textId="77777777" w:rsidTr="00CA0724">
        <w:trPr>
          <w:trHeight w:val="3315"/>
        </w:trPr>
        <w:tc>
          <w:tcPr>
            <w:tcW w:w="76" w:type="pct"/>
            <w:tcBorders>
              <w:top w:val="nil"/>
              <w:left w:val="single" w:sz="4" w:space="0" w:color="000000"/>
              <w:bottom w:val="single" w:sz="4" w:space="0" w:color="000000"/>
              <w:right w:val="single" w:sz="4" w:space="0" w:color="000000"/>
            </w:tcBorders>
            <w:shd w:val="clear" w:color="000000" w:fill="FFFFFF"/>
            <w:textDirection w:val="btLr"/>
            <w:vAlign w:val="center"/>
            <w:hideMark/>
          </w:tcPr>
          <w:p w14:paraId="600F98A0"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2</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515F243D"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General</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49FE2A80"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Externo</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36B1516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proofErr w:type="spellStart"/>
            <w:r w:rsidRPr="00CA0724">
              <w:rPr>
                <w:rFonts w:ascii="Arial" w:eastAsia="Times New Roman" w:hAnsi="Arial" w:cs="Arial"/>
                <w:sz w:val="16"/>
                <w:szCs w:val="16"/>
                <w:lang w:eastAsia="es-CO"/>
              </w:rPr>
              <w:t>Ejecucion</w:t>
            </w:r>
            <w:proofErr w:type="spellEnd"/>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4B8BF11F"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 xml:space="preserve">Riesgo </w:t>
            </w:r>
            <w:proofErr w:type="spellStart"/>
            <w:r w:rsidRPr="00CA0724">
              <w:rPr>
                <w:rFonts w:ascii="Arial" w:eastAsia="Times New Roman" w:hAnsi="Arial" w:cs="Arial"/>
                <w:sz w:val="16"/>
                <w:szCs w:val="16"/>
                <w:lang w:eastAsia="es-CO"/>
              </w:rPr>
              <w:t>Economico</w:t>
            </w:r>
            <w:proofErr w:type="spellEnd"/>
            <w:r w:rsidRPr="00CA0724">
              <w:rPr>
                <w:rFonts w:ascii="Arial" w:eastAsia="Times New Roman" w:hAnsi="Arial" w:cs="Arial"/>
                <w:sz w:val="16"/>
                <w:szCs w:val="16"/>
                <w:lang w:eastAsia="es-CO"/>
              </w:rPr>
              <w:t xml:space="preserve"> - Riesgo Operacional</w:t>
            </w:r>
          </w:p>
        </w:tc>
        <w:tc>
          <w:tcPr>
            <w:tcW w:w="828" w:type="pct"/>
            <w:tcBorders>
              <w:top w:val="nil"/>
              <w:left w:val="nil"/>
              <w:bottom w:val="single" w:sz="4" w:space="0" w:color="000000"/>
              <w:right w:val="single" w:sz="4" w:space="0" w:color="000000"/>
            </w:tcBorders>
            <w:shd w:val="clear" w:color="000000" w:fill="FFFFFF"/>
            <w:vAlign w:val="center"/>
            <w:hideMark/>
          </w:tcPr>
          <w:p w14:paraId="52AE07E7"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Precios Artificialmente Bajos. Se refiere a la posibilidad de que la propuesta económica presentada por uno o varios oferentes contemple valores significativamente inferiores al presupuesto oficial o a los precios de mercado, o incluso por debajo de los costos asociados a los ítems que integran el análisis de precios unitarios (APU), tales como mano de obra, materiales, equipos, transporte u otros insumos necesarios para la correcta ejecución del contrato, lo que puede comprometer la viabilidad, calidad y cumplimiento del objeto contractual.</w:t>
            </w:r>
          </w:p>
        </w:tc>
        <w:tc>
          <w:tcPr>
            <w:tcW w:w="399" w:type="pct"/>
            <w:tcBorders>
              <w:top w:val="nil"/>
              <w:left w:val="nil"/>
              <w:bottom w:val="single" w:sz="4" w:space="0" w:color="000000"/>
              <w:right w:val="single" w:sz="4" w:space="0" w:color="000000"/>
            </w:tcBorders>
            <w:shd w:val="clear" w:color="000000" w:fill="FFFFFF"/>
            <w:vAlign w:val="center"/>
            <w:hideMark/>
          </w:tcPr>
          <w:p w14:paraId="79721A5B"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Impacto económico desfavorable al Contratista</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296A156A"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2</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65C43CD3"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3</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345E692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24F40835"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Medio</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40EB9E57"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Proponente</w:t>
            </w:r>
          </w:p>
        </w:tc>
        <w:tc>
          <w:tcPr>
            <w:tcW w:w="830" w:type="pct"/>
            <w:tcBorders>
              <w:top w:val="nil"/>
              <w:left w:val="nil"/>
              <w:bottom w:val="single" w:sz="4" w:space="0" w:color="000000"/>
              <w:right w:val="single" w:sz="4" w:space="0" w:color="000000"/>
            </w:tcBorders>
            <w:shd w:val="clear" w:color="000000" w:fill="FFFFFF"/>
            <w:vAlign w:val="center"/>
            <w:hideMark/>
          </w:tcPr>
          <w:p w14:paraId="2A263537"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Evaluación por parte del comité evaluador conforme a la normatividad vigente en materia de contratación estatal, incluyendo la verificación de la razonabilidad del precio ofrecido, la solicitud de aclaraciones cuando se requiera y la aplicación de los criterios establecidos para identificar y gestionar posibles ofertas con precios artificialmente bajos.</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16D44F0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2</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69E7B2E6"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2</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78C72414"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4</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0ABFFD25"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Bajo</w:t>
            </w:r>
          </w:p>
        </w:tc>
        <w:tc>
          <w:tcPr>
            <w:tcW w:w="143" w:type="pct"/>
            <w:tcBorders>
              <w:top w:val="nil"/>
              <w:left w:val="nil"/>
              <w:bottom w:val="single" w:sz="4" w:space="0" w:color="000000"/>
              <w:right w:val="single" w:sz="4" w:space="0" w:color="000000"/>
            </w:tcBorders>
            <w:shd w:val="clear" w:color="000000" w:fill="FFFFFF"/>
            <w:textDirection w:val="btLr"/>
            <w:vAlign w:val="center"/>
            <w:hideMark/>
          </w:tcPr>
          <w:p w14:paraId="025F1AE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SI</w:t>
            </w:r>
          </w:p>
        </w:tc>
        <w:tc>
          <w:tcPr>
            <w:tcW w:w="179" w:type="pct"/>
            <w:tcBorders>
              <w:top w:val="nil"/>
              <w:left w:val="nil"/>
              <w:bottom w:val="single" w:sz="4" w:space="0" w:color="000000"/>
              <w:right w:val="single" w:sz="4" w:space="0" w:color="000000"/>
            </w:tcBorders>
            <w:shd w:val="clear" w:color="000000" w:fill="FFFFFF"/>
            <w:textDirection w:val="btLr"/>
            <w:vAlign w:val="center"/>
            <w:hideMark/>
          </w:tcPr>
          <w:p w14:paraId="15970A8C"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contratista de obras, interventor.</w:t>
            </w:r>
          </w:p>
        </w:tc>
        <w:tc>
          <w:tcPr>
            <w:tcW w:w="183" w:type="pct"/>
            <w:tcBorders>
              <w:top w:val="nil"/>
              <w:left w:val="nil"/>
              <w:bottom w:val="single" w:sz="4" w:space="0" w:color="000000"/>
              <w:right w:val="single" w:sz="4" w:space="0" w:color="000000"/>
            </w:tcBorders>
            <w:shd w:val="clear" w:color="000000" w:fill="FFFFFF"/>
            <w:textDirection w:val="btLr"/>
            <w:vAlign w:val="center"/>
            <w:hideMark/>
          </w:tcPr>
          <w:p w14:paraId="5E7C6A69"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Al inicio de la ejecución del contrato</w:t>
            </w:r>
          </w:p>
        </w:tc>
        <w:tc>
          <w:tcPr>
            <w:tcW w:w="222" w:type="pct"/>
            <w:tcBorders>
              <w:top w:val="nil"/>
              <w:left w:val="nil"/>
              <w:bottom w:val="single" w:sz="4" w:space="0" w:color="000000"/>
              <w:right w:val="single" w:sz="4" w:space="0" w:color="000000"/>
            </w:tcBorders>
            <w:shd w:val="clear" w:color="000000" w:fill="FFFFFF"/>
            <w:textDirection w:val="btLr"/>
            <w:vAlign w:val="center"/>
            <w:hideMark/>
          </w:tcPr>
          <w:p w14:paraId="660B2EE9"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A la terminación de la ejecución del contrato</w:t>
            </w:r>
          </w:p>
        </w:tc>
        <w:tc>
          <w:tcPr>
            <w:tcW w:w="828" w:type="pct"/>
            <w:tcBorders>
              <w:top w:val="nil"/>
              <w:left w:val="nil"/>
              <w:bottom w:val="single" w:sz="4" w:space="0" w:color="000000"/>
              <w:right w:val="single" w:sz="4" w:space="0" w:color="000000"/>
            </w:tcBorders>
            <w:shd w:val="clear" w:color="000000" w:fill="FFFFFF"/>
            <w:vAlign w:val="center"/>
            <w:hideMark/>
          </w:tcPr>
          <w:p w14:paraId="561388A5"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El monitoreo se realiza durante el proceso de evaluación de las ofertas mediante el análisis comparativo de las propuestas económicas frente al presupuesto oficial, el estudio de mercado y el APU del proyecto.</w:t>
            </w:r>
          </w:p>
        </w:tc>
        <w:tc>
          <w:tcPr>
            <w:tcW w:w="169" w:type="pct"/>
            <w:tcBorders>
              <w:top w:val="nil"/>
              <w:left w:val="nil"/>
              <w:bottom w:val="single" w:sz="4" w:space="0" w:color="000000"/>
              <w:right w:val="single" w:sz="4" w:space="0" w:color="000000"/>
            </w:tcBorders>
            <w:shd w:val="clear" w:color="000000" w:fill="FFFFFF"/>
            <w:textDirection w:val="btLr"/>
            <w:vAlign w:val="center"/>
            <w:hideMark/>
          </w:tcPr>
          <w:p w14:paraId="466E0047"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mensual</w:t>
            </w:r>
          </w:p>
        </w:tc>
        <w:tc>
          <w:tcPr>
            <w:tcW w:w="33" w:type="pct"/>
            <w:vAlign w:val="center"/>
            <w:hideMark/>
          </w:tcPr>
          <w:p w14:paraId="050D7193" w14:textId="77777777" w:rsidR="00CA0724" w:rsidRPr="00CA0724" w:rsidRDefault="00CA0724" w:rsidP="00CA0724">
            <w:pPr>
              <w:spacing w:line="240" w:lineRule="auto"/>
              <w:contextualSpacing w:val="0"/>
              <w:jc w:val="left"/>
              <w:rPr>
                <w:rFonts w:ascii="Times New Roman" w:eastAsia="Times New Roman" w:hAnsi="Times New Roman" w:cs="Times New Roman"/>
                <w:sz w:val="20"/>
                <w:szCs w:val="20"/>
                <w:lang w:eastAsia="es-CO"/>
              </w:rPr>
            </w:pPr>
          </w:p>
        </w:tc>
      </w:tr>
      <w:tr w:rsidR="00CA0724" w:rsidRPr="00CA0724" w14:paraId="591736C6" w14:textId="77777777" w:rsidTr="00CA0724">
        <w:trPr>
          <w:trHeight w:val="2805"/>
        </w:trPr>
        <w:tc>
          <w:tcPr>
            <w:tcW w:w="76" w:type="pct"/>
            <w:tcBorders>
              <w:top w:val="nil"/>
              <w:left w:val="single" w:sz="4" w:space="0" w:color="000000"/>
              <w:bottom w:val="single" w:sz="8" w:space="0" w:color="auto"/>
              <w:right w:val="single" w:sz="4" w:space="0" w:color="000000"/>
            </w:tcBorders>
            <w:shd w:val="clear" w:color="000000" w:fill="FFFFFF"/>
            <w:textDirection w:val="btLr"/>
            <w:vAlign w:val="center"/>
            <w:hideMark/>
          </w:tcPr>
          <w:p w14:paraId="4EC232AC"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lastRenderedPageBreak/>
              <w:t>3</w:t>
            </w:r>
          </w:p>
        </w:tc>
        <w:tc>
          <w:tcPr>
            <w:tcW w:w="76" w:type="pct"/>
            <w:tcBorders>
              <w:top w:val="nil"/>
              <w:left w:val="nil"/>
              <w:bottom w:val="single" w:sz="8" w:space="0" w:color="auto"/>
              <w:right w:val="single" w:sz="4" w:space="0" w:color="000000"/>
            </w:tcBorders>
            <w:shd w:val="clear" w:color="000000" w:fill="FFFFFF"/>
            <w:textDirection w:val="btLr"/>
            <w:vAlign w:val="center"/>
            <w:hideMark/>
          </w:tcPr>
          <w:p w14:paraId="0B1ECF1F"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Legal</w:t>
            </w:r>
          </w:p>
        </w:tc>
        <w:tc>
          <w:tcPr>
            <w:tcW w:w="76" w:type="pct"/>
            <w:tcBorders>
              <w:top w:val="nil"/>
              <w:left w:val="nil"/>
              <w:bottom w:val="single" w:sz="8" w:space="0" w:color="auto"/>
              <w:right w:val="single" w:sz="4" w:space="0" w:color="000000"/>
            </w:tcBorders>
            <w:shd w:val="clear" w:color="000000" w:fill="FFFFFF"/>
            <w:textDirection w:val="btLr"/>
            <w:vAlign w:val="center"/>
            <w:hideMark/>
          </w:tcPr>
          <w:p w14:paraId="37FC9B8C"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Interno</w:t>
            </w:r>
          </w:p>
        </w:tc>
        <w:tc>
          <w:tcPr>
            <w:tcW w:w="76" w:type="pct"/>
            <w:tcBorders>
              <w:top w:val="nil"/>
              <w:left w:val="nil"/>
              <w:bottom w:val="single" w:sz="8" w:space="0" w:color="auto"/>
              <w:right w:val="single" w:sz="4" w:space="0" w:color="000000"/>
            </w:tcBorders>
            <w:shd w:val="clear" w:color="000000" w:fill="FFFFFF"/>
            <w:textDirection w:val="btLr"/>
            <w:vAlign w:val="center"/>
            <w:hideMark/>
          </w:tcPr>
          <w:p w14:paraId="70E8280B"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Selección</w:t>
            </w:r>
          </w:p>
        </w:tc>
        <w:tc>
          <w:tcPr>
            <w:tcW w:w="76" w:type="pct"/>
            <w:tcBorders>
              <w:top w:val="nil"/>
              <w:left w:val="nil"/>
              <w:bottom w:val="single" w:sz="8" w:space="0" w:color="auto"/>
              <w:right w:val="single" w:sz="4" w:space="0" w:color="000000"/>
            </w:tcBorders>
            <w:shd w:val="clear" w:color="000000" w:fill="FFFFFF"/>
            <w:textDirection w:val="btLr"/>
            <w:vAlign w:val="center"/>
            <w:hideMark/>
          </w:tcPr>
          <w:p w14:paraId="15551434"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Jurídico</w:t>
            </w:r>
          </w:p>
        </w:tc>
        <w:tc>
          <w:tcPr>
            <w:tcW w:w="828" w:type="pct"/>
            <w:tcBorders>
              <w:top w:val="nil"/>
              <w:left w:val="nil"/>
              <w:bottom w:val="single" w:sz="8" w:space="0" w:color="auto"/>
              <w:right w:val="single" w:sz="4" w:space="0" w:color="000000"/>
            </w:tcBorders>
            <w:shd w:val="clear" w:color="000000" w:fill="FFFFFF"/>
            <w:vAlign w:val="center"/>
            <w:hideMark/>
          </w:tcPr>
          <w:p w14:paraId="7BF4B91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Presentación incompleta de requisitos de habilitación del proponente. Se refiere a la posibilidad de que los proponentes no alleguen la totalidad de los documentos, certificaciones o soportes exigidos en el pliego de condiciones para acreditar su capacidad jurídica, técnica, financiera y organizacional, lo cual puede afectar el cumplimiento de los requisitos habilitantes y generar retrasos o incertidumbre en el proceso de evaluación y selección.</w:t>
            </w:r>
          </w:p>
        </w:tc>
        <w:tc>
          <w:tcPr>
            <w:tcW w:w="399" w:type="pct"/>
            <w:tcBorders>
              <w:top w:val="nil"/>
              <w:left w:val="nil"/>
              <w:bottom w:val="single" w:sz="8" w:space="0" w:color="auto"/>
              <w:right w:val="single" w:sz="4" w:space="0" w:color="000000"/>
            </w:tcBorders>
            <w:shd w:val="clear" w:color="000000" w:fill="FFFFFF"/>
            <w:vAlign w:val="center"/>
            <w:hideMark/>
          </w:tcPr>
          <w:p w14:paraId="766CF1DB"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 xml:space="preserve">Rechazo de propuestas válidas y posible </w:t>
            </w:r>
            <w:proofErr w:type="spellStart"/>
            <w:r w:rsidRPr="00CA0724">
              <w:rPr>
                <w:rFonts w:ascii="Arial" w:eastAsia="Times New Roman" w:hAnsi="Arial" w:cs="Arial"/>
                <w:sz w:val="16"/>
                <w:szCs w:val="16"/>
                <w:lang w:eastAsia="es-CO"/>
              </w:rPr>
              <w:t>declaracion</w:t>
            </w:r>
            <w:proofErr w:type="spellEnd"/>
            <w:r w:rsidRPr="00CA0724">
              <w:rPr>
                <w:rFonts w:ascii="Arial" w:eastAsia="Times New Roman" w:hAnsi="Arial" w:cs="Arial"/>
                <w:sz w:val="16"/>
                <w:szCs w:val="16"/>
                <w:lang w:eastAsia="es-CO"/>
              </w:rPr>
              <w:t xml:space="preserve"> de proceso desierto</w:t>
            </w:r>
          </w:p>
        </w:tc>
        <w:tc>
          <w:tcPr>
            <w:tcW w:w="90" w:type="pct"/>
            <w:tcBorders>
              <w:top w:val="nil"/>
              <w:left w:val="nil"/>
              <w:bottom w:val="single" w:sz="8" w:space="0" w:color="auto"/>
              <w:right w:val="single" w:sz="4" w:space="0" w:color="000000"/>
            </w:tcBorders>
            <w:shd w:val="clear" w:color="000000" w:fill="FFFFFF"/>
            <w:textDirection w:val="btLr"/>
            <w:vAlign w:val="center"/>
            <w:hideMark/>
          </w:tcPr>
          <w:p w14:paraId="4C874463"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3</w:t>
            </w:r>
          </w:p>
        </w:tc>
        <w:tc>
          <w:tcPr>
            <w:tcW w:w="90" w:type="pct"/>
            <w:tcBorders>
              <w:top w:val="nil"/>
              <w:left w:val="nil"/>
              <w:bottom w:val="single" w:sz="8" w:space="0" w:color="auto"/>
              <w:right w:val="single" w:sz="4" w:space="0" w:color="000000"/>
            </w:tcBorders>
            <w:shd w:val="clear" w:color="000000" w:fill="FFFFFF"/>
            <w:textDirection w:val="btLr"/>
            <w:vAlign w:val="center"/>
            <w:hideMark/>
          </w:tcPr>
          <w:p w14:paraId="7C575E1B"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2</w:t>
            </w:r>
          </w:p>
        </w:tc>
        <w:tc>
          <w:tcPr>
            <w:tcW w:w="90" w:type="pct"/>
            <w:tcBorders>
              <w:top w:val="nil"/>
              <w:left w:val="nil"/>
              <w:bottom w:val="single" w:sz="8" w:space="0" w:color="auto"/>
              <w:right w:val="single" w:sz="4" w:space="0" w:color="000000"/>
            </w:tcBorders>
            <w:shd w:val="clear" w:color="000000" w:fill="FFFFFF"/>
            <w:textDirection w:val="btLr"/>
            <w:vAlign w:val="center"/>
            <w:hideMark/>
          </w:tcPr>
          <w:p w14:paraId="3EC23156"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8" w:space="0" w:color="auto"/>
              <w:right w:val="single" w:sz="4" w:space="0" w:color="000000"/>
            </w:tcBorders>
            <w:shd w:val="clear" w:color="000000" w:fill="FFFFFF"/>
            <w:textDirection w:val="btLr"/>
            <w:vAlign w:val="center"/>
            <w:hideMark/>
          </w:tcPr>
          <w:p w14:paraId="3AEB9013"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bajo</w:t>
            </w:r>
          </w:p>
        </w:tc>
        <w:tc>
          <w:tcPr>
            <w:tcW w:w="90" w:type="pct"/>
            <w:tcBorders>
              <w:top w:val="nil"/>
              <w:left w:val="nil"/>
              <w:bottom w:val="single" w:sz="8" w:space="0" w:color="auto"/>
              <w:right w:val="single" w:sz="4" w:space="0" w:color="000000"/>
            </w:tcBorders>
            <w:shd w:val="clear" w:color="000000" w:fill="FFFFFF"/>
            <w:textDirection w:val="btLr"/>
            <w:vAlign w:val="center"/>
            <w:hideMark/>
          </w:tcPr>
          <w:p w14:paraId="7A030EF4"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Proponente</w:t>
            </w:r>
          </w:p>
        </w:tc>
        <w:tc>
          <w:tcPr>
            <w:tcW w:w="830" w:type="pct"/>
            <w:tcBorders>
              <w:top w:val="nil"/>
              <w:left w:val="nil"/>
              <w:bottom w:val="single" w:sz="8" w:space="0" w:color="auto"/>
              <w:right w:val="single" w:sz="4" w:space="0" w:color="000000"/>
            </w:tcBorders>
            <w:shd w:val="clear" w:color="000000" w:fill="FFFFFF"/>
            <w:vAlign w:val="center"/>
            <w:hideMark/>
          </w:tcPr>
          <w:p w14:paraId="62618F9D"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 xml:space="preserve">Verificación detallada de los requisitos habilitantes establecidos en el pliego de condiciones, con aplicación de los criterios de </w:t>
            </w:r>
            <w:proofErr w:type="spellStart"/>
            <w:r w:rsidRPr="00CA0724">
              <w:rPr>
                <w:rFonts w:ascii="Arial" w:eastAsia="Times New Roman" w:hAnsi="Arial" w:cs="Arial"/>
                <w:sz w:val="16"/>
                <w:szCs w:val="16"/>
                <w:lang w:eastAsia="es-CO"/>
              </w:rPr>
              <w:t>subsanabilidad</w:t>
            </w:r>
            <w:proofErr w:type="spellEnd"/>
            <w:r w:rsidRPr="00CA0724">
              <w:rPr>
                <w:rFonts w:ascii="Arial" w:eastAsia="Times New Roman" w:hAnsi="Arial" w:cs="Arial"/>
                <w:sz w:val="16"/>
                <w:szCs w:val="16"/>
                <w:lang w:eastAsia="es-CO"/>
              </w:rPr>
              <w:t xml:space="preserve"> conforme a la normatividad vigente en contratación estatal. En caso de identificarse documentos o requisitos incompletos, se requerirá al proponente para que aporte o corrija la información dentro de los términos establecidos, garantizando el principio de selección objetiva sin afectar la igualdad entre oferentes.</w:t>
            </w:r>
          </w:p>
        </w:tc>
        <w:tc>
          <w:tcPr>
            <w:tcW w:w="90" w:type="pct"/>
            <w:tcBorders>
              <w:top w:val="nil"/>
              <w:left w:val="nil"/>
              <w:bottom w:val="single" w:sz="8" w:space="0" w:color="auto"/>
              <w:right w:val="single" w:sz="4" w:space="0" w:color="000000"/>
            </w:tcBorders>
            <w:shd w:val="clear" w:color="000000" w:fill="FFFFFF"/>
            <w:textDirection w:val="btLr"/>
            <w:vAlign w:val="center"/>
            <w:hideMark/>
          </w:tcPr>
          <w:p w14:paraId="53CF664E"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8" w:space="0" w:color="auto"/>
              <w:right w:val="single" w:sz="4" w:space="0" w:color="000000"/>
            </w:tcBorders>
            <w:shd w:val="clear" w:color="000000" w:fill="FFFFFF"/>
            <w:textDirection w:val="btLr"/>
            <w:vAlign w:val="center"/>
            <w:hideMark/>
          </w:tcPr>
          <w:p w14:paraId="5694AA3B"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7</w:t>
            </w:r>
          </w:p>
        </w:tc>
        <w:tc>
          <w:tcPr>
            <w:tcW w:w="90" w:type="pct"/>
            <w:tcBorders>
              <w:top w:val="nil"/>
              <w:left w:val="nil"/>
              <w:bottom w:val="single" w:sz="8" w:space="0" w:color="auto"/>
              <w:right w:val="single" w:sz="4" w:space="0" w:color="000000"/>
            </w:tcBorders>
            <w:shd w:val="clear" w:color="000000" w:fill="FFFFFF"/>
            <w:textDirection w:val="btLr"/>
            <w:vAlign w:val="center"/>
            <w:hideMark/>
          </w:tcPr>
          <w:p w14:paraId="205388DB"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6</w:t>
            </w:r>
          </w:p>
        </w:tc>
        <w:tc>
          <w:tcPr>
            <w:tcW w:w="90" w:type="pct"/>
            <w:tcBorders>
              <w:top w:val="nil"/>
              <w:left w:val="nil"/>
              <w:bottom w:val="single" w:sz="8" w:space="0" w:color="auto"/>
              <w:right w:val="single" w:sz="4" w:space="0" w:color="000000"/>
            </w:tcBorders>
            <w:shd w:val="clear" w:color="000000" w:fill="FFFFFF"/>
            <w:textDirection w:val="btLr"/>
            <w:vAlign w:val="center"/>
            <w:hideMark/>
          </w:tcPr>
          <w:p w14:paraId="3FB5F0DB"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bajo</w:t>
            </w:r>
          </w:p>
        </w:tc>
        <w:tc>
          <w:tcPr>
            <w:tcW w:w="143" w:type="pct"/>
            <w:tcBorders>
              <w:top w:val="nil"/>
              <w:left w:val="nil"/>
              <w:bottom w:val="single" w:sz="8" w:space="0" w:color="auto"/>
              <w:right w:val="single" w:sz="4" w:space="0" w:color="000000"/>
            </w:tcBorders>
            <w:shd w:val="clear" w:color="000000" w:fill="FFFFFF"/>
            <w:textDirection w:val="btLr"/>
            <w:vAlign w:val="center"/>
            <w:hideMark/>
          </w:tcPr>
          <w:p w14:paraId="41E5DD59"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SI</w:t>
            </w:r>
          </w:p>
        </w:tc>
        <w:tc>
          <w:tcPr>
            <w:tcW w:w="179" w:type="pct"/>
            <w:tcBorders>
              <w:top w:val="nil"/>
              <w:left w:val="nil"/>
              <w:bottom w:val="single" w:sz="8" w:space="0" w:color="auto"/>
              <w:right w:val="single" w:sz="4" w:space="0" w:color="000000"/>
            </w:tcBorders>
            <w:shd w:val="clear" w:color="000000" w:fill="FFFFFF"/>
            <w:textDirection w:val="btLr"/>
            <w:vAlign w:val="center"/>
            <w:hideMark/>
          </w:tcPr>
          <w:p w14:paraId="2A69665E"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Dirección de Contratación</w:t>
            </w:r>
            <w:r w:rsidRPr="00CA0724">
              <w:rPr>
                <w:rFonts w:ascii="Arial" w:eastAsia="Times New Roman" w:hAnsi="Arial" w:cs="Arial"/>
                <w:sz w:val="16"/>
                <w:szCs w:val="16"/>
                <w:lang w:eastAsia="es-CO"/>
              </w:rPr>
              <w:br/>
              <w:t>Supervisor del Contrato</w:t>
            </w:r>
          </w:p>
        </w:tc>
        <w:tc>
          <w:tcPr>
            <w:tcW w:w="183" w:type="pct"/>
            <w:tcBorders>
              <w:top w:val="nil"/>
              <w:left w:val="nil"/>
              <w:bottom w:val="single" w:sz="8" w:space="0" w:color="auto"/>
              <w:right w:val="single" w:sz="4" w:space="0" w:color="000000"/>
            </w:tcBorders>
            <w:shd w:val="clear" w:color="000000" w:fill="FFFFFF"/>
            <w:textDirection w:val="btLr"/>
            <w:vAlign w:val="center"/>
            <w:hideMark/>
          </w:tcPr>
          <w:p w14:paraId="2888DF1E"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Durante publicación del proceso</w:t>
            </w:r>
          </w:p>
        </w:tc>
        <w:tc>
          <w:tcPr>
            <w:tcW w:w="222" w:type="pct"/>
            <w:tcBorders>
              <w:top w:val="nil"/>
              <w:left w:val="nil"/>
              <w:bottom w:val="single" w:sz="8" w:space="0" w:color="auto"/>
              <w:right w:val="single" w:sz="4" w:space="0" w:color="000000"/>
            </w:tcBorders>
            <w:shd w:val="clear" w:color="000000" w:fill="FFFFFF"/>
            <w:textDirection w:val="btLr"/>
            <w:vAlign w:val="center"/>
            <w:hideMark/>
          </w:tcPr>
          <w:p w14:paraId="25E459DE"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Hasta cierre de recepción de ofertas</w:t>
            </w:r>
          </w:p>
        </w:tc>
        <w:tc>
          <w:tcPr>
            <w:tcW w:w="828" w:type="pct"/>
            <w:tcBorders>
              <w:top w:val="nil"/>
              <w:left w:val="nil"/>
              <w:bottom w:val="single" w:sz="8" w:space="0" w:color="auto"/>
              <w:right w:val="single" w:sz="4" w:space="0" w:color="000000"/>
            </w:tcBorders>
            <w:shd w:val="clear" w:color="000000" w:fill="FFFFFF"/>
            <w:vAlign w:val="center"/>
            <w:hideMark/>
          </w:tcPr>
          <w:p w14:paraId="44585691"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Revisión sistemática de la documentación aportada por los proponentes frente a los requisitos habilitantes exigidos en el pliego de condiciones. El comité evaluador deja constancia en los informes de evaluación sobre los documentos verificados, los requisitos cumplidos y aquellos susceptibles de subsanación, así como del seguimiento a los requerimientos efectuados a los proponentes dentro de los plazos establecidos.</w:t>
            </w:r>
          </w:p>
        </w:tc>
        <w:tc>
          <w:tcPr>
            <w:tcW w:w="169" w:type="pct"/>
            <w:tcBorders>
              <w:top w:val="nil"/>
              <w:left w:val="nil"/>
              <w:bottom w:val="single" w:sz="8" w:space="0" w:color="auto"/>
              <w:right w:val="single" w:sz="4" w:space="0" w:color="000000"/>
            </w:tcBorders>
            <w:shd w:val="clear" w:color="000000" w:fill="FFFFFF"/>
            <w:textDirection w:val="btLr"/>
            <w:vAlign w:val="center"/>
            <w:hideMark/>
          </w:tcPr>
          <w:p w14:paraId="0BFDC601"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Una vez</w:t>
            </w:r>
          </w:p>
        </w:tc>
        <w:tc>
          <w:tcPr>
            <w:tcW w:w="33" w:type="pct"/>
            <w:vAlign w:val="center"/>
            <w:hideMark/>
          </w:tcPr>
          <w:p w14:paraId="21A1D939" w14:textId="77777777" w:rsidR="00CA0724" w:rsidRPr="00CA0724" w:rsidRDefault="00CA0724" w:rsidP="00CA0724">
            <w:pPr>
              <w:spacing w:line="240" w:lineRule="auto"/>
              <w:contextualSpacing w:val="0"/>
              <w:jc w:val="left"/>
              <w:rPr>
                <w:rFonts w:ascii="Times New Roman" w:eastAsia="Times New Roman" w:hAnsi="Times New Roman" w:cs="Times New Roman"/>
                <w:sz w:val="20"/>
                <w:szCs w:val="20"/>
                <w:lang w:eastAsia="es-CO"/>
              </w:rPr>
            </w:pPr>
          </w:p>
        </w:tc>
      </w:tr>
      <w:tr w:rsidR="00CA0724" w:rsidRPr="00CA0724" w14:paraId="41A447D6" w14:textId="77777777" w:rsidTr="00CA0724">
        <w:trPr>
          <w:trHeight w:val="3300"/>
        </w:trPr>
        <w:tc>
          <w:tcPr>
            <w:tcW w:w="76" w:type="pct"/>
            <w:tcBorders>
              <w:top w:val="nil"/>
              <w:left w:val="single" w:sz="4" w:space="0" w:color="000000"/>
              <w:bottom w:val="single" w:sz="4" w:space="0" w:color="000000"/>
              <w:right w:val="single" w:sz="4" w:space="0" w:color="000000"/>
            </w:tcBorders>
            <w:shd w:val="clear" w:color="000000" w:fill="FFFFFF"/>
            <w:textDirection w:val="btLr"/>
            <w:vAlign w:val="center"/>
            <w:hideMark/>
          </w:tcPr>
          <w:p w14:paraId="6A9D2650"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4</w:t>
            </w:r>
          </w:p>
        </w:tc>
        <w:tc>
          <w:tcPr>
            <w:tcW w:w="76" w:type="pct"/>
            <w:tcBorders>
              <w:top w:val="nil"/>
              <w:left w:val="single" w:sz="4" w:space="0" w:color="auto"/>
              <w:bottom w:val="single" w:sz="4" w:space="0" w:color="auto"/>
              <w:right w:val="single" w:sz="4" w:space="0" w:color="auto"/>
            </w:tcBorders>
            <w:noWrap/>
            <w:textDirection w:val="btLr"/>
            <w:vAlign w:val="center"/>
            <w:hideMark/>
          </w:tcPr>
          <w:p w14:paraId="29D3C9D8"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Especifico</w:t>
            </w:r>
          </w:p>
        </w:tc>
        <w:tc>
          <w:tcPr>
            <w:tcW w:w="76" w:type="pct"/>
            <w:tcBorders>
              <w:top w:val="nil"/>
              <w:left w:val="nil"/>
              <w:bottom w:val="single" w:sz="4" w:space="0" w:color="auto"/>
              <w:right w:val="single" w:sz="4" w:space="0" w:color="auto"/>
            </w:tcBorders>
            <w:noWrap/>
            <w:textDirection w:val="btLr"/>
            <w:vAlign w:val="center"/>
            <w:hideMark/>
          </w:tcPr>
          <w:p w14:paraId="3CF323D5"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Externo</w:t>
            </w:r>
          </w:p>
        </w:tc>
        <w:tc>
          <w:tcPr>
            <w:tcW w:w="76" w:type="pct"/>
            <w:tcBorders>
              <w:top w:val="nil"/>
              <w:left w:val="nil"/>
              <w:bottom w:val="single" w:sz="4" w:space="0" w:color="auto"/>
              <w:right w:val="single" w:sz="4" w:space="0" w:color="auto"/>
            </w:tcBorders>
            <w:noWrap/>
            <w:textDirection w:val="btLr"/>
            <w:vAlign w:val="center"/>
            <w:hideMark/>
          </w:tcPr>
          <w:p w14:paraId="56B27D57"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proofErr w:type="spellStart"/>
            <w:r w:rsidRPr="00CA0724">
              <w:rPr>
                <w:rFonts w:ascii="Arial" w:eastAsia="Times New Roman" w:hAnsi="Arial" w:cs="Arial"/>
                <w:sz w:val="16"/>
                <w:szCs w:val="16"/>
                <w:lang w:eastAsia="es-CO"/>
              </w:rPr>
              <w:t>Ejecucion</w:t>
            </w:r>
            <w:proofErr w:type="spellEnd"/>
          </w:p>
        </w:tc>
        <w:tc>
          <w:tcPr>
            <w:tcW w:w="76" w:type="pct"/>
            <w:tcBorders>
              <w:top w:val="nil"/>
              <w:left w:val="nil"/>
              <w:bottom w:val="single" w:sz="4" w:space="0" w:color="auto"/>
              <w:right w:val="single" w:sz="4" w:space="0" w:color="auto"/>
            </w:tcBorders>
            <w:noWrap/>
            <w:textDirection w:val="btLr"/>
            <w:vAlign w:val="center"/>
            <w:hideMark/>
          </w:tcPr>
          <w:p w14:paraId="187F6014"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Operacional</w:t>
            </w:r>
          </w:p>
        </w:tc>
        <w:tc>
          <w:tcPr>
            <w:tcW w:w="828" w:type="pct"/>
            <w:tcBorders>
              <w:top w:val="nil"/>
              <w:left w:val="nil"/>
              <w:bottom w:val="single" w:sz="4" w:space="0" w:color="auto"/>
              <w:right w:val="single" w:sz="4" w:space="0" w:color="auto"/>
            </w:tcBorders>
            <w:vAlign w:val="center"/>
            <w:hideMark/>
          </w:tcPr>
          <w:p w14:paraId="6995A133"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 xml:space="preserve">Variación de precios durante la ejecución del contrato. Se refiere a la posibilidad de que durante la ejecución del contrato se presenten incrementos o fluctuaciones en los precios de los insumos, materiales, equipos, transporte o mano de obra </w:t>
            </w:r>
            <w:r w:rsidRPr="00CA0724">
              <w:rPr>
                <w:rFonts w:ascii="Arial" w:eastAsia="Times New Roman" w:hAnsi="Arial" w:cs="Arial"/>
                <w:sz w:val="16"/>
                <w:szCs w:val="16"/>
                <w:lang w:eastAsia="es-CO"/>
              </w:rPr>
              <w:lastRenderedPageBreak/>
              <w:t>requeridos para el cumplimiento del objeto contractual, derivados de condiciones del mercado, factores económicos, logísticos o externos, lo cual puede afectar la estabilidad económica del contrato y su correcta ejecución.</w:t>
            </w:r>
          </w:p>
        </w:tc>
        <w:tc>
          <w:tcPr>
            <w:tcW w:w="399" w:type="pct"/>
            <w:tcBorders>
              <w:top w:val="nil"/>
              <w:left w:val="nil"/>
              <w:bottom w:val="single" w:sz="4" w:space="0" w:color="auto"/>
              <w:right w:val="single" w:sz="4" w:space="0" w:color="auto"/>
            </w:tcBorders>
            <w:vAlign w:val="center"/>
            <w:hideMark/>
          </w:tcPr>
          <w:p w14:paraId="2C561BBD"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lastRenderedPageBreak/>
              <w:t>Afectación al equilibrio económico del contrato.</w:t>
            </w:r>
          </w:p>
        </w:tc>
        <w:tc>
          <w:tcPr>
            <w:tcW w:w="90" w:type="pct"/>
            <w:tcBorders>
              <w:top w:val="nil"/>
              <w:left w:val="single" w:sz="4" w:space="0" w:color="000000"/>
              <w:bottom w:val="single" w:sz="4" w:space="0" w:color="000000"/>
              <w:right w:val="single" w:sz="4" w:space="0" w:color="000000"/>
            </w:tcBorders>
            <w:shd w:val="clear" w:color="000000" w:fill="FFFFFF"/>
            <w:textDirection w:val="btLr"/>
            <w:vAlign w:val="center"/>
            <w:hideMark/>
          </w:tcPr>
          <w:p w14:paraId="7E72DEF3"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2</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17E00073"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3</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077DEC1C"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04D7A7B9"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Medio</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604A0480"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Contratista</w:t>
            </w:r>
          </w:p>
        </w:tc>
        <w:tc>
          <w:tcPr>
            <w:tcW w:w="830" w:type="pct"/>
            <w:tcBorders>
              <w:top w:val="nil"/>
              <w:left w:val="single" w:sz="4" w:space="0" w:color="auto"/>
              <w:bottom w:val="single" w:sz="4" w:space="0" w:color="auto"/>
              <w:right w:val="single" w:sz="4" w:space="0" w:color="auto"/>
            </w:tcBorders>
            <w:vAlign w:val="center"/>
            <w:hideMark/>
          </w:tcPr>
          <w:p w14:paraId="129B875B"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 xml:space="preserve">Establecimiento de precios fijos o de mecanismos contractuales de ajuste previamente definidos en el contrato, cuando aplique, conforme a la normatividad vigente. Revisión y validación del análisis de precios unitarios (APU) y del estudio de mercado para asegurar la adecuada estructuración </w:t>
            </w:r>
            <w:r w:rsidRPr="00CA0724">
              <w:rPr>
                <w:rFonts w:ascii="Arial" w:eastAsia="Times New Roman" w:hAnsi="Arial" w:cs="Arial"/>
                <w:sz w:val="16"/>
                <w:szCs w:val="16"/>
                <w:lang w:eastAsia="es-CO"/>
              </w:rPr>
              <w:lastRenderedPageBreak/>
              <w:t>del presupuesto.</w:t>
            </w:r>
          </w:p>
        </w:tc>
        <w:tc>
          <w:tcPr>
            <w:tcW w:w="90" w:type="pct"/>
            <w:tcBorders>
              <w:top w:val="nil"/>
              <w:left w:val="single" w:sz="4" w:space="0" w:color="000000"/>
              <w:bottom w:val="single" w:sz="4" w:space="0" w:color="000000"/>
              <w:right w:val="single" w:sz="4" w:space="0" w:color="000000"/>
            </w:tcBorders>
            <w:shd w:val="clear" w:color="000000" w:fill="FFFFFF"/>
            <w:textDirection w:val="btLr"/>
            <w:vAlign w:val="center"/>
            <w:hideMark/>
          </w:tcPr>
          <w:p w14:paraId="73A47443"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lastRenderedPageBreak/>
              <w:t>2</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070D361D"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2</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20E1AF1C"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4</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0D077DF9"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Bajo</w:t>
            </w:r>
          </w:p>
        </w:tc>
        <w:tc>
          <w:tcPr>
            <w:tcW w:w="143" w:type="pct"/>
            <w:tcBorders>
              <w:top w:val="nil"/>
              <w:left w:val="nil"/>
              <w:bottom w:val="single" w:sz="4" w:space="0" w:color="000000"/>
              <w:right w:val="single" w:sz="4" w:space="0" w:color="000000"/>
            </w:tcBorders>
            <w:shd w:val="clear" w:color="000000" w:fill="FFFFFF"/>
            <w:textDirection w:val="btLr"/>
            <w:vAlign w:val="center"/>
            <w:hideMark/>
          </w:tcPr>
          <w:p w14:paraId="737860CB"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SI</w:t>
            </w:r>
          </w:p>
        </w:tc>
        <w:tc>
          <w:tcPr>
            <w:tcW w:w="179" w:type="pct"/>
            <w:tcBorders>
              <w:top w:val="nil"/>
              <w:left w:val="nil"/>
              <w:bottom w:val="single" w:sz="4" w:space="0" w:color="000000"/>
              <w:right w:val="single" w:sz="4" w:space="0" w:color="000000"/>
            </w:tcBorders>
            <w:shd w:val="clear" w:color="000000" w:fill="FFFFFF"/>
            <w:textDirection w:val="btLr"/>
            <w:vAlign w:val="center"/>
            <w:hideMark/>
          </w:tcPr>
          <w:p w14:paraId="6C26337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contratista de obras, interventor.</w:t>
            </w:r>
          </w:p>
        </w:tc>
        <w:tc>
          <w:tcPr>
            <w:tcW w:w="183" w:type="pct"/>
            <w:tcBorders>
              <w:top w:val="nil"/>
              <w:left w:val="nil"/>
              <w:bottom w:val="single" w:sz="4" w:space="0" w:color="000000"/>
              <w:right w:val="single" w:sz="4" w:space="0" w:color="000000"/>
            </w:tcBorders>
            <w:shd w:val="clear" w:color="000000" w:fill="FFFFFF"/>
            <w:textDirection w:val="btLr"/>
            <w:vAlign w:val="center"/>
            <w:hideMark/>
          </w:tcPr>
          <w:p w14:paraId="1090853E"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Al inicio de la manifestación del riesgo</w:t>
            </w:r>
          </w:p>
        </w:tc>
        <w:tc>
          <w:tcPr>
            <w:tcW w:w="222" w:type="pct"/>
            <w:tcBorders>
              <w:top w:val="nil"/>
              <w:left w:val="nil"/>
              <w:bottom w:val="single" w:sz="4" w:space="0" w:color="000000"/>
              <w:right w:val="single" w:sz="4" w:space="0" w:color="000000"/>
            </w:tcBorders>
            <w:shd w:val="clear" w:color="000000" w:fill="FFFFFF"/>
            <w:textDirection w:val="btLr"/>
            <w:vAlign w:val="center"/>
            <w:hideMark/>
          </w:tcPr>
          <w:p w14:paraId="1354537F"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A la terminación de la ocurrencia del evento</w:t>
            </w:r>
          </w:p>
        </w:tc>
        <w:tc>
          <w:tcPr>
            <w:tcW w:w="828" w:type="pct"/>
            <w:tcBorders>
              <w:top w:val="nil"/>
              <w:left w:val="single" w:sz="4" w:space="0" w:color="auto"/>
              <w:bottom w:val="single" w:sz="4" w:space="0" w:color="auto"/>
              <w:right w:val="single" w:sz="4" w:space="0" w:color="auto"/>
            </w:tcBorders>
            <w:vAlign w:val="center"/>
            <w:hideMark/>
          </w:tcPr>
          <w:p w14:paraId="2513FCEA"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 xml:space="preserve">El monitoreo se realiza durante la ejecución del contrato mediante la verificación periódica de los costos asociados a los insumos, materiales, equipos y demás componentes del APU frente a las condiciones del mercado. </w:t>
            </w:r>
            <w:proofErr w:type="gramStart"/>
            <w:r w:rsidRPr="00CA0724">
              <w:rPr>
                <w:rFonts w:ascii="Arial" w:eastAsia="Times New Roman" w:hAnsi="Arial" w:cs="Arial"/>
                <w:sz w:val="16"/>
                <w:szCs w:val="16"/>
                <w:lang w:eastAsia="es-CO"/>
              </w:rPr>
              <w:t xml:space="preserve">El supervisor </w:t>
            </w:r>
            <w:r w:rsidRPr="00CA0724">
              <w:rPr>
                <w:rFonts w:ascii="Arial" w:eastAsia="Times New Roman" w:hAnsi="Arial" w:cs="Arial"/>
                <w:sz w:val="16"/>
                <w:szCs w:val="16"/>
                <w:lang w:eastAsia="es-CO"/>
              </w:rPr>
              <w:lastRenderedPageBreak/>
              <w:t>del contrato realizan</w:t>
            </w:r>
            <w:proofErr w:type="gramEnd"/>
            <w:r w:rsidRPr="00CA0724">
              <w:rPr>
                <w:rFonts w:ascii="Arial" w:eastAsia="Times New Roman" w:hAnsi="Arial" w:cs="Arial"/>
                <w:sz w:val="16"/>
                <w:szCs w:val="16"/>
                <w:lang w:eastAsia="es-CO"/>
              </w:rPr>
              <w:t xml:space="preserve"> seguimiento técnico y financiero, dejando constancia en los informes de supervisión sobre posibles variaciones significativas y su impacto en la ejecución</w:t>
            </w:r>
          </w:p>
        </w:tc>
        <w:tc>
          <w:tcPr>
            <w:tcW w:w="169" w:type="pct"/>
            <w:tcBorders>
              <w:top w:val="nil"/>
              <w:left w:val="single" w:sz="4" w:space="0" w:color="000000"/>
              <w:bottom w:val="single" w:sz="4" w:space="0" w:color="000000"/>
              <w:right w:val="single" w:sz="4" w:space="0" w:color="000000"/>
            </w:tcBorders>
            <w:shd w:val="clear" w:color="000000" w:fill="FFFFFF"/>
            <w:textDirection w:val="btLr"/>
            <w:vAlign w:val="center"/>
            <w:hideMark/>
          </w:tcPr>
          <w:p w14:paraId="0ADA6551"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lastRenderedPageBreak/>
              <w:t xml:space="preserve">Cada vez que se </w:t>
            </w:r>
            <w:proofErr w:type="spellStart"/>
            <w:r w:rsidRPr="00CA0724">
              <w:rPr>
                <w:rFonts w:ascii="Arial" w:eastAsia="Times New Roman" w:hAnsi="Arial" w:cs="Arial"/>
                <w:sz w:val="16"/>
                <w:szCs w:val="16"/>
                <w:lang w:eastAsia="es-CO"/>
              </w:rPr>
              <w:t>efectue</w:t>
            </w:r>
            <w:proofErr w:type="spellEnd"/>
            <w:r w:rsidRPr="00CA0724">
              <w:rPr>
                <w:rFonts w:ascii="Arial" w:eastAsia="Times New Roman" w:hAnsi="Arial" w:cs="Arial"/>
                <w:sz w:val="16"/>
                <w:szCs w:val="16"/>
                <w:lang w:eastAsia="es-CO"/>
              </w:rPr>
              <w:t xml:space="preserve"> una compra o alquiler</w:t>
            </w:r>
          </w:p>
        </w:tc>
        <w:tc>
          <w:tcPr>
            <w:tcW w:w="33" w:type="pct"/>
            <w:vAlign w:val="center"/>
            <w:hideMark/>
          </w:tcPr>
          <w:p w14:paraId="776D92C3" w14:textId="77777777" w:rsidR="00CA0724" w:rsidRPr="00CA0724" w:rsidRDefault="00CA0724" w:rsidP="00CA0724">
            <w:pPr>
              <w:spacing w:line="240" w:lineRule="auto"/>
              <w:contextualSpacing w:val="0"/>
              <w:jc w:val="left"/>
              <w:rPr>
                <w:rFonts w:ascii="Times New Roman" w:eastAsia="Times New Roman" w:hAnsi="Times New Roman" w:cs="Times New Roman"/>
                <w:sz w:val="20"/>
                <w:szCs w:val="20"/>
                <w:lang w:eastAsia="es-CO"/>
              </w:rPr>
            </w:pPr>
          </w:p>
        </w:tc>
      </w:tr>
      <w:tr w:rsidR="00CA0724" w:rsidRPr="00CA0724" w14:paraId="50275E5D" w14:textId="77777777" w:rsidTr="00CA0724">
        <w:trPr>
          <w:trHeight w:val="2475"/>
        </w:trPr>
        <w:tc>
          <w:tcPr>
            <w:tcW w:w="76" w:type="pct"/>
            <w:tcBorders>
              <w:top w:val="nil"/>
              <w:left w:val="single" w:sz="4" w:space="0" w:color="000000"/>
              <w:bottom w:val="single" w:sz="4" w:space="0" w:color="000000"/>
              <w:right w:val="single" w:sz="4" w:space="0" w:color="000000"/>
            </w:tcBorders>
            <w:shd w:val="clear" w:color="000000" w:fill="FFFFFF"/>
            <w:textDirection w:val="btLr"/>
            <w:vAlign w:val="center"/>
            <w:hideMark/>
          </w:tcPr>
          <w:p w14:paraId="5664C677"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76" w:type="pct"/>
            <w:tcBorders>
              <w:top w:val="single" w:sz="4" w:space="0" w:color="000000"/>
              <w:left w:val="nil"/>
              <w:bottom w:val="single" w:sz="4" w:space="0" w:color="000000"/>
              <w:right w:val="single" w:sz="4" w:space="0" w:color="000000"/>
            </w:tcBorders>
            <w:shd w:val="clear" w:color="000000" w:fill="FFFFFF"/>
            <w:textDirection w:val="btLr"/>
            <w:vAlign w:val="center"/>
            <w:hideMark/>
          </w:tcPr>
          <w:p w14:paraId="731EA86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Operativo</w:t>
            </w:r>
          </w:p>
        </w:tc>
        <w:tc>
          <w:tcPr>
            <w:tcW w:w="76" w:type="pct"/>
            <w:tcBorders>
              <w:top w:val="single" w:sz="4" w:space="0" w:color="000000"/>
              <w:left w:val="nil"/>
              <w:bottom w:val="single" w:sz="4" w:space="0" w:color="000000"/>
              <w:right w:val="single" w:sz="4" w:space="0" w:color="000000"/>
            </w:tcBorders>
            <w:shd w:val="clear" w:color="000000" w:fill="FFFFFF"/>
            <w:textDirection w:val="btLr"/>
            <w:vAlign w:val="center"/>
            <w:hideMark/>
          </w:tcPr>
          <w:p w14:paraId="7A2E99AE"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Externo</w:t>
            </w:r>
          </w:p>
        </w:tc>
        <w:tc>
          <w:tcPr>
            <w:tcW w:w="76" w:type="pct"/>
            <w:tcBorders>
              <w:top w:val="single" w:sz="4" w:space="0" w:color="000000"/>
              <w:left w:val="nil"/>
              <w:bottom w:val="single" w:sz="4" w:space="0" w:color="000000"/>
              <w:right w:val="single" w:sz="4" w:space="0" w:color="000000"/>
            </w:tcBorders>
            <w:shd w:val="clear" w:color="000000" w:fill="FFFFFF"/>
            <w:textDirection w:val="btLr"/>
            <w:vAlign w:val="center"/>
            <w:hideMark/>
          </w:tcPr>
          <w:p w14:paraId="68CA9F9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Ejecución</w:t>
            </w:r>
          </w:p>
        </w:tc>
        <w:tc>
          <w:tcPr>
            <w:tcW w:w="76" w:type="pct"/>
            <w:tcBorders>
              <w:top w:val="single" w:sz="4" w:space="0" w:color="000000"/>
              <w:left w:val="nil"/>
              <w:bottom w:val="single" w:sz="4" w:space="0" w:color="000000"/>
              <w:right w:val="single" w:sz="4" w:space="0" w:color="000000"/>
            </w:tcBorders>
            <w:shd w:val="clear" w:color="000000" w:fill="FFFFFF"/>
            <w:textDirection w:val="btLr"/>
            <w:vAlign w:val="center"/>
            <w:hideMark/>
          </w:tcPr>
          <w:p w14:paraId="40588B84"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Logístico</w:t>
            </w:r>
          </w:p>
        </w:tc>
        <w:tc>
          <w:tcPr>
            <w:tcW w:w="828" w:type="pct"/>
            <w:tcBorders>
              <w:top w:val="single" w:sz="4" w:space="0" w:color="000000"/>
              <w:left w:val="nil"/>
              <w:bottom w:val="single" w:sz="4" w:space="0" w:color="000000"/>
              <w:right w:val="single" w:sz="4" w:space="0" w:color="000000"/>
            </w:tcBorders>
            <w:shd w:val="clear" w:color="000000" w:fill="FFFFFF"/>
            <w:vAlign w:val="center"/>
            <w:hideMark/>
          </w:tcPr>
          <w:p w14:paraId="1FED1AE0"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Demoras en entrega de materiales. Es la posibilidad de que los proveedores o contratistas presenten retrasos en el suministro, transporte o disponibilidad de los materiales, insumos o equipos requeridos para la ejecución del contrato, lo cual puede generar afectaciones en el cronograma de actividades, suspensión temporal de frentes de trabajo y posibles incumplimientos en los plazos establecidos.</w:t>
            </w:r>
          </w:p>
        </w:tc>
        <w:tc>
          <w:tcPr>
            <w:tcW w:w="399" w:type="pct"/>
            <w:tcBorders>
              <w:top w:val="single" w:sz="4" w:space="0" w:color="000000"/>
              <w:left w:val="nil"/>
              <w:bottom w:val="single" w:sz="4" w:space="0" w:color="000000"/>
              <w:right w:val="single" w:sz="4" w:space="0" w:color="000000"/>
            </w:tcBorders>
            <w:shd w:val="clear" w:color="000000" w:fill="FFFFFF"/>
            <w:vAlign w:val="center"/>
            <w:hideMark/>
          </w:tcPr>
          <w:p w14:paraId="662CC7A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proofErr w:type="spellStart"/>
            <w:r w:rsidRPr="00CA0724">
              <w:rPr>
                <w:rFonts w:ascii="Arial" w:eastAsia="Times New Roman" w:hAnsi="Arial" w:cs="Arial"/>
                <w:sz w:val="16"/>
                <w:szCs w:val="16"/>
                <w:lang w:eastAsia="es-CO"/>
              </w:rPr>
              <w:t>Afectacion</w:t>
            </w:r>
            <w:proofErr w:type="spellEnd"/>
            <w:r w:rsidRPr="00CA0724">
              <w:rPr>
                <w:rFonts w:ascii="Arial" w:eastAsia="Times New Roman" w:hAnsi="Arial" w:cs="Arial"/>
                <w:sz w:val="16"/>
                <w:szCs w:val="16"/>
                <w:lang w:eastAsia="es-CO"/>
              </w:rPr>
              <w:t xml:space="preserve"> del inicio de obra e incumplimiento del cronograma</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5EF37DE6"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3</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3E31B78C"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145B4B48"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0D63BF55"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bajo</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46AFDFDE"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Contratista</w:t>
            </w:r>
          </w:p>
        </w:tc>
        <w:tc>
          <w:tcPr>
            <w:tcW w:w="830" w:type="pct"/>
            <w:tcBorders>
              <w:top w:val="single" w:sz="4" w:space="0" w:color="000000"/>
              <w:left w:val="nil"/>
              <w:bottom w:val="single" w:sz="4" w:space="0" w:color="000000"/>
              <w:right w:val="single" w:sz="4" w:space="0" w:color="000000"/>
            </w:tcBorders>
            <w:shd w:val="clear" w:color="000000" w:fill="FFFFFF"/>
            <w:vAlign w:val="center"/>
            <w:hideMark/>
          </w:tcPr>
          <w:p w14:paraId="642C262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Establecimiento de cronogramas de suministro claramente definidos dentro de la planeación contractual, así como la exigencia de compromisos de entrega por parte del contratista y sus proveedores. Verificación de la capacidad logística y de abastecimiento en la etapa precontractual. Aplicación de cláusulas de cumplimiento, seguimiento a la ejecución del cronograma de obra o actividades y, cuando aplique, requerimientos formales al contratista para la adopción de planes de contingencia.</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0CBFC211"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2</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3384C63E"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2</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07B5F79E"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4</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6AE919A0"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bajo</w:t>
            </w:r>
          </w:p>
        </w:tc>
        <w:tc>
          <w:tcPr>
            <w:tcW w:w="143" w:type="pct"/>
            <w:tcBorders>
              <w:top w:val="nil"/>
              <w:left w:val="nil"/>
              <w:bottom w:val="single" w:sz="4" w:space="0" w:color="000000"/>
              <w:right w:val="single" w:sz="4" w:space="0" w:color="000000"/>
            </w:tcBorders>
            <w:shd w:val="clear" w:color="000000" w:fill="FFFFFF"/>
            <w:textDirection w:val="btLr"/>
            <w:vAlign w:val="center"/>
            <w:hideMark/>
          </w:tcPr>
          <w:p w14:paraId="0B88F5EE"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SI</w:t>
            </w:r>
          </w:p>
        </w:tc>
        <w:tc>
          <w:tcPr>
            <w:tcW w:w="179" w:type="pct"/>
            <w:tcBorders>
              <w:top w:val="nil"/>
              <w:left w:val="nil"/>
              <w:bottom w:val="single" w:sz="4" w:space="0" w:color="000000"/>
              <w:right w:val="single" w:sz="4" w:space="0" w:color="000000"/>
            </w:tcBorders>
            <w:shd w:val="clear" w:color="000000" w:fill="FFFFFF"/>
            <w:textDirection w:val="btLr"/>
            <w:vAlign w:val="center"/>
            <w:hideMark/>
          </w:tcPr>
          <w:p w14:paraId="204F6708"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Supervisor del contrato</w:t>
            </w:r>
          </w:p>
        </w:tc>
        <w:tc>
          <w:tcPr>
            <w:tcW w:w="183" w:type="pct"/>
            <w:tcBorders>
              <w:top w:val="nil"/>
              <w:left w:val="nil"/>
              <w:bottom w:val="single" w:sz="4" w:space="0" w:color="000000"/>
              <w:right w:val="single" w:sz="4" w:space="0" w:color="000000"/>
            </w:tcBorders>
            <w:shd w:val="clear" w:color="000000" w:fill="FFFFFF"/>
            <w:textDirection w:val="btLr"/>
            <w:vAlign w:val="center"/>
            <w:hideMark/>
          </w:tcPr>
          <w:p w14:paraId="213060E5"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Al inicio del contrato</w:t>
            </w:r>
          </w:p>
        </w:tc>
        <w:tc>
          <w:tcPr>
            <w:tcW w:w="222" w:type="pct"/>
            <w:tcBorders>
              <w:top w:val="nil"/>
              <w:left w:val="nil"/>
              <w:bottom w:val="single" w:sz="4" w:space="0" w:color="000000"/>
              <w:right w:val="single" w:sz="4" w:space="0" w:color="000000"/>
            </w:tcBorders>
            <w:shd w:val="clear" w:color="000000" w:fill="FFFFFF"/>
            <w:textDirection w:val="btLr"/>
            <w:vAlign w:val="center"/>
            <w:hideMark/>
          </w:tcPr>
          <w:p w14:paraId="5801F380"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A la entrega del bien</w:t>
            </w:r>
          </w:p>
        </w:tc>
        <w:tc>
          <w:tcPr>
            <w:tcW w:w="828" w:type="pct"/>
            <w:tcBorders>
              <w:top w:val="single" w:sz="4" w:space="0" w:color="000000"/>
              <w:left w:val="nil"/>
              <w:bottom w:val="single" w:sz="4" w:space="0" w:color="000000"/>
              <w:right w:val="single" w:sz="4" w:space="0" w:color="000000"/>
            </w:tcBorders>
            <w:shd w:val="clear" w:color="000000" w:fill="FFFFFF"/>
            <w:vAlign w:val="center"/>
            <w:hideMark/>
          </w:tcPr>
          <w:p w14:paraId="5DE76C2F"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Seguimiento permanente al cronograma de ejecución del contrato y a las órdenes de suministro de materiales, a cargo del supervisor e interventor. Se verifica el cumplimiento de los tiempos de entrega establecidos y su impacto en el avance de las actividades</w:t>
            </w:r>
          </w:p>
        </w:tc>
        <w:tc>
          <w:tcPr>
            <w:tcW w:w="169" w:type="pct"/>
            <w:tcBorders>
              <w:top w:val="nil"/>
              <w:left w:val="nil"/>
              <w:bottom w:val="single" w:sz="4" w:space="0" w:color="000000"/>
              <w:right w:val="single" w:sz="4" w:space="0" w:color="000000"/>
            </w:tcBorders>
            <w:shd w:val="clear" w:color="000000" w:fill="FFFFFF"/>
            <w:textDirection w:val="btLr"/>
            <w:vAlign w:val="center"/>
            <w:hideMark/>
          </w:tcPr>
          <w:p w14:paraId="122E3C7D"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Una vez</w:t>
            </w:r>
          </w:p>
        </w:tc>
        <w:tc>
          <w:tcPr>
            <w:tcW w:w="33" w:type="pct"/>
            <w:vAlign w:val="center"/>
            <w:hideMark/>
          </w:tcPr>
          <w:p w14:paraId="12D35317" w14:textId="77777777" w:rsidR="00CA0724" w:rsidRPr="00CA0724" w:rsidRDefault="00CA0724" w:rsidP="00CA0724">
            <w:pPr>
              <w:spacing w:line="240" w:lineRule="auto"/>
              <w:contextualSpacing w:val="0"/>
              <w:jc w:val="left"/>
              <w:rPr>
                <w:rFonts w:ascii="Times New Roman" w:eastAsia="Times New Roman" w:hAnsi="Times New Roman" w:cs="Times New Roman"/>
                <w:sz w:val="20"/>
                <w:szCs w:val="20"/>
                <w:lang w:eastAsia="es-CO"/>
              </w:rPr>
            </w:pPr>
          </w:p>
        </w:tc>
      </w:tr>
      <w:tr w:rsidR="00CA0724" w:rsidRPr="00CA0724" w14:paraId="3F95CA13" w14:textId="77777777" w:rsidTr="00CA0724">
        <w:trPr>
          <w:trHeight w:val="2610"/>
        </w:trPr>
        <w:tc>
          <w:tcPr>
            <w:tcW w:w="76" w:type="pct"/>
            <w:tcBorders>
              <w:top w:val="nil"/>
              <w:left w:val="single" w:sz="4" w:space="0" w:color="000000"/>
              <w:bottom w:val="single" w:sz="4" w:space="0" w:color="000000"/>
              <w:right w:val="single" w:sz="4" w:space="0" w:color="000000"/>
            </w:tcBorders>
            <w:shd w:val="clear" w:color="000000" w:fill="FFFFFF"/>
            <w:textDirection w:val="btLr"/>
            <w:vAlign w:val="center"/>
            <w:hideMark/>
          </w:tcPr>
          <w:p w14:paraId="115BFACB"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lastRenderedPageBreak/>
              <w:t>6</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10B0EB88"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Especifico</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6E487335"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Interno</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6C7897EF"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Ejecución</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6969AA60"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Operacional</w:t>
            </w:r>
          </w:p>
        </w:tc>
        <w:tc>
          <w:tcPr>
            <w:tcW w:w="828" w:type="pct"/>
            <w:tcBorders>
              <w:top w:val="nil"/>
              <w:left w:val="nil"/>
              <w:bottom w:val="single" w:sz="4" w:space="0" w:color="000000"/>
              <w:right w:val="single" w:sz="4" w:space="0" w:color="000000"/>
            </w:tcBorders>
            <w:shd w:val="clear" w:color="000000" w:fill="FFFFFF"/>
            <w:vAlign w:val="center"/>
            <w:hideMark/>
          </w:tcPr>
          <w:p w14:paraId="15BA1D23"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Variación de cantidades de obra debidamente justificadas. Posibilidad de que durante la ejecución del contrato se presenten diferencias entre las cantidades de obra inicialmente previstas en el presupuesto o diseño y las realmente ejecutadas en campo, como consecuencia de ajustes técnicos, condiciones del bien intervenido o hallazgos no contemplados en la etapa de planeación, los cuales pueden generar modificaciones en el alcance físico y financiero del contrato.</w:t>
            </w:r>
          </w:p>
        </w:tc>
        <w:tc>
          <w:tcPr>
            <w:tcW w:w="399" w:type="pct"/>
            <w:tcBorders>
              <w:top w:val="nil"/>
              <w:left w:val="nil"/>
              <w:bottom w:val="single" w:sz="4" w:space="0" w:color="000000"/>
              <w:right w:val="single" w:sz="4" w:space="0" w:color="000000"/>
            </w:tcBorders>
            <w:shd w:val="clear" w:color="000000" w:fill="FFFFFF"/>
            <w:vAlign w:val="center"/>
            <w:hideMark/>
          </w:tcPr>
          <w:p w14:paraId="1FFC8FA6"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Genera variación de las cantidades de obra previstas inicialmente, siendo necesario ajustes al balance de cantidades de obra, para ceñirse al presupuesto contractual.</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371F952B"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4</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51AA5F7F"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3</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101E72EA"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7</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7B2B446F"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Alto</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45ED56D4"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Contratista / Municipio</w:t>
            </w:r>
          </w:p>
        </w:tc>
        <w:tc>
          <w:tcPr>
            <w:tcW w:w="830" w:type="pct"/>
            <w:tcBorders>
              <w:top w:val="nil"/>
              <w:left w:val="nil"/>
              <w:bottom w:val="single" w:sz="4" w:space="0" w:color="000000"/>
              <w:right w:val="single" w:sz="4" w:space="0" w:color="000000"/>
            </w:tcBorders>
            <w:shd w:val="clear" w:color="000000" w:fill="FFFFFF"/>
            <w:vAlign w:val="center"/>
            <w:hideMark/>
          </w:tcPr>
          <w:p w14:paraId="3D28CA46"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Implementación de mecanismos de control técnico desde la etapa de planeación, incluyendo la revisión detallada de diseños, especificaciones y presupuestos. Durante la ejecución, las variaciones de cantidades de obra deberán estar debidamente soportadas con conceptos técnicos, visitas de obra y aprobación de la supervisión, garantizando que los ajustes respondan a necesidades reales del proyecto.</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60E4AF4D"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3</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40260EF0"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2</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0F17F198"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249C16FB"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Medio</w:t>
            </w:r>
          </w:p>
        </w:tc>
        <w:tc>
          <w:tcPr>
            <w:tcW w:w="143" w:type="pct"/>
            <w:tcBorders>
              <w:top w:val="nil"/>
              <w:left w:val="nil"/>
              <w:bottom w:val="single" w:sz="4" w:space="0" w:color="000000"/>
              <w:right w:val="single" w:sz="4" w:space="0" w:color="000000"/>
            </w:tcBorders>
            <w:shd w:val="clear" w:color="000000" w:fill="FFFFFF"/>
            <w:textDirection w:val="btLr"/>
            <w:vAlign w:val="center"/>
            <w:hideMark/>
          </w:tcPr>
          <w:p w14:paraId="132A6EF5"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NO</w:t>
            </w:r>
          </w:p>
        </w:tc>
        <w:tc>
          <w:tcPr>
            <w:tcW w:w="179" w:type="pct"/>
            <w:tcBorders>
              <w:top w:val="nil"/>
              <w:left w:val="nil"/>
              <w:bottom w:val="single" w:sz="4" w:space="0" w:color="000000"/>
              <w:right w:val="single" w:sz="4" w:space="0" w:color="000000"/>
            </w:tcBorders>
            <w:shd w:val="clear" w:color="000000" w:fill="FFFFFF"/>
            <w:textDirection w:val="btLr"/>
            <w:vAlign w:val="center"/>
            <w:hideMark/>
          </w:tcPr>
          <w:p w14:paraId="5DEF6353"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Gestores y/o Supervisores, Interventor-Contratista</w:t>
            </w:r>
          </w:p>
        </w:tc>
        <w:tc>
          <w:tcPr>
            <w:tcW w:w="183" w:type="pct"/>
            <w:tcBorders>
              <w:top w:val="nil"/>
              <w:left w:val="nil"/>
              <w:bottom w:val="single" w:sz="4" w:space="0" w:color="000000"/>
              <w:right w:val="single" w:sz="4" w:space="0" w:color="000000"/>
            </w:tcBorders>
            <w:shd w:val="clear" w:color="000000" w:fill="FFFFFF"/>
            <w:textDirection w:val="btLr"/>
            <w:vAlign w:val="center"/>
            <w:hideMark/>
          </w:tcPr>
          <w:p w14:paraId="43C25B71"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Al inicio de la ejecución del contrato</w:t>
            </w:r>
          </w:p>
        </w:tc>
        <w:tc>
          <w:tcPr>
            <w:tcW w:w="222" w:type="pct"/>
            <w:tcBorders>
              <w:top w:val="nil"/>
              <w:left w:val="nil"/>
              <w:bottom w:val="single" w:sz="4" w:space="0" w:color="000000"/>
              <w:right w:val="single" w:sz="4" w:space="0" w:color="000000"/>
            </w:tcBorders>
            <w:shd w:val="clear" w:color="000000" w:fill="FFFFFF"/>
            <w:textDirection w:val="btLr"/>
            <w:vAlign w:val="center"/>
            <w:hideMark/>
          </w:tcPr>
          <w:p w14:paraId="123AD44C"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A la terminación de la ejecución del contrato</w:t>
            </w:r>
          </w:p>
        </w:tc>
        <w:tc>
          <w:tcPr>
            <w:tcW w:w="828" w:type="pct"/>
            <w:tcBorders>
              <w:top w:val="nil"/>
              <w:left w:val="nil"/>
              <w:bottom w:val="single" w:sz="4" w:space="0" w:color="000000"/>
              <w:right w:val="single" w:sz="4" w:space="0" w:color="000000"/>
            </w:tcBorders>
            <w:shd w:val="clear" w:color="000000" w:fill="FFFFFF"/>
            <w:vAlign w:val="center"/>
            <w:hideMark/>
          </w:tcPr>
          <w:p w14:paraId="75EF1DB4"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Se realiza mediante el seguimiento continuo a la ejecución de las actividades y cantidades de obra frente al presupuesto inicial, a través de cortes de obra, actas de avance y revisiones técnicas en campo.</w:t>
            </w:r>
          </w:p>
        </w:tc>
        <w:tc>
          <w:tcPr>
            <w:tcW w:w="169" w:type="pct"/>
            <w:tcBorders>
              <w:top w:val="nil"/>
              <w:left w:val="nil"/>
              <w:bottom w:val="single" w:sz="4" w:space="0" w:color="auto"/>
              <w:right w:val="single" w:sz="4" w:space="0" w:color="000000"/>
            </w:tcBorders>
            <w:shd w:val="clear" w:color="000000" w:fill="FFFFFF"/>
            <w:textDirection w:val="btLr"/>
            <w:vAlign w:val="center"/>
            <w:hideMark/>
          </w:tcPr>
          <w:p w14:paraId="71538823"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mensual</w:t>
            </w:r>
          </w:p>
        </w:tc>
        <w:tc>
          <w:tcPr>
            <w:tcW w:w="33" w:type="pct"/>
            <w:vAlign w:val="center"/>
            <w:hideMark/>
          </w:tcPr>
          <w:p w14:paraId="2C9A8966" w14:textId="77777777" w:rsidR="00CA0724" w:rsidRPr="00CA0724" w:rsidRDefault="00CA0724" w:rsidP="00CA0724">
            <w:pPr>
              <w:spacing w:line="240" w:lineRule="auto"/>
              <w:contextualSpacing w:val="0"/>
              <w:jc w:val="left"/>
              <w:rPr>
                <w:rFonts w:ascii="Times New Roman" w:eastAsia="Times New Roman" w:hAnsi="Times New Roman" w:cs="Times New Roman"/>
                <w:sz w:val="20"/>
                <w:szCs w:val="20"/>
                <w:lang w:eastAsia="es-CO"/>
              </w:rPr>
            </w:pPr>
          </w:p>
        </w:tc>
      </w:tr>
      <w:tr w:rsidR="00CA0724" w:rsidRPr="00CA0724" w14:paraId="6EA8C961" w14:textId="77777777" w:rsidTr="00CA0724">
        <w:trPr>
          <w:trHeight w:val="2475"/>
        </w:trPr>
        <w:tc>
          <w:tcPr>
            <w:tcW w:w="76" w:type="pct"/>
            <w:tcBorders>
              <w:top w:val="nil"/>
              <w:left w:val="single" w:sz="4" w:space="0" w:color="000000"/>
              <w:bottom w:val="single" w:sz="4" w:space="0" w:color="000000"/>
              <w:right w:val="single" w:sz="4" w:space="0" w:color="000000"/>
            </w:tcBorders>
            <w:shd w:val="clear" w:color="000000" w:fill="FFFFFF"/>
            <w:textDirection w:val="btLr"/>
            <w:vAlign w:val="center"/>
            <w:hideMark/>
          </w:tcPr>
          <w:p w14:paraId="70760155"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7</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7A1E1030"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Operativo</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6E5FFA7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Externo</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7317CEBD"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Ejecución</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73631514"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Logístico</w:t>
            </w:r>
          </w:p>
        </w:tc>
        <w:tc>
          <w:tcPr>
            <w:tcW w:w="828" w:type="pct"/>
            <w:tcBorders>
              <w:top w:val="nil"/>
              <w:left w:val="nil"/>
              <w:bottom w:val="single" w:sz="4" w:space="0" w:color="000000"/>
              <w:right w:val="single" w:sz="4" w:space="0" w:color="000000"/>
            </w:tcBorders>
            <w:shd w:val="clear" w:color="000000" w:fill="FFFFFF"/>
            <w:vAlign w:val="center"/>
            <w:hideMark/>
          </w:tcPr>
          <w:p w14:paraId="3B2C9A2D"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 xml:space="preserve">Incumplimiento de especificaciones técnicas. Se refiere a la posibilidad de que los bienes, servicios u obras ejecutadas no cumplan con las condiciones, características, estándares de calidad, normas técnicas o requerimientos </w:t>
            </w:r>
            <w:r w:rsidRPr="00CA0724">
              <w:rPr>
                <w:rFonts w:ascii="Arial" w:eastAsia="Times New Roman" w:hAnsi="Arial" w:cs="Arial"/>
                <w:sz w:val="16"/>
                <w:szCs w:val="16"/>
                <w:lang w:eastAsia="es-CO"/>
              </w:rPr>
              <w:lastRenderedPageBreak/>
              <w:t>establecidos en los estudios previos, pliego de condiciones y demás documentos contractuales, lo cual puede afectar la funcionalidad, durabilidad y calidad del objeto contratado.</w:t>
            </w:r>
          </w:p>
        </w:tc>
        <w:tc>
          <w:tcPr>
            <w:tcW w:w="399" w:type="pct"/>
            <w:tcBorders>
              <w:top w:val="nil"/>
              <w:left w:val="nil"/>
              <w:bottom w:val="single" w:sz="4" w:space="0" w:color="000000"/>
              <w:right w:val="single" w:sz="4" w:space="0" w:color="000000"/>
            </w:tcBorders>
            <w:shd w:val="clear" w:color="000000" w:fill="FFFFFF"/>
            <w:vAlign w:val="center"/>
            <w:hideMark/>
          </w:tcPr>
          <w:p w14:paraId="39237834"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lastRenderedPageBreak/>
              <w:t>Deterioro o afectación de la calidad de la obra</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20C74426"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3</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178E36CE"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45D93DE0"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3A278754"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bajo</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197F69E6"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Contratista</w:t>
            </w:r>
          </w:p>
        </w:tc>
        <w:tc>
          <w:tcPr>
            <w:tcW w:w="830" w:type="pct"/>
            <w:tcBorders>
              <w:top w:val="nil"/>
              <w:left w:val="nil"/>
              <w:bottom w:val="single" w:sz="4" w:space="0" w:color="000000"/>
              <w:right w:val="single" w:sz="4" w:space="0" w:color="000000"/>
            </w:tcBorders>
            <w:shd w:val="clear" w:color="000000" w:fill="FFFFFF"/>
            <w:vAlign w:val="center"/>
            <w:hideMark/>
          </w:tcPr>
          <w:p w14:paraId="480E61DD"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 xml:space="preserve">Establecimiento claro y detallado de las especificaciones técnicas en los documentos del proceso de contratación, así como la exigencia de su cumplimiento estricto durante la ejecución del contrato. Verificación de la idoneidad del contratista en la etapa precontractual. </w:t>
            </w:r>
            <w:r w:rsidRPr="00CA0724">
              <w:rPr>
                <w:rFonts w:ascii="Arial" w:eastAsia="Times New Roman" w:hAnsi="Arial" w:cs="Arial"/>
                <w:sz w:val="16"/>
                <w:szCs w:val="16"/>
                <w:lang w:eastAsia="es-CO"/>
              </w:rPr>
              <w:lastRenderedPageBreak/>
              <w:t>Implementación de controles de calidad, pruebas, ensayos y revisiones técnicas por parte de la supervisión, con posibilidad de exigir correcciones, ajustes o reposición de los elementos que no cumplan con lo pactado.</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6ACD35CC"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lastRenderedPageBreak/>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5D95BD2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7</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54859C17"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6</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24C1F6EC"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bajo</w:t>
            </w:r>
          </w:p>
        </w:tc>
        <w:tc>
          <w:tcPr>
            <w:tcW w:w="143" w:type="pct"/>
            <w:tcBorders>
              <w:top w:val="nil"/>
              <w:left w:val="nil"/>
              <w:bottom w:val="single" w:sz="4" w:space="0" w:color="000000"/>
              <w:right w:val="single" w:sz="4" w:space="0" w:color="000000"/>
            </w:tcBorders>
            <w:shd w:val="clear" w:color="000000" w:fill="FFFFFF"/>
            <w:textDirection w:val="btLr"/>
            <w:vAlign w:val="center"/>
            <w:hideMark/>
          </w:tcPr>
          <w:p w14:paraId="402A8A09"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SI</w:t>
            </w:r>
          </w:p>
        </w:tc>
        <w:tc>
          <w:tcPr>
            <w:tcW w:w="179" w:type="pct"/>
            <w:tcBorders>
              <w:top w:val="nil"/>
              <w:left w:val="nil"/>
              <w:bottom w:val="single" w:sz="4" w:space="0" w:color="000000"/>
              <w:right w:val="single" w:sz="4" w:space="0" w:color="000000"/>
            </w:tcBorders>
            <w:shd w:val="clear" w:color="000000" w:fill="FFFFFF"/>
            <w:textDirection w:val="btLr"/>
            <w:vAlign w:val="center"/>
            <w:hideMark/>
          </w:tcPr>
          <w:p w14:paraId="3AFE4DFE"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Supervisor del contrato</w:t>
            </w:r>
          </w:p>
        </w:tc>
        <w:tc>
          <w:tcPr>
            <w:tcW w:w="183" w:type="pct"/>
            <w:tcBorders>
              <w:top w:val="nil"/>
              <w:left w:val="nil"/>
              <w:bottom w:val="single" w:sz="4" w:space="0" w:color="000000"/>
              <w:right w:val="single" w:sz="4" w:space="0" w:color="000000"/>
            </w:tcBorders>
            <w:shd w:val="clear" w:color="000000" w:fill="FFFFFF"/>
            <w:textDirection w:val="btLr"/>
            <w:vAlign w:val="center"/>
            <w:hideMark/>
          </w:tcPr>
          <w:p w14:paraId="4902D121"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Al inicio del contrato</w:t>
            </w:r>
          </w:p>
        </w:tc>
        <w:tc>
          <w:tcPr>
            <w:tcW w:w="222" w:type="pct"/>
            <w:tcBorders>
              <w:top w:val="nil"/>
              <w:left w:val="nil"/>
              <w:bottom w:val="single" w:sz="4" w:space="0" w:color="000000"/>
              <w:right w:val="single" w:sz="4" w:space="0" w:color="000000"/>
            </w:tcBorders>
            <w:shd w:val="clear" w:color="000000" w:fill="FFFFFF"/>
            <w:textDirection w:val="btLr"/>
            <w:vAlign w:val="center"/>
            <w:hideMark/>
          </w:tcPr>
          <w:p w14:paraId="0C1DC040"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Etapa de recibo final</w:t>
            </w:r>
          </w:p>
        </w:tc>
        <w:tc>
          <w:tcPr>
            <w:tcW w:w="828" w:type="pct"/>
            <w:tcBorders>
              <w:top w:val="nil"/>
              <w:left w:val="nil"/>
              <w:bottom w:val="single" w:sz="4" w:space="0" w:color="000000"/>
              <w:right w:val="single" w:sz="4" w:space="0" w:color="000000"/>
            </w:tcBorders>
            <w:shd w:val="clear" w:color="000000" w:fill="FFFFFF"/>
            <w:vAlign w:val="center"/>
            <w:hideMark/>
          </w:tcPr>
          <w:p w14:paraId="6C6501E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Se realiza mediante inspecciones técnicas periódicas en campo, revisión de avances de obra o entrega de bienes, y verificación del cumplimiento de las especificaciones establecidas en el contrato. El supervisor realiza seguimient</w:t>
            </w:r>
            <w:r w:rsidRPr="00CA0724">
              <w:rPr>
                <w:rFonts w:ascii="Arial" w:eastAsia="Times New Roman" w:hAnsi="Arial" w:cs="Arial"/>
                <w:sz w:val="16"/>
                <w:szCs w:val="16"/>
                <w:lang w:eastAsia="es-CO"/>
              </w:rPr>
              <w:lastRenderedPageBreak/>
              <w:t>o continuo, dejando constancia en informes técnicos, actas de recibo parcial y final.</w:t>
            </w:r>
          </w:p>
        </w:tc>
        <w:tc>
          <w:tcPr>
            <w:tcW w:w="169" w:type="pct"/>
            <w:tcBorders>
              <w:top w:val="nil"/>
              <w:left w:val="nil"/>
              <w:bottom w:val="single" w:sz="4" w:space="0" w:color="auto"/>
              <w:right w:val="single" w:sz="4" w:space="0" w:color="000000"/>
            </w:tcBorders>
            <w:shd w:val="clear" w:color="000000" w:fill="FFFFFF"/>
            <w:textDirection w:val="btLr"/>
            <w:vAlign w:val="center"/>
            <w:hideMark/>
          </w:tcPr>
          <w:p w14:paraId="7A062280"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lastRenderedPageBreak/>
              <w:t>Mensual</w:t>
            </w:r>
          </w:p>
        </w:tc>
        <w:tc>
          <w:tcPr>
            <w:tcW w:w="33" w:type="pct"/>
            <w:vAlign w:val="center"/>
            <w:hideMark/>
          </w:tcPr>
          <w:p w14:paraId="58667BD0" w14:textId="77777777" w:rsidR="00CA0724" w:rsidRPr="00CA0724" w:rsidRDefault="00CA0724" w:rsidP="00CA0724">
            <w:pPr>
              <w:spacing w:line="240" w:lineRule="auto"/>
              <w:contextualSpacing w:val="0"/>
              <w:jc w:val="left"/>
              <w:rPr>
                <w:rFonts w:ascii="Times New Roman" w:eastAsia="Times New Roman" w:hAnsi="Times New Roman" w:cs="Times New Roman"/>
                <w:sz w:val="20"/>
                <w:szCs w:val="20"/>
                <w:lang w:eastAsia="es-CO"/>
              </w:rPr>
            </w:pPr>
          </w:p>
        </w:tc>
      </w:tr>
      <w:tr w:rsidR="00CA0724" w:rsidRPr="00CA0724" w14:paraId="4D5B42DF" w14:textId="77777777" w:rsidTr="00CA0724">
        <w:trPr>
          <w:trHeight w:val="3570"/>
        </w:trPr>
        <w:tc>
          <w:tcPr>
            <w:tcW w:w="76" w:type="pct"/>
            <w:tcBorders>
              <w:top w:val="nil"/>
              <w:left w:val="single" w:sz="4" w:space="0" w:color="000000"/>
              <w:bottom w:val="single" w:sz="4" w:space="0" w:color="000000"/>
              <w:right w:val="single" w:sz="4" w:space="0" w:color="000000"/>
            </w:tcBorders>
            <w:shd w:val="clear" w:color="000000" w:fill="FFFFFF"/>
            <w:textDirection w:val="btLr"/>
            <w:vAlign w:val="center"/>
            <w:hideMark/>
          </w:tcPr>
          <w:p w14:paraId="5C4280E1"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8</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7E570E47"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Especifico</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6CCBB220"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Externo</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5D7D6B09"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proofErr w:type="spellStart"/>
            <w:r w:rsidRPr="00CA0724">
              <w:rPr>
                <w:rFonts w:ascii="Arial" w:eastAsia="Times New Roman" w:hAnsi="Arial" w:cs="Arial"/>
                <w:sz w:val="16"/>
                <w:szCs w:val="16"/>
                <w:lang w:eastAsia="es-CO"/>
              </w:rPr>
              <w:t>Ejecucion</w:t>
            </w:r>
            <w:proofErr w:type="spellEnd"/>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2F802A63"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Operacional</w:t>
            </w:r>
          </w:p>
        </w:tc>
        <w:tc>
          <w:tcPr>
            <w:tcW w:w="828" w:type="pct"/>
            <w:tcBorders>
              <w:top w:val="nil"/>
              <w:left w:val="nil"/>
              <w:bottom w:val="single" w:sz="4" w:space="0" w:color="000000"/>
              <w:right w:val="single" w:sz="4" w:space="0" w:color="000000"/>
            </w:tcBorders>
            <w:shd w:val="clear" w:color="000000" w:fill="FFFFFF"/>
            <w:vAlign w:val="center"/>
            <w:hideMark/>
          </w:tcPr>
          <w:p w14:paraId="62E6E3F1"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Incumplimiento en el pago de salarios, parafiscales, honorarios. Se refiere a la posibilidad de que el contratista no realice de manera oportuna y completa el pago de salarios al personal vinculado a la ejecución del contrato, así como de las obligaciones en materia de seguridad social y aportes parafiscales, o el pago de honorarios a profesionales o terceros subcontratados, lo cual puede generar incumplimientos legales, afectaciones laborales y riesgos para la continuidad de la ejecución contractual.</w:t>
            </w:r>
          </w:p>
        </w:tc>
        <w:tc>
          <w:tcPr>
            <w:tcW w:w="399" w:type="pct"/>
            <w:tcBorders>
              <w:top w:val="nil"/>
              <w:left w:val="nil"/>
              <w:bottom w:val="single" w:sz="4" w:space="0" w:color="000000"/>
              <w:right w:val="single" w:sz="4" w:space="0" w:color="000000"/>
            </w:tcBorders>
            <w:shd w:val="clear" w:color="000000" w:fill="FFFFFF"/>
            <w:vAlign w:val="center"/>
            <w:hideMark/>
          </w:tcPr>
          <w:p w14:paraId="4EC3756F"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Quejas y posibles denuncias laborales y abandono de los puestos o sitios de trabajo.</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3B7CF7D8"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2</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443CEF1D"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3</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70ADF69C"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5CDABF06"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Medio</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4EDF28DD"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Contratista</w:t>
            </w:r>
          </w:p>
        </w:tc>
        <w:tc>
          <w:tcPr>
            <w:tcW w:w="830" w:type="pct"/>
            <w:tcBorders>
              <w:top w:val="nil"/>
              <w:left w:val="nil"/>
              <w:bottom w:val="single" w:sz="4" w:space="0" w:color="000000"/>
              <w:right w:val="single" w:sz="4" w:space="0" w:color="000000"/>
            </w:tcBorders>
            <w:shd w:val="clear" w:color="000000" w:fill="FFFFFF"/>
            <w:vAlign w:val="center"/>
            <w:hideMark/>
          </w:tcPr>
          <w:p w14:paraId="622F7E66"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Exigencia contractual del cumplimiento de las obligaciones laborales, de seguridad social y parafiscales por parte del contratista, conforme a la normatividad vigente. Verificación previa y periódica de los soportes de pago como requisito para la aprobación de actas de avance y pagos parciales.</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53110045"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1</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4E444283"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2</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2BB88790"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3</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61356F56"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Bajo</w:t>
            </w:r>
          </w:p>
        </w:tc>
        <w:tc>
          <w:tcPr>
            <w:tcW w:w="143" w:type="pct"/>
            <w:tcBorders>
              <w:top w:val="nil"/>
              <w:left w:val="nil"/>
              <w:bottom w:val="single" w:sz="4" w:space="0" w:color="000000"/>
              <w:right w:val="single" w:sz="4" w:space="0" w:color="000000"/>
            </w:tcBorders>
            <w:shd w:val="clear" w:color="000000" w:fill="FFFFFF"/>
            <w:textDirection w:val="btLr"/>
            <w:vAlign w:val="center"/>
            <w:hideMark/>
          </w:tcPr>
          <w:p w14:paraId="59FD0FC8"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SI</w:t>
            </w:r>
          </w:p>
        </w:tc>
        <w:tc>
          <w:tcPr>
            <w:tcW w:w="179" w:type="pct"/>
            <w:tcBorders>
              <w:top w:val="nil"/>
              <w:left w:val="nil"/>
              <w:bottom w:val="single" w:sz="4" w:space="0" w:color="000000"/>
              <w:right w:val="single" w:sz="4" w:space="0" w:color="000000"/>
            </w:tcBorders>
            <w:shd w:val="clear" w:color="000000" w:fill="FFFFFF"/>
            <w:textDirection w:val="btLr"/>
            <w:vAlign w:val="center"/>
            <w:hideMark/>
          </w:tcPr>
          <w:p w14:paraId="5C5347D1"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 xml:space="preserve">Contratista / </w:t>
            </w:r>
            <w:proofErr w:type="spellStart"/>
            <w:r w:rsidRPr="00CA0724">
              <w:rPr>
                <w:rFonts w:ascii="Arial" w:eastAsia="Times New Roman" w:hAnsi="Arial" w:cs="Arial"/>
                <w:sz w:val="16"/>
                <w:szCs w:val="16"/>
                <w:lang w:eastAsia="es-CO"/>
              </w:rPr>
              <w:t>Supervision</w:t>
            </w:r>
            <w:proofErr w:type="spellEnd"/>
          </w:p>
        </w:tc>
        <w:tc>
          <w:tcPr>
            <w:tcW w:w="183" w:type="pct"/>
            <w:tcBorders>
              <w:top w:val="nil"/>
              <w:left w:val="nil"/>
              <w:bottom w:val="single" w:sz="4" w:space="0" w:color="000000"/>
              <w:right w:val="single" w:sz="4" w:space="0" w:color="000000"/>
            </w:tcBorders>
            <w:shd w:val="clear" w:color="000000" w:fill="FFFFFF"/>
            <w:textDirection w:val="btLr"/>
            <w:vAlign w:val="center"/>
            <w:hideMark/>
          </w:tcPr>
          <w:p w14:paraId="01F706CE"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Con el Acta de Inicio</w:t>
            </w:r>
          </w:p>
        </w:tc>
        <w:tc>
          <w:tcPr>
            <w:tcW w:w="222" w:type="pct"/>
            <w:tcBorders>
              <w:top w:val="nil"/>
              <w:left w:val="nil"/>
              <w:bottom w:val="single" w:sz="4" w:space="0" w:color="000000"/>
              <w:right w:val="single" w:sz="4" w:space="0" w:color="000000"/>
            </w:tcBorders>
            <w:shd w:val="clear" w:color="000000" w:fill="FFFFFF"/>
            <w:textDirection w:val="btLr"/>
            <w:vAlign w:val="center"/>
            <w:hideMark/>
          </w:tcPr>
          <w:p w14:paraId="7CCCB33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A la terminación de la ejecución del contrato</w:t>
            </w:r>
          </w:p>
        </w:tc>
        <w:tc>
          <w:tcPr>
            <w:tcW w:w="828" w:type="pct"/>
            <w:tcBorders>
              <w:top w:val="nil"/>
              <w:left w:val="nil"/>
              <w:bottom w:val="single" w:sz="4" w:space="0" w:color="000000"/>
              <w:right w:val="single" w:sz="4" w:space="0" w:color="000000"/>
            </w:tcBorders>
            <w:shd w:val="clear" w:color="000000" w:fill="FFFFFF"/>
            <w:vAlign w:val="center"/>
            <w:hideMark/>
          </w:tcPr>
          <w:p w14:paraId="5403855E"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Se realiza mediante la revisión periódica de los soportes de pago de nómina, aportes a seguridad social y parafiscales presentados por el contratista, como requisito para los informes de supervisión y autorización de pagos.</w:t>
            </w:r>
          </w:p>
        </w:tc>
        <w:tc>
          <w:tcPr>
            <w:tcW w:w="169" w:type="pct"/>
            <w:tcBorders>
              <w:top w:val="nil"/>
              <w:left w:val="nil"/>
              <w:bottom w:val="single" w:sz="4" w:space="0" w:color="auto"/>
              <w:right w:val="single" w:sz="4" w:space="0" w:color="000000"/>
            </w:tcBorders>
            <w:shd w:val="clear" w:color="000000" w:fill="FFFFFF"/>
            <w:textDirection w:val="btLr"/>
            <w:vAlign w:val="center"/>
            <w:hideMark/>
          </w:tcPr>
          <w:p w14:paraId="26204FD3"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Con cada Acta de Pago</w:t>
            </w:r>
          </w:p>
        </w:tc>
        <w:tc>
          <w:tcPr>
            <w:tcW w:w="33" w:type="pct"/>
            <w:vAlign w:val="center"/>
            <w:hideMark/>
          </w:tcPr>
          <w:p w14:paraId="40A321FA" w14:textId="77777777" w:rsidR="00CA0724" w:rsidRPr="00CA0724" w:rsidRDefault="00CA0724" w:rsidP="00CA0724">
            <w:pPr>
              <w:spacing w:line="240" w:lineRule="auto"/>
              <w:contextualSpacing w:val="0"/>
              <w:jc w:val="left"/>
              <w:rPr>
                <w:rFonts w:ascii="Times New Roman" w:eastAsia="Times New Roman" w:hAnsi="Times New Roman" w:cs="Times New Roman"/>
                <w:sz w:val="20"/>
                <w:szCs w:val="20"/>
                <w:lang w:eastAsia="es-CO"/>
              </w:rPr>
            </w:pPr>
          </w:p>
        </w:tc>
      </w:tr>
      <w:tr w:rsidR="00CA0724" w:rsidRPr="00CA0724" w14:paraId="78D290EF" w14:textId="77777777" w:rsidTr="00CA0724">
        <w:trPr>
          <w:trHeight w:val="2475"/>
        </w:trPr>
        <w:tc>
          <w:tcPr>
            <w:tcW w:w="76" w:type="pct"/>
            <w:tcBorders>
              <w:top w:val="nil"/>
              <w:left w:val="single" w:sz="4" w:space="0" w:color="000000"/>
              <w:bottom w:val="single" w:sz="4" w:space="0" w:color="000000"/>
              <w:right w:val="single" w:sz="4" w:space="0" w:color="000000"/>
            </w:tcBorders>
            <w:shd w:val="clear" w:color="000000" w:fill="FFFFFF"/>
            <w:textDirection w:val="btLr"/>
            <w:vAlign w:val="center"/>
            <w:hideMark/>
          </w:tcPr>
          <w:p w14:paraId="412130B1"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lastRenderedPageBreak/>
              <w:t>9</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3155BB50"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General</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40FFAAB4"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Externo</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2B448F89"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proofErr w:type="spellStart"/>
            <w:r w:rsidRPr="00CA0724">
              <w:rPr>
                <w:rFonts w:ascii="Arial" w:eastAsia="Times New Roman" w:hAnsi="Arial" w:cs="Arial"/>
                <w:sz w:val="16"/>
                <w:szCs w:val="16"/>
                <w:lang w:eastAsia="es-CO"/>
              </w:rPr>
              <w:t>Ejecucion</w:t>
            </w:r>
            <w:proofErr w:type="spellEnd"/>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004353F0"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Riesgos de la Salud</w:t>
            </w:r>
          </w:p>
        </w:tc>
        <w:tc>
          <w:tcPr>
            <w:tcW w:w="828" w:type="pct"/>
            <w:tcBorders>
              <w:top w:val="nil"/>
              <w:left w:val="nil"/>
              <w:bottom w:val="single" w:sz="4" w:space="0" w:color="000000"/>
              <w:right w:val="single" w:sz="4" w:space="0" w:color="000000"/>
            </w:tcBorders>
            <w:shd w:val="clear" w:color="000000" w:fill="FFFFFF"/>
            <w:vAlign w:val="center"/>
            <w:hideMark/>
          </w:tcPr>
          <w:p w14:paraId="31F7D78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Disponibilidad de los Elementos de Protección Personal. Se refiere a la posibilidad de que el contratista no cuente de manera oportuna y suficiente con los elementos de protección personal requeridos para el desarrollo de las actividades contractuales, o que estos no cumplan con las condiciones de calidad y normatividad aplicable en materia de seguridad y salud en el trabajo, lo cual puede generar afectaciones a la integridad del personal y riesgos en la ejecución del contrato.</w:t>
            </w:r>
          </w:p>
        </w:tc>
        <w:tc>
          <w:tcPr>
            <w:tcW w:w="399" w:type="pct"/>
            <w:tcBorders>
              <w:top w:val="nil"/>
              <w:left w:val="nil"/>
              <w:bottom w:val="single" w:sz="4" w:space="0" w:color="000000"/>
              <w:right w:val="single" w:sz="4" w:space="0" w:color="000000"/>
            </w:tcBorders>
            <w:shd w:val="clear" w:color="000000" w:fill="FFFFFF"/>
            <w:vAlign w:val="center"/>
            <w:hideMark/>
          </w:tcPr>
          <w:p w14:paraId="0C136E59"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 xml:space="preserve">Accidentes de trabajo y posible exposición a Riesgos </w:t>
            </w:r>
            <w:proofErr w:type="spellStart"/>
            <w:r w:rsidRPr="00CA0724">
              <w:rPr>
                <w:rFonts w:ascii="Arial" w:eastAsia="Times New Roman" w:hAnsi="Arial" w:cs="Arial"/>
                <w:sz w:val="16"/>
                <w:szCs w:val="16"/>
                <w:lang w:eastAsia="es-CO"/>
              </w:rPr>
              <w:t>Biologicos</w:t>
            </w:r>
            <w:proofErr w:type="spellEnd"/>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607CFF35"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3</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36577AE8"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4</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5512EA46"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7</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51B27105"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Alto</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45A6B4BE"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Contratista</w:t>
            </w:r>
          </w:p>
        </w:tc>
        <w:tc>
          <w:tcPr>
            <w:tcW w:w="830" w:type="pct"/>
            <w:tcBorders>
              <w:top w:val="nil"/>
              <w:left w:val="nil"/>
              <w:bottom w:val="single" w:sz="4" w:space="0" w:color="000000"/>
              <w:right w:val="single" w:sz="4" w:space="0" w:color="000000"/>
            </w:tcBorders>
            <w:shd w:val="clear" w:color="000000" w:fill="FFFFFF"/>
            <w:vAlign w:val="center"/>
            <w:hideMark/>
          </w:tcPr>
          <w:p w14:paraId="2770B464"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Exigencia al contratista de garantizar el suministro oportuno, suficiente y adecuado de los Elementos de Protección Personal conforme a la normatividad vigente en seguridad y salud en el trabajo. Verificación de que los EPP cumplan con las certificaciones de calidad y sean acordes a los riesgos de las actividades a ejecutar.</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29C5323A"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2</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0D24A301"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3</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518E1F39"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5450C0F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Medio</w:t>
            </w:r>
          </w:p>
        </w:tc>
        <w:tc>
          <w:tcPr>
            <w:tcW w:w="143" w:type="pct"/>
            <w:tcBorders>
              <w:top w:val="nil"/>
              <w:left w:val="nil"/>
              <w:bottom w:val="single" w:sz="4" w:space="0" w:color="000000"/>
              <w:right w:val="single" w:sz="4" w:space="0" w:color="000000"/>
            </w:tcBorders>
            <w:shd w:val="clear" w:color="000000" w:fill="FFFFFF"/>
            <w:textDirection w:val="btLr"/>
            <w:vAlign w:val="center"/>
            <w:hideMark/>
          </w:tcPr>
          <w:p w14:paraId="3906EBB1"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SI</w:t>
            </w:r>
          </w:p>
        </w:tc>
        <w:tc>
          <w:tcPr>
            <w:tcW w:w="179" w:type="pct"/>
            <w:tcBorders>
              <w:top w:val="nil"/>
              <w:left w:val="nil"/>
              <w:bottom w:val="single" w:sz="4" w:space="0" w:color="000000"/>
              <w:right w:val="single" w:sz="4" w:space="0" w:color="000000"/>
            </w:tcBorders>
            <w:shd w:val="clear" w:color="000000" w:fill="FFFFFF"/>
            <w:textDirection w:val="btLr"/>
            <w:vAlign w:val="center"/>
            <w:hideMark/>
          </w:tcPr>
          <w:p w14:paraId="598CAEBB"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 xml:space="preserve">Contratista / </w:t>
            </w:r>
            <w:proofErr w:type="spellStart"/>
            <w:r w:rsidRPr="00CA0724">
              <w:rPr>
                <w:rFonts w:ascii="Arial" w:eastAsia="Times New Roman" w:hAnsi="Arial" w:cs="Arial"/>
                <w:sz w:val="16"/>
                <w:szCs w:val="16"/>
                <w:lang w:eastAsia="es-CO"/>
              </w:rPr>
              <w:t>Supervision</w:t>
            </w:r>
            <w:proofErr w:type="spellEnd"/>
          </w:p>
        </w:tc>
        <w:tc>
          <w:tcPr>
            <w:tcW w:w="183" w:type="pct"/>
            <w:tcBorders>
              <w:top w:val="nil"/>
              <w:left w:val="nil"/>
              <w:bottom w:val="single" w:sz="4" w:space="0" w:color="000000"/>
              <w:right w:val="single" w:sz="4" w:space="0" w:color="000000"/>
            </w:tcBorders>
            <w:shd w:val="clear" w:color="000000" w:fill="FFFFFF"/>
            <w:textDirection w:val="btLr"/>
            <w:vAlign w:val="center"/>
            <w:hideMark/>
          </w:tcPr>
          <w:p w14:paraId="05181614"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Al inicio de la ejecución del contrato y de manera permanente.</w:t>
            </w:r>
          </w:p>
        </w:tc>
        <w:tc>
          <w:tcPr>
            <w:tcW w:w="222" w:type="pct"/>
            <w:tcBorders>
              <w:top w:val="nil"/>
              <w:left w:val="nil"/>
              <w:bottom w:val="single" w:sz="4" w:space="0" w:color="000000"/>
              <w:right w:val="single" w:sz="4" w:space="0" w:color="000000"/>
            </w:tcBorders>
            <w:shd w:val="clear" w:color="000000" w:fill="FFFFFF"/>
            <w:textDirection w:val="btLr"/>
            <w:vAlign w:val="center"/>
            <w:hideMark/>
          </w:tcPr>
          <w:p w14:paraId="08139E17"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A la terminación del contrato</w:t>
            </w:r>
          </w:p>
        </w:tc>
        <w:tc>
          <w:tcPr>
            <w:tcW w:w="828" w:type="pct"/>
            <w:tcBorders>
              <w:top w:val="nil"/>
              <w:left w:val="nil"/>
              <w:bottom w:val="single" w:sz="4" w:space="0" w:color="000000"/>
              <w:right w:val="single" w:sz="4" w:space="0" w:color="000000"/>
            </w:tcBorders>
            <w:shd w:val="clear" w:color="000000" w:fill="FFFFFF"/>
            <w:vAlign w:val="center"/>
            <w:hideMark/>
          </w:tcPr>
          <w:p w14:paraId="73A47AE5"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Se realiza mediante inspecciones periódicas en campo por parte del supervisor e interventor, verificando el uso, estado y disponibilidad de los EPP por parte del personal vinculado al contrato. Adicionalmente, se revisan los soportes de entrega de EPP, registros de capacitaciones en seguridad y salud en el trabajo y actas de seguimiento, dejando constancia en los informes de supervisión sobre el cumplimiento de estas obligaciones.</w:t>
            </w:r>
          </w:p>
        </w:tc>
        <w:tc>
          <w:tcPr>
            <w:tcW w:w="169" w:type="pct"/>
            <w:tcBorders>
              <w:top w:val="nil"/>
              <w:left w:val="nil"/>
              <w:bottom w:val="single" w:sz="4" w:space="0" w:color="auto"/>
              <w:right w:val="single" w:sz="4" w:space="0" w:color="000000"/>
            </w:tcBorders>
            <w:shd w:val="clear" w:color="000000" w:fill="FFFFFF"/>
            <w:textDirection w:val="btLr"/>
            <w:vAlign w:val="center"/>
            <w:hideMark/>
          </w:tcPr>
          <w:p w14:paraId="080B9948"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Diario</w:t>
            </w:r>
          </w:p>
        </w:tc>
        <w:tc>
          <w:tcPr>
            <w:tcW w:w="33" w:type="pct"/>
            <w:vAlign w:val="center"/>
            <w:hideMark/>
          </w:tcPr>
          <w:p w14:paraId="40041CD3" w14:textId="77777777" w:rsidR="00CA0724" w:rsidRPr="00CA0724" w:rsidRDefault="00CA0724" w:rsidP="00CA0724">
            <w:pPr>
              <w:spacing w:line="240" w:lineRule="auto"/>
              <w:contextualSpacing w:val="0"/>
              <w:jc w:val="left"/>
              <w:rPr>
                <w:rFonts w:ascii="Times New Roman" w:eastAsia="Times New Roman" w:hAnsi="Times New Roman" w:cs="Times New Roman"/>
                <w:sz w:val="20"/>
                <w:szCs w:val="20"/>
                <w:lang w:eastAsia="es-CO"/>
              </w:rPr>
            </w:pPr>
          </w:p>
        </w:tc>
      </w:tr>
      <w:tr w:rsidR="00CA0724" w:rsidRPr="00CA0724" w14:paraId="76D57FFF" w14:textId="77777777" w:rsidTr="00CA0724">
        <w:trPr>
          <w:trHeight w:val="2475"/>
        </w:trPr>
        <w:tc>
          <w:tcPr>
            <w:tcW w:w="76" w:type="pct"/>
            <w:tcBorders>
              <w:top w:val="nil"/>
              <w:left w:val="single" w:sz="4" w:space="0" w:color="000000"/>
              <w:bottom w:val="single" w:sz="4" w:space="0" w:color="000000"/>
              <w:right w:val="single" w:sz="4" w:space="0" w:color="000000"/>
            </w:tcBorders>
            <w:shd w:val="clear" w:color="000000" w:fill="FFFFFF"/>
            <w:textDirection w:val="btLr"/>
            <w:vAlign w:val="center"/>
            <w:hideMark/>
          </w:tcPr>
          <w:p w14:paraId="410F0933"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10</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78E0C46A"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Operativo</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61DBFD0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Externo</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4F862226"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Ejecución</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67D8DF46"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Logístico</w:t>
            </w:r>
          </w:p>
        </w:tc>
        <w:tc>
          <w:tcPr>
            <w:tcW w:w="828" w:type="pct"/>
            <w:tcBorders>
              <w:top w:val="nil"/>
              <w:left w:val="nil"/>
              <w:bottom w:val="single" w:sz="4" w:space="0" w:color="000000"/>
              <w:right w:val="single" w:sz="4" w:space="0" w:color="000000"/>
            </w:tcBorders>
            <w:shd w:val="clear" w:color="000000" w:fill="FFFFFF"/>
            <w:vAlign w:val="center"/>
            <w:hideMark/>
          </w:tcPr>
          <w:p w14:paraId="05FA679C"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 xml:space="preserve">Accidentes laborales. Se refiere a la posibilidad de ocurrencia de eventos súbitos e imprevistos durante la ejecución de las actividades contractuales, que puedan generar lesiones, incapacidades o afectaciones a la salud e </w:t>
            </w:r>
            <w:r w:rsidRPr="00CA0724">
              <w:rPr>
                <w:rFonts w:ascii="Arial" w:eastAsia="Times New Roman" w:hAnsi="Arial" w:cs="Arial"/>
                <w:sz w:val="16"/>
                <w:szCs w:val="16"/>
                <w:lang w:eastAsia="es-CO"/>
              </w:rPr>
              <w:lastRenderedPageBreak/>
              <w:t>integridad física del personal vinculado al proyecto, como consecuencia de condiciones inseguras, fallas en los procedimientos de trabajo o incumplimientos en las normas de seguridad y salud en el trabajo.</w:t>
            </w:r>
          </w:p>
        </w:tc>
        <w:tc>
          <w:tcPr>
            <w:tcW w:w="399" w:type="pct"/>
            <w:tcBorders>
              <w:top w:val="nil"/>
              <w:left w:val="nil"/>
              <w:bottom w:val="single" w:sz="4" w:space="0" w:color="000000"/>
              <w:right w:val="single" w:sz="4" w:space="0" w:color="000000"/>
            </w:tcBorders>
            <w:shd w:val="clear" w:color="000000" w:fill="FFFFFF"/>
            <w:vAlign w:val="center"/>
            <w:hideMark/>
          </w:tcPr>
          <w:p w14:paraId="726583B7"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lastRenderedPageBreak/>
              <w:t>Lesiones o muerte de trabajadores, suspensión temporal de la obra</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3B7AFE97"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3</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7885AB1D"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3B026395"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65B32245"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bajo</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2436946C"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Contratista</w:t>
            </w:r>
          </w:p>
        </w:tc>
        <w:tc>
          <w:tcPr>
            <w:tcW w:w="830" w:type="pct"/>
            <w:tcBorders>
              <w:top w:val="nil"/>
              <w:left w:val="nil"/>
              <w:bottom w:val="single" w:sz="4" w:space="0" w:color="000000"/>
              <w:right w:val="single" w:sz="4" w:space="0" w:color="000000"/>
            </w:tcBorders>
            <w:shd w:val="clear" w:color="000000" w:fill="FFFFFF"/>
            <w:vAlign w:val="center"/>
            <w:hideMark/>
          </w:tcPr>
          <w:p w14:paraId="5CE8C787"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 xml:space="preserve">Implementación obligatoria del Sistema de Gestión de Seguridad y Salud en el Trabajo (SG-SST) por parte del contratista, conforme a la normatividad vigente. Capacitación permanente del personal en prevención de riesgos laborales, uso adecuado de elementos de protección personal y aplicación de </w:t>
            </w:r>
            <w:r w:rsidRPr="00CA0724">
              <w:rPr>
                <w:rFonts w:ascii="Arial" w:eastAsia="Times New Roman" w:hAnsi="Arial" w:cs="Arial"/>
                <w:sz w:val="16"/>
                <w:szCs w:val="16"/>
                <w:lang w:eastAsia="es-CO"/>
              </w:rPr>
              <w:lastRenderedPageBreak/>
              <w:t>protocolos de trabajo seguro. Establecimiento de medidas preventivas y correctivas, así como la atención inmediata de incidentes o accidentes conforme a los procedimientos establecidos.</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693B6D24"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lastRenderedPageBreak/>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27D6FBE2"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7</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7D89E5F7"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6</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2E481EE8"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bajo</w:t>
            </w:r>
          </w:p>
        </w:tc>
        <w:tc>
          <w:tcPr>
            <w:tcW w:w="143" w:type="pct"/>
            <w:tcBorders>
              <w:top w:val="nil"/>
              <w:left w:val="nil"/>
              <w:bottom w:val="single" w:sz="4" w:space="0" w:color="000000"/>
              <w:right w:val="single" w:sz="4" w:space="0" w:color="000000"/>
            </w:tcBorders>
            <w:shd w:val="clear" w:color="000000" w:fill="FFFFFF"/>
            <w:textDirection w:val="btLr"/>
            <w:vAlign w:val="center"/>
            <w:hideMark/>
          </w:tcPr>
          <w:p w14:paraId="1FD66C98"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SI</w:t>
            </w:r>
          </w:p>
        </w:tc>
        <w:tc>
          <w:tcPr>
            <w:tcW w:w="179" w:type="pct"/>
            <w:tcBorders>
              <w:top w:val="nil"/>
              <w:left w:val="nil"/>
              <w:bottom w:val="single" w:sz="4" w:space="0" w:color="000000"/>
              <w:right w:val="single" w:sz="4" w:space="0" w:color="000000"/>
            </w:tcBorders>
            <w:shd w:val="clear" w:color="000000" w:fill="FFFFFF"/>
            <w:textDirection w:val="btLr"/>
            <w:vAlign w:val="center"/>
            <w:hideMark/>
          </w:tcPr>
          <w:p w14:paraId="0010D38C"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Supervisor del contrato</w:t>
            </w:r>
          </w:p>
        </w:tc>
        <w:tc>
          <w:tcPr>
            <w:tcW w:w="183" w:type="pct"/>
            <w:tcBorders>
              <w:top w:val="nil"/>
              <w:left w:val="nil"/>
              <w:bottom w:val="single" w:sz="4" w:space="0" w:color="000000"/>
              <w:right w:val="single" w:sz="4" w:space="0" w:color="000000"/>
            </w:tcBorders>
            <w:shd w:val="clear" w:color="000000" w:fill="FFFFFF"/>
            <w:textDirection w:val="btLr"/>
            <w:vAlign w:val="center"/>
            <w:hideMark/>
          </w:tcPr>
          <w:p w14:paraId="20904A8C"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Al inicio del contrato</w:t>
            </w:r>
          </w:p>
        </w:tc>
        <w:tc>
          <w:tcPr>
            <w:tcW w:w="222" w:type="pct"/>
            <w:tcBorders>
              <w:top w:val="nil"/>
              <w:left w:val="nil"/>
              <w:bottom w:val="single" w:sz="4" w:space="0" w:color="000000"/>
              <w:right w:val="single" w:sz="4" w:space="0" w:color="000000"/>
            </w:tcBorders>
            <w:shd w:val="clear" w:color="000000" w:fill="FFFFFF"/>
            <w:textDirection w:val="btLr"/>
            <w:vAlign w:val="center"/>
            <w:hideMark/>
          </w:tcPr>
          <w:p w14:paraId="5A88A889"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Etapa de recibo final</w:t>
            </w:r>
          </w:p>
        </w:tc>
        <w:tc>
          <w:tcPr>
            <w:tcW w:w="828" w:type="pct"/>
            <w:tcBorders>
              <w:top w:val="nil"/>
              <w:left w:val="nil"/>
              <w:bottom w:val="single" w:sz="4" w:space="0" w:color="000000"/>
              <w:right w:val="single" w:sz="4" w:space="0" w:color="000000"/>
            </w:tcBorders>
            <w:shd w:val="clear" w:color="000000" w:fill="FFFFFF"/>
            <w:vAlign w:val="center"/>
            <w:hideMark/>
          </w:tcPr>
          <w:p w14:paraId="47B688C7"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 xml:space="preserve">El monitoreo se realiza mediante inspecciones periódicas en campo por parte del supervisor, verificando el cumplimiento de las normas de seguridad y salud en el trabajo, el uso adecuado de EPP y la aplicación </w:t>
            </w:r>
            <w:r w:rsidRPr="00CA0724">
              <w:rPr>
                <w:rFonts w:ascii="Arial" w:eastAsia="Times New Roman" w:hAnsi="Arial" w:cs="Arial"/>
                <w:sz w:val="16"/>
                <w:szCs w:val="16"/>
                <w:lang w:eastAsia="es-CO"/>
              </w:rPr>
              <w:lastRenderedPageBreak/>
              <w:t>de protocolos de seguridad.</w:t>
            </w:r>
          </w:p>
        </w:tc>
        <w:tc>
          <w:tcPr>
            <w:tcW w:w="169" w:type="pct"/>
            <w:tcBorders>
              <w:top w:val="nil"/>
              <w:left w:val="nil"/>
              <w:bottom w:val="single" w:sz="4" w:space="0" w:color="auto"/>
              <w:right w:val="single" w:sz="4" w:space="0" w:color="000000"/>
            </w:tcBorders>
            <w:shd w:val="clear" w:color="000000" w:fill="FFFFFF"/>
            <w:textDirection w:val="btLr"/>
            <w:vAlign w:val="center"/>
            <w:hideMark/>
          </w:tcPr>
          <w:p w14:paraId="40AA218B"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lastRenderedPageBreak/>
              <w:t>Mensual</w:t>
            </w:r>
          </w:p>
        </w:tc>
        <w:tc>
          <w:tcPr>
            <w:tcW w:w="33" w:type="pct"/>
            <w:vAlign w:val="center"/>
            <w:hideMark/>
          </w:tcPr>
          <w:p w14:paraId="59D5B6DF" w14:textId="77777777" w:rsidR="00CA0724" w:rsidRPr="00CA0724" w:rsidRDefault="00CA0724" w:rsidP="00CA0724">
            <w:pPr>
              <w:spacing w:line="240" w:lineRule="auto"/>
              <w:contextualSpacing w:val="0"/>
              <w:jc w:val="left"/>
              <w:rPr>
                <w:rFonts w:ascii="Times New Roman" w:eastAsia="Times New Roman" w:hAnsi="Times New Roman" w:cs="Times New Roman"/>
                <w:sz w:val="20"/>
                <w:szCs w:val="20"/>
                <w:lang w:eastAsia="es-CO"/>
              </w:rPr>
            </w:pPr>
          </w:p>
        </w:tc>
      </w:tr>
      <w:tr w:rsidR="00CA0724" w:rsidRPr="00CA0724" w14:paraId="514B8AEA" w14:textId="77777777" w:rsidTr="00CA0724">
        <w:trPr>
          <w:trHeight w:val="2775"/>
        </w:trPr>
        <w:tc>
          <w:tcPr>
            <w:tcW w:w="76" w:type="pct"/>
            <w:tcBorders>
              <w:top w:val="nil"/>
              <w:left w:val="single" w:sz="4" w:space="0" w:color="000000"/>
              <w:bottom w:val="single" w:sz="4" w:space="0" w:color="000000"/>
              <w:right w:val="single" w:sz="4" w:space="0" w:color="000000"/>
            </w:tcBorders>
            <w:shd w:val="clear" w:color="000000" w:fill="FFFFFF"/>
            <w:textDirection w:val="btLr"/>
            <w:vAlign w:val="center"/>
            <w:hideMark/>
          </w:tcPr>
          <w:p w14:paraId="779C448E"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11</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40FF0395"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Operativo</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123938AF"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Externo</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384044FA"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Ejecución</w:t>
            </w:r>
          </w:p>
        </w:tc>
        <w:tc>
          <w:tcPr>
            <w:tcW w:w="76" w:type="pct"/>
            <w:tcBorders>
              <w:top w:val="nil"/>
              <w:left w:val="nil"/>
              <w:bottom w:val="single" w:sz="4" w:space="0" w:color="000000"/>
              <w:right w:val="single" w:sz="4" w:space="0" w:color="000000"/>
            </w:tcBorders>
            <w:shd w:val="clear" w:color="000000" w:fill="FFFFFF"/>
            <w:textDirection w:val="btLr"/>
            <w:vAlign w:val="center"/>
            <w:hideMark/>
          </w:tcPr>
          <w:p w14:paraId="14A2F587"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Logístico</w:t>
            </w:r>
          </w:p>
        </w:tc>
        <w:tc>
          <w:tcPr>
            <w:tcW w:w="828" w:type="pct"/>
            <w:tcBorders>
              <w:top w:val="nil"/>
              <w:left w:val="nil"/>
              <w:bottom w:val="single" w:sz="4" w:space="0" w:color="000000"/>
              <w:right w:val="single" w:sz="4" w:space="0" w:color="000000"/>
            </w:tcBorders>
            <w:shd w:val="clear" w:color="000000" w:fill="FFFFFF"/>
            <w:vAlign w:val="center"/>
            <w:hideMark/>
          </w:tcPr>
          <w:p w14:paraId="4AB1F331"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 xml:space="preserve"> Retrasos por condiciones climáticas. Se refiere a la posibilidad de que la ejecución de las actividades contractuales se vea afectada por condiciones climáticas adversas, tales como lluvias intensas, humedad excesiva, vientos fuertes u otros fenómenos naturales, que puedan limitar el acceso al sitio de intervención, dificultar la ejecución técnica de las obras o generar suspensiones temporales, afectando el cronograma establecido.</w:t>
            </w:r>
          </w:p>
        </w:tc>
        <w:tc>
          <w:tcPr>
            <w:tcW w:w="399" w:type="pct"/>
            <w:tcBorders>
              <w:top w:val="nil"/>
              <w:left w:val="nil"/>
              <w:bottom w:val="single" w:sz="4" w:space="0" w:color="000000"/>
              <w:right w:val="single" w:sz="4" w:space="0" w:color="000000"/>
            </w:tcBorders>
            <w:shd w:val="clear" w:color="000000" w:fill="FFFFFF"/>
            <w:vAlign w:val="center"/>
            <w:hideMark/>
          </w:tcPr>
          <w:p w14:paraId="27CB6CA7"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Aplazamiento de actividades programadas, incumplimiento del cronograma</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421411F1"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17012B23"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22E0965D"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1CF52D8D"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medio</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04E143CE"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N/A</w:t>
            </w:r>
          </w:p>
        </w:tc>
        <w:tc>
          <w:tcPr>
            <w:tcW w:w="830" w:type="pct"/>
            <w:tcBorders>
              <w:top w:val="nil"/>
              <w:left w:val="nil"/>
              <w:bottom w:val="single" w:sz="4" w:space="0" w:color="000000"/>
              <w:right w:val="single" w:sz="4" w:space="0" w:color="000000"/>
            </w:tcBorders>
            <w:shd w:val="clear" w:color="000000" w:fill="FFFFFF"/>
            <w:vAlign w:val="center"/>
            <w:hideMark/>
          </w:tcPr>
          <w:p w14:paraId="50F2F78C"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Incorporación de la variable climática en la planificación del cronograma de ejecución, contemplando márgenes de holgura y programación de actividades críticas en periodos de menor riesgo climático. Implementación de planes de contingencia por parte del contratista para garantizar la continuidad de las actividades cuando las condiciones lo permitan. Reprogramación de actividades debidamente soportada y aprobada por la supervisión e interventoría, conforme a la normatividad contractual vigente.</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140F9B2A"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35C063EA"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30C5D0B1"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5</w:t>
            </w:r>
          </w:p>
        </w:tc>
        <w:tc>
          <w:tcPr>
            <w:tcW w:w="90" w:type="pct"/>
            <w:tcBorders>
              <w:top w:val="nil"/>
              <w:left w:val="nil"/>
              <w:bottom w:val="single" w:sz="4" w:space="0" w:color="000000"/>
              <w:right w:val="single" w:sz="4" w:space="0" w:color="000000"/>
            </w:tcBorders>
            <w:shd w:val="clear" w:color="000000" w:fill="FFFFFF"/>
            <w:textDirection w:val="btLr"/>
            <w:vAlign w:val="center"/>
            <w:hideMark/>
          </w:tcPr>
          <w:p w14:paraId="2FE3D11F"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Riesgo medio</w:t>
            </w:r>
          </w:p>
        </w:tc>
        <w:tc>
          <w:tcPr>
            <w:tcW w:w="143" w:type="pct"/>
            <w:tcBorders>
              <w:top w:val="nil"/>
              <w:left w:val="nil"/>
              <w:bottom w:val="single" w:sz="4" w:space="0" w:color="000000"/>
              <w:right w:val="single" w:sz="4" w:space="0" w:color="000000"/>
            </w:tcBorders>
            <w:shd w:val="clear" w:color="000000" w:fill="FFFFFF"/>
            <w:textDirection w:val="btLr"/>
            <w:vAlign w:val="center"/>
            <w:hideMark/>
          </w:tcPr>
          <w:p w14:paraId="51DA5C4A"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SI</w:t>
            </w:r>
          </w:p>
        </w:tc>
        <w:tc>
          <w:tcPr>
            <w:tcW w:w="179" w:type="pct"/>
            <w:tcBorders>
              <w:top w:val="nil"/>
              <w:left w:val="nil"/>
              <w:bottom w:val="single" w:sz="4" w:space="0" w:color="000000"/>
              <w:right w:val="single" w:sz="4" w:space="0" w:color="000000"/>
            </w:tcBorders>
            <w:shd w:val="clear" w:color="000000" w:fill="FFFFFF"/>
            <w:textDirection w:val="btLr"/>
            <w:vAlign w:val="center"/>
            <w:hideMark/>
          </w:tcPr>
          <w:p w14:paraId="41136E68"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Supervisor del contrato</w:t>
            </w:r>
          </w:p>
        </w:tc>
        <w:tc>
          <w:tcPr>
            <w:tcW w:w="183" w:type="pct"/>
            <w:tcBorders>
              <w:top w:val="nil"/>
              <w:left w:val="nil"/>
              <w:bottom w:val="single" w:sz="4" w:space="0" w:color="000000"/>
              <w:right w:val="single" w:sz="4" w:space="0" w:color="000000"/>
            </w:tcBorders>
            <w:shd w:val="clear" w:color="000000" w:fill="FFFFFF"/>
            <w:textDirection w:val="btLr"/>
            <w:vAlign w:val="center"/>
            <w:hideMark/>
          </w:tcPr>
          <w:p w14:paraId="217F585C"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Al inicio del contrato</w:t>
            </w:r>
          </w:p>
        </w:tc>
        <w:tc>
          <w:tcPr>
            <w:tcW w:w="222" w:type="pct"/>
            <w:tcBorders>
              <w:top w:val="nil"/>
              <w:left w:val="nil"/>
              <w:bottom w:val="single" w:sz="4" w:space="0" w:color="000000"/>
              <w:right w:val="single" w:sz="4" w:space="0" w:color="000000"/>
            </w:tcBorders>
            <w:shd w:val="clear" w:color="000000" w:fill="FFFFFF"/>
            <w:textDirection w:val="btLr"/>
            <w:vAlign w:val="center"/>
            <w:hideMark/>
          </w:tcPr>
          <w:p w14:paraId="2D6D8D53"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Etapa de recibo final</w:t>
            </w:r>
          </w:p>
        </w:tc>
        <w:tc>
          <w:tcPr>
            <w:tcW w:w="828" w:type="pct"/>
            <w:tcBorders>
              <w:top w:val="nil"/>
              <w:left w:val="nil"/>
              <w:bottom w:val="single" w:sz="4" w:space="0" w:color="000000"/>
              <w:right w:val="single" w:sz="4" w:space="0" w:color="000000"/>
            </w:tcBorders>
            <w:shd w:val="clear" w:color="000000" w:fill="FFFFFF"/>
            <w:vAlign w:val="center"/>
            <w:hideMark/>
          </w:tcPr>
          <w:p w14:paraId="5ED38311"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Se realiza mediante el seguimiento permanente a las condiciones climáticas y su impacto en el avance del contrato, a través de visitas de obra, reportes diarios o semanales del contratista y registros del supervisor.</w:t>
            </w:r>
          </w:p>
        </w:tc>
        <w:tc>
          <w:tcPr>
            <w:tcW w:w="169" w:type="pct"/>
            <w:tcBorders>
              <w:top w:val="nil"/>
              <w:left w:val="nil"/>
              <w:bottom w:val="single" w:sz="4" w:space="0" w:color="auto"/>
              <w:right w:val="single" w:sz="4" w:space="0" w:color="000000"/>
            </w:tcBorders>
            <w:shd w:val="clear" w:color="000000" w:fill="FFFFFF"/>
            <w:textDirection w:val="btLr"/>
            <w:vAlign w:val="center"/>
            <w:hideMark/>
          </w:tcPr>
          <w:p w14:paraId="7357FBD0" w14:textId="77777777" w:rsidR="00CA0724" w:rsidRPr="00CA0724" w:rsidRDefault="00CA0724" w:rsidP="00CA0724">
            <w:pPr>
              <w:spacing w:line="240" w:lineRule="auto"/>
              <w:contextualSpacing w:val="0"/>
              <w:jc w:val="center"/>
              <w:rPr>
                <w:rFonts w:ascii="Arial" w:eastAsia="Times New Roman" w:hAnsi="Arial" w:cs="Arial"/>
                <w:sz w:val="16"/>
                <w:szCs w:val="16"/>
                <w:lang w:eastAsia="es-CO"/>
              </w:rPr>
            </w:pPr>
            <w:r w:rsidRPr="00CA0724">
              <w:rPr>
                <w:rFonts w:ascii="Arial" w:eastAsia="Times New Roman" w:hAnsi="Arial" w:cs="Arial"/>
                <w:sz w:val="16"/>
                <w:szCs w:val="16"/>
                <w:lang w:eastAsia="es-CO"/>
              </w:rPr>
              <w:t>Mensual</w:t>
            </w:r>
          </w:p>
        </w:tc>
        <w:tc>
          <w:tcPr>
            <w:tcW w:w="33" w:type="pct"/>
            <w:vAlign w:val="center"/>
            <w:hideMark/>
          </w:tcPr>
          <w:p w14:paraId="11645633" w14:textId="77777777" w:rsidR="00CA0724" w:rsidRPr="00CA0724" w:rsidRDefault="00CA0724" w:rsidP="00CA0724">
            <w:pPr>
              <w:spacing w:line="240" w:lineRule="auto"/>
              <w:contextualSpacing w:val="0"/>
              <w:jc w:val="left"/>
              <w:rPr>
                <w:rFonts w:ascii="Times New Roman" w:eastAsia="Times New Roman" w:hAnsi="Times New Roman" w:cs="Times New Roman"/>
                <w:sz w:val="20"/>
                <w:szCs w:val="20"/>
                <w:lang w:eastAsia="es-CO"/>
              </w:rPr>
            </w:pPr>
          </w:p>
        </w:tc>
      </w:tr>
    </w:tbl>
    <w:p w14:paraId="168C9C57" w14:textId="1E93E6DC" w:rsidR="00D70D7B" w:rsidRPr="00CB2A6B" w:rsidRDefault="00241A33" w:rsidP="00241A33">
      <w:pPr>
        <w:tabs>
          <w:tab w:val="left" w:pos="6690"/>
        </w:tabs>
        <w:spacing w:after="100" w:afterAutospacing="1"/>
        <w:rPr>
          <w:rFonts w:ascii="Verdana" w:eastAsia="SimSun" w:hAnsi="Verdana" w:cs="Arial"/>
          <w:kern w:val="3"/>
          <w:lang w:eastAsia="zh-CN" w:bidi="hi-IN"/>
        </w:rPr>
      </w:pPr>
      <w:r w:rsidRPr="00CB2A6B">
        <w:rPr>
          <w:rFonts w:ascii="Verdana" w:eastAsia="SimSun" w:hAnsi="Verdana" w:cs="Arial"/>
          <w:kern w:val="3"/>
          <w:lang w:eastAsia="zh-CN" w:bidi="hi-IN"/>
        </w:rPr>
        <w:tab/>
      </w:r>
    </w:p>
    <w:sectPr w:rsidR="00D70D7B" w:rsidRPr="00CB2A6B"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FAB09" w14:textId="77777777" w:rsidR="0054283D" w:rsidRDefault="0054283D" w:rsidP="00091875">
      <w:pPr>
        <w:spacing w:line="240" w:lineRule="auto"/>
      </w:pPr>
      <w:r>
        <w:separator/>
      </w:r>
    </w:p>
  </w:endnote>
  <w:endnote w:type="continuationSeparator" w:id="0">
    <w:p w14:paraId="1AFA612D" w14:textId="77777777" w:rsidR="0054283D" w:rsidRDefault="0054283D"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roman"/>
    <w:pitch w:val="default"/>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sz w:val="18"/>
        <w:szCs w:val="18"/>
      </w:rPr>
      <w:id w:val="552671562"/>
      <w:docPartObj>
        <w:docPartGallery w:val="Page Numbers (Bottom of Page)"/>
        <w:docPartUnique/>
      </w:docPartObj>
    </w:sdtPr>
    <w:sdtEndPr/>
    <w:sdtContent>
      <w:p w14:paraId="5899CA35" w14:textId="77777777" w:rsidR="007A656B" w:rsidRPr="002F36D9" w:rsidRDefault="007A656B">
        <w:pPr>
          <w:pStyle w:val="Piedepgina"/>
          <w:jc w:val="right"/>
          <w:rPr>
            <w:rFonts w:ascii="Verdana" w:hAnsi="Verdana"/>
            <w:sz w:val="18"/>
            <w:szCs w:val="18"/>
          </w:rPr>
        </w:pPr>
      </w:p>
      <w:p w14:paraId="56B6126B" w14:textId="76EFC3A2" w:rsidR="00091875" w:rsidRPr="002F36D9" w:rsidRDefault="002F36D9">
        <w:pPr>
          <w:pStyle w:val="Piedepgina"/>
          <w:jc w:val="right"/>
          <w:rPr>
            <w:rFonts w:ascii="Verdana" w:hAnsi="Verdana"/>
            <w:sz w:val="18"/>
            <w:szCs w:val="18"/>
          </w:rPr>
        </w:pPr>
        <w:r w:rsidRPr="002F36D9">
          <w:rPr>
            <w:rFonts w:ascii="Verdana" w:hAnsi="Verdana"/>
            <w:sz w:val="18"/>
            <w:szCs w:val="18"/>
          </w:rPr>
          <w:t xml:space="preserve">Versión: 1 de </w:t>
        </w:r>
        <w:r w:rsidR="00773673">
          <w:rPr>
            <w:rFonts w:ascii="Verdana" w:hAnsi="Verdana"/>
            <w:sz w:val="18"/>
            <w:szCs w:val="18"/>
          </w:rPr>
          <w:t>21</w:t>
        </w:r>
        <w:r w:rsidRPr="002F36D9">
          <w:rPr>
            <w:rFonts w:ascii="Verdana" w:hAnsi="Verdana"/>
            <w:sz w:val="18"/>
            <w:szCs w:val="18"/>
          </w:rPr>
          <w:t xml:space="preserve"> de </w:t>
        </w:r>
        <w:r w:rsidR="00773673">
          <w:rPr>
            <w:rFonts w:ascii="Verdana" w:hAnsi="Verdana"/>
            <w:sz w:val="18"/>
            <w:szCs w:val="18"/>
          </w:rPr>
          <w:t>agosto</w:t>
        </w:r>
        <w:r w:rsidRPr="002F36D9">
          <w:rPr>
            <w:rFonts w:ascii="Verdana" w:hAnsi="Verdana"/>
            <w:sz w:val="18"/>
            <w:szCs w:val="18"/>
          </w:rPr>
          <w:t xml:space="preserve"> de 2025</w:t>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F45B4" w14:textId="77777777" w:rsidR="0054283D" w:rsidRDefault="0054283D" w:rsidP="00091875">
      <w:pPr>
        <w:spacing w:line="240" w:lineRule="auto"/>
      </w:pPr>
      <w:r>
        <w:separator/>
      </w:r>
    </w:p>
  </w:footnote>
  <w:footnote w:type="continuationSeparator" w:id="0">
    <w:p w14:paraId="0D7CE5C6" w14:textId="77777777" w:rsidR="0054283D" w:rsidRDefault="0054283D"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286AD" w14:textId="77777777" w:rsidR="00FE1A44" w:rsidRPr="00FE1A44" w:rsidRDefault="00FE1A44" w:rsidP="00FE1A44">
    <w:pPr>
      <w:pStyle w:val="Encabezado"/>
      <w:jc w:val="center"/>
      <w:rPr>
        <w:rFonts w:ascii="Verdana" w:hAnsi="Verdana" w:cs="Arial"/>
        <w:b/>
        <w:sz w:val="20"/>
        <w:szCs w:val="20"/>
      </w:rPr>
    </w:pPr>
    <w:r w:rsidRPr="00FE1A44">
      <w:rPr>
        <w:rFonts w:ascii="Verdana" w:hAnsi="Verdana" w:cs="Arial"/>
        <w:b/>
        <w:sz w:val="20"/>
        <w:szCs w:val="20"/>
      </w:rPr>
      <w:t>MATRIZ 3 - RIESGOS</w:t>
    </w:r>
  </w:p>
  <w:p w14:paraId="5A1B4C24" w14:textId="401574FD" w:rsidR="749F36F0" w:rsidRPr="00FE1A44" w:rsidRDefault="00FE1A44" w:rsidP="00FE1A44">
    <w:pPr>
      <w:pStyle w:val="Encabezado"/>
      <w:jc w:val="center"/>
      <w:rPr>
        <w:rFonts w:ascii="Verdana" w:hAnsi="Verdana"/>
        <w:sz w:val="28"/>
        <w:szCs w:val="28"/>
      </w:rPr>
    </w:pPr>
    <w:r w:rsidRPr="00FE1A44">
      <w:rPr>
        <w:rFonts w:ascii="Verdana" w:hAnsi="Verdana" w:cs="Arial"/>
        <w:b/>
        <w:bCs/>
        <w:sz w:val="20"/>
        <w:szCs w:val="20"/>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40931458">
    <w:abstractNumId w:val="6"/>
  </w:num>
  <w:num w:numId="2" w16cid:durableId="868298663">
    <w:abstractNumId w:val="6"/>
  </w:num>
  <w:num w:numId="3" w16cid:durableId="231359220">
    <w:abstractNumId w:val="6"/>
  </w:num>
  <w:num w:numId="4" w16cid:durableId="2017461215">
    <w:abstractNumId w:val="6"/>
  </w:num>
  <w:num w:numId="5" w16cid:durableId="1625649297">
    <w:abstractNumId w:val="6"/>
  </w:num>
  <w:num w:numId="6" w16cid:durableId="1092162641">
    <w:abstractNumId w:val="6"/>
  </w:num>
  <w:num w:numId="7" w16cid:durableId="789930550">
    <w:abstractNumId w:val="6"/>
  </w:num>
  <w:num w:numId="8" w16cid:durableId="123743171">
    <w:abstractNumId w:val="6"/>
  </w:num>
  <w:num w:numId="9" w16cid:durableId="1891451682">
    <w:abstractNumId w:val="6"/>
  </w:num>
  <w:num w:numId="10" w16cid:durableId="1161694839">
    <w:abstractNumId w:val="3"/>
  </w:num>
  <w:num w:numId="11" w16cid:durableId="266086387">
    <w:abstractNumId w:val="1"/>
  </w:num>
  <w:num w:numId="12" w16cid:durableId="1837913895">
    <w:abstractNumId w:val="21"/>
  </w:num>
  <w:num w:numId="13" w16cid:durableId="584608680">
    <w:abstractNumId w:val="29"/>
  </w:num>
  <w:num w:numId="14" w16cid:durableId="411780673">
    <w:abstractNumId w:val="14"/>
  </w:num>
  <w:num w:numId="15" w16cid:durableId="2051565024">
    <w:abstractNumId w:val="16"/>
  </w:num>
  <w:num w:numId="16" w16cid:durableId="1525166984">
    <w:abstractNumId w:val="0"/>
  </w:num>
  <w:num w:numId="17" w16cid:durableId="1915384679">
    <w:abstractNumId w:val="2"/>
  </w:num>
  <w:num w:numId="18" w16cid:durableId="973215110">
    <w:abstractNumId w:val="9"/>
  </w:num>
  <w:num w:numId="19" w16cid:durableId="516316291">
    <w:abstractNumId w:val="4"/>
  </w:num>
  <w:num w:numId="20" w16cid:durableId="238945949">
    <w:abstractNumId w:val="18"/>
  </w:num>
  <w:num w:numId="21" w16cid:durableId="731462145">
    <w:abstractNumId w:val="7"/>
  </w:num>
  <w:num w:numId="22" w16cid:durableId="1193610935">
    <w:abstractNumId w:val="27"/>
  </w:num>
  <w:num w:numId="23" w16cid:durableId="1013146625">
    <w:abstractNumId w:val="11"/>
  </w:num>
  <w:num w:numId="24" w16cid:durableId="83958601">
    <w:abstractNumId w:val="12"/>
  </w:num>
  <w:num w:numId="25" w16cid:durableId="1375735457">
    <w:abstractNumId w:val="5"/>
  </w:num>
  <w:num w:numId="26" w16cid:durableId="1952979414">
    <w:abstractNumId w:val="17"/>
  </w:num>
  <w:num w:numId="27" w16cid:durableId="1447263825">
    <w:abstractNumId w:val="15"/>
  </w:num>
  <w:num w:numId="28" w16cid:durableId="1149520211">
    <w:abstractNumId w:val="10"/>
  </w:num>
  <w:num w:numId="29" w16cid:durableId="798569770">
    <w:abstractNumId w:val="25"/>
  </w:num>
  <w:num w:numId="30" w16cid:durableId="187989396">
    <w:abstractNumId w:val="26"/>
  </w:num>
  <w:num w:numId="31" w16cid:durableId="381906334">
    <w:abstractNumId w:val="24"/>
  </w:num>
  <w:num w:numId="32" w16cid:durableId="1282570028">
    <w:abstractNumId w:val="13"/>
  </w:num>
  <w:num w:numId="33" w16cid:durableId="1668363157">
    <w:abstractNumId w:val="23"/>
  </w:num>
  <w:num w:numId="34" w16cid:durableId="1721006861">
    <w:abstractNumId w:val="8"/>
  </w:num>
  <w:num w:numId="35" w16cid:durableId="353306287">
    <w:abstractNumId w:val="22"/>
  </w:num>
  <w:num w:numId="36" w16cid:durableId="874275033">
    <w:abstractNumId w:val="28"/>
  </w:num>
  <w:num w:numId="37" w16cid:durableId="329336000">
    <w:abstractNumId w:val="20"/>
  </w:num>
  <w:num w:numId="38" w16cid:durableId="58137629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6C78"/>
    <w:rsid w:val="001477DE"/>
    <w:rsid w:val="0015719E"/>
    <w:rsid w:val="001D1F23"/>
    <w:rsid w:val="001E7630"/>
    <w:rsid w:val="00241A33"/>
    <w:rsid w:val="00277255"/>
    <w:rsid w:val="002D1AFB"/>
    <w:rsid w:val="002E30D7"/>
    <w:rsid w:val="002F36D9"/>
    <w:rsid w:val="00324251"/>
    <w:rsid w:val="003322F8"/>
    <w:rsid w:val="003558EC"/>
    <w:rsid w:val="00374B32"/>
    <w:rsid w:val="00375454"/>
    <w:rsid w:val="0039239D"/>
    <w:rsid w:val="003B7338"/>
    <w:rsid w:val="003E331F"/>
    <w:rsid w:val="003E4428"/>
    <w:rsid w:val="003F50E3"/>
    <w:rsid w:val="004338C5"/>
    <w:rsid w:val="004D7C35"/>
    <w:rsid w:val="00507FAA"/>
    <w:rsid w:val="00511F46"/>
    <w:rsid w:val="00513343"/>
    <w:rsid w:val="00540CF2"/>
    <w:rsid w:val="0054283D"/>
    <w:rsid w:val="00545461"/>
    <w:rsid w:val="005752CE"/>
    <w:rsid w:val="0058222E"/>
    <w:rsid w:val="005E5030"/>
    <w:rsid w:val="00602088"/>
    <w:rsid w:val="00624AC2"/>
    <w:rsid w:val="00686C25"/>
    <w:rsid w:val="00697703"/>
    <w:rsid w:val="006A3288"/>
    <w:rsid w:val="006B4FEE"/>
    <w:rsid w:val="006E6D9B"/>
    <w:rsid w:val="007115DA"/>
    <w:rsid w:val="00721886"/>
    <w:rsid w:val="00762556"/>
    <w:rsid w:val="0076567A"/>
    <w:rsid w:val="00773673"/>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B5F8B"/>
    <w:rsid w:val="00AE2ECB"/>
    <w:rsid w:val="00B26E25"/>
    <w:rsid w:val="00B544AB"/>
    <w:rsid w:val="00B60C9E"/>
    <w:rsid w:val="00B76DAD"/>
    <w:rsid w:val="00B773A4"/>
    <w:rsid w:val="00B81B1F"/>
    <w:rsid w:val="00B83621"/>
    <w:rsid w:val="00B92158"/>
    <w:rsid w:val="00B94790"/>
    <w:rsid w:val="00BA3870"/>
    <w:rsid w:val="00BC48AE"/>
    <w:rsid w:val="00C53FEB"/>
    <w:rsid w:val="00C61BDB"/>
    <w:rsid w:val="00C71F76"/>
    <w:rsid w:val="00CA0724"/>
    <w:rsid w:val="00CB2A6B"/>
    <w:rsid w:val="00CB7D17"/>
    <w:rsid w:val="00D13765"/>
    <w:rsid w:val="00D2740F"/>
    <w:rsid w:val="00D61CBF"/>
    <w:rsid w:val="00D70D7B"/>
    <w:rsid w:val="00D86ECC"/>
    <w:rsid w:val="00DA2321"/>
    <w:rsid w:val="00DD4300"/>
    <w:rsid w:val="00DF421A"/>
    <w:rsid w:val="00E20BE5"/>
    <w:rsid w:val="00E37486"/>
    <w:rsid w:val="00E56873"/>
    <w:rsid w:val="00F6022F"/>
    <w:rsid w:val="00F63350"/>
    <w:rsid w:val="00F77C04"/>
    <w:rsid w:val="00FD3BD6"/>
    <w:rsid w:val="00FE1A44"/>
    <w:rsid w:val="187604FC"/>
    <w:rsid w:val="749F36F0"/>
    <w:rsid w:val="74BEAEBC"/>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2.xml><?xml version="1.0" encoding="utf-8"?>
<ds:datastoreItem xmlns:ds="http://schemas.openxmlformats.org/officeDocument/2006/customXml" ds:itemID="{621A49B7-979B-4A9B-B3F4-86872F6A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2588</Words>
  <Characters>14236</Characters>
  <Application>Microsoft Office Word</Application>
  <DocSecurity>0</DocSecurity>
  <Lines>118</Lines>
  <Paragraphs>33</Paragraphs>
  <ScaleCrop>false</ScaleCrop>
  <Company>Hewlett-Packard Company</Company>
  <LinksUpToDate>false</LinksUpToDate>
  <CharactersWithSpaces>16791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LOL R</cp:lastModifiedBy>
  <cp:revision>2</cp:revision>
  <cp:lastPrinted>2020-11-13T23:50:00Z</cp:lastPrinted>
  <dcterms:created xsi:type="dcterms:W3CDTF">2026-07-06T20:33:00Z</dcterms:created>
  <dcterms:modified xsi:type="dcterms:W3CDTF">2026-07-06T20:33:00Z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