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714E85" w:rsidRPr="005E4BF2" w14:paraId="6A5A72E0" w14:textId="77777777" w:rsidTr="00EE30B7">
        <w:trPr>
          <w:trHeight w:val="578"/>
        </w:trPr>
        <w:tc>
          <w:tcPr>
            <w:tcW w:w="10598" w:type="dxa"/>
            <w:shd w:val="clear" w:color="auto" w:fill="E6E6E6"/>
            <w:vAlign w:val="center"/>
          </w:tcPr>
          <w:p w14:paraId="566B3844" w14:textId="110342F4" w:rsidR="00DC1A0C" w:rsidRPr="00506EE2" w:rsidRDefault="001E0C97" w:rsidP="00EE30B7">
            <w:pPr>
              <w:jc w:val="both"/>
              <w:rPr>
                <w:rFonts w:ascii="Verdana" w:hAnsi="Verdana" w:cs="Arial"/>
                <w:b/>
                <w:sz w:val="22"/>
                <w:szCs w:val="22"/>
              </w:rPr>
            </w:pPr>
            <w:r w:rsidRPr="00506EE2">
              <w:rPr>
                <w:rFonts w:ascii="Verdana" w:hAnsi="Verdana" w:cs="Arial"/>
                <w:b/>
                <w:bCs/>
                <w:sz w:val="22"/>
                <w:szCs w:val="22"/>
              </w:rPr>
              <w:t xml:space="preserve">OBJETO: </w:t>
            </w:r>
            <w:r w:rsidR="005628DF" w:rsidRPr="00506EE2">
              <w:rPr>
                <w:rFonts w:ascii="Verdana" w:hAnsi="Verdana" w:cs="Arial"/>
                <w:b/>
                <w:bCs/>
                <w:sz w:val="22"/>
                <w:szCs w:val="22"/>
              </w:rPr>
              <w:t>“</w:t>
            </w:r>
            <w:r w:rsidR="00E60AB4" w:rsidRPr="00E60AB4">
              <w:rPr>
                <w:rFonts w:ascii="Verdana" w:eastAsia="Arial Narrow" w:hAnsi="Verdana" w:cs="Arial Narrow"/>
                <w:b/>
                <w:spacing w:val="-1"/>
                <w:sz w:val="22"/>
                <w:szCs w:val="22"/>
              </w:rPr>
              <w:t>(SG-262) ADQUISICIÓN E INSTALACIÓN DE UPS MAYORES A 3 KVA PARA EL IDEAM</w:t>
            </w:r>
            <w:r w:rsidR="00506EE2" w:rsidRPr="00506EE2">
              <w:rPr>
                <w:rFonts w:ascii="Verdana" w:eastAsia="Arial Narrow" w:hAnsi="Verdana" w:cs="Arial Narrow"/>
                <w:b/>
                <w:spacing w:val="-1"/>
                <w:sz w:val="22"/>
                <w:szCs w:val="22"/>
              </w:rPr>
              <w:t>.</w:t>
            </w:r>
            <w:r w:rsidR="00453086" w:rsidRPr="00506EE2">
              <w:rPr>
                <w:rFonts w:ascii="Verdana" w:eastAsia="Arial Narrow" w:hAnsi="Verdana" w:cs="Arial Narrow"/>
                <w:b/>
                <w:spacing w:val="-1"/>
                <w:sz w:val="22"/>
                <w:szCs w:val="22"/>
              </w:rPr>
              <w:t>”</w:t>
            </w:r>
          </w:p>
        </w:tc>
      </w:tr>
      <w:tr w:rsidR="00CA6E1B" w:rsidRPr="005E4BF2" w14:paraId="3637B72D" w14:textId="77777777" w:rsidTr="00C217FF">
        <w:trPr>
          <w:trHeight w:val="117"/>
        </w:trPr>
        <w:tc>
          <w:tcPr>
            <w:tcW w:w="10598" w:type="dxa"/>
            <w:vAlign w:val="center"/>
          </w:tcPr>
          <w:p w14:paraId="2AF5E3FA" w14:textId="2985C249" w:rsidR="00CA6E1B" w:rsidRPr="00506EE2" w:rsidRDefault="00B231F5" w:rsidP="00EE30B7">
            <w:pPr>
              <w:jc w:val="center"/>
              <w:rPr>
                <w:rFonts w:ascii="Verdana" w:hAnsi="Verdana" w:cs="Arial"/>
                <w:b/>
                <w:sz w:val="22"/>
                <w:szCs w:val="22"/>
              </w:rPr>
            </w:pPr>
            <w:r w:rsidRPr="00506EE2">
              <w:rPr>
                <w:rFonts w:ascii="Verdana" w:hAnsi="Verdana" w:cs="Arial"/>
                <w:b/>
                <w:sz w:val="22"/>
                <w:szCs w:val="22"/>
              </w:rPr>
              <w:t>ANÁLISIS</w:t>
            </w:r>
            <w:r w:rsidR="00710D40" w:rsidRPr="00506EE2">
              <w:rPr>
                <w:rFonts w:ascii="Verdana" w:hAnsi="Verdana" w:cs="Arial"/>
                <w:b/>
                <w:sz w:val="22"/>
                <w:szCs w:val="22"/>
              </w:rPr>
              <w:t xml:space="preserve"> DEL SECTOR</w:t>
            </w:r>
          </w:p>
        </w:tc>
      </w:tr>
    </w:tbl>
    <w:p w14:paraId="127B0C85" w14:textId="77777777" w:rsidR="0007596F" w:rsidRPr="005E4BF2" w:rsidRDefault="0007596F" w:rsidP="00EE30B7">
      <w:pPr>
        <w:jc w:val="both"/>
        <w:rPr>
          <w:rFonts w:ascii="Verdana" w:hAnsi="Verdana"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2"/>
      </w:tblGrid>
      <w:tr w:rsidR="00714E85" w:rsidRPr="005E4BF2" w14:paraId="5C96BCE5" w14:textId="77777777" w:rsidTr="00B11BD6">
        <w:tc>
          <w:tcPr>
            <w:tcW w:w="5000" w:type="pct"/>
          </w:tcPr>
          <w:p w14:paraId="159C159F" w14:textId="77777777" w:rsidR="00194538" w:rsidRPr="00506EE2" w:rsidRDefault="00194538" w:rsidP="00EE30B7">
            <w:pPr>
              <w:ind w:right="65"/>
              <w:jc w:val="center"/>
              <w:rPr>
                <w:rFonts w:ascii="Verdana" w:eastAsia="Arial Narrow" w:hAnsi="Verdana" w:cs="Arial Narrow"/>
                <w:b/>
                <w:spacing w:val="1"/>
                <w:sz w:val="22"/>
                <w:szCs w:val="22"/>
                <w:u w:val="single"/>
              </w:rPr>
            </w:pPr>
            <w:r w:rsidRPr="00506EE2">
              <w:rPr>
                <w:rFonts w:ascii="Verdana" w:eastAsia="Arial Narrow" w:hAnsi="Verdana" w:cs="Arial Narrow"/>
                <w:b/>
                <w:spacing w:val="1"/>
                <w:sz w:val="22"/>
                <w:szCs w:val="22"/>
                <w:u w:val="single"/>
              </w:rPr>
              <w:t>PERSPECTIVA COMERCIAL</w:t>
            </w:r>
          </w:p>
          <w:p w14:paraId="1FF63D4B" w14:textId="77777777" w:rsidR="00194538" w:rsidRPr="00506EE2" w:rsidRDefault="00194538" w:rsidP="00EE30B7">
            <w:pPr>
              <w:ind w:right="65"/>
              <w:jc w:val="both"/>
              <w:rPr>
                <w:rFonts w:ascii="Verdana" w:eastAsia="Arial Narrow" w:hAnsi="Verdana" w:cs="Arial Narrow"/>
                <w:spacing w:val="1"/>
                <w:sz w:val="22"/>
                <w:szCs w:val="22"/>
              </w:rPr>
            </w:pPr>
          </w:p>
          <w:p w14:paraId="449A397E" w14:textId="77777777" w:rsidR="00194538" w:rsidRPr="00506EE2" w:rsidRDefault="00194538" w:rsidP="00EE30B7">
            <w:pPr>
              <w:ind w:right="65"/>
              <w:jc w:val="both"/>
              <w:rPr>
                <w:rFonts w:ascii="Verdana" w:eastAsia="Arial Narrow" w:hAnsi="Verdana" w:cs="Arial Narrow"/>
                <w:spacing w:val="1"/>
                <w:sz w:val="22"/>
                <w:szCs w:val="22"/>
              </w:rPr>
            </w:pPr>
            <w:r w:rsidRPr="00506EE2">
              <w:rPr>
                <w:rFonts w:ascii="Verdana" w:eastAsia="Arial Narrow" w:hAnsi="Verdana" w:cs="Arial Narrow"/>
                <w:spacing w:val="1"/>
                <w:sz w:val="22"/>
                <w:szCs w:val="22"/>
              </w:rPr>
              <w:t xml:space="preserve">La actividad económica está dividida en </w:t>
            </w:r>
            <w:r w:rsidRPr="00506EE2">
              <w:rPr>
                <w:rFonts w:ascii="Verdana" w:eastAsia="Arial Narrow" w:hAnsi="Verdana" w:cs="Arial Narrow"/>
                <w:b/>
                <w:spacing w:val="1"/>
                <w:sz w:val="22"/>
                <w:szCs w:val="22"/>
              </w:rPr>
              <w:t xml:space="preserve">sectores económicos. </w:t>
            </w:r>
            <w:r w:rsidRPr="00506EE2">
              <w:rPr>
                <w:rFonts w:ascii="Verdana" w:eastAsia="Arial Narrow" w:hAnsi="Verdana" w:cs="Arial Narrow"/>
                <w:spacing w:val="1"/>
                <w:sz w:val="22"/>
                <w:szCs w:val="22"/>
              </w:rPr>
              <w:t>Cada sector se refiere</w:t>
            </w:r>
            <w:r w:rsidRPr="00506EE2">
              <w:rPr>
                <w:rFonts w:ascii="Verdana" w:eastAsia="Arial Narrow" w:hAnsi="Verdana" w:cs="Arial Narrow"/>
                <w:b/>
                <w:spacing w:val="1"/>
                <w:sz w:val="22"/>
                <w:szCs w:val="22"/>
              </w:rPr>
              <w:t xml:space="preserve"> </w:t>
            </w:r>
            <w:r w:rsidRPr="00506EE2">
              <w:rPr>
                <w:rFonts w:ascii="Verdana" w:eastAsia="Arial Narrow" w:hAnsi="Verdana" w:cs="Arial Narrow"/>
                <w:spacing w:val="1"/>
                <w:sz w:val="22"/>
                <w:szCs w:val="22"/>
              </w:rPr>
              <w:t>a una parte de la actividad económica cuyos elementos tienen características comunes, guardan una unidad y se diferencian de otras agrupaciones. Su división se realiza de acuerdo a los procesos de producción que ocurren al interior de cada uno de ellos.</w:t>
            </w:r>
          </w:p>
          <w:p w14:paraId="6B9C690B" w14:textId="77777777" w:rsidR="00194538" w:rsidRPr="00506EE2" w:rsidRDefault="00194538" w:rsidP="00453086">
            <w:pPr>
              <w:ind w:right="65"/>
              <w:jc w:val="both"/>
              <w:rPr>
                <w:rFonts w:ascii="Verdana" w:eastAsia="Arial Narrow" w:hAnsi="Verdana" w:cs="Arial Narrow"/>
                <w:spacing w:val="1"/>
                <w:sz w:val="22"/>
                <w:szCs w:val="22"/>
              </w:rPr>
            </w:pPr>
          </w:p>
          <w:p w14:paraId="6A76B5C4" w14:textId="77777777" w:rsidR="00194538" w:rsidRPr="00506EE2" w:rsidRDefault="00194538" w:rsidP="00EE30B7">
            <w:pPr>
              <w:ind w:right="65"/>
              <w:jc w:val="both"/>
              <w:rPr>
                <w:rFonts w:ascii="Verdana" w:eastAsia="Arial Narrow" w:hAnsi="Verdana" w:cs="Arial Narrow"/>
                <w:b/>
                <w:sz w:val="22"/>
                <w:szCs w:val="22"/>
              </w:rPr>
            </w:pPr>
            <w:r w:rsidRPr="00506EE2">
              <w:rPr>
                <w:rFonts w:ascii="Verdana" w:eastAsia="Arial Narrow" w:hAnsi="Verdana" w:cs="Arial Narrow"/>
                <w:b/>
                <w:spacing w:val="1"/>
                <w:sz w:val="22"/>
                <w:szCs w:val="22"/>
              </w:rPr>
              <w:t>Seg</w:t>
            </w:r>
            <w:r w:rsidRPr="00506EE2">
              <w:rPr>
                <w:rFonts w:ascii="Verdana" w:eastAsia="Arial Narrow" w:hAnsi="Verdana" w:cs="Arial Narrow"/>
                <w:b/>
                <w:spacing w:val="-1"/>
                <w:sz w:val="22"/>
                <w:szCs w:val="22"/>
              </w:rPr>
              <w:t>ú</w:t>
            </w:r>
            <w:r w:rsidRPr="00506EE2">
              <w:rPr>
                <w:rFonts w:ascii="Verdana" w:eastAsia="Arial Narrow" w:hAnsi="Verdana" w:cs="Arial Narrow"/>
                <w:b/>
                <w:sz w:val="22"/>
                <w:szCs w:val="22"/>
              </w:rPr>
              <w:t>n la</w:t>
            </w:r>
            <w:r w:rsidRPr="00506EE2">
              <w:rPr>
                <w:rFonts w:ascii="Verdana" w:eastAsia="Arial Narrow" w:hAnsi="Verdana" w:cs="Arial Narrow"/>
                <w:b/>
                <w:spacing w:val="-1"/>
                <w:sz w:val="22"/>
                <w:szCs w:val="22"/>
              </w:rPr>
              <w:t xml:space="preserve"> </w:t>
            </w:r>
            <w:r w:rsidRPr="00506EE2">
              <w:rPr>
                <w:rFonts w:ascii="Verdana" w:eastAsia="Arial Narrow" w:hAnsi="Verdana" w:cs="Arial Narrow"/>
                <w:b/>
                <w:spacing w:val="1"/>
                <w:sz w:val="22"/>
                <w:szCs w:val="22"/>
              </w:rPr>
              <w:t>d</w:t>
            </w:r>
            <w:r w:rsidRPr="00506EE2">
              <w:rPr>
                <w:rFonts w:ascii="Verdana" w:eastAsia="Arial Narrow" w:hAnsi="Verdana" w:cs="Arial Narrow"/>
                <w:b/>
                <w:sz w:val="22"/>
                <w:szCs w:val="22"/>
              </w:rPr>
              <w:t>iv</w:t>
            </w:r>
            <w:r w:rsidRPr="00506EE2">
              <w:rPr>
                <w:rFonts w:ascii="Verdana" w:eastAsia="Arial Narrow" w:hAnsi="Verdana" w:cs="Arial Narrow"/>
                <w:b/>
                <w:spacing w:val="-1"/>
                <w:sz w:val="22"/>
                <w:szCs w:val="22"/>
              </w:rPr>
              <w:t>i</w:t>
            </w:r>
            <w:r w:rsidRPr="00506EE2">
              <w:rPr>
                <w:rFonts w:ascii="Verdana" w:eastAsia="Arial Narrow" w:hAnsi="Verdana" w:cs="Arial Narrow"/>
                <w:b/>
                <w:sz w:val="22"/>
                <w:szCs w:val="22"/>
              </w:rPr>
              <w:t>sión</w:t>
            </w:r>
            <w:r w:rsidRPr="00506EE2">
              <w:rPr>
                <w:rFonts w:ascii="Verdana" w:eastAsia="Arial Narrow" w:hAnsi="Verdana" w:cs="Arial Narrow"/>
                <w:b/>
                <w:spacing w:val="-1"/>
                <w:sz w:val="22"/>
                <w:szCs w:val="22"/>
              </w:rPr>
              <w:t xml:space="preserve"> </w:t>
            </w:r>
            <w:r w:rsidRPr="00506EE2">
              <w:rPr>
                <w:rFonts w:ascii="Verdana" w:eastAsia="Arial Narrow" w:hAnsi="Verdana" w:cs="Arial Narrow"/>
                <w:b/>
                <w:spacing w:val="1"/>
                <w:sz w:val="22"/>
                <w:szCs w:val="22"/>
              </w:rPr>
              <w:t>d</w:t>
            </w:r>
            <w:r w:rsidRPr="00506EE2">
              <w:rPr>
                <w:rFonts w:ascii="Verdana" w:eastAsia="Arial Narrow" w:hAnsi="Verdana" w:cs="Arial Narrow"/>
                <w:b/>
                <w:sz w:val="22"/>
                <w:szCs w:val="22"/>
              </w:rPr>
              <w:t>e</w:t>
            </w:r>
            <w:r w:rsidRPr="00506EE2">
              <w:rPr>
                <w:rFonts w:ascii="Verdana" w:eastAsia="Arial Narrow" w:hAnsi="Verdana" w:cs="Arial Narrow"/>
                <w:b/>
                <w:spacing w:val="1"/>
                <w:sz w:val="22"/>
                <w:szCs w:val="22"/>
              </w:rPr>
              <w:t xml:space="preserve"> </w:t>
            </w:r>
            <w:r w:rsidRPr="00506EE2">
              <w:rPr>
                <w:rFonts w:ascii="Verdana" w:eastAsia="Arial Narrow" w:hAnsi="Verdana" w:cs="Arial Narrow"/>
                <w:b/>
                <w:sz w:val="22"/>
                <w:szCs w:val="22"/>
              </w:rPr>
              <w:t>la</w:t>
            </w:r>
            <w:r w:rsidRPr="00506EE2">
              <w:rPr>
                <w:rFonts w:ascii="Verdana" w:eastAsia="Arial Narrow" w:hAnsi="Verdana" w:cs="Arial Narrow"/>
                <w:b/>
                <w:spacing w:val="-1"/>
                <w:sz w:val="22"/>
                <w:szCs w:val="22"/>
              </w:rPr>
              <w:t xml:space="preserve"> </w:t>
            </w:r>
            <w:r w:rsidRPr="00506EE2">
              <w:rPr>
                <w:rFonts w:ascii="Verdana" w:eastAsia="Arial Narrow" w:hAnsi="Verdana" w:cs="Arial Narrow"/>
                <w:b/>
                <w:spacing w:val="1"/>
                <w:sz w:val="22"/>
                <w:szCs w:val="22"/>
              </w:rPr>
              <w:t>e</w:t>
            </w:r>
            <w:r w:rsidRPr="00506EE2">
              <w:rPr>
                <w:rFonts w:ascii="Verdana" w:eastAsia="Arial Narrow" w:hAnsi="Verdana" w:cs="Arial Narrow"/>
                <w:b/>
                <w:spacing w:val="3"/>
                <w:sz w:val="22"/>
                <w:szCs w:val="22"/>
              </w:rPr>
              <w:t>c</w:t>
            </w:r>
            <w:r w:rsidRPr="00506EE2">
              <w:rPr>
                <w:rFonts w:ascii="Verdana" w:eastAsia="Arial Narrow" w:hAnsi="Verdana" w:cs="Arial Narrow"/>
                <w:b/>
                <w:spacing w:val="-1"/>
                <w:sz w:val="22"/>
                <w:szCs w:val="22"/>
              </w:rPr>
              <w:t>on</w:t>
            </w:r>
            <w:r w:rsidRPr="00506EE2">
              <w:rPr>
                <w:rFonts w:ascii="Verdana" w:eastAsia="Arial Narrow" w:hAnsi="Verdana" w:cs="Arial Narrow"/>
                <w:b/>
                <w:spacing w:val="1"/>
                <w:sz w:val="22"/>
                <w:szCs w:val="22"/>
              </w:rPr>
              <w:t>o</w:t>
            </w:r>
            <w:r w:rsidRPr="00506EE2">
              <w:rPr>
                <w:rFonts w:ascii="Verdana" w:eastAsia="Arial Narrow" w:hAnsi="Verdana" w:cs="Arial Narrow"/>
                <w:b/>
                <w:spacing w:val="-1"/>
                <w:sz w:val="22"/>
                <w:szCs w:val="22"/>
              </w:rPr>
              <w:t>m</w:t>
            </w:r>
            <w:r w:rsidRPr="00506EE2">
              <w:rPr>
                <w:rFonts w:ascii="Verdana" w:eastAsia="Arial Narrow" w:hAnsi="Verdana" w:cs="Arial Narrow"/>
                <w:b/>
                <w:sz w:val="22"/>
                <w:szCs w:val="22"/>
              </w:rPr>
              <w:t>ía</w:t>
            </w:r>
            <w:r w:rsidRPr="00506EE2">
              <w:rPr>
                <w:rFonts w:ascii="Verdana" w:eastAsia="Arial Narrow" w:hAnsi="Verdana" w:cs="Arial Narrow"/>
                <w:b/>
                <w:spacing w:val="1"/>
                <w:sz w:val="22"/>
                <w:szCs w:val="22"/>
              </w:rPr>
              <w:t xml:space="preserve"> </w:t>
            </w:r>
            <w:r w:rsidRPr="00506EE2">
              <w:rPr>
                <w:rFonts w:ascii="Verdana" w:eastAsia="Arial Narrow" w:hAnsi="Verdana" w:cs="Arial Narrow"/>
                <w:b/>
                <w:sz w:val="22"/>
                <w:szCs w:val="22"/>
              </w:rPr>
              <w:t>cl</w:t>
            </w:r>
            <w:r w:rsidRPr="00506EE2">
              <w:rPr>
                <w:rFonts w:ascii="Verdana" w:eastAsia="Arial Narrow" w:hAnsi="Verdana" w:cs="Arial Narrow"/>
                <w:b/>
                <w:spacing w:val="1"/>
                <w:sz w:val="22"/>
                <w:szCs w:val="22"/>
              </w:rPr>
              <w:t>á</w:t>
            </w:r>
            <w:r w:rsidRPr="00506EE2">
              <w:rPr>
                <w:rFonts w:ascii="Verdana" w:eastAsia="Arial Narrow" w:hAnsi="Verdana" w:cs="Arial Narrow"/>
                <w:b/>
                <w:sz w:val="22"/>
                <w:szCs w:val="22"/>
              </w:rPr>
              <w:t>sica</w:t>
            </w:r>
          </w:p>
          <w:p w14:paraId="67281A42" w14:textId="77777777" w:rsidR="00194538" w:rsidRPr="00506EE2" w:rsidRDefault="00194538" w:rsidP="00EE30B7">
            <w:pPr>
              <w:ind w:right="65"/>
              <w:jc w:val="both"/>
              <w:rPr>
                <w:rFonts w:ascii="Verdana" w:eastAsia="Arial Narrow" w:hAnsi="Verdana" w:cs="Arial Narrow"/>
                <w:sz w:val="22"/>
                <w:szCs w:val="22"/>
              </w:rPr>
            </w:pPr>
            <w:r w:rsidRPr="00506EE2">
              <w:rPr>
                <w:rFonts w:ascii="Verdana" w:eastAsia="Arial Narrow" w:hAnsi="Verdana" w:cs="Arial Narrow"/>
                <w:sz w:val="22"/>
                <w:szCs w:val="22"/>
              </w:rPr>
              <w:t xml:space="preserve">Según la división de la economía clásica, los sectores de la economía son los siguientes: </w:t>
            </w:r>
          </w:p>
          <w:p w14:paraId="08845210" w14:textId="77777777" w:rsidR="00194538" w:rsidRPr="00506EE2" w:rsidRDefault="00194538" w:rsidP="00EE30B7">
            <w:pPr>
              <w:ind w:right="65"/>
              <w:jc w:val="both"/>
              <w:rPr>
                <w:rFonts w:ascii="Verdana" w:eastAsia="Arial Narrow" w:hAnsi="Verdana" w:cs="Arial Narrow"/>
                <w:spacing w:val="3"/>
                <w:sz w:val="22"/>
                <w:szCs w:val="22"/>
              </w:rPr>
            </w:pPr>
            <w:r w:rsidRPr="00506EE2">
              <w:rPr>
                <w:rFonts w:ascii="Verdana" w:eastAsia="Arial Narrow" w:hAnsi="Verdana" w:cs="Arial Narrow"/>
                <w:spacing w:val="1"/>
                <w:sz w:val="22"/>
                <w:szCs w:val="22"/>
              </w:rPr>
              <w:t>Se</w:t>
            </w:r>
            <w:r w:rsidRPr="00506EE2">
              <w:rPr>
                <w:rFonts w:ascii="Verdana" w:eastAsia="Arial Narrow" w:hAnsi="Verdana" w:cs="Arial Narrow"/>
                <w:spacing w:val="-2"/>
                <w:sz w:val="22"/>
                <w:szCs w:val="22"/>
              </w:rPr>
              <w:t>c</w:t>
            </w:r>
            <w:r w:rsidRPr="00506EE2">
              <w:rPr>
                <w:rFonts w:ascii="Verdana" w:eastAsia="Arial Narrow" w:hAnsi="Verdana" w:cs="Arial Narrow"/>
                <w:sz w:val="22"/>
                <w:szCs w:val="22"/>
              </w:rPr>
              <w:t>t</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r</w:t>
            </w:r>
            <w:r w:rsidRPr="00506EE2">
              <w:rPr>
                <w:rFonts w:ascii="Verdana" w:eastAsia="Arial Narrow" w:hAnsi="Verdana" w:cs="Arial Narrow"/>
                <w:spacing w:val="-2"/>
                <w:sz w:val="22"/>
                <w:szCs w:val="22"/>
              </w:rPr>
              <w:t xml:space="preserve"> </w:t>
            </w:r>
            <w:r w:rsidRPr="00506EE2">
              <w:rPr>
                <w:rFonts w:ascii="Verdana" w:eastAsia="Arial Narrow" w:hAnsi="Verdana" w:cs="Arial Narrow"/>
                <w:sz w:val="22"/>
                <w:szCs w:val="22"/>
              </w:rPr>
              <w:t>pri</w:t>
            </w:r>
            <w:r w:rsidRPr="00506EE2">
              <w:rPr>
                <w:rFonts w:ascii="Verdana" w:eastAsia="Arial Narrow" w:hAnsi="Verdana" w:cs="Arial Narrow"/>
                <w:spacing w:val="-1"/>
                <w:sz w:val="22"/>
                <w:szCs w:val="22"/>
              </w:rPr>
              <w:t>m</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i</w:t>
            </w:r>
            <w:r w:rsidRPr="00506EE2">
              <w:rPr>
                <w:rFonts w:ascii="Verdana" w:eastAsia="Arial Narrow" w:hAnsi="Verdana" w:cs="Arial Narrow"/>
                <w:sz w:val="22"/>
                <w:szCs w:val="22"/>
              </w:rPr>
              <w:t>o</w:t>
            </w:r>
            <w:r w:rsidRPr="00506EE2">
              <w:rPr>
                <w:rFonts w:ascii="Verdana" w:eastAsia="Arial Narrow" w:hAnsi="Verdana" w:cs="Arial Narrow"/>
                <w:spacing w:val="1"/>
                <w:sz w:val="22"/>
                <w:szCs w:val="22"/>
              </w:rPr>
              <w:t xml:space="preserve"> </w:t>
            </w:r>
            <w:r w:rsidRPr="00506EE2">
              <w:rPr>
                <w:rFonts w:ascii="Verdana" w:eastAsia="Arial Narrow" w:hAnsi="Verdana" w:cs="Arial Narrow"/>
                <w:sz w:val="22"/>
                <w:szCs w:val="22"/>
              </w:rPr>
              <w:t>o 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ct</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2"/>
                <w:sz w:val="22"/>
                <w:szCs w:val="22"/>
              </w:rPr>
              <w:t>a</w:t>
            </w:r>
            <w:r w:rsidRPr="00506EE2">
              <w:rPr>
                <w:rFonts w:ascii="Verdana" w:eastAsia="Arial Narrow" w:hAnsi="Verdana" w:cs="Arial Narrow"/>
                <w:spacing w:val="1"/>
                <w:sz w:val="22"/>
                <w:szCs w:val="22"/>
              </w:rPr>
              <w:t>g</w:t>
            </w:r>
            <w:r w:rsidRPr="00506EE2">
              <w:rPr>
                <w:rFonts w:ascii="Verdana" w:eastAsia="Arial Narrow" w:hAnsi="Verdana" w:cs="Arial Narrow"/>
                <w:sz w:val="22"/>
                <w:szCs w:val="22"/>
              </w:rPr>
              <w:t>ro</w:t>
            </w:r>
            <w:r w:rsidRPr="00506EE2">
              <w:rPr>
                <w:rFonts w:ascii="Verdana" w:eastAsia="Arial Narrow" w:hAnsi="Verdana" w:cs="Arial Narrow"/>
                <w:spacing w:val="1"/>
                <w:sz w:val="22"/>
                <w:szCs w:val="22"/>
              </w:rPr>
              <w:t>pe</w:t>
            </w:r>
            <w:r w:rsidRPr="00506EE2">
              <w:rPr>
                <w:rFonts w:ascii="Verdana" w:eastAsia="Arial Narrow" w:hAnsi="Verdana" w:cs="Arial Narrow"/>
                <w:spacing w:val="-2"/>
                <w:sz w:val="22"/>
                <w:szCs w:val="22"/>
              </w:rPr>
              <w:t>c</w:t>
            </w:r>
            <w:r w:rsidRPr="00506EE2">
              <w:rPr>
                <w:rFonts w:ascii="Verdana" w:eastAsia="Arial Narrow" w:hAnsi="Verdana" w:cs="Arial Narrow"/>
                <w:spacing w:val="1"/>
                <w:sz w:val="22"/>
                <w:szCs w:val="22"/>
              </w:rPr>
              <w:t>ua</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i</w:t>
            </w:r>
            <w:r w:rsidRPr="00506EE2">
              <w:rPr>
                <w:rFonts w:ascii="Verdana" w:eastAsia="Arial Narrow" w:hAnsi="Verdana" w:cs="Arial Narrow"/>
                <w:spacing w:val="3"/>
                <w:sz w:val="22"/>
                <w:szCs w:val="22"/>
              </w:rPr>
              <w:t>o.</w:t>
            </w:r>
          </w:p>
          <w:p w14:paraId="574CDB7F" w14:textId="77777777" w:rsidR="00194538" w:rsidRPr="00506EE2" w:rsidRDefault="00194538" w:rsidP="00EE30B7">
            <w:pPr>
              <w:ind w:right="65"/>
              <w:jc w:val="both"/>
              <w:rPr>
                <w:rFonts w:ascii="Verdana" w:eastAsia="Arial Narrow" w:hAnsi="Verdana" w:cs="Arial Narrow"/>
                <w:sz w:val="22"/>
                <w:szCs w:val="22"/>
              </w:rPr>
            </w:pPr>
            <w:r w:rsidRPr="00506EE2">
              <w:rPr>
                <w:rFonts w:ascii="Verdana" w:eastAsia="Arial Narrow" w:hAnsi="Verdana" w:cs="Arial Narrow"/>
                <w:spacing w:val="1"/>
                <w:sz w:val="22"/>
                <w:szCs w:val="22"/>
              </w:rPr>
              <w:t>Se</w:t>
            </w:r>
            <w:r w:rsidRPr="00506EE2">
              <w:rPr>
                <w:rFonts w:ascii="Verdana" w:eastAsia="Arial Narrow" w:hAnsi="Verdana" w:cs="Arial Narrow"/>
                <w:sz w:val="22"/>
                <w:szCs w:val="22"/>
              </w:rPr>
              <w:t>ct</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r</w:t>
            </w:r>
            <w:r w:rsidRPr="00506EE2">
              <w:rPr>
                <w:rFonts w:ascii="Verdana" w:eastAsia="Arial Narrow" w:hAnsi="Verdana" w:cs="Arial Narrow"/>
                <w:spacing w:val="-2"/>
                <w:sz w:val="22"/>
                <w:szCs w:val="22"/>
              </w:rPr>
              <w:t xml:space="preserve"> </w:t>
            </w:r>
            <w:r w:rsidRPr="00506EE2">
              <w:rPr>
                <w:rFonts w:ascii="Verdana" w:eastAsia="Arial Narrow" w:hAnsi="Verdana" w:cs="Arial Narrow"/>
                <w:spacing w:val="-3"/>
                <w:sz w:val="22"/>
                <w:szCs w:val="22"/>
              </w:rPr>
              <w:t>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c</w:t>
            </w:r>
            <w:r w:rsidRPr="00506EE2">
              <w:rPr>
                <w:rFonts w:ascii="Verdana" w:eastAsia="Arial Narrow" w:hAnsi="Verdana" w:cs="Arial Narrow"/>
                <w:spacing w:val="1"/>
                <w:sz w:val="22"/>
                <w:szCs w:val="22"/>
              </w:rPr>
              <w:t>u</w:t>
            </w:r>
            <w:r w:rsidRPr="00506EE2">
              <w:rPr>
                <w:rFonts w:ascii="Verdana" w:eastAsia="Arial Narrow" w:hAnsi="Verdana" w:cs="Arial Narrow"/>
                <w:spacing w:val="-1"/>
                <w:sz w:val="22"/>
                <w:szCs w:val="22"/>
              </w:rPr>
              <w:t>n</w:t>
            </w:r>
            <w:r w:rsidRPr="00506EE2">
              <w:rPr>
                <w:rFonts w:ascii="Verdana" w:eastAsia="Arial Narrow" w:hAnsi="Verdana" w:cs="Arial Narrow"/>
                <w:spacing w:val="1"/>
                <w:sz w:val="22"/>
                <w:szCs w:val="22"/>
              </w:rPr>
              <w:t>da</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i</w:t>
            </w:r>
            <w:r w:rsidRPr="00506EE2">
              <w:rPr>
                <w:rFonts w:ascii="Verdana" w:eastAsia="Arial Narrow" w:hAnsi="Verdana" w:cs="Arial Narrow"/>
                <w:sz w:val="22"/>
                <w:szCs w:val="22"/>
              </w:rPr>
              <w:t>o</w:t>
            </w:r>
            <w:r w:rsidRPr="00506EE2">
              <w:rPr>
                <w:rFonts w:ascii="Verdana" w:eastAsia="Arial Narrow" w:hAnsi="Verdana" w:cs="Arial Narrow"/>
                <w:spacing w:val="-1"/>
                <w:sz w:val="22"/>
                <w:szCs w:val="22"/>
              </w:rPr>
              <w:t xml:space="preserve"> </w:t>
            </w:r>
            <w:r w:rsidRPr="00506EE2">
              <w:rPr>
                <w:rFonts w:ascii="Verdana" w:eastAsia="Arial Narrow" w:hAnsi="Verdana" w:cs="Arial Narrow"/>
                <w:sz w:val="22"/>
                <w:szCs w:val="22"/>
              </w:rPr>
              <w:t>o</w:t>
            </w:r>
            <w:r w:rsidRPr="00506EE2">
              <w:rPr>
                <w:rFonts w:ascii="Verdana" w:eastAsia="Arial Narrow" w:hAnsi="Verdana" w:cs="Arial Narrow"/>
                <w:spacing w:val="1"/>
                <w:sz w:val="22"/>
                <w:szCs w:val="22"/>
              </w:rPr>
              <w:t xml:space="preserve"> </w:t>
            </w:r>
            <w:r w:rsidRPr="00506EE2">
              <w:rPr>
                <w:rFonts w:ascii="Verdana" w:eastAsia="Arial Narrow" w:hAnsi="Verdana" w:cs="Arial Narrow"/>
                <w:sz w:val="22"/>
                <w:szCs w:val="22"/>
              </w:rPr>
              <w:t>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c</w:t>
            </w:r>
            <w:r w:rsidRPr="00506EE2">
              <w:rPr>
                <w:rFonts w:ascii="Verdana" w:eastAsia="Arial Narrow" w:hAnsi="Verdana" w:cs="Arial Narrow"/>
                <w:spacing w:val="-2"/>
                <w:sz w:val="22"/>
                <w:szCs w:val="22"/>
              </w:rPr>
              <w:t>t</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2"/>
                <w:sz w:val="22"/>
                <w:szCs w:val="22"/>
              </w:rPr>
              <w:t>I</w:t>
            </w:r>
            <w:r w:rsidRPr="00506EE2">
              <w:rPr>
                <w:rFonts w:ascii="Verdana" w:eastAsia="Arial Narrow" w:hAnsi="Verdana" w:cs="Arial Narrow"/>
                <w:spacing w:val="1"/>
                <w:sz w:val="22"/>
                <w:szCs w:val="22"/>
              </w:rPr>
              <w:t>ndu</w:t>
            </w:r>
            <w:r w:rsidRPr="00506EE2">
              <w:rPr>
                <w:rFonts w:ascii="Verdana" w:eastAsia="Arial Narrow" w:hAnsi="Verdana" w:cs="Arial Narrow"/>
                <w:sz w:val="22"/>
                <w:szCs w:val="22"/>
              </w:rPr>
              <w:t>str</w:t>
            </w:r>
            <w:r w:rsidRPr="00506EE2">
              <w:rPr>
                <w:rFonts w:ascii="Verdana" w:eastAsia="Arial Narrow" w:hAnsi="Verdana" w:cs="Arial Narrow"/>
                <w:spacing w:val="-1"/>
                <w:sz w:val="22"/>
                <w:szCs w:val="22"/>
              </w:rPr>
              <w:t>i</w:t>
            </w:r>
            <w:r w:rsidRPr="00506EE2">
              <w:rPr>
                <w:rFonts w:ascii="Verdana" w:eastAsia="Arial Narrow" w:hAnsi="Verdana" w:cs="Arial Narrow"/>
                <w:spacing w:val="1"/>
                <w:sz w:val="22"/>
                <w:szCs w:val="22"/>
              </w:rPr>
              <w:t>a</w:t>
            </w:r>
            <w:r w:rsidRPr="00506EE2">
              <w:rPr>
                <w:rFonts w:ascii="Verdana" w:eastAsia="Arial Narrow" w:hAnsi="Verdana" w:cs="Arial Narrow"/>
                <w:spacing w:val="4"/>
                <w:sz w:val="22"/>
                <w:szCs w:val="22"/>
              </w:rPr>
              <w:t>l</w:t>
            </w:r>
            <w:r w:rsidRPr="00506EE2">
              <w:rPr>
                <w:rFonts w:ascii="Verdana" w:eastAsia="Arial Narrow" w:hAnsi="Verdana" w:cs="Arial Narrow"/>
                <w:sz w:val="22"/>
                <w:szCs w:val="22"/>
              </w:rPr>
              <w:t>.</w:t>
            </w:r>
          </w:p>
          <w:p w14:paraId="3A8D6D01" w14:textId="53D834AF" w:rsidR="00194538" w:rsidRPr="00506EE2" w:rsidRDefault="00194538" w:rsidP="00EE30B7">
            <w:pPr>
              <w:ind w:right="65"/>
              <w:jc w:val="both"/>
              <w:rPr>
                <w:rFonts w:ascii="Verdana" w:eastAsia="Arial Narrow" w:hAnsi="Verdana" w:cs="Arial Narrow"/>
                <w:sz w:val="22"/>
                <w:szCs w:val="22"/>
                <w:u w:val="single"/>
              </w:rPr>
            </w:pPr>
            <w:r w:rsidRPr="00506EE2">
              <w:rPr>
                <w:rFonts w:ascii="Verdana" w:eastAsia="Arial Narrow" w:hAnsi="Verdana" w:cs="Arial Narrow"/>
                <w:spacing w:val="1"/>
                <w:sz w:val="22"/>
                <w:szCs w:val="22"/>
                <w:u w:val="single"/>
              </w:rPr>
              <w:t>Se</w:t>
            </w:r>
            <w:r w:rsidRPr="00506EE2">
              <w:rPr>
                <w:rFonts w:ascii="Verdana" w:eastAsia="Arial Narrow" w:hAnsi="Verdana" w:cs="Arial Narrow"/>
                <w:sz w:val="22"/>
                <w:szCs w:val="22"/>
                <w:u w:val="single"/>
              </w:rPr>
              <w:t>c</w:t>
            </w:r>
            <w:r w:rsidRPr="00506EE2">
              <w:rPr>
                <w:rFonts w:ascii="Verdana" w:eastAsia="Arial Narrow" w:hAnsi="Verdana" w:cs="Arial Narrow"/>
                <w:spacing w:val="-2"/>
                <w:sz w:val="22"/>
                <w:szCs w:val="22"/>
                <w:u w:val="single"/>
              </w:rPr>
              <w:t>t</w:t>
            </w:r>
            <w:r w:rsidRPr="00506EE2">
              <w:rPr>
                <w:rFonts w:ascii="Verdana" w:eastAsia="Arial Narrow" w:hAnsi="Verdana" w:cs="Arial Narrow"/>
                <w:spacing w:val="1"/>
                <w:sz w:val="22"/>
                <w:szCs w:val="22"/>
                <w:u w:val="single"/>
              </w:rPr>
              <w:t>o</w:t>
            </w:r>
            <w:r w:rsidRPr="00506EE2">
              <w:rPr>
                <w:rFonts w:ascii="Verdana" w:eastAsia="Arial Narrow" w:hAnsi="Verdana" w:cs="Arial Narrow"/>
                <w:sz w:val="22"/>
                <w:szCs w:val="22"/>
                <w:u w:val="single"/>
              </w:rPr>
              <w:t>r</w:t>
            </w:r>
            <w:r w:rsidRPr="00506EE2">
              <w:rPr>
                <w:rFonts w:ascii="Verdana" w:eastAsia="Arial Narrow" w:hAnsi="Verdana" w:cs="Arial Narrow"/>
                <w:spacing w:val="-2"/>
                <w:sz w:val="22"/>
                <w:szCs w:val="22"/>
                <w:u w:val="single"/>
              </w:rPr>
              <w:t xml:space="preserve"> </w:t>
            </w:r>
            <w:r w:rsidRPr="00506EE2">
              <w:rPr>
                <w:rFonts w:ascii="Verdana" w:eastAsia="Arial Narrow" w:hAnsi="Verdana" w:cs="Arial Narrow"/>
                <w:sz w:val="22"/>
                <w:szCs w:val="22"/>
                <w:u w:val="single"/>
              </w:rPr>
              <w:t>t</w:t>
            </w:r>
            <w:r w:rsidRPr="00506EE2">
              <w:rPr>
                <w:rFonts w:ascii="Verdana" w:eastAsia="Arial Narrow" w:hAnsi="Verdana" w:cs="Arial Narrow"/>
                <w:spacing w:val="1"/>
                <w:sz w:val="22"/>
                <w:szCs w:val="22"/>
                <w:u w:val="single"/>
              </w:rPr>
              <w:t>e</w:t>
            </w:r>
            <w:r w:rsidRPr="00506EE2">
              <w:rPr>
                <w:rFonts w:ascii="Verdana" w:eastAsia="Arial Narrow" w:hAnsi="Verdana" w:cs="Arial Narrow"/>
                <w:sz w:val="22"/>
                <w:szCs w:val="22"/>
                <w:u w:val="single"/>
              </w:rPr>
              <w:t>rc</w:t>
            </w:r>
            <w:r w:rsidRPr="00506EE2">
              <w:rPr>
                <w:rFonts w:ascii="Verdana" w:eastAsia="Arial Narrow" w:hAnsi="Verdana" w:cs="Arial Narrow"/>
                <w:spacing w:val="-1"/>
                <w:sz w:val="22"/>
                <w:szCs w:val="22"/>
                <w:u w:val="single"/>
              </w:rPr>
              <w:t>i</w:t>
            </w:r>
            <w:r w:rsidRPr="00506EE2">
              <w:rPr>
                <w:rFonts w:ascii="Verdana" w:eastAsia="Arial Narrow" w:hAnsi="Verdana" w:cs="Arial Narrow"/>
                <w:spacing w:val="1"/>
                <w:sz w:val="22"/>
                <w:szCs w:val="22"/>
                <w:u w:val="single"/>
              </w:rPr>
              <w:t>a</w:t>
            </w:r>
            <w:r w:rsidRPr="00506EE2">
              <w:rPr>
                <w:rFonts w:ascii="Verdana" w:eastAsia="Arial Narrow" w:hAnsi="Verdana" w:cs="Arial Narrow"/>
                <w:sz w:val="22"/>
                <w:szCs w:val="22"/>
                <w:u w:val="single"/>
              </w:rPr>
              <w:t>r</w:t>
            </w:r>
            <w:r w:rsidRPr="00506EE2">
              <w:rPr>
                <w:rFonts w:ascii="Verdana" w:eastAsia="Arial Narrow" w:hAnsi="Verdana" w:cs="Arial Narrow"/>
                <w:spacing w:val="-1"/>
                <w:sz w:val="22"/>
                <w:szCs w:val="22"/>
                <w:u w:val="single"/>
              </w:rPr>
              <w:t>i</w:t>
            </w:r>
            <w:r w:rsidRPr="00506EE2">
              <w:rPr>
                <w:rFonts w:ascii="Verdana" w:eastAsia="Arial Narrow" w:hAnsi="Verdana" w:cs="Arial Narrow"/>
                <w:sz w:val="22"/>
                <w:szCs w:val="22"/>
                <w:u w:val="single"/>
              </w:rPr>
              <w:t>o</w:t>
            </w:r>
            <w:r w:rsidRPr="00506EE2">
              <w:rPr>
                <w:rFonts w:ascii="Verdana" w:eastAsia="Arial Narrow" w:hAnsi="Verdana" w:cs="Arial Narrow"/>
                <w:spacing w:val="1"/>
                <w:sz w:val="22"/>
                <w:szCs w:val="22"/>
                <w:u w:val="single"/>
              </w:rPr>
              <w:t xml:space="preserve"> </w:t>
            </w:r>
            <w:r w:rsidRPr="00506EE2">
              <w:rPr>
                <w:rFonts w:ascii="Verdana" w:eastAsia="Arial Narrow" w:hAnsi="Verdana" w:cs="Arial Narrow"/>
                <w:sz w:val="22"/>
                <w:szCs w:val="22"/>
                <w:u w:val="single"/>
              </w:rPr>
              <w:t>o</w:t>
            </w:r>
            <w:r w:rsidRPr="00506EE2">
              <w:rPr>
                <w:rFonts w:ascii="Verdana" w:eastAsia="Arial Narrow" w:hAnsi="Verdana" w:cs="Arial Narrow"/>
                <w:spacing w:val="-3"/>
                <w:sz w:val="22"/>
                <w:szCs w:val="22"/>
                <w:u w:val="single"/>
              </w:rPr>
              <w:t xml:space="preserve"> </w:t>
            </w:r>
            <w:r w:rsidRPr="00506EE2">
              <w:rPr>
                <w:rFonts w:ascii="Verdana" w:eastAsia="Arial Narrow" w:hAnsi="Verdana" w:cs="Arial Narrow"/>
                <w:sz w:val="22"/>
                <w:szCs w:val="22"/>
                <w:u w:val="single"/>
              </w:rPr>
              <w:t>s</w:t>
            </w:r>
            <w:r w:rsidRPr="00506EE2">
              <w:rPr>
                <w:rFonts w:ascii="Verdana" w:eastAsia="Arial Narrow" w:hAnsi="Verdana" w:cs="Arial Narrow"/>
                <w:spacing w:val="1"/>
                <w:sz w:val="22"/>
                <w:szCs w:val="22"/>
                <w:u w:val="single"/>
              </w:rPr>
              <w:t>e</w:t>
            </w:r>
            <w:r w:rsidRPr="00506EE2">
              <w:rPr>
                <w:rFonts w:ascii="Verdana" w:eastAsia="Arial Narrow" w:hAnsi="Verdana" w:cs="Arial Narrow"/>
                <w:sz w:val="22"/>
                <w:szCs w:val="22"/>
                <w:u w:val="single"/>
              </w:rPr>
              <w:t>ct</w:t>
            </w:r>
            <w:r w:rsidRPr="00506EE2">
              <w:rPr>
                <w:rFonts w:ascii="Verdana" w:eastAsia="Arial Narrow" w:hAnsi="Verdana" w:cs="Arial Narrow"/>
                <w:spacing w:val="1"/>
                <w:sz w:val="22"/>
                <w:szCs w:val="22"/>
                <w:u w:val="single"/>
              </w:rPr>
              <w:t>o</w:t>
            </w:r>
            <w:r w:rsidRPr="00506EE2">
              <w:rPr>
                <w:rFonts w:ascii="Verdana" w:eastAsia="Arial Narrow" w:hAnsi="Verdana" w:cs="Arial Narrow"/>
                <w:sz w:val="22"/>
                <w:szCs w:val="22"/>
                <w:u w:val="single"/>
              </w:rPr>
              <w:t>r</w:t>
            </w:r>
            <w:r w:rsidRPr="00506EE2">
              <w:rPr>
                <w:rFonts w:ascii="Verdana" w:eastAsia="Arial Narrow" w:hAnsi="Verdana" w:cs="Arial Narrow"/>
                <w:spacing w:val="-1"/>
                <w:sz w:val="22"/>
                <w:szCs w:val="22"/>
                <w:u w:val="single"/>
              </w:rPr>
              <w:t xml:space="preserve"> </w:t>
            </w:r>
            <w:r w:rsidRPr="00506EE2">
              <w:rPr>
                <w:rFonts w:ascii="Verdana" w:eastAsia="Arial Narrow" w:hAnsi="Verdana" w:cs="Arial Narrow"/>
                <w:spacing w:val="-2"/>
                <w:sz w:val="22"/>
                <w:szCs w:val="22"/>
                <w:u w:val="single"/>
              </w:rPr>
              <w:t>d</w:t>
            </w:r>
            <w:r w:rsidRPr="00506EE2">
              <w:rPr>
                <w:rFonts w:ascii="Verdana" w:eastAsia="Arial Narrow" w:hAnsi="Verdana" w:cs="Arial Narrow"/>
                <w:sz w:val="22"/>
                <w:szCs w:val="22"/>
                <w:u w:val="single"/>
              </w:rPr>
              <w:t>e</w:t>
            </w:r>
            <w:r w:rsidRPr="00506EE2">
              <w:rPr>
                <w:rFonts w:ascii="Verdana" w:eastAsia="Arial Narrow" w:hAnsi="Verdana" w:cs="Arial Narrow"/>
                <w:spacing w:val="1"/>
                <w:sz w:val="22"/>
                <w:szCs w:val="22"/>
                <w:u w:val="single"/>
              </w:rPr>
              <w:t xml:space="preserve"> </w:t>
            </w:r>
            <w:r w:rsidRPr="00506EE2">
              <w:rPr>
                <w:rFonts w:ascii="Verdana" w:eastAsia="Arial Narrow" w:hAnsi="Verdana" w:cs="Arial Narrow"/>
                <w:sz w:val="22"/>
                <w:szCs w:val="22"/>
                <w:u w:val="single"/>
              </w:rPr>
              <w:t>s</w:t>
            </w:r>
            <w:r w:rsidRPr="00506EE2">
              <w:rPr>
                <w:rFonts w:ascii="Verdana" w:eastAsia="Arial Narrow" w:hAnsi="Verdana" w:cs="Arial Narrow"/>
                <w:spacing w:val="1"/>
                <w:sz w:val="22"/>
                <w:szCs w:val="22"/>
                <w:u w:val="single"/>
              </w:rPr>
              <w:t>e</w:t>
            </w:r>
            <w:r w:rsidRPr="00506EE2">
              <w:rPr>
                <w:rFonts w:ascii="Verdana" w:eastAsia="Arial Narrow" w:hAnsi="Verdana" w:cs="Arial Narrow"/>
                <w:sz w:val="22"/>
                <w:szCs w:val="22"/>
                <w:u w:val="single"/>
              </w:rPr>
              <w:t>rv</w:t>
            </w:r>
            <w:r w:rsidRPr="00506EE2">
              <w:rPr>
                <w:rFonts w:ascii="Verdana" w:eastAsia="Arial Narrow" w:hAnsi="Verdana" w:cs="Arial Narrow"/>
                <w:spacing w:val="-1"/>
                <w:sz w:val="22"/>
                <w:szCs w:val="22"/>
                <w:u w:val="single"/>
              </w:rPr>
              <w:t>i</w:t>
            </w:r>
            <w:r w:rsidRPr="00506EE2">
              <w:rPr>
                <w:rFonts w:ascii="Verdana" w:eastAsia="Arial Narrow" w:hAnsi="Verdana" w:cs="Arial Narrow"/>
                <w:sz w:val="22"/>
                <w:szCs w:val="22"/>
                <w:u w:val="single"/>
              </w:rPr>
              <w:t>cios.</w:t>
            </w:r>
          </w:p>
          <w:p w14:paraId="286A025B" w14:textId="77777777" w:rsidR="00515FC4" w:rsidRPr="00506EE2" w:rsidRDefault="00515FC4" w:rsidP="00EE30B7">
            <w:pPr>
              <w:ind w:right="65"/>
              <w:jc w:val="both"/>
              <w:rPr>
                <w:rFonts w:ascii="Verdana" w:eastAsia="Arial Narrow" w:hAnsi="Verdana" w:cs="Arial Narrow"/>
                <w:sz w:val="22"/>
                <w:szCs w:val="22"/>
                <w:u w:val="single"/>
              </w:rPr>
            </w:pPr>
          </w:p>
          <w:p w14:paraId="5E9B9F58" w14:textId="77777777" w:rsidR="00194538" w:rsidRPr="00506EE2" w:rsidRDefault="00194538" w:rsidP="00EE30B7">
            <w:pPr>
              <w:ind w:right="96"/>
              <w:jc w:val="both"/>
              <w:rPr>
                <w:rFonts w:ascii="Verdana" w:eastAsia="Arial Narrow" w:hAnsi="Verdana" w:cs="Arial Narrow"/>
                <w:b/>
                <w:sz w:val="22"/>
                <w:szCs w:val="22"/>
              </w:rPr>
            </w:pPr>
            <w:r w:rsidRPr="00506EE2">
              <w:rPr>
                <w:rFonts w:ascii="Verdana" w:eastAsia="Arial Narrow" w:hAnsi="Verdana" w:cs="Arial Narrow"/>
                <w:b/>
                <w:spacing w:val="1"/>
                <w:sz w:val="22"/>
                <w:szCs w:val="22"/>
              </w:rPr>
              <w:t>Sector primario o agropecuario</w:t>
            </w:r>
          </w:p>
          <w:p w14:paraId="133CE6F6" w14:textId="77777777" w:rsidR="00194538" w:rsidRPr="00506EE2" w:rsidRDefault="00194538" w:rsidP="00EE30B7">
            <w:pPr>
              <w:ind w:right="65"/>
              <w:jc w:val="both"/>
              <w:rPr>
                <w:rFonts w:ascii="Verdana" w:hAnsi="Verdana"/>
                <w:sz w:val="22"/>
                <w:szCs w:val="22"/>
              </w:rPr>
            </w:pPr>
            <w:r w:rsidRPr="00506EE2">
              <w:rPr>
                <w:rFonts w:ascii="Verdana" w:hAnsi="Verdana"/>
                <w:sz w:val="22"/>
                <w:szCs w:val="22"/>
              </w:rPr>
              <w:t>Es el sector que obtiene el producto de sus actividades directamente de la naturaleza, sin ningún proceso de trasformación. Dentro de este sector se encuentran la agricultura, la ganadería, la silvicultura, la caza y la pesca. No se incluyen dentro de este sector a la minería y a la extracción de petróleo, las cuales se consideran parte del sector industrial.</w:t>
            </w:r>
          </w:p>
          <w:p w14:paraId="227525BD" w14:textId="77777777" w:rsidR="00194538" w:rsidRPr="00506EE2" w:rsidRDefault="00194538" w:rsidP="00EE30B7">
            <w:pPr>
              <w:ind w:left="222" w:right="65"/>
              <w:jc w:val="both"/>
              <w:rPr>
                <w:rFonts w:ascii="Verdana" w:hAnsi="Verdana"/>
                <w:sz w:val="22"/>
                <w:szCs w:val="22"/>
              </w:rPr>
            </w:pPr>
          </w:p>
          <w:p w14:paraId="03358A3F" w14:textId="3900F190" w:rsidR="00194538" w:rsidRPr="00506EE2" w:rsidRDefault="00194538" w:rsidP="00EE30B7">
            <w:pPr>
              <w:ind w:right="65"/>
              <w:jc w:val="both"/>
              <w:rPr>
                <w:rFonts w:ascii="Verdana" w:hAnsi="Verdana"/>
                <w:b/>
                <w:sz w:val="22"/>
                <w:szCs w:val="22"/>
                <w:u w:val="single"/>
              </w:rPr>
            </w:pPr>
            <w:r w:rsidRPr="00506EE2">
              <w:rPr>
                <w:rFonts w:ascii="Verdana" w:hAnsi="Verdana"/>
                <w:b/>
                <w:sz w:val="22"/>
                <w:szCs w:val="22"/>
                <w:u w:val="single"/>
              </w:rPr>
              <w:t>Sector secundario industrial</w:t>
            </w:r>
            <w:r w:rsidR="003020BE" w:rsidRPr="00506EE2">
              <w:rPr>
                <w:rFonts w:ascii="Verdana" w:hAnsi="Verdana"/>
                <w:b/>
                <w:sz w:val="22"/>
                <w:szCs w:val="22"/>
                <w:u w:val="single"/>
              </w:rPr>
              <w:t>:</w:t>
            </w:r>
          </w:p>
          <w:p w14:paraId="56678F45" w14:textId="77777777" w:rsidR="003020BE" w:rsidRPr="00506EE2" w:rsidRDefault="003020BE" w:rsidP="00EE30B7">
            <w:pPr>
              <w:ind w:right="65"/>
              <w:jc w:val="both"/>
              <w:rPr>
                <w:rFonts w:ascii="Verdana" w:hAnsi="Verdana"/>
                <w:b/>
                <w:sz w:val="22"/>
                <w:szCs w:val="22"/>
              </w:rPr>
            </w:pPr>
          </w:p>
          <w:p w14:paraId="38054A69" w14:textId="77777777" w:rsidR="00194538" w:rsidRPr="00506EE2" w:rsidRDefault="00194538" w:rsidP="00EE30B7">
            <w:pPr>
              <w:ind w:right="65"/>
              <w:jc w:val="both"/>
              <w:rPr>
                <w:rFonts w:ascii="Verdana" w:hAnsi="Verdana"/>
                <w:sz w:val="22"/>
                <w:szCs w:val="22"/>
              </w:rPr>
            </w:pPr>
            <w:r w:rsidRPr="00506EE2">
              <w:rPr>
                <w:rFonts w:ascii="Verdana" w:hAnsi="Verdana"/>
                <w:sz w:val="22"/>
                <w:szCs w:val="22"/>
              </w:rPr>
              <w:t>Comprende todas las actividades económicas de un país relacionadas con la trasformación industrial de los alimentos y otros tipos de bienes o mercancías, los cuales se utilizan como base para la fabricación de nuevos productos.</w:t>
            </w:r>
          </w:p>
          <w:p w14:paraId="3E04687A" w14:textId="77777777" w:rsidR="00194538" w:rsidRPr="00506EE2" w:rsidRDefault="00194538" w:rsidP="00EE30B7">
            <w:pPr>
              <w:ind w:left="222" w:right="176"/>
              <w:rPr>
                <w:rFonts w:ascii="Verdana" w:hAnsi="Verdana"/>
                <w:sz w:val="22"/>
                <w:szCs w:val="22"/>
              </w:rPr>
            </w:pPr>
          </w:p>
          <w:p w14:paraId="4A28E1FE" w14:textId="77777777" w:rsidR="00194538" w:rsidRPr="00506EE2" w:rsidRDefault="00194538" w:rsidP="00EE30B7">
            <w:pPr>
              <w:ind w:right="176"/>
              <w:rPr>
                <w:rFonts w:ascii="Verdana" w:hAnsi="Verdana"/>
                <w:sz w:val="22"/>
                <w:szCs w:val="22"/>
              </w:rPr>
            </w:pPr>
            <w:r w:rsidRPr="00506EE2">
              <w:rPr>
                <w:rFonts w:ascii="Verdana" w:hAnsi="Verdana"/>
                <w:sz w:val="22"/>
                <w:szCs w:val="22"/>
              </w:rPr>
              <w:t>Se divide en dos sub-sectores: industrial extractivo e industrial de trasformación.</w:t>
            </w:r>
          </w:p>
          <w:p w14:paraId="1D72A6AA" w14:textId="77777777" w:rsidR="00194538" w:rsidRPr="00506EE2" w:rsidRDefault="00194538" w:rsidP="00EE30B7">
            <w:pPr>
              <w:ind w:left="222" w:right="176"/>
              <w:rPr>
                <w:rFonts w:ascii="Verdana" w:hAnsi="Verdana"/>
                <w:sz w:val="22"/>
                <w:szCs w:val="22"/>
              </w:rPr>
            </w:pPr>
          </w:p>
          <w:p w14:paraId="527095FB" w14:textId="77777777" w:rsidR="00194538" w:rsidRPr="00506EE2" w:rsidRDefault="00194538" w:rsidP="00EE30B7">
            <w:pPr>
              <w:ind w:right="176"/>
              <w:jc w:val="both"/>
              <w:rPr>
                <w:rFonts w:ascii="Verdana" w:hAnsi="Verdana"/>
                <w:sz w:val="22"/>
                <w:szCs w:val="22"/>
              </w:rPr>
            </w:pPr>
            <w:r w:rsidRPr="00506EE2">
              <w:rPr>
                <w:rFonts w:ascii="Verdana" w:hAnsi="Verdana"/>
                <w:b/>
                <w:sz w:val="22"/>
                <w:szCs w:val="22"/>
              </w:rPr>
              <w:t xml:space="preserve">Industrial extractivo: </w:t>
            </w:r>
            <w:r w:rsidRPr="00506EE2">
              <w:rPr>
                <w:rFonts w:ascii="Verdana" w:hAnsi="Verdana"/>
                <w:sz w:val="22"/>
                <w:szCs w:val="22"/>
              </w:rPr>
              <w:t>extracción minera y de petróleo.</w:t>
            </w:r>
          </w:p>
          <w:p w14:paraId="4436B04D" w14:textId="77777777" w:rsidR="00194538" w:rsidRPr="00506EE2" w:rsidRDefault="00194538" w:rsidP="00EE30B7">
            <w:pPr>
              <w:ind w:left="222" w:right="176"/>
              <w:jc w:val="both"/>
              <w:rPr>
                <w:rFonts w:ascii="Verdana" w:hAnsi="Verdana"/>
                <w:sz w:val="22"/>
                <w:szCs w:val="22"/>
              </w:rPr>
            </w:pPr>
          </w:p>
          <w:p w14:paraId="011645F4" w14:textId="77777777" w:rsidR="00194538" w:rsidRPr="00506EE2" w:rsidRDefault="00194538" w:rsidP="00EE30B7">
            <w:pPr>
              <w:ind w:right="176"/>
              <w:jc w:val="both"/>
              <w:rPr>
                <w:rFonts w:ascii="Verdana" w:hAnsi="Verdana"/>
                <w:sz w:val="22"/>
                <w:szCs w:val="22"/>
              </w:rPr>
            </w:pPr>
            <w:r w:rsidRPr="00506EE2">
              <w:rPr>
                <w:rFonts w:ascii="Verdana" w:hAnsi="Verdana"/>
                <w:b/>
                <w:sz w:val="22"/>
                <w:szCs w:val="22"/>
              </w:rPr>
              <w:t xml:space="preserve">Industrial de trasformación: </w:t>
            </w:r>
            <w:r w:rsidRPr="00506EE2">
              <w:rPr>
                <w:rFonts w:ascii="Verdana" w:hAnsi="Verdana"/>
                <w:sz w:val="22"/>
                <w:szCs w:val="22"/>
              </w:rPr>
              <w:t>Envasado de legumbres y frutas, embotellado de refrescos, fabricación de abonos y fertilizantes, vehículos, cementos, aparatos electrodomésticos, etc.</w:t>
            </w:r>
          </w:p>
          <w:p w14:paraId="4E865C29" w14:textId="77777777" w:rsidR="00194538" w:rsidRPr="00506EE2" w:rsidRDefault="00194538" w:rsidP="00EE30B7">
            <w:pPr>
              <w:jc w:val="both"/>
              <w:rPr>
                <w:rFonts w:ascii="Verdana" w:hAnsi="Verdana"/>
                <w:sz w:val="22"/>
                <w:szCs w:val="22"/>
              </w:rPr>
            </w:pPr>
          </w:p>
          <w:p w14:paraId="138A656B" w14:textId="77777777" w:rsidR="00194538" w:rsidRPr="00506EE2" w:rsidRDefault="00194538" w:rsidP="00EE30B7">
            <w:pPr>
              <w:ind w:right="104"/>
              <w:jc w:val="both"/>
              <w:rPr>
                <w:rFonts w:ascii="Verdana" w:eastAsia="Arial Narrow" w:hAnsi="Verdana" w:cs="Arial Narrow"/>
                <w:b/>
                <w:bCs/>
                <w:spacing w:val="22"/>
                <w:sz w:val="22"/>
                <w:szCs w:val="22"/>
              </w:rPr>
            </w:pPr>
            <w:r w:rsidRPr="00506EE2">
              <w:rPr>
                <w:rFonts w:ascii="Verdana" w:hAnsi="Verdana"/>
                <w:b/>
                <w:sz w:val="22"/>
                <w:szCs w:val="22"/>
              </w:rPr>
              <w:t>Sector terciario o de servicios</w:t>
            </w:r>
            <w:r w:rsidRPr="00506EE2">
              <w:rPr>
                <w:rFonts w:ascii="Verdana" w:eastAsia="Arial Narrow" w:hAnsi="Verdana" w:cs="Arial Narrow"/>
                <w:b/>
                <w:bCs/>
                <w:sz w:val="22"/>
                <w:szCs w:val="22"/>
              </w:rPr>
              <w:t>:</w:t>
            </w:r>
            <w:r w:rsidRPr="00506EE2">
              <w:rPr>
                <w:rFonts w:ascii="Verdana" w:eastAsia="Arial Narrow" w:hAnsi="Verdana" w:cs="Arial Narrow"/>
                <w:b/>
                <w:bCs/>
                <w:spacing w:val="22"/>
                <w:sz w:val="22"/>
                <w:szCs w:val="22"/>
              </w:rPr>
              <w:t xml:space="preserve"> </w:t>
            </w:r>
          </w:p>
          <w:p w14:paraId="3F61749E" w14:textId="77777777" w:rsidR="00194538" w:rsidRPr="00506EE2" w:rsidRDefault="00194538" w:rsidP="00EE30B7">
            <w:pPr>
              <w:ind w:left="222" w:right="104"/>
              <w:jc w:val="both"/>
              <w:rPr>
                <w:rFonts w:ascii="Verdana" w:eastAsia="Arial Narrow" w:hAnsi="Verdana" w:cs="Arial Narrow"/>
                <w:spacing w:val="-2"/>
                <w:sz w:val="22"/>
                <w:szCs w:val="22"/>
              </w:rPr>
            </w:pPr>
          </w:p>
          <w:p w14:paraId="18C39476" w14:textId="77777777" w:rsidR="00194538" w:rsidRPr="00506EE2" w:rsidRDefault="00194538" w:rsidP="00EE30B7">
            <w:pPr>
              <w:ind w:right="104"/>
              <w:jc w:val="both"/>
              <w:rPr>
                <w:rFonts w:ascii="Verdana" w:eastAsia="Arial Narrow" w:hAnsi="Verdana" w:cs="Arial Narrow"/>
                <w:sz w:val="22"/>
                <w:szCs w:val="22"/>
              </w:rPr>
            </w:pPr>
            <w:r w:rsidRPr="00506EE2">
              <w:rPr>
                <w:rFonts w:ascii="Verdana" w:eastAsia="Arial Narrow" w:hAnsi="Verdana" w:cs="Arial Narrow"/>
                <w:spacing w:val="-2"/>
                <w:sz w:val="22"/>
                <w:szCs w:val="22"/>
              </w:rPr>
              <w:t>I</w:t>
            </w:r>
            <w:r w:rsidRPr="00506EE2">
              <w:rPr>
                <w:rFonts w:ascii="Verdana" w:eastAsia="Arial Narrow" w:hAnsi="Verdana" w:cs="Arial Narrow"/>
                <w:spacing w:val="1"/>
                <w:sz w:val="22"/>
                <w:szCs w:val="22"/>
              </w:rPr>
              <w:t>n</w:t>
            </w:r>
            <w:r w:rsidRPr="00506EE2">
              <w:rPr>
                <w:rFonts w:ascii="Verdana" w:eastAsia="Arial Narrow" w:hAnsi="Verdana" w:cs="Arial Narrow"/>
                <w:sz w:val="22"/>
                <w:szCs w:val="22"/>
              </w:rPr>
              <w:t>cluye</w:t>
            </w:r>
            <w:r w:rsidRPr="00506EE2">
              <w:rPr>
                <w:rFonts w:ascii="Verdana" w:eastAsia="Arial Narrow" w:hAnsi="Verdana" w:cs="Arial Narrow"/>
                <w:spacing w:val="23"/>
                <w:sz w:val="22"/>
                <w:szCs w:val="22"/>
              </w:rPr>
              <w:t xml:space="preserve"> </w:t>
            </w:r>
            <w:r w:rsidRPr="00506EE2">
              <w:rPr>
                <w:rFonts w:ascii="Verdana" w:eastAsia="Arial Narrow" w:hAnsi="Verdana" w:cs="Arial Narrow"/>
                <w:sz w:val="22"/>
                <w:szCs w:val="22"/>
              </w:rPr>
              <w:t>t</w:t>
            </w:r>
            <w:r w:rsidRPr="00506EE2">
              <w:rPr>
                <w:rFonts w:ascii="Verdana" w:eastAsia="Arial Narrow" w:hAnsi="Verdana" w:cs="Arial Narrow"/>
                <w:spacing w:val="1"/>
                <w:sz w:val="22"/>
                <w:szCs w:val="22"/>
              </w:rPr>
              <w:t>oda</w:t>
            </w:r>
            <w:r w:rsidRPr="00506EE2">
              <w:rPr>
                <w:rFonts w:ascii="Verdana" w:eastAsia="Arial Narrow" w:hAnsi="Verdana" w:cs="Arial Narrow"/>
                <w:sz w:val="22"/>
                <w:szCs w:val="22"/>
              </w:rPr>
              <w:t>s</w:t>
            </w:r>
            <w:r w:rsidRPr="00506EE2">
              <w:rPr>
                <w:rFonts w:ascii="Verdana" w:eastAsia="Arial Narrow" w:hAnsi="Verdana" w:cs="Arial Narrow"/>
                <w:spacing w:val="22"/>
                <w:sz w:val="22"/>
                <w:szCs w:val="22"/>
              </w:rPr>
              <w:t xml:space="preserve"> </w:t>
            </w:r>
            <w:r w:rsidRPr="00506EE2">
              <w:rPr>
                <w:rFonts w:ascii="Verdana" w:eastAsia="Arial Narrow" w:hAnsi="Verdana" w:cs="Arial Narrow"/>
                <w:spacing w:val="1"/>
                <w:sz w:val="22"/>
                <w:szCs w:val="22"/>
              </w:rPr>
              <w:t>a</w:t>
            </w:r>
            <w:r w:rsidRPr="00506EE2">
              <w:rPr>
                <w:rFonts w:ascii="Verdana" w:eastAsia="Arial Narrow" w:hAnsi="Verdana" w:cs="Arial Narrow"/>
                <w:spacing w:val="-1"/>
                <w:sz w:val="22"/>
                <w:szCs w:val="22"/>
              </w:rPr>
              <w:t>q</w:t>
            </w:r>
            <w:r w:rsidRPr="00506EE2">
              <w:rPr>
                <w:rFonts w:ascii="Verdana" w:eastAsia="Arial Narrow" w:hAnsi="Verdana" w:cs="Arial Narrow"/>
                <w:spacing w:val="1"/>
                <w:sz w:val="22"/>
                <w:szCs w:val="22"/>
              </w:rPr>
              <w:t>ue</w:t>
            </w:r>
            <w:r w:rsidRPr="00506EE2">
              <w:rPr>
                <w:rFonts w:ascii="Verdana" w:eastAsia="Arial Narrow" w:hAnsi="Verdana" w:cs="Arial Narrow"/>
                <w:sz w:val="22"/>
                <w:szCs w:val="22"/>
              </w:rPr>
              <w:t>l</w:t>
            </w:r>
            <w:r w:rsidRPr="00506EE2">
              <w:rPr>
                <w:rFonts w:ascii="Verdana" w:eastAsia="Arial Narrow" w:hAnsi="Verdana" w:cs="Arial Narrow"/>
                <w:spacing w:val="-1"/>
                <w:sz w:val="22"/>
                <w:szCs w:val="22"/>
              </w:rPr>
              <w:t>l</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s</w:t>
            </w:r>
            <w:r w:rsidRPr="00506EE2">
              <w:rPr>
                <w:rFonts w:ascii="Verdana" w:eastAsia="Arial Narrow" w:hAnsi="Verdana" w:cs="Arial Narrow"/>
                <w:spacing w:val="24"/>
                <w:sz w:val="22"/>
                <w:szCs w:val="22"/>
              </w:rPr>
              <w:t xml:space="preserve"> </w:t>
            </w:r>
            <w:r w:rsidRPr="00506EE2">
              <w:rPr>
                <w:rFonts w:ascii="Verdana" w:eastAsia="Arial Narrow" w:hAnsi="Verdana" w:cs="Arial Narrow"/>
                <w:spacing w:val="1"/>
                <w:sz w:val="22"/>
                <w:szCs w:val="22"/>
              </w:rPr>
              <w:t>a</w:t>
            </w:r>
            <w:r w:rsidRPr="00506EE2">
              <w:rPr>
                <w:rFonts w:ascii="Verdana" w:eastAsia="Arial Narrow" w:hAnsi="Verdana" w:cs="Arial Narrow"/>
                <w:spacing w:val="-2"/>
                <w:sz w:val="22"/>
                <w:szCs w:val="22"/>
              </w:rPr>
              <w:t>c</w:t>
            </w:r>
            <w:r w:rsidRPr="00506EE2">
              <w:rPr>
                <w:rFonts w:ascii="Verdana" w:eastAsia="Arial Narrow" w:hAnsi="Verdana" w:cs="Arial Narrow"/>
                <w:sz w:val="22"/>
                <w:szCs w:val="22"/>
              </w:rPr>
              <w:t>tivid</w:t>
            </w:r>
            <w:r w:rsidRPr="00506EE2">
              <w:rPr>
                <w:rFonts w:ascii="Verdana" w:eastAsia="Arial Narrow" w:hAnsi="Verdana" w:cs="Arial Narrow"/>
                <w:spacing w:val="1"/>
                <w:sz w:val="22"/>
                <w:szCs w:val="22"/>
              </w:rPr>
              <w:t>a</w:t>
            </w:r>
            <w:r w:rsidRPr="00506EE2">
              <w:rPr>
                <w:rFonts w:ascii="Verdana" w:eastAsia="Arial Narrow" w:hAnsi="Verdana" w:cs="Arial Narrow"/>
                <w:spacing w:val="-1"/>
                <w:sz w:val="22"/>
                <w:szCs w:val="22"/>
              </w:rPr>
              <w:t>d</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s</w:t>
            </w:r>
            <w:r w:rsidRPr="00506EE2">
              <w:rPr>
                <w:rFonts w:ascii="Verdana" w:eastAsia="Arial Narrow" w:hAnsi="Verdana" w:cs="Arial Narrow"/>
                <w:spacing w:val="22"/>
                <w:sz w:val="22"/>
                <w:szCs w:val="22"/>
              </w:rPr>
              <w:t xml:space="preserve"> </w:t>
            </w:r>
            <w:r w:rsidRPr="00506EE2">
              <w:rPr>
                <w:rFonts w:ascii="Verdana" w:eastAsia="Arial Narrow" w:hAnsi="Verdana" w:cs="Arial Narrow"/>
                <w:spacing w:val="1"/>
                <w:sz w:val="22"/>
                <w:szCs w:val="22"/>
              </w:rPr>
              <w:t>qu</w:t>
            </w:r>
            <w:r w:rsidRPr="00506EE2">
              <w:rPr>
                <w:rFonts w:ascii="Verdana" w:eastAsia="Arial Narrow" w:hAnsi="Verdana" w:cs="Arial Narrow"/>
                <w:sz w:val="22"/>
                <w:szCs w:val="22"/>
              </w:rPr>
              <w:t>e</w:t>
            </w:r>
            <w:r w:rsidRPr="00506EE2">
              <w:rPr>
                <w:rFonts w:ascii="Verdana" w:eastAsia="Arial Narrow" w:hAnsi="Verdana" w:cs="Arial Narrow"/>
                <w:spacing w:val="23"/>
                <w:sz w:val="22"/>
                <w:szCs w:val="22"/>
              </w:rPr>
              <w:t xml:space="preserve"> </w:t>
            </w:r>
            <w:r w:rsidRPr="00506EE2">
              <w:rPr>
                <w:rFonts w:ascii="Verdana" w:eastAsia="Arial Narrow" w:hAnsi="Verdana" w:cs="Arial Narrow"/>
                <w:spacing w:val="1"/>
                <w:sz w:val="22"/>
                <w:szCs w:val="22"/>
              </w:rPr>
              <w:t>n</w:t>
            </w:r>
            <w:r w:rsidRPr="00506EE2">
              <w:rPr>
                <w:rFonts w:ascii="Verdana" w:eastAsia="Arial Narrow" w:hAnsi="Verdana" w:cs="Arial Narrow"/>
                <w:sz w:val="22"/>
                <w:szCs w:val="22"/>
              </w:rPr>
              <w:t>o</w:t>
            </w:r>
            <w:r w:rsidRPr="00506EE2">
              <w:rPr>
                <w:rFonts w:ascii="Verdana" w:eastAsia="Arial Narrow" w:hAnsi="Verdana" w:cs="Arial Narrow"/>
                <w:spacing w:val="23"/>
                <w:sz w:val="22"/>
                <w:szCs w:val="22"/>
              </w:rPr>
              <w:t xml:space="preserve"> </w:t>
            </w:r>
            <w:r w:rsidRPr="00506EE2">
              <w:rPr>
                <w:rFonts w:ascii="Verdana" w:eastAsia="Arial Narrow" w:hAnsi="Verdana" w:cs="Arial Narrow"/>
                <w:spacing w:val="1"/>
                <w:sz w:val="22"/>
                <w:szCs w:val="22"/>
              </w:rPr>
              <w:t>p</w:t>
            </w:r>
            <w:r w:rsidRPr="00506EE2">
              <w:rPr>
                <w:rFonts w:ascii="Verdana" w:eastAsia="Arial Narrow" w:hAnsi="Verdana" w:cs="Arial Narrow"/>
                <w:sz w:val="22"/>
                <w:szCs w:val="22"/>
              </w:rPr>
              <w:t>ro</w:t>
            </w:r>
            <w:r w:rsidRPr="00506EE2">
              <w:rPr>
                <w:rFonts w:ascii="Verdana" w:eastAsia="Arial Narrow" w:hAnsi="Verdana" w:cs="Arial Narrow"/>
                <w:spacing w:val="1"/>
                <w:sz w:val="22"/>
                <w:szCs w:val="22"/>
              </w:rPr>
              <w:t>du</w:t>
            </w:r>
            <w:r w:rsidRPr="00506EE2">
              <w:rPr>
                <w:rFonts w:ascii="Verdana" w:eastAsia="Arial Narrow" w:hAnsi="Verdana" w:cs="Arial Narrow"/>
                <w:spacing w:val="-2"/>
                <w:sz w:val="22"/>
                <w:szCs w:val="22"/>
              </w:rPr>
              <w:t>c</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n</w:t>
            </w:r>
            <w:r w:rsidRPr="00506EE2">
              <w:rPr>
                <w:rFonts w:ascii="Verdana" w:eastAsia="Arial Narrow" w:hAnsi="Verdana" w:cs="Arial Narrow"/>
                <w:spacing w:val="23"/>
                <w:sz w:val="22"/>
                <w:szCs w:val="22"/>
              </w:rPr>
              <w:t xml:space="preserve"> </w:t>
            </w:r>
            <w:r w:rsidRPr="00506EE2">
              <w:rPr>
                <w:rFonts w:ascii="Verdana" w:eastAsia="Arial Narrow" w:hAnsi="Verdana" w:cs="Arial Narrow"/>
                <w:spacing w:val="1"/>
                <w:sz w:val="22"/>
                <w:szCs w:val="22"/>
              </w:rPr>
              <w:t>u</w:t>
            </w:r>
            <w:r w:rsidRPr="00506EE2">
              <w:rPr>
                <w:rFonts w:ascii="Verdana" w:eastAsia="Arial Narrow" w:hAnsi="Verdana" w:cs="Arial Narrow"/>
                <w:spacing w:val="-1"/>
                <w:sz w:val="22"/>
                <w:szCs w:val="22"/>
              </w:rPr>
              <w:t>n</w:t>
            </w:r>
            <w:r w:rsidRPr="00506EE2">
              <w:rPr>
                <w:rFonts w:ascii="Verdana" w:eastAsia="Arial Narrow" w:hAnsi="Verdana" w:cs="Arial Narrow"/>
                <w:sz w:val="22"/>
                <w:szCs w:val="22"/>
              </w:rPr>
              <w:t>a</w:t>
            </w:r>
            <w:r w:rsidRPr="00506EE2">
              <w:rPr>
                <w:rFonts w:ascii="Verdana" w:eastAsia="Arial Narrow" w:hAnsi="Verdana" w:cs="Arial Narrow"/>
                <w:spacing w:val="25"/>
                <w:sz w:val="22"/>
                <w:szCs w:val="22"/>
              </w:rPr>
              <w:t xml:space="preserve"> </w:t>
            </w:r>
            <w:r w:rsidRPr="00506EE2">
              <w:rPr>
                <w:rFonts w:ascii="Verdana" w:eastAsia="Arial Narrow" w:hAnsi="Verdana" w:cs="Arial Narrow"/>
                <w:spacing w:val="-1"/>
                <w:sz w:val="22"/>
                <w:szCs w:val="22"/>
              </w:rPr>
              <w:t>m</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rca</w:t>
            </w:r>
            <w:r w:rsidRPr="00506EE2">
              <w:rPr>
                <w:rFonts w:ascii="Verdana" w:eastAsia="Arial Narrow" w:hAnsi="Verdana" w:cs="Arial Narrow"/>
                <w:spacing w:val="1"/>
                <w:sz w:val="22"/>
                <w:szCs w:val="22"/>
              </w:rPr>
              <w:t>n</w:t>
            </w:r>
            <w:r w:rsidRPr="00506EE2">
              <w:rPr>
                <w:rFonts w:ascii="Verdana" w:eastAsia="Arial Narrow" w:hAnsi="Verdana" w:cs="Arial Narrow"/>
                <w:sz w:val="22"/>
                <w:szCs w:val="22"/>
              </w:rPr>
              <w:t>cía</w:t>
            </w:r>
            <w:r w:rsidRPr="00506EE2">
              <w:rPr>
                <w:rFonts w:ascii="Verdana" w:eastAsia="Arial Narrow" w:hAnsi="Verdana" w:cs="Arial Narrow"/>
                <w:spacing w:val="23"/>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n</w:t>
            </w:r>
            <w:r w:rsidRPr="00506EE2">
              <w:rPr>
                <w:rFonts w:ascii="Verdana" w:eastAsia="Arial Narrow" w:hAnsi="Verdana" w:cs="Arial Narrow"/>
                <w:spacing w:val="25"/>
                <w:sz w:val="22"/>
                <w:szCs w:val="22"/>
              </w:rPr>
              <w:t xml:space="preserve"> </w:t>
            </w:r>
            <w:r w:rsidRPr="00506EE2">
              <w:rPr>
                <w:rFonts w:ascii="Verdana" w:eastAsia="Arial Narrow" w:hAnsi="Verdana" w:cs="Arial Narrow"/>
                <w:spacing w:val="-2"/>
                <w:sz w:val="22"/>
                <w:szCs w:val="22"/>
              </w:rPr>
              <w:t>s</w:t>
            </w:r>
            <w:r w:rsidRPr="00506EE2">
              <w:rPr>
                <w:rFonts w:ascii="Verdana" w:eastAsia="Arial Narrow" w:hAnsi="Verdana" w:cs="Arial Narrow"/>
                <w:sz w:val="22"/>
                <w:szCs w:val="22"/>
              </w:rPr>
              <w:t>í,</w:t>
            </w:r>
            <w:r w:rsidRPr="00506EE2">
              <w:rPr>
                <w:rFonts w:ascii="Verdana" w:eastAsia="Arial Narrow" w:hAnsi="Verdana" w:cs="Arial Narrow"/>
                <w:spacing w:val="25"/>
                <w:sz w:val="22"/>
                <w:szCs w:val="22"/>
              </w:rPr>
              <w:t xml:space="preserve"> </w:t>
            </w:r>
            <w:r w:rsidRPr="00506EE2">
              <w:rPr>
                <w:rFonts w:ascii="Verdana" w:eastAsia="Arial Narrow" w:hAnsi="Verdana" w:cs="Arial Narrow"/>
                <w:spacing w:val="-1"/>
                <w:sz w:val="22"/>
                <w:szCs w:val="22"/>
              </w:rPr>
              <w:t>p</w:t>
            </w:r>
            <w:r w:rsidRPr="00506EE2">
              <w:rPr>
                <w:rFonts w:ascii="Verdana" w:eastAsia="Arial Narrow" w:hAnsi="Verdana" w:cs="Arial Narrow"/>
                <w:spacing w:val="1"/>
                <w:sz w:val="22"/>
                <w:szCs w:val="22"/>
              </w:rPr>
              <w:t>e</w:t>
            </w:r>
            <w:r w:rsidRPr="00506EE2">
              <w:rPr>
                <w:rFonts w:ascii="Verdana" w:eastAsia="Arial Narrow" w:hAnsi="Verdana" w:cs="Arial Narrow"/>
                <w:spacing w:val="-3"/>
                <w:sz w:val="22"/>
                <w:szCs w:val="22"/>
              </w:rPr>
              <w:t>r</w:t>
            </w:r>
            <w:r w:rsidRPr="00506EE2">
              <w:rPr>
                <w:rFonts w:ascii="Verdana" w:eastAsia="Arial Narrow" w:hAnsi="Verdana" w:cs="Arial Narrow"/>
                <w:sz w:val="22"/>
                <w:szCs w:val="22"/>
              </w:rPr>
              <w:t xml:space="preserve">o </w:t>
            </w:r>
            <w:r w:rsidRPr="00506EE2">
              <w:rPr>
                <w:rFonts w:ascii="Verdana" w:eastAsia="Arial Narrow" w:hAnsi="Verdana" w:cs="Arial Narrow"/>
                <w:spacing w:val="1"/>
                <w:sz w:val="22"/>
                <w:szCs w:val="22"/>
              </w:rPr>
              <w:t>qu</w:t>
            </w:r>
            <w:r w:rsidRPr="00506EE2">
              <w:rPr>
                <w:rFonts w:ascii="Verdana" w:eastAsia="Arial Narrow" w:hAnsi="Verdana" w:cs="Arial Narrow"/>
                <w:sz w:val="22"/>
                <w:szCs w:val="22"/>
              </w:rPr>
              <w:t>e</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s</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n</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ne</w:t>
            </w:r>
            <w:r w:rsidRPr="00506EE2">
              <w:rPr>
                <w:rFonts w:ascii="Verdana" w:eastAsia="Arial Narrow" w:hAnsi="Verdana" w:cs="Arial Narrow"/>
                <w:sz w:val="22"/>
                <w:szCs w:val="22"/>
              </w:rPr>
              <w:t>c</w:t>
            </w:r>
            <w:r w:rsidRPr="00506EE2">
              <w:rPr>
                <w:rFonts w:ascii="Verdana" w:eastAsia="Arial Narrow" w:hAnsi="Verdana" w:cs="Arial Narrow"/>
                <w:spacing w:val="1"/>
                <w:sz w:val="22"/>
                <w:szCs w:val="22"/>
              </w:rPr>
              <w:t>e</w:t>
            </w:r>
            <w:r w:rsidRPr="00506EE2">
              <w:rPr>
                <w:rFonts w:ascii="Verdana" w:eastAsia="Arial Narrow" w:hAnsi="Verdana" w:cs="Arial Narrow"/>
                <w:spacing w:val="-2"/>
                <w:sz w:val="22"/>
                <w:szCs w:val="22"/>
              </w:rPr>
              <w:t>s</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r</w:t>
            </w:r>
            <w:r w:rsidRPr="00506EE2">
              <w:rPr>
                <w:rFonts w:ascii="Verdana" w:eastAsia="Arial Narrow" w:hAnsi="Verdana" w:cs="Arial Narrow"/>
                <w:spacing w:val="-1"/>
                <w:sz w:val="22"/>
                <w:szCs w:val="22"/>
              </w:rPr>
              <w:t>i</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s</w:t>
            </w:r>
            <w:r w:rsidRPr="00506EE2">
              <w:rPr>
                <w:rFonts w:ascii="Verdana" w:eastAsia="Arial Narrow" w:hAnsi="Verdana" w:cs="Arial Narrow"/>
                <w:spacing w:val="2"/>
                <w:sz w:val="22"/>
                <w:szCs w:val="22"/>
              </w:rPr>
              <w:t xml:space="preserve"> </w:t>
            </w:r>
            <w:r w:rsidRPr="00506EE2">
              <w:rPr>
                <w:rFonts w:ascii="Verdana" w:eastAsia="Arial Narrow" w:hAnsi="Verdana" w:cs="Arial Narrow"/>
                <w:spacing w:val="1"/>
                <w:sz w:val="22"/>
                <w:szCs w:val="22"/>
              </w:rPr>
              <w:t>pa</w:t>
            </w:r>
            <w:r w:rsidRPr="00506EE2">
              <w:rPr>
                <w:rFonts w:ascii="Verdana" w:eastAsia="Arial Narrow" w:hAnsi="Verdana" w:cs="Arial Narrow"/>
                <w:sz w:val="22"/>
                <w:szCs w:val="22"/>
              </w:rPr>
              <w:t xml:space="preserve">ra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5"/>
                <w:sz w:val="22"/>
                <w:szCs w:val="22"/>
              </w:rPr>
              <w:t>f</w:t>
            </w:r>
            <w:r w:rsidRPr="00506EE2">
              <w:rPr>
                <w:rFonts w:ascii="Verdana" w:eastAsia="Arial Narrow" w:hAnsi="Verdana" w:cs="Arial Narrow"/>
                <w:spacing w:val="1"/>
                <w:sz w:val="22"/>
                <w:szCs w:val="22"/>
              </w:rPr>
              <w:t>un</w:t>
            </w:r>
            <w:r w:rsidRPr="00506EE2">
              <w:rPr>
                <w:rFonts w:ascii="Verdana" w:eastAsia="Arial Narrow" w:hAnsi="Verdana" w:cs="Arial Narrow"/>
                <w:sz w:val="22"/>
                <w:szCs w:val="22"/>
              </w:rPr>
              <w:t>cio</w:t>
            </w:r>
            <w:r w:rsidRPr="00506EE2">
              <w:rPr>
                <w:rFonts w:ascii="Verdana" w:eastAsia="Arial Narrow" w:hAnsi="Verdana" w:cs="Arial Narrow"/>
                <w:spacing w:val="-1"/>
                <w:sz w:val="22"/>
                <w:szCs w:val="22"/>
              </w:rPr>
              <w:t>n</w:t>
            </w:r>
            <w:r w:rsidRPr="00506EE2">
              <w:rPr>
                <w:rFonts w:ascii="Verdana" w:eastAsia="Arial Narrow" w:hAnsi="Verdana" w:cs="Arial Narrow"/>
                <w:spacing w:val="1"/>
                <w:sz w:val="22"/>
                <w:szCs w:val="22"/>
              </w:rPr>
              <w:t>a</w:t>
            </w:r>
            <w:r w:rsidRPr="00506EE2">
              <w:rPr>
                <w:rFonts w:ascii="Verdana" w:eastAsia="Arial Narrow" w:hAnsi="Verdana" w:cs="Arial Narrow"/>
                <w:spacing w:val="-1"/>
                <w:sz w:val="22"/>
                <w:szCs w:val="22"/>
              </w:rPr>
              <w:t>m</w:t>
            </w:r>
            <w:r w:rsidRPr="00506EE2">
              <w:rPr>
                <w:rFonts w:ascii="Verdana" w:eastAsia="Arial Narrow" w:hAnsi="Verdana" w:cs="Arial Narrow"/>
                <w:sz w:val="22"/>
                <w:szCs w:val="22"/>
              </w:rPr>
              <w:t>ie</w:t>
            </w:r>
            <w:r w:rsidRPr="00506EE2">
              <w:rPr>
                <w:rFonts w:ascii="Verdana" w:eastAsia="Arial Narrow" w:hAnsi="Verdana" w:cs="Arial Narrow"/>
                <w:spacing w:val="1"/>
                <w:sz w:val="22"/>
                <w:szCs w:val="22"/>
              </w:rPr>
              <w:t>n</w:t>
            </w:r>
            <w:r w:rsidRPr="00506EE2">
              <w:rPr>
                <w:rFonts w:ascii="Verdana" w:eastAsia="Arial Narrow" w:hAnsi="Verdana" w:cs="Arial Narrow"/>
                <w:spacing w:val="-2"/>
                <w:sz w:val="22"/>
                <w:szCs w:val="22"/>
              </w:rPr>
              <w:t>t</w:t>
            </w:r>
            <w:r w:rsidRPr="00506EE2">
              <w:rPr>
                <w:rFonts w:ascii="Verdana" w:eastAsia="Arial Narrow" w:hAnsi="Verdana" w:cs="Arial Narrow"/>
                <w:sz w:val="22"/>
                <w:szCs w:val="22"/>
              </w:rPr>
              <w:t>o</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d</w:t>
            </w:r>
            <w:r w:rsidRPr="00506EE2">
              <w:rPr>
                <w:rFonts w:ascii="Verdana" w:eastAsia="Arial Narrow" w:hAnsi="Verdana" w:cs="Arial Narrow"/>
                <w:sz w:val="22"/>
                <w:szCs w:val="22"/>
              </w:rPr>
              <w:t>e</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la</w:t>
            </w:r>
            <w:r w:rsidRPr="00506EE2">
              <w:rPr>
                <w:rFonts w:ascii="Verdana" w:eastAsia="Arial Narrow" w:hAnsi="Verdana" w:cs="Arial Narrow"/>
                <w:spacing w:val="2"/>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pacing w:val="-2"/>
                <w:sz w:val="22"/>
                <w:szCs w:val="22"/>
              </w:rPr>
              <w:t>c</w:t>
            </w:r>
            <w:r w:rsidRPr="00506EE2">
              <w:rPr>
                <w:rFonts w:ascii="Verdana" w:eastAsia="Arial Narrow" w:hAnsi="Verdana" w:cs="Arial Narrow"/>
                <w:spacing w:val="1"/>
                <w:sz w:val="22"/>
                <w:szCs w:val="22"/>
              </w:rPr>
              <w:t>ono</w:t>
            </w:r>
            <w:r w:rsidRPr="00506EE2">
              <w:rPr>
                <w:rFonts w:ascii="Verdana" w:eastAsia="Arial Narrow" w:hAnsi="Verdana" w:cs="Arial Narrow"/>
                <w:spacing w:val="-1"/>
                <w:sz w:val="22"/>
                <w:szCs w:val="22"/>
              </w:rPr>
              <w:t>m</w:t>
            </w:r>
            <w:r w:rsidRPr="00506EE2">
              <w:rPr>
                <w:rFonts w:ascii="Verdana" w:eastAsia="Arial Narrow" w:hAnsi="Verdana" w:cs="Arial Narrow"/>
                <w:sz w:val="22"/>
                <w:szCs w:val="22"/>
              </w:rPr>
              <w:t>í</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w:t>
            </w:r>
            <w:r w:rsidRPr="00506EE2">
              <w:rPr>
                <w:rFonts w:ascii="Verdana" w:eastAsia="Arial Narrow" w:hAnsi="Verdana" w:cs="Arial Narrow"/>
                <w:spacing w:val="2"/>
                <w:sz w:val="22"/>
                <w:szCs w:val="22"/>
              </w:rPr>
              <w:t xml:space="preserve"> </w:t>
            </w:r>
            <w:r w:rsidRPr="00506EE2">
              <w:rPr>
                <w:rFonts w:ascii="Verdana" w:eastAsia="Arial Narrow" w:hAnsi="Verdana" w:cs="Arial Narrow"/>
                <w:sz w:val="22"/>
                <w:szCs w:val="22"/>
              </w:rPr>
              <w:t>Como</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jempl</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s</w:t>
            </w:r>
            <w:r w:rsidRPr="00506EE2">
              <w:rPr>
                <w:rFonts w:ascii="Verdana" w:eastAsia="Arial Narrow" w:hAnsi="Verdana" w:cs="Arial Narrow"/>
                <w:spacing w:val="2"/>
                <w:sz w:val="22"/>
                <w:szCs w:val="22"/>
              </w:rPr>
              <w:t xml:space="preserve"> </w:t>
            </w:r>
            <w:r w:rsidRPr="00506EE2">
              <w:rPr>
                <w:rFonts w:ascii="Verdana" w:eastAsia="Arial Narrow" w:hAnsi="Verdana" w:cs="Arial Narrow"/>
                <w:spacing w:val="-1"/>
                <w:sz w:val="22"/>
                <w:szCs w:val="22"/>
              </w:rPr>
              <w:t>d</w:t>
            </w:r>
            <w:r w:rsidRPr="00506EE2">
              <w:rPr>
                <w:rFonts w:ascii="Verdana" w:eastAsia="Arial Narrow" w:hAnsi="Verdana" w:cs="Arial Narrow"/>
                <w:sz w:val="22"/>
                <w:szCs w:val="22"/>
              </w:rPr>
              <w:t>e</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w:t>
            </w:r>
            <w:r w:rsidRPr="00506EE2">
              <w:rPr>
                <w:rFonts w:ascii="Verdana" w:eastAsia="Arial Narrow" w:hAnsi="Verdana" w:cs="Arial Narrow"/>
                <w:spacing w:val="-1"/>
                <w:sz w:val="22"/>
                <w:szCs w:val="22"/>
              </w:rPr>
              <w:t>l</w:t>
            </w:r>
            <w:r w:rsidRPr="00506EE2">
              <w:rPr>
                <w:rFonts w:ascii="Verdana" w:eastAsia="Arial Narrow" w:hAnsi="Verdana" w:cs="Arial Narrow"/>
                <w:sz w:val="22"/>
                <w:szCs w:val="22"/>
              </w:rPr>
              <w:t>o</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t</w:t>
            </w:r>
            <w:r w:rsidRPr="00506EE2">
              <w:rPr>
                <w:rFonts w:ascii="Verdana" w:eastAsia="Arial Narrow" w:hAnsi="Verdana" w:cs="Arial Narrow"/>
                <w:spacing w:val="1"/>
                <w:sz w:val="22"/>
                <w:szCs w:val="22"/>
              </w:rPr>
              <w:t>ene</w:t>
            </w:r>
            <w:r w:rsidRPr="00506EE2">
              <w:rPr>
                <w:rFonts w:ascii="Verdana" w:eastAsia="Arial Narrow" w:hAnsi="Verdana" w:cs="Arial Narrow"/>
                <w:spacing w:val="-3"/>
                <w:sz w:val="22"/>
                <w:szCs w:val="22"/>
              </w:rPr>
              <w:t>m</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s</w:t>
            </w:r>
            <w:r w:rsidRPr="00506EE2">
              <w:rPr>
                <w:rFonts w:ascii="Verdana" w:eastAsia="Arial Narrow" w:hAnsi="Verdana" w:cs="Arial Narrow"/>
                <w:spacing w:val="2"/>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 c</w:t>
            </w:r>
            <w:r w:rsidRPr="00506EE2">
              <w:rPr>
                <w:rFonts w:ascii="Verdana" w:eastAsia="Arial Narrow" w:hAnsi="Verdana" w:cs="Arial Narrow"/>
                <w:spacing w:val="1"/>
                <w:sz w:val="22"/>
                <w:szCs w:val="22"/>
              </w:rPr>
              <w:t>o</w:t>
            </w:r>
            <w:r w:rsidRPr="00506EE2">
              <w:rPr>
                <w:rFonts w:ascii="Verdana" w:eastAsia="Arial Narrow" w:hAnsi="Verdana" w:cs="Arial Narrow"/>
                <w:spacing w:val="-1"/>
                <w:sz w:val="22"/>
                <w:szCs w:val="22"/>
              </w:rPr>
              <w:t>m</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rc</w:t>
            </w:r>
            <w:r w:rsidRPr="00506EE2">
              <w:rPr>
                <w:rFonts w:ascii="Verdana" w:eastAsia="Arial Narrow" w:hAnsi="Verdana" w:cs="Arial Narrow"/>
                <w:spacing w:val="-1"/>
                <w:sz w:val="22"/>
                <w:szCs w:val="22"/>
              </w:rPr>
              <w:t>i</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los</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3"/>
                <w:sz w:val="22"/>
                <w:szCs w:val="22"/>
              </w:rPr>
              <w:t>r</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st</w:t>
            </w:r>
            <w:r w:rsidRPr="00506EE2">
              <w:rPr>
                <w:rFonts w:ascii="Verdana" w:eastAsia="Arial Narrow" w:hAnsi="Verdana" w:cs="Arial Narrow"/>
                <w:spacing w:val="1"/>
                <w:sz w:val="22"/>
                <w:szCs w:val="22"/>
              </w:rPr>
              <w:t>au</w:t>
            </w:r>
            <w:r w:rsidRPr="00506EE2">
              <w:rPr>
                <w:rFonts w:ascii="Verdana" w:eastAsia="Arial Narrow" w:hAnsi="Verdana" w:cs="Arial Narrow"/>
                <w:spacing w:val="-3"/>
                <w:sz w:val="22"/>
                <w:szCs w:val="22"/>
              </w:rPr>
              <w:t>r</w:t>
            </w:r>
            <w:r w:rsidRPr="00506EE2">
              <w:rPr>
                <w:rFonts w:ascii="Verdana" w:eastAsia="Arial Narrow" w:hAnsi="Verdana" w:cs="Arial Narrow"/>
                <w:spacing w:val="1"/>
                <w:sz w:val="22"/>
                <w:szCs w:val="22"/>
              </w:rPr>
              <w:t>an</w:t>
            </w:r>
            <w:r w:rsidRPr="00506EE2">
              <w:rPr>
                <w:rFonts w:ascii="Verdana" w:eastAsia="Arial Narrow" w:hAnsi="Verdana" w:cs="Arial Narrow"/>
                <w:spacing w:val="-2"/>
                <w:sz w:val="22"/>
                <w:szCs w:val="22"/>
              </w:rPr>
              <w:t>t</w:t>
            </w:r>
            <w:r w:rsidRPr="00506EE2">
              <w:rPr>
                <w:rFonts w:ascii="Verdana" w:eastAsia="Arial Narrow" w:hAnsi="Verdana" w:cs="Arial Narrow"/>
                <w:spacing w:val="1"/>
                <w:sz w:val="22"/>
                <w:szCs w:val="22"/>
              </w:rPr>
              <w:t>e</w:t>
            </w:r>
            <w:r w:rsidRPr="00506EE2">
              <w:rPr>
                <w:rFonts w:ascii="Verdana" w:eastAsia="Arial Narrow" w:hAnsi="Verdana" w:cs="Arial Narrow"/>
                <w:spacing w:val="3"/>
                <w:sz w:val="22"/>
                <w:szCs w:val="22"/>
              </w:rPr>
              <w:t>s</w:t>
            </w:r>
            <w:r w:rsidRPr="00506EE2">
              <w:rPr>
                <w:rFonts w:ascii="Verdana" w:eastAsia="Arial Narrow" w:hAnsi="Verdana" w:cs="Arial Narrow"/>
                <w:sz w:val="22"/>
                <w:szCs w:val="22"/>
              </w:rPr>
              <w:t>, los</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h</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t</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le</w:t>
            </w:r>
            <w:r w:rsidRPr="00506EE2">
              <w:rPr>
                <w:rFonts w:ascii="Verdana" w:eastAsia="Arial Narrow" w:hAnsi="Verdana" w:cs="Arial Narrow"/>
                <w:spacing w:val="-2"/>
                <w:sz w:val="22"/>
                <w:szCs w:val="22"/>
              </w:rPr>
              <w:t>s</w:t>
            </w:r>
            <w:r w:rsidRPr="00506EE2">
              <w:rPr>
                <w:rFonts w:ascii="Verdana" w:eastAsia="Arial Narrow" w:hAnsi="Verdana" w:cs="Arial Narrow"/>
                <w:sz w:val="22"/>
                <w:szCs w:val="22"/>
              </w:rPr>
              <w:t>,</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 tra</w:t>
            </w:r>
            <w:r w:rsidRPr="00506EE2">
              <w:rPr>
                <w:rFonts w:ascii="Verdana" w:eastAsia="Arial Narrow" w:hAnsi="Verdana" w:cs="Arial Narrow"/>
                <w:spacing w:val="1"/>
                <w:sz w:val="22"/>
                <w:szCs w:val="22"/>
              </w:rPr>
              <w:t>n</w:t>
            </w:r>
            <w:r w:rsidRPr="00506EE2">
              <w:rPr>
                <w:rFonts w:ascii="Verdana" w:eastAsia="Arial Narrow" w:hAnsi="Verdana" w:cs="Arial Narrow"/>
                <w:spacing w:val="-2"/>
                <w:sz w:val="22"/>
                <w:szCs w:val="22"/>
              </w:rPr>
              <w:t>s</w:t>
            </w:r>
            <w:r w:rsidRPr="00506EE2">
              <w:rPr>
                <w:rFonts w:ascii="Verdana" w:eastAsia="Arial Narrow" w:hAnsi="Verdana" w:cs="Arial Narrow"/>
                <w:spacing w:val="1"/>
                <w:sz w:val="22"/>
                <w:szCs w:val="22"/>
              </w:rPr>
              <w:t>po</w:t>
            </w:r>
            <w:r w:rsidRPr="00506EE2">
              <w:rPr>
                <w:rFonts w:ascii="Verdana" w:eastAsia="Arial Narrow" w:hAnsi="Verdana" w:cs="Arial Narrow"/>
                <w:sz w:val="22"/>
                <w:szCs w:val="22"/>
              </w:rPr>
              <w:t>rt</w:t>
            </w:r>
            <w:r w:rsidRPr="00506EE2">
              <w:rPr>
                <w:rFonts w:ascii="Verdana" w:eastAsia="Arial Narrow" w:hAnsi="Verdana" w:cs="Arial Narrow"/>
                <w:spacing w:val="-2"/>
                <w:sz w:val="22"/>
                <w:szCs w:val="22"/>
              </w:rPr>
              <w:t>e</w:t>
            </w:r>
            <w:r w:rsidRPr="00506EE2">
              <w:rPr>
                <w:rFonts w:ascii="Verdana" w:eastAsia="Arial Narrow" w:hAnsi="Verdana" w:cs="Arial Narrow"/>
                <w:sz w:val="22"/>
                <w:szCs w:val="22"/>
              </w:rPr>
              <w:t>,</w:t>
            </w:r>
            <w:r w:rsidRPr="00506EE2">
              <w:rPr>
                <w:rFonts w:ascii="Verdana" w:eastAsia="Arial Narrow" w:hAnsi="Verdana" w:cs="Arial Narrow"/>
                <w:spacing w:val="3"/>
                <w:sz w:val="22"/>
                <w:szCs w:val="22"/>
              </w:rPr>
              <w:t xml:space="preserve"> </w:t>
            </w:r>
            <w:r w:rsidRPr="00506EE2">
              <w:rPr>
                <w:rFonts w:ascii="Verdana" w:eastAsia="Arial Narrow" w:hAnsi="Verdana" w:cs="Arial Narrow"/>
                <w:spacing w:val="-3"/>
                <w:sz w:val="22"/>
                <w:szCs w:val="22"/>
              </w:rPr>
              <w:t>l</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s</w:t>
            </w:r>
            <w:r w:rsidRPr="00506EE2">
              <w:rPr>
                <w:rFonts w:ascii="Verdana" w:eastAsia="Arial Narrow" w:hAnsi="Verdana" w:cs="Arial Narrow"/>
                <w:spacing w:val="2"/>
                <w:sz w:val="22"/>
                <w:szCs w:val="22"/>
              </w:rPr>
              <w:t xml:space="preserve"> </w:t>
            </w:r>
            <w:r w:rsidRPr="00506EE2">
              <w:rPr>
                <w:rFonts w:ascii="Verdana" w:eastAsia="Arial Narrow" w:hAnsi="Verdana" w:cs="Arial Narrow"/>
                <w:sz w:val="22"/>
                <w:szCs w:val="22"/>
              </w:rPr>
              <w:t>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rv</w:t>
            </w:r>
            <w:r w:rsidRPr="00506EE2">
              <w:rPr>
                <w:rFonts w:ascii="Verdana" w:eastAsia="Arial Narrow" w:hAnsi="Verdana" w:cs="Arial Narrow"/>
                <w:spacing w:val="-1"/>
                <w:sz w:val="22"/>
                <w:szCs w:val="22"/>
              </w:rPr>
              <w:t>i</w:t>
            </w:r>
            <w:r w:rsidRPr="00506EE2">
              <w:rPr>
                <w:rFonts w:ascii="Verdana" w:eastAsia="Arial Narrow" w:hAnsi="Verdana" w:cs="Arial Narrow"/>
                <w:sz w:val="22"/>
                <w:szCs w:val="22"/>
              </w:rPr>
              <w:t>cios</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f</w:t>
            </w:r>
            <w:r w:rsidRPr="00506EE2">
              <w:rPr>
                <w:rFonts w:ascii="Verdana" w:eastAsia="Arial Narrow" w:hAnsi="Verdana" w:cs="Arial Narrow"/>
                <w:spacing w:val="-2"/>
                <w:sz w:val="22"/>
                <w:szCs w:val="22"/>
              </w:rPr>
              <w:t>i</w:t>
            </w:r>
            <w:r w:rsidRPr="00506EE2">
              <w:rPr>
                <w:rFonts w:ascii="Verdana" w:eastAsia="Arial Narrow" w:hAnsi="Verdana" w:cs="Arial Narrow"/>
                <w:spacing w:val="1"/>
                <w:sz w:val="22"/>
                <w:szCs w:val="22"/>
              </w:rPr>
              <w:t>nan</w:t>
            </w:r>
            <w:r w:rsidRPr="00506EE2">
              <w:rPr>
                <w:rFonts w:ascii="Verdana" w:eastAsia="Arial Narrow" w:hAnsi="Verdana" w:cs="Arial Narrow"/>
                <w:sz w:val="22"/>
                <w:szCs w:val="22"/>
              </w:rPr>
              <w:t>cie</w:t>
            </w:r>
            <w:r w:rsidRPr="00506EE2">
              <w:rPr>
                <w:rFonts w:ascii="Verdana" w:eastAsia="Arial Narrow" w:hAnsi="Verdana" w:cs="Arial Narrow"/>
                <w:spacing w:val="-3"/>
                <w:sz w:val="22"/>
                <w:szCs w:val="22"/>
              </w:rPr>
              <w:t>r</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s,</w:t>
            </w:r>
            <w:r w:rsidRPr="00506EE2">
              <w:rPr>
                <w:rFonts w:ascii="Verdana" w:eastAsia="Arial Narrow" w:hAnsi="Verdana" w:cs="Arial Narrow"/>
                <w:spacing w:val="3"/>
                <w:sz w:val="22"/>
                <w:szCs w:val="22"/>
              </w:rPr>
              <w:t xml:space="preserve"> </w:t>
            </w:r>
            <w:r w:rsidRPr="00506EE2">
              <w:rPr>
                <w:rFonts w:ascii="Verdana" w:eastAsia="Arial Narrow" w:hAnsi="Verdana" w:cs="Arial Narrow"/>
                <w:sz w:val="22"/>
                <w:szCs w:val="22"/>
              </w:rPr>
              <w:t>las c</w:t>
            </w:r>
            <w:r w:rsidRPr="00506EE2">
              <w:rPr>
                <w:rFonts w:ascii="Verdana" w:eastAsia="Arial Narrow" w:hAnsi="Verdana" w:cs="Arial Narrow"/>
                <w:spacing w:val="1"/>
                <w:sz w:val="22"/>
                <w:szCs w:val="22"/>
              </w:rPr>
              <w:t>o</w:t>
            </w:r>
            <w:r w:rsidRPr="00506EE2">
              <w:rPr>
                <w:rFonts w:ascii="Verdana" w:eastAsia="Arial Narrow" w:hAnsi="Verdana" w:cs="Arial Narrow"/>
                <w:spacing w:val="-1"/>
                <w:sz w:val="22"/>
                <w:szCs w:val="22"/>
              </w:rPr>
              <w:t>m</w:t>
            </w:r>
            <w:r w:rsidRPr="00506EE2">
              <w:rPr>
                <w:rFonts w:ascii="Verdana" w:eastAsia="Arial Narrow" w:hAnsi="Verdana" w:cs="Arial Narrow"/>
                <w:spacing w:val="1"/>
                <w:sz w:val="22"/>
                <w:szCs w:val="22"/>
              </w:rPr>
              <w:t>un</w:t>
            </w:r>
            <w:r w:rsidRPr="00506EE2">
              <w:rPr>
                <w:rFonts w:ascii="Verdana" w:eastAsia="Arial Narrow" w:hAnsi="Verdana" w:cs="Arial Narrow"/>
                <w:sz w:val="22"/>
                <w:szCs w:val="22"/>
              </w:rPr>
              <w:t>icac</w:t>
            </w:r>
            <w:r w:rsidRPr="00506EE2">
              <w:rPr>
                <w:rFonts w:ascii="Verdana" w:eastAsia="Arial Narrow" w:hAnsi="Verdana" w:cs="Arial Narrow"/>
                <w:spacing w:val="-3"/>
                <w:sz w:val="22"/>
                <w:szCs w:val="22"/>
              </w:rPr>
              <w:t>i</w:t>
            </w:r>
            <w:r w:rsidRPr="00506EE2">
              <w:rPr>
                <w:rFonts w:ascii="Verdana" w:eastAsia="Arial Narrow" w:hAnsi="Verdana" w:cs="Arial Narrow"/>
                <w:spacing w:val="1"/>
                <w:sz w:val="22"/>
                <w:szCs w:val="22"/>
              </w:rPr>
              <w:t>one</w:t>
            </w:r>
            <w:r w:rsidRPr="00506EE2">
              <w:rPr>
                <w:rFonts w:ascii="Verdana" w:eastAsia="Arial Narrow" w:hAnsi="Verdana" w:cs="Arial Narrow"/>
                <w:spacing w:val="-2"/>
                <w:sz w:val="22"/>
                <w:szCs w:val="22"/>
              </w:rPr>
              <w:t>s</w:t>
            </w:r>
            <w:r w:rsidRPr="00506EE2">
              <w:rPr>
                <w:rFonts w:ascii="Verdana" w:eastAsia="Arial Narrow" w:hAnsi="Verdana" w:cs="Arial Narrow"/>
                <w:sz w:val="22"/>
                <w:szCs w:val="22"/>
              </w:rPr>
              <w:t>, los</w:t>
            </w:r>
            <w:r w:rsidRPr="00506EE2">
              <w:rPr>
                <w:rFonts w:ascii="Verdana" w:eastAsia="Arial Narrow" w:hAnsi="Verdana" w:cs="Arial Narrow"/>
                <w:spacing w:val="1"/>
                <w:sz w:val="22"/>
                <w:szCs w:val="22"/>
              </w:rPr>
              <w:t xml:space="preserve"> </w:t>
            </w:r>
            <w:r w:rsidRPr="00506EE2">
              <w:rPr>
                <w:rFonts w:ascii="Verdana" w:eastAsia="Arial Narrow" w:hAnsi="Verdana" w:cs="Arial Narrow"/>
                <w:sz w:val="22"/>
                <w:szCs w:val="22"/>
              </w:rPr>
              <w:t>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rv</w:t>
            </w:r>
            <w:r w:rsidRPr="00506EE2">
              <w:rPr>
                <w:rFonts w:ascii="Verdana" w:eastAsia="Arial Narrow" w:hAnsi="Verdana" w:cs="Arial Narrow"/>
                <w:spacing w:val="-1"/>
                <w:sz w:val="22"/>
                <w:szCs w:val="22"/>
              </w:rPr>
              <w:t>i</w:t>
            </w:r>
            <w:r w:rsidRPr="00506EE2">
              <w:rPr>
                <w:rFonts w:ascii="Verdana" w:eastAsia="Arial Narrow" w:hAnsi="Verdana" w:cs="Arial Narrow"/>
                <w:sz w:val="22"/>
                <w:szCs w:val="22"/>
              </w:rPr>
              <w:t>cios</w:t>
            </w:r>
            <w:r w:rsidRPr="00506EE2">
              <w:rPr>
                <w:rFonts w:ascii="Verdana" w:eastAsia="Arial Narrow" w:hAnsi="Verdana" w:cs="Arial Narrow"/>
                <w:spacing w:val="1"/>
                <w:sz w:val="22"/>
                <w:szCs w:val="22"/>
              </w:rPr>
              <w:t xml:space="preserve"> d</w:t>
            </w:r>
            <w:r w:rsidRPr="00506EE2">
              <w:rPr>
                <w:rFonts w:ascii="Verdana" w:eastAsia="Arial Narrow" w:hAnsi="Verdana" w:cs="Arial Narrow"/>
                <w:sz w:val="22"/>
                <w:szCs w:val="22"/>
              </w:rPr>
              <w:t>e</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pacing w:val="-1"/>
                <w:sz w:val="22"/>
                <w:szCs w:val="22"/>
              </w:rPr>
              <w:t>d</w:t>
            </w:r>
            <w:r w:rsidRPr="00506EE2">
              <w:rPr>
                <w:rFonts w:ascii="Verdana" w:eastAsia="Arial Narrow" w:hAnsi="Verdana" w:cs="Arial Narrow"/>
                <w:spacing w:val="1"/>
                <w:sz w:val="22"/>
                <w:szCs w:val="22"/>
              </w:rPr>
              <w:t>u</w:t>
            </w:r>
            <w:r w:rsidRPr="00506EE2">
              <w:rPr>
                <w:rFonts w:ascii="Verdana" w:eastAsia="Arial Narrow" w:hAnsi="Verdana" w:cs="Arial Narrow"/>
                <w:sz w:val="22"/>
                <w:szCs w:val="22"/>
              </w:rPr>
              <w:t>c</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ci</w:t>
            </w:r>
            <w:r w:rsidRPr="00506EE2">
              <w:rPr>
                <w:rFonts w:ascii="Verdana" w:eastAsia="Arial Narrow" w:hAnsi="Verdana" w:cs="Arial Narrow"/>
                <w:spacing w:val="-2"/>
                <w:sz w:val="22"/>
                <w:szCs w:val="22"/>
              </w:rPr>
              <w:t>ó</w:t>
            </w:r>
            <w:r w:rsidRPr="00506EE2">
              <w:rPr>
                <w:rFonts w:ascii="Verdana" w:eastAsia="Arial Narrow" w:hAnsi="Verdana" w:cs="Arial Narrow"/>
                <w:spacing w:val="1"/>
                <w:sz w:val="22"/>
                <w:szCs w:val="22"/>
              </w:rPr>
              <w:t>n</w:t>
            </w:r>
            <w:r w:rsidRPr="00506EE2">
              <w:rPr>
                <w:rFonts w:ascii="Verdana" w:eastAsia="Arial Narrow" w:hAnsi="Verdana" w:cs="Arial Narrow"/>
                <w:sz w:val="22"/>
                <w:szCs w:val="22"/>
              </w:rPr>
              <w:t>,</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3"/>
                <w:sz w:val="22"/>
                <w:szCs w:val="22"/>
              </w:rPr>
              <w:t>l</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s s</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rv</w:t>
            </w:r>
            <w:r w:rsidRPr="00506EE2">
              <w:rPr>
                <w:rFonts w:ascii="Verdana" w:eastAsia="Arial Narrow" w:hAnsi="Verdana" w:cs="Arial Narrow"/>
                <w:spacing w:val="-1"/>
                <w:sz w:val="22"/>
                <w:szCs w:val="22"/>
              </w:rPr>
              <w:t>i</w:t>
            </w:r>
            <w:r w:rsidRPr="00506EE2">
              <w:rPr>
                <w:rFonts w:ascii="Verdana" w:eastAsia="Arial Narrow" w:hAnsi="Verdana" w:cs="Arial Narrow"/>
                <w:sz w:val="22"/>
                <w:szCs w:val="22"/>
              </w:rPr>
              <w:t>cios</w:t>
            </w:r>
            <w:r w:rsidRPr="00506EE2">
              <w:rPr>
                <w:rFonts w:ascii="Verdana" w:eastAsia="Arial Narrow" w:hAnsi="Verdana" w:cs="Arial Narrow"/>
                <w:spacing w:val="4"/>
                <w:sz w:val="22"/>
                <w:szCs w:val="22"/>
              </w:rPr>
              <w:t xml:space="preserve"> </w:t>
            </w:r>
            <w:r w:rsidRPr="00506EE2">
              <w:rPr>
                <w:rFonts w:ascii="Verdana" w:eastAsia="Arial Narrow" w:hAnsi="Verdana" w:cs="Arial Narrow"/>
                <w:spacing w:val="1"/>
                <w:sz w:val="22"/>
                <w:szCs w:val="22"/>
              </w:rPr>
              <w:t>p</w:t>
            </w:r>
            <w:r w:rsidRPr="00506EE2">
              <w:rPr>
                <w:rFonts w:ascii="Verdana" w:eastAsia="Arial Narrow" w:hAnsi="Verdana" w:cs="Arial Narrow"/>
                <w:sz w:val="22"/>
                <w:szCs w:val="22"/>
              </w:rPr>
              <w:t>ro</w:t>
            </w:r>
            <w:r w:rsidRPr="00506EE2">
              <w:rPr>
                <w:rFonts w:ascii="Verdana" w:eastAsia="Arial Narrow" w:hAnsi="Verdana" w:cs="Arial Narrow"/>
                <w:spacing w:val="-2"/>
                <w:sz w:val="22"/>
                <w:szCs w:val="22"/>
              </w:rPr>
              <w:t>f</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sio</w:t>
            </w:r>
            <w:r w:rsidRPr="00506EE2">
              <w:rPr>
                <w:rFonts w:ascii="Verdana" w:eastAsia="Arial Narrow" w:hAnsi="Verdana" w:cs="Arial Narrow"/>
                <w:spacing w:val="-1"/>
                <w:sz w:val="22"/>
                <w:szCs w:val="22"/>
              </w:rPr>
              <w:t>n</w:t>
            </w:r>
            <w:r w:rsidRPr="00506EE2">
              <w:rPr>
                <w:rFonts w:ascii="Verdana" w:eastAsia="Arial Narrow" w:hAnsi="Verdana" w:cs="Arial Narrow"/>
                <w:spacing w:val="1"/>
                <w:sz w:val="22"/>
                <w:szCs w:val="22"/>
              </w:rPr>
              <w:t>a</w:t>
            </w:r>
            <w:r w:rsidRPr="00506EE2">
              <w:rPr>
                <w:rFonts w:ascii="Verdana" w:eastAsia="Arial Narrow" w:hAnsi="Verdana" w:cs="Arial Narrow"/>
                <w:sz w:val="22"/>
                <w:szCs w:val="22"/>
              </w:rPr>
              <w:t>les,</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l G</w:t>
            </w:r>
            <w:r w:rsidRPr="00506EE2">
              <w:rPr>
                <w:rFonts w:ascii="Verdana" w:eastAsia="Arial Narrow" w:hAnsi="Verdana" w:cs="Arial Narrow"/>
                <w:spacing w:val="1"/>
                <w:sz w:val="22"/>
                <w:szCs w:val="22"/>
              </w:rPr>
              <w:t>ob</w:t>
            </w:r>
            <w:r w:rsidRPr="00506EE2">
              <w:rPr>
                <w:rFonts w:ascii="Verdana" w:eastAsia="Arial Narrow" w:hAnsi="Verdana" w:cs="Arial Narrow"/>
                <w:spacing w:val="-3"/>
                <w:sz w:val="22"/>
                <w:szCs w:val="22"/>
              </w:rPr>
              <w:t>i</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rn</w:t>
            </w:r>
            <w:r w:rsidRPr="00506EE2">
              <w:rPr>
                <w:rFonts w:ascii="Verdana" w:eastAsia="Arial Narrow" w:hAnsi="Verdana" w:cs="Arial Narrow"/>
                <w:spacing w:val="1"/>
                <w:sz w:val="22"/>
                <w:szCs w:val="22"/>
              </w:rPr>
              <w:t>o</w:t>
            </w:r>
            <w:r w:rsidRPr="00506EE2">
              <w:rPr>
                <w:rFonts w:ascii="Verdana" w:eastAsia="Arial Narrow" w:hAnsi="Verdana" w:cs="Arial Narrow"/>
                <w:sz w:val="22"/>
                <w:szCs w:val="22"/>
              </w:rPr>
              <w:t>,</w:t>
            </w:r>
            <w:r w:rsidRPr="00506EE2">
              <w:rPr>
                <w:rFonts w:ascii="Verdana" w:eastAsia="Arial Narrow" w:hAnsi="Verdana" w:cs="Arial Narrow"/>
                <w:spacing w:val="-1"/>
                <w:sz w:val="22"/>
                <w:szCs w:val="22"/>
              </w:rPr>
              <w:t xml:space="preserve"> </w:t>
            </w:r>
            <w:r w:rsidRPr="00506EE2">
              <w:rPr>
                <w:rFonts w:ascii="Verdana" w:eastAsia="Arial Narrow" w:hAnsi="Verdana" w:cs="Arial Narrow"/>
                <w:spacing w:val="1"/>
                <w:sz w:val="22"/>
                <w:szCs w:val="22"/>
              </w:rPr>
              <w:t>e</w:t>
            </w:r>
            <w:r w:rsidRPr="00506EE2">
              <w:rPr>
                <w:rFonts w:ascii="Verdana" w:eastAsia="Arial Narrow" w:hAnsi="Verdana" w:cs="Arial Narrow"/>
                <w:sz w:val="22"/>
                <w:szCs w:val="22"/>
              </w:rPr>
              <w:t>t</w:t>
            </w:r>
            <w:r w:rsidRPr="00506EE2">
              <w:rPr>
                <w:rFonts w:ascii="Verdana" w:eastAsia="Arial Narrow" w:hAnsi="Verdana" w:cs="Arial Narrow"/>
                <w:spacing w:val="3"/>
                <w:sz w:val="22"/>
                <w:szCs w:val="22"/>
              </w:rPr>
              <w:t>c</w:t>
            </w:r>
            <w:r w:rsidRPr="00506EE2">
              <w:rPr>
                <w:rFonts w:ascii="Verdana" w:eastAsia="Arial Narrow" w:hAnsi="Verdana" w:cs="Arial Narrow"/>
                <w:sz w:val="22"/>
                <w:szCs w:val="22"/>
              </w:rPr>
              <w:t>.</w:t>
            </w:r>
          </w:p>
          <w:p w14:paraId="22233C26" w14:textId="77777777" w:rsidR="00194538" w:rsidRPr="00506EE2" w:rsidRDefault="00194538" w:rsidP="00EE30B7">
            <w:pPr>
              <w:rPr>
                <w:rFonts w:ascii="Verdana" w:hAnsi="Verdana"/>
                <w:sz w:val="22"/>
                <w:szCs w:val="22"/>
              </w:rPr>
            </w:pPr>
          </w:p>
          <w:p w14:paraId="3CC74A02" w14:textId="77777777" w:rsidR="00194538" w:rsidRPr="00506EE2" w:rsidRDefault="00194538" w:rsidP="00EE30B7">
            <w:pPr>
              <w:ind w:right="104"/>
              <w:jc w:val="both"/>
              <w:rPr>
                <w:rFonts w:ascii="Verdana" w:eastAsia="Arial Narrow" w:hAnsi="Verdana" w:cs="Arial Narrow"/>
                <w:sz w:val="22"/>
                <w:szCs w:val="22"/>
              </w:rPr>
            </w:pPr>
            <w:r w:rsidRPr="00506EE2">
              <w:rPr>
                <w:rFonts w:ascii="Verdana" w:eastAsia="Arial Narrow" w:hAnsi="Verdana" w:cs="Arial Narrow"/>
                <w:sz w:val="22"/>
                <w:szCs w:val="22"/>
              </w:rPr>
              <w:t xml:space="preserve">Es indispensable aclarar que los dos primeros sectores producen bienes tangibles, por lo cual son considerados como sectores productivos. Es tercer sector se considera no productivo, puesto que no produce bienes tangibles pero, sin embargo, contribuye a la formación el ingreso nacional y del producto nacional.  </w:t>
            </w:r>
          </w:p>
          <w:p w14:paraId="446EFE27" w14:textId="77777777" w:rsidR="00194538" w:rsidRPr="00506EE2" w:rsidRDefault="00194538" w:rsidP="00EE30B7">
            <w:pPr>
              <w:ind w:left="222" w:right="104"/>
              <w:jc w:val="both"/>
              <w:rPr>
                <w:rFonts w:ascii="Verdana" w:eastAsia="Arial Narrow" w:hAnsi="Verdana" w:cs="Arial Narrow"/>
                <w:sz w:val="22"/>
                <w:szCs w:val="22"/>
              </w:rPr>
            </w:pPr>
          </w:p>
          <w:p w14:paraId="7118E652" w14:textId="77777777" w:rsidR="00194538" w:rsidRPr="00506EE2" w:rsidRDefault="00194538" w:rsidP="00EE30B7">
            <w:pPr>
              <w:ind w:right="104"/>
              <w:jc w:val="both"/>
              <w:rPr>
                <w:rFonts w:ascii="Verdana" w:eastAsia="Arial Narrow" w:hAnsi="Verdana" w:cs="Arial Narrow"/>
                <w:sz w:val="22"/>
                <w:szCs w:val="22"/>
              </w:rPr>
            </w:pPr>
            <w:r w:rsidRPr="00506EE2">
              <w:rPr>
                <w:rFonts w:ascii="Verdana" w:eastAsia="Arial" w:hAnsi="Verdana" w:cs="Arial"/>
                <w:bCs/>
                <w:sz w:val="22"/>
                <w:szCs w:val="22"/>
                <w:lang w:val="es-ES"/>
              </w:rPr>
              <w:t>Aunque</w:t>
            </w:r>
            <w:r w:rsidRPr="00506EE2">
              <w:rPr>
                <w:rFonts w:ascii="Verdana" w:eastAsia="Arial Narrow" w:hAnsi="Verdana" w:cs="Arial Narrow"/>
                <w:sz w:val="22"/>
                <w:szCs w:val="22"/>
              </w:rPr>
              <w:t xml:space="preserv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6348D4EB" w14:textId="77777777" w:rsidR="00194538" w:rsidRPr="00506EE2" w:rsidRDefault="00194538" w:rsidP="00EE30B7">
            <w:pPr>
              <w:ind w:left="142"/>
              <w:jc w:val="both"/>
              <w:rPr>
                <w:rFonts w:ascii="Verdana" w:eastAsia="Arial Narrow" w:hAnsi="Verdana" w:cs="Arial Narrow"/>
                <w:sz w:val="22"/>
                <w:szCs w:val="22"/>
              </w:rPr>
            </w:pPr>
          </w:p>
          <w:p w14:paraId="7C1D2265" w14:textId="77777777" w:rsidR="00194538" w:rsidRPr="00506EE2" w:rsidRDefault="00194538" w:rsidP="008174EA">
            <w:pPr>
              <w:pStyle w:val="Prrafodelista"/>
              <w:numPr>
                <w:ilvl w:val="0"/>
                <w:numId w:val="2"/>
              </w:numPr>
              <w:ind w:right="104"/>
              <w:jc w:val="both"/>
              <w:rPr>
                <w:rFonts w:ascii="Verdana" w:eastAsia="Arial Narrow" w:hAnsi="Verdana" w:cs="Arial Narrow"/>
                <w:b/>
                <w:sz w:val="22"/>
                <w:szCs w:val="22"/>
              </w:rPr>
            </w:pPr>
            <w:r w:rsidRPr="00506EE2">
              <w:rPr>
                <w:rFonts w:ascii="Verdana" w:eastAsia="Arial Narrow" w:hAnsi="Verdana" w:cs="Arial Narrow"/>
                <w:b/>
                <w:sz w:val="22"/>
                <w:szCs w:val="22"/>
              </w:rPr>
              <w:t xml:space="preserve">Sector agropecuario: </w:t>
            </w:r>
            <w:r w:rsidRPr="00506EE2">
              <w:rPr>
                <w:rFonts w:ascii="Verdana" w:eastAsia="Arial Narrow" w:hAnsi="Verdana" w:cs="Arial Narrow"/>
                <w:sz w:val="22"/>
                <w:szCs w:val="22"/>
              </w:rPr>
              <w:t>Corresponde al sector primario mencionado anteriormente.</w:t>
            </w:r>
          </w:p>
          <w:p w14:paraId="04BD7388" w14:textId="77777777" w:rsidR="00194538" w:rsidRPr="00506EE2" w:rsidRDefault="00194538" w:rsidP="008174EA">
            <w:pPr>
              <w:pStyle w:val="Prrafodelista"/>
              <w:numPr>
                <w:ilvl w:val="0"/>
                <w:numId w:val="2"/>
              </w:numPr>
              <w:ind w:right="104"/>
              <w:jc w:val="both"/>
              <w:rPr>
                <w:rFonts w:ascii="Verdana" w:eastAsia="Arial Narrow" w:hAnsi="Verdana" w:cs="Arial Narrow"/>
                <w:b/>
                <w:sz w:val="22"/>
                <w:szCs w:val="22"/>
              </w:rPr>
            </w:pPr>
            <w:r w:rsidRPr="00506EE2">
              <w:rPr>
                <w:rFonts w:ascii="Verdana" w:eastAsia="Arial Narrow" w:hAnsi="Verdana" w:cs="Arial Narrow"/>
                <w:b/>
                <w:sz w:val="22"/>
                <w:szCs w:val="22"/>
              </w:rPr>
              <w:t xml:space="preserve">Sector Servicios: </w:t>
            </w:r>
            <w:r w:rsidRPr="00506EE2">
              <w:rPr>
                <w:rFonts w:ascii="Verdana" w:eastAsia="Arial Narrow" w:hAnsi="Verdana" w:cs="Arial Narrow"/>
                <w:sz w:val="22"/>
                <w:szCs w:val="22"/>
              </w:rPr>
              <w:t>Corresponde al sector primario mencionado anteriormente.</w:t>
            </w:r>
          </w:p>
          <w:p w14:paraId="7305DF2D" w14:textId="77777777" w:rsidR="00194538" w:rsidRPr="00506EE2" w:rsidRDefault="00194538" w:rsidP="008174EA">
            <w:pPr>
              <w:pStyle w:val="Prrafodelista"/>
              <w:numPr>
                <w:ilvl w:val="0"/>
                <w:numId w:val="2"/>
              </w:numPr>
              <w:ind w:right="104"/>
              <w:jc w:val="both"/>
              <w:rPr>
                <w:rFonts w:ascii="Verdana" w:eastAsia="Arial Narrow" w:hAnsi="Verdana" w:cs="Arial Narrow"/>
                <w:b/>
                <w:sz w:val="22"/>
                <w:szCs w:val="22"/>
              </w:rPr>
            </w:pPr>
            <w:r w:rsidRPr="00506EE2">
              <w:rPr>
                <w:rFonts w:ascii="Verdana" w:eastAsia="Arial Narrow" w:hAnsi="Verdana" w:cs="Arial Narrow"/>
                <w:b/>
                <w:sz w:val="22"/>
                <w:szCs w:val="22"/>
              </w:rPr>
              <w:t xml:space="preserve">Sector Industrial: </w:t>
            </w:r>
            <w:r w:rsidRPr="00506EE2">
              <w:rPr>
                <w:rFonts w:ascii="Verdana" w:eastAsia="Arial Narrow" w:hAnsi="Verdana" w:cs="Arial Narrow"/>
                <w:sz w:val="22"/>
                <w:szCs w:val="22"/>
              </w:rPr>
              <w:t>Corresponde al sector primario mencionado anteriormente.</w:t>
            </w:r>
          </w:p>
          <w:p w14:paraId="434FB915" w14:textId="77777777" w:rsidR="00194538" w:rsidRPr="00506EE2" w:rsidRDefault="00194538" w:rsidP="008174EA">
            <w:pPr>
              <w:pStyle w:val="Prrafodelista"/>
              <w:numPr>
                <w:ilvl w:val="0"/>
                <w:numId w:val="2"/>
              </w:numPr>
              <w:ind w:right="104"/>
              <w:jc w:val="both"/>
              <w:rPr>
                <w:rFonts w:ascii="Verdana" w:eastAsia="Arial Narrow" w:hAnsi="Verdana" w:cs="Arial Narrow"/>
                <w:b/>
                <w:sz w:val="22"/>
                <w:szCs w:val="22"/>
              </w:rPr>
            </w:pPr>
            <w:r w:rsidRPr="00506EE2">
              <w:rPr>
                <w:rFonts w:ascii="Verdana" w:eastAsia="Arial Narrow" w:hAnsi="Verdana" w:cs="Arial Narrow"/>
                <w:b/>
                <w:sz w:val="22"/>
                <w:szCs w:val="22"/>
              </w:rPr>
              <w:t xml:space="preserve">Sector transporte: </w:t>
            </w:r>
            <w:r w:rsidRPr="00506EE2">
              <w:rPr>
                <w:rFonts w:ascii="Verdana" w:eastAsia="Arial Narrow" w:hAnsi="Verdana" w:cs="Arial Narrow"/>
                <w:sz w:val="22"/>
                <w:szCs w:val="22"/>
              </w:rPr>
              <w:t>Hace parte del sector terciario, e incluye el trasporte de carga, servicio de trasporte público, trasporte terrestre, aéreo, marítimo, etc.</w:t>
            </w:r>
          </w:p>
          <w:p w14:paraId="647C3EA8" w14:textId="77777777" w:rsidR="00194538" w:rsidRPr="00506EE2" w:rsidRDefault="00194538" w:rsidP="008174EA">
            <w:pPr>
              <w:pStyle w:val="Prrafodelista"/>
              <w:numPr>
                <w:ilvl w:val="0"/>
                <w:numId w:val="2"/>
              </w:numPr>
              <w:ind w:right="104"/>
              <w:jc w:val="both"/>
              <w:rPr>
                <w:rFonts w:ascii="Verdana" w:eastAsia="Arial Narrow" w:hAnsi="Verdana" w:cs="Arial Narrow"/>
                <w:b/>
                <w:sz w:val="22"/>
                <w:szCs w:val="22"/>
              </w:rPr>
            </w:pPr>
            <w:r w:rsidRPr="00506EE2">
              <w:rPr>
                <w:rFonts w:ascii="Verdana" w:eastAsia="Arial Narrow" w:hAnsi="Verdana" w:cs="Arial Narrow"/>
                <w:b/>
                <w:sz w:val="22"/>
                <w:szCs w:val="22"/>
              </w:rPr>
              <w:t xml:space="preserve">Sector comercio: </w:t>
            </w:r>
            <w:r w:rsidRPr="00506EE2">
              <w:rPr>
                <w:rFonts w:ascii="Verdana" w:eastAsia="Arial Narrow" w:hAnsi="Verdana" w:cs="Arial Narrow"/>
                <w:sz w:val="22"/>
                <w:szCs w:val="22"/>
              </w:rPr>
              <w:t xml:space="preserve">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 </w:t>
            </w:r>
          </w:p>
          <w:p w14:paraId="0D7C9FAE" w14:textId="77777777" w:rsidR="00194538" w:rsidRPr="00506EE2" w:rsidRDefault="00194538" w:rsidP="008174EA">
            <w:pPr>
              <w:pStyle w:val="Prrafodelista"/>
              <w:numPr>
                <w:ilvl w:val="0"/>
                <w:numId w:val="2"/>
              </w:numPr>
              <w:ind w:right="104"/>
              <w:jc w:val="both"/>
              <w:rPr>
                <w:rFonts w:ascii="Verdana" w:eastAsia="Arial Narrow" w:hAnsi="Verdana" w:cs="Arial Narrow"/>
                <w:sz w:val="22"/>
                <w:szCs w:val="22"/>
              </w:rPr>
            </w:pPr>
            <w:r w:rsidRPr="00506EE2">
              <w:rPr>
                <w:rFonts w:ascii="Verdana" w:eastAsia="Arial Narrow" w:hAnsi="Verdana" w:cs="Arial Narrow"/>
                <w:b/>
                <w:sz w:val="22"/>
                <w:szCs w:val="22"/>
              </w:rPr>
              <w:t>Sector financiero:</w:t>
            </w:r>
            <w:r w:rsidRPr="00506EE2">
              <w:rPr>
                <w:rFonts w:ascii="Verdana" w:eastAsia="Arial Narrow" w:hAnsi="Verdana" w:cs="Arial Narrow"/>
                <w:sz w:val="22"/>
                <w:szCs w:val="22"/>
              </w:rPr>
              <w:t xml:space="preserve"> En este sector se incluyen todas aquellas organizaciones relacionadas con actividades bancarias y financieras, fondos de pensiones y cesantías, fiduciarias, etc.</w:t>
            </w:r>
          </w:p>
          <w:p w14:paraId="0106983A" w14:textId="77777777" w:rsidR="00194538" w:rsidRPr="00506EE2" w:rsidRDefault="00194538" w:rsidP="008174EA">
            <w:pPr>
              <w:pStyle w:val="Prrafodelista"/>
              <w:numPr>
                <w:ilvl w:val="0"/>
                <w:numId w:val="2"/>
              </w:numPr>
              <w:ind w:right="104"/>
              <w:jc w:val="both"/>
              <w:rPr>
                <w:rFonts w:ascii="Verdana" w:eastAsia="Arial Narrow" w:hAnsi="Verdana" w:cs="Arial Narrow"/>
                <w:sz w:val="22"/>
                <w:szCs w:val="22"/>
              </w:rPr>
            </w:pPr>
            <w:r w:rsidRPr="00506EE2">
              <w:rPr>
                <w:rFonts w:ascii="Verdana" w:eastAsia="Arial Narrow" w:hAnsi="Verdana" w:cs="Arial Narrow"/>
                <w:b/>
                <w:sz w:val="22"/>
                <w:szCs w:val="22"/>
              </w:rPr>
              <w:t xml:space="preserve">Sector de la construcción: </w:t>
            </w:r>
            <w:r w:rsidRPr="00506EE2">
              <w:rPr>
                <w:rFonts w:ascii="Verdana" w:eastAsia="Arial Narrow" w:hAnsi="Verdana" w:cs="Arial Narrow"/>
                <w:sz w:val="22"/>
                <w:szCs w:val="22"/>
              </w:rPr>
              <w:t>En este sector se incluyen las empresas y organizaciones relacionadas con la construcción, al igual que los arquitectos e ingenieros, las empresas productoras de materiales para la construcción etc.</w:t>
            </w:r>
          </w:p>
          <w:p w14:paraId="750A9D84" w14:textId="77777777" w:rsidR="00194538" w:rsidRPr="00506EE2" w:rsidRDefault="00194538" w:rsidP="008174EA">
            <w:pPr>
              <w:pStyle w:val="Prrafodelista"/>
              <w:numPr>
                <w:ilvl w:val="0"/>
                <w:numId w:val="2"/>
              </w:numPr>
              <w:ind w:right="104"/>
              <w:jc w:val="both"/>
              <w:rPr>
                <w:rFonts w:ascii="Verdana" w:eastAsia="Arial Narrow" w:hAnsi="Verdana" w:cs="Arial Narrow"/>
                <w:sz w:val="22"/>
                <w:szCs w:val="22"/>
              </w:rPr>
            </w:pPr>
            <w:r w:rsidRPr="00506EE2">
              <w:rPr>
                <w:rFonts w:ascii="Verdana" w:eastAsia="Arial Narrow" w:hAnsi="Verdana" w:cs="Arial Narrow"/>
                <w:b/>
                <w:sz w:val="22"/>
                <w:szCs w:val="22"/>
              </w:rPr>
              <w:t xml:space="preserve">Sector minero y energético: </w:t>
            </w:r>
            <w:r w:rsidRPr="00506EE2">
              <w:rPr>
                <w:rFonts w:ascii="Verdana" w:eastAsia="Arial Narrow" w:hAnsi="Verdana" w:cs="Arial Narrow"/>
                <w:sz w:val="22"/>
                <w:szCs w:val="22"/>
              </w:rPr>
              <w:t>Se incluyen</w:t>
            </w:r>
            <w:r w:rsidRPr="00506EE2">
              <w:rPr>
                <w:rFonts w:ascii="Verdana" w:eastAsia="Arial Narrow" w:hAnsi="Verdana" w:cs="Arial Narrow"/>
                <w:b/>
                <w:sz w:val="22"/>
                <w:szCs w:val="22"/>
              </w:rPr>
              <w:t xml:space="preserve"> </w:t>
            </w:r>
            <w:r w:rsidRPr="00506EE2">
              <w:rPr>
                <w:rFonts w:ascii="Verdana" w:eastAsia="Arial Narrow" w:hAnsi="Verdana" w:cs="Arial Narrow"/>
                <w:sz w:val="22"/>
                <w:szCs w:val="22"/>
              </w:rPr>
              <w:t>en el todas las empresas</w:t>
            </w:r>
            <w:r w:rsidRPr="00506EE2">
              <w:rPr>
                <w:rFonts w:ascii="Verdana" w:eastAsia="Arial Narrow" w:hAnsi="Verdana" w:cs="Arial Narrow"/>
                <w:b/>
                <w:sz w:val="22"/>
                <w:szCs w:val="22"/>
              </w:rPr>
              <w:t xml:space="preserve"> </w:t>
            </w:r>
            <w:r w:rsidRPr="00506EE2">
              <w:rPr>
                <w:rFonts w:ascii="Verdana" w:eastAsia="Arial Narrow" w:hAnsi="Verdana" w:cs="Arial Narrow"/>
                <w:sz w:val="22"/>
                <w:szCs w:val="22"/>
              </w:rPr>
              <w:t xml:space="preserve">que se relacionan con la actividad minera y energética de cualquier tipo (extracción de carbón, esmeraldas, gas y petróleo; empresas generadoras de energía, etc. </w:t>
            </w:r>
            <w:r w:rsidRPr="00506EE2">
              <w:rPr>
                <w:rFonts w:ascii="Verdana" w:eastAsia="Arial Narrow" w:hAnsi="Verdana" w:cs="Arial Narrow"/>
                <w:b/>
                <w:sz w:val="22"/>
                <w:szCs w:val="22"/>
              </w:rPr>
              <w:t xml:space="preserve"> </w:t>
            </w:r>
          </w:p>
          <w:p w14:paraId="3349D6DA" w14:textId="77777777" w:rsidR="00194538" w:rsidRPr="00506EE2" w:rsidRDefault="00194538" w:rsidP="008174EA">
            <w:pPr>
              <w:pStyle w:val="Prrafodelista"/>
              <w:numPr>
                <w:ilvl w:val="0"/>
                <w:numId w:val="2"/>
              </w:numPr>
              <w:ind w:right="104"/>
              <w:jc w:val="both"/>
              <w:rPr>
                <w:rFonts w:ascii="Verdana" w:eastAsia="Arial Narrow" w:hAnsi="Verdana" w:cs="Arial Narrow"/>
                <w:sz w:val="22"/>
                <w:szCs w:val="22"/>
              </w:rPr>
            </w:pPr>
            <w:r w:rsidRPr="00506EE2">
              <w:rPr>
                <w:rFonts w:ascii="Verdana" w:eastAsia="Arial Narrow" w:hAnsi="Verdana" w:cs="Arial Narrow"/>
                <w:b/>
                <w:sz w:val="22"/>
                <w:szCs w:val="22"/>
              </w:rPr>
              <w:t xml:space="preserve">Sector solidario: </w:t>
            </w:r>
            <w:r w:rsidRPr="00506EE2">
              <w:rPr>
                <w:rFonts w:ascii="Verdana" w:eastAsia="Arial Narrow" w:hAnsi="Verdana" w:cs="Arial Narrow"/>
                <w:sz w:val="22"/>
                <w:szCs w:val="22"/>
              </w:rPr>
              <w:t>En este sector se incluyen las cooperativas, las cajas de compensación familiar, las empresas solidarias de salud, entre otras.</w:t>
            </w:r>
          </w:p>
          <w:p w14:paraId="32C43EFD" w14:textId="77777777" w:rsidR="00194538" w:rsidRPr="00506EE2" w:rsidRDefault="00194538" w:rsidP="008174EA">
            <w:pPr>
              <w:pStyle w:val="Prrafodelista"/>
              <w:numPr>
                <w:ilvl w:val="0"/>
                <w:numId w:val="2"/>
              </w:numPr>
              <w:ind w:right="104"/>
              <w:jc w:val="both"/>
              <w:rPr>
                <w:rFonts w:ascii="Verdana" w:eastAsia="Arial Narrow" w:hAnsi="Verdana" w:cs="Arial Narrow"/>
                <w:sz w:val="22"/>
                <w:szCs w:val="22"/>
              </w:rPr>
            </w:pPr>
            <w:r w:rsidRPr="00506EE2">
              <w:rPr>
                <w:rFonts w:ascii="Verdana" w:eastAsia="Arial Narrow" w:hAnsi="Verdana" w:cs="Arial Narrow"/>
                <w:b/>
                <w:sz w:val="22"/>
                <w:szCs w:val="22"/>
              </w:rPr>
              <w:t xml:space="preserve"> Sector de comunicaciones: </w:t>
            </w:r>
            <w:r w:rsidRPr="00506EE2">
              <w:rPr>
                <w:rFonts w:ascii="Verdana" w:eastAsia="Arial Narrow" w:hAnsi="Verdana" w:cs="Arial Narrow"/>
                <w:sz w:val="22"/>
                <w:szCs w:val="22"/>
              </w:rPr>
              <w:t>En este sector se incluyen todas las empresas y organizaciones relacionadas con los medios de comunicación como (telefonía fija y celular, empresas de publicidad, periódicos, editoriales, etc.</w:t>
            </w:r>
            <w:r w:rsidRPr="00506EE2">
              <w:rPr>
                <w:rStyle w:val="Refdenotaalpie"/>
                <w:rFonts w:ascii="Verdana" w:eastAsia="Arial Narrow" w:hAnsi="Verdana" w:cs="Arial Narrow"/>
                <w:sz w:val="22"/>
                <w:szCs w:val="22"/>
              </w:rPr>
              <w:footnoteReference w:id="1"/>
            </w:r>
            <w:r w:rsidRPr="00506EE2">
              <w:rPr>
                <w:rFonts w:ascii="Verdana" w:eastAsia="Arial Narrow" w:hAnsi="Verdana" w:cs="Arial Narrow"/>
                <w:sz w:val="22"/>
                <w:szCs w:val="22"/>
              </w:rPr>
              <w:t xml:space="preserve"> </w:t>
            </w:r>
          </w:p>
          <w:p w14:paraId="1EA3E387" w14:textId="77777777" w:rsidR="00515FC4" w:rsidRPr="00506EE2" w:rsidRDefault="00515FC4" w:rsidP="00EE30B7">
            <w:pPr>
              <w:pStyle w:val="Prrafodelista"/>
              <w:ind w:left="582" w:right="104"/>
              <w:jc w:val="both"/>
              <w:rPr>
                <w:rFonts w:ascii="Verdana" w:eastAsia="Arial Narrow" w:hAnsi="Verdana" w:cs="Arial Narrow"/>
                <w:sz w:val="22"/>
                <w:szCs w:val="22"/>
              </w:rPr>
            </w:pPr>
          </w:p>
          <w:p w14:paraId="27C5CDE9" w14:textId="77777777" w:rsidR="00CC11E5" w:rsidRPr="00506EE2" w:rsidRDefault="00CC11E5" w:rsidP="00EE30B7">
            <w:pPr>
              <w:ind w:right="104"/>
              <w:jc w:val="center"/>
              <w:rPr>
                <w:rFonts w:ascii="Verdana" w:eastAsia="Arial" w:hAnsi="Verdana" w:cs="Arial"/>
                <w:b/>
                <w:bCs/>
                <w:sz w:val="22"/>
                <w:szCs w:val="22"/>
                <w:lang w:val="es-ES"/>
              </w:rPr>
            </w:pPr>
            <w:r w:rsidRPr="00506EE2">
              <w:rPr>
                <w:rFonts w:ascii="Verdana" w:eastAsia="Arial" w:hAnsi="Verdana" w:cs="Arial"/>
                <w:b/>
                <w:bCs/>
                <w:sz w:val="22"/>
                <w:szCs w:val="22"/>
                <w:lang w:val="es-ES"/>
              </w:rPr>
              <w:t>PERSPECTIVA FINANCIERA Y ORGANIZACIONAL</w:t>
            </w:r>
          </w:p>
          <w:p w14:paraId="6A791BEA" w14:textId="77777777" w:rsidR="00CC11E5" w:rsidRPr="00506EE2" w:rsidRDefault="00CC11E5" w:rsidP="00EE30B7">
            <w:pPr>
              <w:ind w:right="104"/>
              <w:jc w:val="center"/>
              <w:rPr>
                <w:rFonts w:ascii="Verdana" w:eastAsia="Arial" w:hAnsi="Verdana" w:cs="Arial"/>
                <w:b/>
                <w:bCs/>
                <w:sz w:val="22"/>
                <w:szCs w:val="22"/>
                <w:lang w:val="es-ES"/>
              </w:rPr>
            </w:pPr>
          </w:p>
          <w:p w14:paraId="6877451F" w14:textId="77777777" w:rsidR="003020BE" w:rsidRPr="00506EE2" w:rsidRDefault="003020BE" w:rsidP="003020BE">
            <w:pPr>
              <w:jc w:val="both"/>
              <w:rPr>
                <w:rFonts w:ascii="Verdana" w:hAnsi="Verdana"/>
                <w:sz w:val="22"/>
                <w:szCs w:val="22"/>
                <w:lang w:val="es-ES"/>
              </w:rPr>
            </w:pPr>
            <w:r w:rsidRPr="00506EE2">
              <w:rPr>
                <w:rFonts w:ascii="Verdana" w:eastAsiaTheme="minorHAnsi" w:hAnsi="Verdana" w:cs="Arial"/>
                <w:color w:val="000000"/>
                <w:sz w:val="22"/>
                <w:szCs w:val="22"/>
                <w:lang w:eastAsia="en-US"/>
              </w:rPr>
              <w:t>En los últimos años, el sector industrial se ha convertido en una fuente importante de ingresos y empleo en el país.</w:t>
            </w:r>
          </w:p>
          <w:p w14:paraId="19098431" w14:textId="77777777" w:rsidR="005E4BF2" w:rsidRPr="00506EE2" w:rsidRDefault="005E4BF2" w:rsidP="005E4BF2">
            <w:pPr>
              <w:ind w:right="104"/>
              <w:jc w:val="both"/>
              <w:rPr>
                <w:rFonts w:ascii="Verdana" w:hAnsi="Verdana"/>
                <w:sz w:val="22"/>
                <w:szCs w:val="22"/>
                <w:lang w:val="es-ES"/>
              </w:rPr>
            </w:pPr>
          </w:p>
          <w:p w14:paraId="00AEC693" w14:textId="414F23C4" w:rsidR="00506EE2" w:rsidRPr="00AB7FC6" w:rsidRDefault="00C34310" w:rsidP="00C34310">
            <w:pPr>
              <w:tabs>
                <w:tab w:val="left" w:pos="10096"/>
              </w:tabs>
              <w:ind w:right="30"/>
              <w:jc w:val="both"/>
              <w:rPr>
                <w:rFonts w:ascii="Verdana" w:hAnsi="Verdana"/>
                <w:sz w:val="22"/>
                <w:szCs w:val="22"/>
                <w:lang w:val="es-ES"/>
              </w:rPr>
            </w:pPr>
            <w:r w:rsidRPr="00C34310">
              <w:rPr>
                <w:rFonts w:ascii="Verdana" w:hAnsi="Verdana"/>
                <w:sz w:val="22"/>
                <w:szCs w:val="22"/>
                <w:lang w:val="es-ES"/>
              </w:rPr>
              <w:t>En enero de 2026 frente a enero de 2025, el Índice de Producción Industrial presentó una</w:t>
            </w:r>
            <w:r>
              <w:rPr>
                <w:rFonts w:ascii="Verdana" w:hAnsi="Verdana"/>
                <w:sz w:val="22"/>
                <w:szCs w:val="22"/>
                <w:lang w:val="es-ES"/>
              </w:rPr>
              <w:t xml:space="preserve"> </w:t>
            </w:r>
            <w:r w:rsidRPr="00C34310">
              <w:rPr>
                <w:rFonts w:ascii="Verdana" w:hAnsi="Verdana"/>
                <w:sz w:val="22"/>
                <w:szCs w:val="22"/>
                <w:lang w:val="es-ES"/>
              </w:rPr>
              <w:t>variación de -0,5%.</w:t>
            </w:r>
          </w:p>
          <w:p w14:paraId="4C04B8C3" w14:textId="77777777" w:rsidR="00506EE2" w:rsidRPr="00AB7FC6" w:rsidRDefault="00506EE2" w:rsidP="00506EE2">
            <w:pPr>
              <w:ind w:right="104"/>
              <w:jc w:val="both"/>
              <w:rPr>
                <w:rFonts w:ascii="Verdana" w:hAnsi="Verdana"/>
                <w:sz w:val="22"/>
                <w:szCs w:val="22"/>
                <w:lang w:val="es-ES"/>
              </w:rPr>
            </w:pPr>
          </w:p>
          <w:p w14:paraId="6C30F5FE" w14:textId="0211FAD7" w:rsidR="00506EE2" w:rsidRPr="00AB7FC6" w:rsidRDefault="00C34310" w:rsidP="00506EE2">
            <w:pPr>
              <w:ind w:right="104"/>
              <w:jc w:val="center"/>
              <w:rPr>
                <w:rFonts w:ascii="Verdana" w:hAnsi="Verdana"/>
                <w:sz w:val="22"/>
                <w:szCs w:val="22"/>
                <w:lang w:val="es-ES"/>
              </w:rPr>
            </w:pPr>
            <w:r w:rsidRPr="00C34310">
              <w:rPr>
                <w:rFonts w:ascii="Verdana" w:hAnsi="Verdana"/>
                <w:noProof/>
                <w:sz w:val="22"/>
                <w:szCs w:val="22"/>
                <w:lang w:val="es-ES"/>
              </w:rPr>
              <w:lastRenderedPageBreak/>
              <w:drawing>
                <wp:inline distT="0" distB="0" distL="0" distR="0" wp14:anchorId="06D0C71A" wp14:editId="291DA72A">
                  <wp:extent cx="4629150" cy="2263198"/>
                  <wp:effectExtent l="0" t="0" r="0" b="3810"/>
                  <wp:docPr id="1294780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780182" name=""/>
                          <pic:cNvPicPr/>
                        </pic:nvPicPr>
                        <pic:blipFill>
                          <a:blip r:embed="rId8"/>
                          <a:stretch>
                            <a:fillRect/>
                          </a:stretch>
                        </pic:blipFill>
                        <pic:spPr>
                          <a:xfrm>
                            <a:off x="0" y="0"/>
                            <a:ext cx="4635286" cy="2266198"/>
                          </a:xfrm>
                          <a:prstGeom prst="rect">
                            <a:avLst/>
                          </a:prstGeom>
                        </pic:spPr>
                      </pic:pic>
                    </a:graphicData>
                  </a:graphic>
                </wp:inline>
              </w:drawing>
            </w:r>
          </w:p>
          <w:p w14:paraId="2D59FED2"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70918757" w14:textId="77777777" w:rsidR="00506EE2" w:rsidRPr="00AB7FC6" w:rsidRDefault="00506EE2" w:rsidP="00506EE2">
            <w:pPr>
              <w:ind w:right="104"/>
              <w:rPr>
                <w:rFonts w:ascii="Verdana" w:hAnsi="Verdana"/>
                <w:sz w:val="22"/>
                <w:szCs w:val="22"/>
                <w:lang w:val="es-ES"/>
              </w:rPr>
            </w:pPr>
          </w:p>
          <w:p w14:paraId="1A0218A2" w14:textId="133724C6" w:rsidR="00506EE2" w:rsidRPr="00AB7FC6" w:rsidRDefault="00C34310" w:rsidP="00506EE2">
            <w:pPr>
              <w:ind w:right="104"/>
              <w:jc w:val="both"/>
              <w:rPr>
                <w:rFonts w:ascii="Verdana" w:hAnsi="Verdana"/>
                <w:sz w:val="22"/>
                <w:szCs w:val="22"/>
                <w:lang w:val="es-ES"/>
              </w:rPr>
            </w:pPr>
            <w:r w:rsidRPr="00C34310">
              <w:rPr>
                <w:rFonts w:ascii="Verdana" w:hAnsi="Verdana"/>
                <w:sz w:val="22"/>
                <w:szCs w:val="22"/>
                <w:lang w:val="es-ES"/>
              </w:rPr>
              <w:t>En enero de 2026, frente a enero de 2025, dos de los cuatro sectores registraron variaciones negativas: la explotación de minas y canteras presentó una disminución del 4,0% y la industria manufacturera, del 0,5%. En contraste, los sectores que registraron variaciones positivas fueron la captación, tratamiento y distribución de agua, con un crecimiento de 3,7%, y el suministro de electricidad y gas, con un aumento de 2,7%.</w:t>
            </w:r>
          </w:p>
          <w:p w14:paraId="5D77B46C" w14:textId="77777777" w:rsidR="00506EE2" w:rsidRPr="00AB7FC6" w:rsidRDefault="00506EE2" w:rsidP="00506EE2">
            <w:pPr>
              <w:ind w:right="104"/>
              <w:rPr>
                <w:rFonts w:ascii="Verdana" w:hAnsi="Verdana"/>
                <w:sz w:val="22"/>
                <w:szCs w:val="22"/>
                <w:lang w:val="es-ES"/>
              </w:rPr>
            </w:pPr>
          </w:p>
          <w:p w14:paraId="54518E91" w14:textId="77777777" w:rsidR="00506EE2" w:rsidRPr="00AB7FC6" w:rsidRDefault="00506EE2" w:rsidP="00506EE2">
            <w:pPr>
              <w:ind w:right="104"/>
              <w:rPr>
                <w:rFonts w:ascii="Verdana" w:hAnsi="Verdana"/>
                <w:b/>
                <w:sz w:val="22"/>
                <w:szCs w:val="22"/>
                <w:lang w:val="es-ES"/>
              </w:rPr>
            </w:pPr>
            <w:r w:rsidRPr="00AB7FC6">
              <w:rPr>
                <w:rFonts w:ascii="Verdana" w:hAnsi="Verdana"/>
                <w:b/>
                <w:sz w:val="22"/>
                <w:szCs w:val="22"/>
                <w:lang w:val="es-ES"/>
              </w:rPr>
              <w:t>Resultados del Indicador de Seguimiento a la Economía</w:t>
            </w:r>
          </w:p>
          <w:p w14:paraId="57D729C4" w14:textId="77777777" w:rsidR="00506EE2" w:rsidRPr="00AB7FC6" w:rsidRDefault="00506EE2" w:rsidP="00506EE2">
            <w:pPr>
              <w:ind w:right="104"/>
              <w:jc w:val="both"/>
              <w:rPr>
                <w:rFonts w:ascii="Verdana" w:hAnsi="Verdana"/>
                <w:sz w:val="22"/>
                <w:szCs w:val="22"/>
                <w:lang w:val="es-ES"/>
              </w:rPr>
            </w:pPr>
          </w:p>
          <w:p w14:paraId="746A1CEA" w14:textId="77777777" w:rsidR="00506EE2" w:rsidRPr="00AB7FC6" w:rsidRDefault="00506EE2" w:rsidP="00506EE2">
            <w:pPr>
              <w:ind w:right="104"/>
              <w:jc w:val="both"/>
              <w:rPr>
                <w:rFonts w:ascii="Verdana" w:hAnsi="Verdana"/>
                <w:b/>
                <w:sz w:val="22"/>
                <w:szCs w:val="22"/>
                <w:lang w:val="es-ES"/>
              </w:rPr>
            </w:pPr>
            <w:r w:rsidRPr="00AB7FC6">
              <w:rPr>
                <w:rFonts w:ascii="Verdana" w:hAnsi="Verdana"/>
                <w:b/>
                <w:sz w:val="22"/>
                <w:szCs w:val="22"/>
                <w:lang w:val="es-ES"/>
              </w:rPr>
              <w:t>Comportamiento anual</w:t>
            </w:r>
          </w:p>
          <w:p w14:paraId="25E43F9C" w14:textId="77777777" w:rsidR="00506EE2" w:rsidRPr="00AB7FC6" w:rsidRDefault="00506EE2" w:rsidP="00506EE2">
            <w:pPr>
              <w:ind w:right="104"/>
              <w:jc w:val="both"/>
              <w:rPr>
                <w:rFonts w:ascii="Verdana" w:hAnsi="Verdana"/>
                <w:sz w:val="22"/>
                <w:szCs w:val="22"/>
                <w:lang w:val="es-ES"/>
              </w:rPr>
            </w:pPr>
          </w:p>
          <w:p w14:paraId="40690E3A" w14:textId="5081B3C5" w:rsidR="00506EE2" w:rsidRPr="00AB7FC6" w:rsidRDefault="00B14FD6" w:rsidP="00B14FD6">
            <w:pPr>
              <w:ind w:right="104"/>
              <w:jc w:val="both"/>
              <w:rPr>
                <w:rFonts w:ascii="Verdana" w:hAnsi="Verdana"/>
                <w:sz w:val="22"/>
                <w:szCs w:val="22"/>
                <w:lang w:val="es-ES"/>
              </w:rPr>
            </w:pPr>
            <w:r w:rsidRPr="00B14FD6">
              <w:rPr>
                <w:rFonts w:ascii="Verdana" w:hAnsi="Verdana"/>
                <w:sz w:val="22"/>
                <w:szCs w:val="22"/>
                <w:lang w:val="es-ES"/>
              </w:rPr>
              <w:t>Para el mes de enero de 2026pr el ISE en su serie original, se ubicó en 118,20, lo que representó</w:t>
            </w:r>
            <w:r>
              <w:rPr>
                <w:rFonts w:ascii="Verdana" w:hAnsi="Verdana"/>
                <w:sz w:val="22"/>
                <w:szCs w:val="22"/>
                <w:lang w:val="es-ES"/>
              </w:rPr>
              <w:t xml:space="preserve"> </w:t>
            </w:r>
            <w:r w:rsidRPr="00B14FD6">
              <w:rPr>
                <w:rFonts w:ascii="Verdana" w:hAnsi="Verdana"/>
                <w:sz w:val="22"/>
                <w:szCs w:val="22"/>
                <w:lang w:val="es-ES"/>
              </w:rPr>
              <w:t>un crecimiento de 1,55% respecto al mes de enero de 2025pr (116,39).</w:t>
            </w:r>
          </w:p>
          <w:p w14:paraId="195396A6" w14:textId="77777777" w:rsidR="00506EE2" w:rsidRPr="00AB7FC6" w:rsidRDefault="00506EE2" w:rsidP="00506EE2">
            <w:pPr>
              <w:ind w:right="104"/>
              <w:rPr>
                <w:rFonts w:ascii="Verdana" w:hAnsi="Verdana"/>
                <w:sz w:val="22"/>
                <w:szCs w:val="22"/>
                <w:lang w:val="es-ES"/>
              </w:rPr>
            </w:pPr>
          </w:p>
          <w:p w14:paraId="36C70E09" w14:textId="527A748F" w:rsidR="00506EE2" w:rsidRPr="00AB7FC6" w:rsidRDefault="00B14FD6" w:rsidP="00506EE2">
            <w:pPr>
              <w:ind w:right="104"/>
              <w:jc w:val="center"/>
              <w:rPr>
                <w:rFonts w:ascii="Verdana" w:hAnsi="Verdana"/>
                <w:sz w:val="22"/>
                <w:szCs w:val="22"/>
                <w:lang w:val="es-ES"/>
              </w:rPr>
            </w:pPr>
            <w:r w:rsidRPr="00B14FD6">
              <w:rPr>
                <w:rFonts w:ascii="Verdana" w:hAnsi="Verdana"/>
                <w:noProof/>
                <w:sz w:val="22"/>
                <w:szCs w:val="22"/>
                <w:lang w:val="es-ES"/>
              </w:rPr>
              <w:drawing>
                <wp:inline distT="0" distB="0" distL="0" distR="0" wp14:anchorId="3ED677C7" wp14:editId="5A0C91B8">
                  <wp:extent cx="4521200" cy="2086708"/>
                  <wp:effectExtent l="0" t="0" r="0" b="8890"/>
                  <wp:docPr id="724274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74670" name=""/>
                          <pic:cNvPicPr/>
                        </pic:nvPicPr>
                        <pic:blipFill>
                          <a:blip r:embed="rId9"/>
                          <a:stretch>
                            <a:fillRect/>
                          </a:stretch>
                        </pic:blipFill>
                        <pic:spPr>
                          <a:xfrm>
                            <a:off x="0" y="0"/>
                            <a:ext cx="4528398" cy="2090030"/>
                          </a:xfrm>
                          <a:prstGeom prst="rect">
                            <a:avLst/>
                          </a:prstGeom>
                        </pic:spPr>
                      </pic:pic>
                    </a:graphicData>
                  </a:graphic>
                </wp:inline>
              </w:drawing>
            </w:r>
          </w:p>
          <w:p w14:paraId="0D723DCC"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72B97C5F" w14:textId="77777777" w:rsidR="00506EE2" w:rsidRPr="00AB7FC6" w:rsidRDefault="00506EE2" w:rsidP="00506EE2">
            <w:pPr>
              <w:ind w:right="104"/>
              <w:jc w:val="both"/>
              <w:rPr>
                <w:rFonts w:ascii="Verdana" w:hAnsi="Verdana"/>
                <w:sz w:val="22"/>
                <w:szCs w:val="22"/>
                <w:lang w:val="es-ES"/>
              </w:rPr>
            </w:pPr>
          </w:p>
          <w:p w14:paraId="50E52A5E" w14:textId="77777777" w:rsidR="00506EE2" w:rsidRPr="00AB7FC6" w:rsidRDefault="00506EE2" w:rsidP="00506EE2">
            <w:pPr>
              <w:ind w:right="104"/>
              <w:jc w:val="both"/>
              <w:rPr>
                <w:rFonts w:ascii="Verdana" w:hAnsi="Verdana"/>
                <w:b/>
                <w:sz w:val="22"/>
                <w:szCs w:val="22"/>
                <w:lang w:val="es-ES"/>
              </w:rPr>
            </w:pPr>
            <w:r w:rsidRPr="00AB7FC6">
              <w:rPr>
                <w:rFonts w:ascii="Verdana" w:hAnsi="Verdana"/>
                <w:b/>
                <w:sz w:val="22"/>
                <w:szCs w:val="22"/>
                <w:lang w:val="es-ES"/>
              </w:rPr>
              <w:t>Comportamiento mensual:</w:t>
            </w:r>
          </w:p>
          <w:p w14:paraId="02973AAF" w14:textId="77777777" w:rsidR="00506EE2" w:rsidRPr="00AB7FC6" w:rsidRDefault="00506EE2" w:rsidP="00506EE2">
            <w:pPr>
              <w:ind w:right="104"/>
              <w:jc w:val="both"/>
              <w:rPr>
                <w:rFonts w:ascii="Verdana" w:hAnsi="Verdana"/>
                <w:sz w:val="22"/>
                <w:szCs w:val="22"/>
                <w:lang w:val="es-ES"/>
              </w:rPr>
            </w:pPr>
          </w:p>
          <w:p w14:paraId="7EB2F994" w14:textId="24F8E5EA" w:rsidR="00506EE2" w:rsidRPr="00AB7FC6" w:rsidRDefault="00B14FD6" w:rsidP="00B14FD6">
            <w:pPr>
              <w:ind w:right="104"/>
              <w:jc w:val="both"/>
              <w:rPr>
                <w:rFonts w:ascii="Verdana" w:hAnsi="Verdana"/>
                <w:sz w:val="22"/>
                <w:szCs w:val="22"/>
                <w:lang w:val="es-ES"/>
              </w:rPr>
            </w:pPr>
            <w:r w:rsidRPr="00B14FD6">
              <w:rPr>
                <w:rFonts w:ascii="Verdana" w:hAnsi="Verdana"/>
                <w:sz w:val="22"/>
                <w:szCs w:val="22"/>
                <w:lang w:val="es-ES"/>
              </w:rPr>
              <w:t>Para el mes de enero de 2026pr el ISE en su serie ajustada por efecto estacional y calendario se</w:t>
            </w:r>
            <w:r>
              <w:rPr>
                <w:rFonts w:ascii="Verdana" w:hAnsi="Verdana"/>
                <w:sz w:val="22"/>
                <w:szCs w:val="22"/>
                <w:lang w:val="es-ES"/>
              </w:rPr>
              <w:t xml:space="preserve"> </w:t>
            </w:r>
            <w:r w:rsidRPr="00B14FD6">
              <w:rPr>
                <w:rFonts w:ascii="Verdana" w:hAnsi="Verdana"/>
                <w:sz w:val="22"/>
                <w:szCs w:val="22"/>
                <w:lang w:val="es-ES"/>
              </w:rPr>
              <w:t>ubicó en 126,49, lo que representó un decrecimiento de 0,07%, respecto al mes de diciembre de</w:t>
            </w:r>
            <w:r>
              <w:rPr>
                <w:rFonts w:ascii="Verdana" w:hAnsi="Verdana"/>
                <w:sz w:val="22"/>
                <w:szCs w:val="22"/>
                <w:lang w:val="es-ES"/>
              </w:rPr>
              <w:t xml:space="preserve"> </w:t>
            </w:r>
            <w:r w:rsidRPr="00B14FD6">
              <w:rPr>
                <w:rFonts w:ascii="Verdana" w:hAnsi="Verdana"/>
                <w:sz w:val="22"/>
                <w:szCs w:val="22"/>
                <w:lang w:val="es-ES"/>
              </w:rPr>
              <w:t>2025pr (126,57).</w:t>
            </w:r>
          </w:p>
          <w:p w14:paraId="331D90D7" w14:textId="77777777" w:rsidR="00506EE2" w:rsidRPr="00AB7FC6" w:rsidRDefault="00506EE2" w:rsidP="00506EE2">
            <w:pPr>
              <w:ind w:right="104"/>
              <w:jc w:val="both"/>
              <w:rPr>
                <w:rFonts w:ascii="Verdana" w:hAnsi="Verdana"/>
                <w:sz w:val="22"/>
                <w:szCs w:val="22"/>
                <w:lang w:val="es-ES"/>
              </w:rPr>
            </w:pPr>
          </w:p>
          <w:p w14:paraId="104A4C12" w14:textId="465BFBBD" w:rsidR="00506EE2" w:rsidRPr="00AB7FC6" w:rsidRDefault="00B14FD6" w:rsidP="00506EE2">
            <w:pPr>
              <w:ind w:right="104"/>
              <w:jc w:val="center"/>
              <w:rPr>
                <w:rFonts w:ascii="Verdana" w:hAnsi="Verdana"/>
                <w:sz w:val="22"/>
                <w:szCs w:val="22"/>
                <w:lang w:val="es-ES"/>
              </w:rPr>
            </w:pPr>
            <w:r w:rsidRPr="00B14FD6">
              <w:rPr>
                <w:rFonts w:ascii="Verdana" w:hAnsi="Verdana"/>
                <w:noProof/>
                <w:sz w:val="22"/>
                <w:szCs w:val="22"/>
                <w:lang w:val="es-ES"/>
              </w:rPr>
              <w:drawing>
                <wp:inline distT="0" distB="0" distL="0" distR="0" wp14:anchorId="51D56D08" wp14:editId="11C4D665">
                  <wp:extent cx="4673600" cy="2225170"/>
                  <wp:effectExtent l="0" t="0" r="0" b="3810"/>
                  <wp:docPr id="1622122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22158" name=""/>
                          <pic:cNvPicPr/>
                        </pic:nvPicPr>
                        <pic:blipFill>
                          <a:blip r:embed="rId10"/>
                          <a:stretch>
                            <a:fillRect/>
                          </a:stretch>
                        </pic:blipFill>
                        <pic:spPr>
                          <a:xfrm>
                            <a:off x="0" y="0"/>
                            <a:ext cx="4679263" cy="2227866"/>
                          </a:xfrm>
                          <a:prstGeom prst="rect">
                            <a:avLst/>
                          </a:prstGeom>
                        </pic:spPr>
                      </pic:pic>
                    </a:graphicData>
                  </a:graphic>
                </wp:inline>
              </w:drawing>
            </w:r>
          </w:p>
          <w:p w14:paraId="0D54F85A"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0FC855D0" w14:textId="77777777" w:rsidR="00506EE2" w:rsidRPr="00AB7FC6" w:rsidRDefault="00506EE2" w:rsidP="00506EE2">
            <w:pPr>
              <w:ind w:right="104"/>
              <w:rPr>
                <w:rFonts w:ascii="Verdana" w:hAnsi="Verdana"/>
                <w:sz w:val="22"/>
                <w:szCs w:val="22"/>
                <w:lang w:val="es-ES"/>
              </w:rPr>
            </w:pPr>
          </w:p>
          <w:p w14:paraId="1390BA1F" w14:textId="77777777" w:rsidR="00506EE2" w:rsidRPr="00AB7FC6" w:rsidRDefault="00506EE2" w:rsidP="00506EE2">
            <w:pPr>
              <w:ind w:right="104"/>
              <w:jc w:val="both"/>
              <w:rPr>
                <w:rFonts w:ascii="Verdana" w:hAnsi="Verdana"/>
                <w:b/>
                <w:sz w:val="22"/>
                <w:szCs w:val="22"/>
                <w:lang w:val="es-ES"/>
              </w:rPr>
            </w:pPr>
            <w:r w:rsidRPr="00AB7FC6">
              <w:rPr>
                <w:rFonts w:ascii="Verdana" w:hAnsi="Verdana"/>
                <w:b/>
                <w:sz w:val="22"/>
                <w:szCs w:val="22"/>
                <w:lang w:val="es-ES"/>
              </w:rPr>
              <w:t>Resultados del índice de las actividades secundarias:</w:t>
            </w:r>
          </w:p>
          <w:p w14:paraId="3240FB86" w14:textId="77777777" w:rsidR="00506EE2" w:rsidRPr="00AB7FC6" w:rsidRDefault="00506EE2" w:rsidP="00506EE2">
            <w:pPr>
              <w:ind w:right="104"/>
              <w:jc w:val="both"/>
              <w:rPr>
                <w:rFonts w:ascii="Verdana" w:hAnsi="Verdana"/>
                <w:sz w:val="22"/>
                <w:szCs w:val="22"/>
                <w:lang w:val="es-ES"/>
              </w:rPr>
            </w:pPr>
          </w:p>
          <w:p w14:paraId="01FE095E" w14:textId="038E5390" w:rsidR="00506EE2" w:rsidRPr="00AB7FC6" w:rsidRDefault="00506EE2" w:rsidP="00B14FD6">
            <w:pPr>
              <w:tabs>
                <w:tab w:val="left" w:pos="10086"/>
              </w:tabs>
              <w:ind w:right="26"/>
              <w:jc w:val="both"/>
              <w:rPr>
                <w:rFonts w:ascii="Verdana" w:hAnsi="Verdana"/>
                <w:sz w:val="22"/>
                <w:szCs w:val="22"/>
                <w:lang w:val="es-ES"/>
              </w:rPr>
            </w:pPr>
            <w:r w:rsidRPr="00AB7FC6">
              <w:rPr>
                <w:rFonts w:ascii="Verdana" w:hAnsi="Verdana"/>
                <w:b/>
                <w:sz w:val="22"/>
                <w:szCs w:val="22"/>
                <w:lang w:val="es-ES"/>
              </w:rPr>
              <w:t>Comportamiento anual:</w:t>
            </w:r>
            <w:r w:rsidRPr="00AB7FC6">
              <w:rPr>
                <w:rFonts w:ascii="Verdana" w:hAnsi="Verdana"/>
                <w:sz w:val="22"/>
                <w:szCs w:val="22"/>
                <w:lang w:val="es-ES"/>
              </w:rPr>
              <w:t xml:space="preserve"> </w:t>
            </w:r>
            <w:r w:rsidR="00B14FD6" w:rsidRPr="00B14FD6">
              <w:rPr>
                <w:rFonts w:ascii="Verdana" w:hAnsi="Verdana"/>
                <w:sz w:val="22"/>
                <w:szCs w:val="22"/>
                <w:lang w:val="es-ES"/>
              </w:rPr>
              <w:t>Para el mes de enero de 2026pr el índice de las actividades secundarias, en su serie original se</w:t>
            </w:r>
            <w:r w:rsidR="00B14FD6">
              <w:rPr>
                <w:rFonts w:ascii="Verdana" w:hAnsi="Verdana"/>
                <w:sz w:val="22"/>
                <w:szCs w:val="22"/>
                <w:lang w:val="es-ES"/>
              </w:rPr>
              <w:t xml:space="preserve"> </w:t>
            </w:r>
            <w:r w:rsidR="00B14FD6" w:rsidRPr="00B14FD6">
              <w:rPr>
                <w:rFonts w:ascii="Verdana" w:hAnsi="Verdana"/>
                <w:sz w:val="22"/>
                <w:szCs w:val="22"/>
                <w:lang w:val="es-ES"/>
              </w:rPr>
              <w:t>ubicó en 89,43, lo que representó un decrecimiento de 0,97% respecto al mes de enero de 2025pr</w:t>
            </w:r>
            <w:r w:rsidR="00B14FD6">
              <w:rPr>
                <w:rFonts w:ascii="Verdana" w:hAnsi="Verdana"/>
                <w:sz w:val="22"/>
                <w:szCs w:val="22"/>
                <w:lang w:val="es-ES"/>
              </w:rPr>
              <w:t xml:space="preserve"> </w:t>
            </w:r>
            <w:r w:rsidR="00B14FD6" w:rsidRPr="00B14FD6">
              <w:rPr>
                <w:rFonts w:ascii="Verdana" w:hAnsi="Verdana"/>
                <w:sz w:val="22"/>
                <w:szCs w:val="22"/>
                <w:lang w:val="es-ES"/>
              </w:rPr>
              <w:t>(90,31). En cuanto a la serie ajustada por efecto estacional y calendario, para el mes de enero de</w:t>
            </w:r>
            <w:r w:rsidR="00B14FD6">
              <w:rPr>
                <w:rFonts w:ascii="Verdana" w:hAnsi="Verdana"/>
                <w:sz w:val="22"/>
                <w:szCs w:val="22"/>
                <w:lang w:val="es-ES"/>
              </w:rPr>
              <w:t xml:space="preserve"> </w:t>
            </w:r>
            <w:r w:rsidR="00B14FD6" w:rsidRPr="00B14FD6">
              <w:rPr>
                <w:rFonts w:ascii="Verdana" w:hAnsi="Verdana"/>
                <w:sz w:val="22"/>
                <w:szCs w:val="22"/>
                <w:lang w:val="es-ES"/>
              </w:rPr>
              <w:t>2026pr, se ubicó en 96,78, lo que representó un decrecimiento de 1,01% respecto al mes de enero</w:t>
            </w:r>
            <w:r w:rsidR="00B14FD6">
              <w:rPr>
                <w:rFonts w:ascii="Verdana" w:hAnsi="Verdana"/>
                <w:sz w:val="22"/>
                <w:szCs w:val="22"/>
                <w:lang w:val="es-ES"/>
              </w:rPr>
              <w:t xml:space="preserve"> </w:t>
            </w:r>
            <w:r w:rsidR="00B14FD6" w:rsidRPr="00B14FD6">
              <w:rPr>
                <w:rFonts w:ascii="Verdana" w:hAnsi="Verdana"/>
                <w:sz w:val="22"/>
                <w:szCs w:val="22"/>
                <w:lang w:val="es-ES"/>
              </w:rPr>
              <w:t>de 2025pr (97,77).</w:t>
            </w:r>
          </w:p>
          <w:p w14:paraId="09BA0BC8" w14:textId="77777777" w:rsidR="00506EE2" w:rsidRPr="00AB7FC6" w:rsidRDefault="00506EE2" w:rsidP="00506EE2">
            <w:pPr>
              <w:ind w:right="104"/>
              <w:jc w:val="both"/>
              <w:rPr>
                <w:rFonts w:ascii="Verdana" w:hAnsi="Verdana"/>
                <w:sz w:val="22"/>
                <w:szCs w:val="22"/>
                <w:lang w:val="es-ES"/>
              </w:rPr>
            </w:pPr>
          </w:p>
          <w:p w14:paraId="4162A6B7" w14:textId="34B6342E" w:rsidR="00506EE2" w:rsidRPr="00AB7FC6" w:rsidRDefault="00B14FD6" w:rsidP="00506EE2">
            <w:pPr>
              <w:ind w:right="104"/>
              <w:jc w:val="center"/>
              <w:rPr>
                <w:rFonts w:ascii="Verdana" w:hAnsi="Verdana"/>
                <w:sz w:val="22"/>
                <w:szCs w:val="22"/>
                <w:lang w:val="es-ES"/>
              </w:rPr>
            </w:pPr>
            <w:r w:rsidRPr="00B14FD6">
              <w:rPr>
                <w:rFonts w:ascii="Verdana" w:hAnsi="Verdana"/>
                <w:noProof/>
                <w:sz w:val="22"/>
                <w:szCs w:val="22"/>
                <w:lang w:val="es-ES"/>
              </w:rPr>
              <w:drawing>
                <wp:inline distT="0" distB="0" distL="0" distR="0" wp14:anchorId="4CFCAB77" wp14:editId="3CCAE43A">
                  <wp:extent cx="4622800" cy="2223347"/>
                  <wp:effectExtent l="0" t="0" r="6350" b="5715"/>
                  <wp:docPr id="1057813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13754" name=""/>
                          <pic:cNvPicPr/>
                        </pic:nvPicPr>
                        <pic:blipFill>
                          <a:blip r:embed="rId11"/>
                          <a:stretch>
                            <a:fillRect/>
                          </a:stretch>
                        </pic:blipFill>
                        <pic:spPr>
                          <a:xfrm>
                            <a:off x="0" y="0"/>
                            <a:ext cx="4631080" cy="2227329"/>
                          </a:xfrm>
                          <a:prstGeom prst="rect">
                            <a:avLst/>
                          </a:prstGeom>
                        </pic:spPr>
                      </pic:pic>
                    </a:graphicData>
                  </a:graphic>
                </wp:inline>
              </w:drawing>
            </w:r>
          </w:p>
          <w:p w14:paraId="00A287A7"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763AB94D" w14:textId="77777777" w:rsidR="00506EE2" w:rsidRPr="00AB7FC6" w:rsidRDefault="00506EE2" w:rsidP="00506EE2">
            <w:pPr>
              <w:ind w:right="104"/>
              <w:jc w:val="both"/>
              <w:rPr>
                <w:rFonts w:ascii="Verdana" w:hAnsi="Verdana"/>
                <w:sz w:val="22"/>
                <w:szCs w:val="22"/>
                <w:lang w:val="es-ES"/>
              </w:rPr>
            </w:pPr>
          </w:p>
          <w:p w14:paraId="45E3C28C" w14:textId="472C27F3" w:rsidR="00506EE2" w:rsidRPr="00AB7FC6" w:rsidRDefault="00506EE2" w:rsidP="00B14FD6">
            <w:pPr>
              <w:ind w:right="104"/>
              <w:jc w:val="both"/>
              <w:rPr>
                <w:rFonts w:ascii="Verdana" w:hAnsi="Verdana"/>
                <w:sz w:val="22"/>
                <w:szCs w:val="22"/>
                <w:lang w:val="es-ES"/>
              </w:rPr>
            </w:pPr>
            <w:r w:rsidRPr="00AB7FC6">
              <w:rPr>
                <w:rFonts w:ascii="Verdana" w:hAnsi="Verdana"/>
                <w:b/>
                <w:bCs/>
                <w:sz w:val="22"/>
                <w:szCs w:val="22"/>
                <w:lang w:val="es-ES"/>
              </w:rPr>
              <w:t>Comportamiento mensual:</w:t>
            </w:r>
            <w:r w:rsidRPr="00AB7FC6">
              <w:rPr>
                <w:rFonts w:ascii="Verdana" w:hAnsi="Verdana"/>
                <w:sz w:val="22"/>
                <w:szCs w:val="22"/>
                <w:lang w:val="es-ES"/>
              </w:rPr>
              <w:t xml:space="preserve"> </w:t>
            </w:r>
            <w:r w:rsidR="00B14FD6" w:rsidRPr="00B14FD6">
              <w:rPr>
                <w:rFonts w:ascii="Verdana" w:hAnsi="Verdana"/>
                <w:sz w:val="22"/>
                <w:szCs w:val="22"/>
                <w:lang w:val="es-ES"/>
              </w:rPr>
              <w:t>Para el mes de enero de 2026pr el índice de las actividades secundarias en su serie ajustada por</w:t>
            </w:r>
            <w:r w:rsidR="00B14FD6">
              <w:rPr>
                <w:rFonts w:ascii="Verdana" w:hAnsi="Verdana"/>
                <w:sz w:val="22"/>
                <w:szCs w:val="22"/>
                <w:lang w:val="es-ES"/>
              </w:rPr>
              <w:t xml:space="preserve"> </w:t>
            </w:r>
            <w:r w:rsidR="00B14FD6" w:rsidRPr="00B14FD6">
              <w:rPr>
                <w:rFonts w:ascii="Verdana" w:hAnsi="Verdana"/>
                <w:sz w:val="22"/>
                <w:szCs w:val="22"/>
                <w:lang w:val="es-ES"/>
              </w:rPr>
              <w:t>efecto estacional y calendario se ubicó en 96,78, lo que representó un crecimiento de 0,43%,</w:t>
            </w:r>
            <w:r w:rsidR="00B14FD6">
              <w:rPr>
                <w:rFonts w:ascii="Verdana" w:hAnsi="Verdana"/>
                <w:sz w:val="22"/>
                <w:szCs w:val="22"/>
                <w:lang w:val="es-ES"/>
              </w:rPr>
              <w:t xml:space="preserve"> </w:t>
            </w:r>
            <w:r w:rsidR="00B14FD6" w:rsidRPr="00B14FD6">
              <w:rPr>
                <w:rFonts w:ascii="Verdana" w:hAnsi="Verdana"/>
                <w:sz w:val="22"/>
                <w:szCs w:val="22"/>
                <w:lang w:val="es-ES"/>
              </w:rPr>
              <w:t>respecto al mes de diciembre de 2025pr (96,37)</w:t>
            </w:r>
            <w:r w:rsidRPr="00AB7FC6">
              <w:rPr>
                <w:rFonts w:ascii="Verdana" w:hAnsi="Verdana"/>
                <w:sz w:val="22"/>
                <w:szCs w:val="22"/>
                <w:lang w:val="es-ES"/>
              </w:rPr>
              <w:t>.</w:t>
            </w:r>
          </w:p>
          <w:p w14:paraId="4DAB58BD" w14:textId="77777777" w:rsidR="00506EE2" w:rsidRPr="00AB7FC6" w:rsidRDefault="00506EE2" w:rsidP="00506EE2">
            <w:pPr>
              <w:ind w:right="104"/>
              <w:jc w:val="both"/>
              <w:rPr>
                <w:rFonts w:ascii="Verdana" w:hAnsi="Verdana"/>
                <w:sz w:val="22"/>
                <w:szCs w:val="22"/>
                <w:lang w:val="es-ES"/>
              </w:rPr>
            </w:pPr>
          </w:p>
          <w:p w14:paraId="4178295F" w14:textId="340958CE" w:rsidR="00506EE2" w:rsidRPr="00AB7FC6" w:rsidRDefault="00B14FD6" w:rsidP="00506EE2">
            <w:pPr>
              <w:ind w:right="104"/>
              <w:jc w:val="center"/>
              <w:rPr>
                <w:rFonts w:ascii="Verdana" w:hAnsi="Verdana"/>
                <w:sz w:val="22"/>
                <w:szCs w:val="22"/>
                <w:lang w:val="es-ES"/>
              </w:rPr>
            </w:pPr>
            <w:r w:rsidRPr="00B14FD6">
              <w:rPr>
                <w:rFonts w:ascii="Verdana" w:hAnsi="Verdana"/>
                <w:noProof/>
                <w:sz w:val="22"/>
                <w:szCs w:val="22"/>
                <w:lang w:val="es-ES"/>
              </w:rPr>
              <w:lastRenderedPageBreak/>
              <w:drawing>
                <wp:inline distT="0" distB="0" distL="0" distR="0" wp14:anchorId="65A09E77" wp14:editId="167A0F4F">
                  <wp:extent cx="4451350" cy="2200667"/>
                  <wp:effectExtent l="0" t="0" r="6350" b="9525"/>
                  <wp:docPr id="359403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03621" name=""/>
                          <pic:cNvPicPr/>
                        </pic:nvPicPr>
                        <pic:blipFill>
                          <a:blip r:embed="rId12"/>
                          <a:stretch>
                            <a:fillRect/>
                          </a:stretch>
                        </pic:blipFill>
                        <pic:spPr>
                          <a:xfrm>
                            <a:off x="0" y="0"/>
                            <a:ext cx="4457332" cy="2203625"/>
                          </a:xfrm>
                          <a:prstGeom prst="rect">
                            <a:avLst/>
                          </a:prstGeom>
                        </pic:spPr>
                      </pic:pic>
                    </a:graphicData>
                  </a:graphic>
                </wp:inline>
              </w:drawing>
            </w:r>
          </w:p>
          <w:p w14:paraId="39D7EBC4"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2B7C9845" w14:textId="77777777" w:rsidR="00506EE2" w:rsidRPr="00AB7FC6" w:rsidRDefault="00506EE2" w:rsidP="00506EE2">
            <w:pPr>
              <w:ind w:right="104"/>
              <w:jc w:val="both"/>
              <w:rPr>
                <w:rFonts w:ascii="Verdana" w:hAnsi="Verdana"/>
                <w:sz w:val="22"/>
                <w:szCs w:val="22"/>
                <w:lang w:val="es-ES"/>
              </w:rPr>
            </w:pPr>
          </w:p>
          <w:p w14:paraId="65EA4F47" w14:textId="77777777" w:rsidR="00506EE2" w:rsidRPr="00AB7FC6" w:rsidRDefault="00506EE2" w:rsidP="00506EE2">
            <w:pPr>
              <w:jc w:val="both"/>
              <w:rPr>
                <w:rFonts w:ascii="Verdana" w:hAnsi="Verdana"/>
                <w:b/>
                <w:sz w:val="22"/>
                <w:szCs w:val="22"/>
              </w:rPr>
            </w:pPr>
            <w:r w:rsidRPr="00AB7FC6">
              <w:rPr>
                <w:rFonts w:ascii="Verdana" w:hAnsi="Verdana"/>
                <w:b/>
                <w:sz w:val="22"/>
                <w:szCs w:val="22"/>
              </w:rPr>
              <w:t>Índice de Precios al Consumidor (IPC):</w:t>
            </w:r>
          </w:p>
          <w:p w14:paraId="68F04A2E" w14:textId="77777777" w:rsidR="00506EE2" w:rsidRPr="00AB7FC6" w:rsidRDefault="00506EE2" w:rsidP="00506EE2">
            <w:pPr>
              <w:jc w:val="both"/>
              <w:rPr>
                <w:rFonts w:ascii="Verdana" w:hAnsi="Verdana"/>
                <w:sz w:val="22"/>
                <w:szCs w:val="22"/>
              </w:rPr>
            </w:pPr>
          </w:p>
          <w:p w14:paraId="655ABC6C" w14:textId="4BFCB152" w:rsidR="00506EE2" w:rsidRPr="00AB7FC6" w:rsidRDefault="00B14FD6" w:rsidP="00506EE2">
            <w:pPr>
              <w:jc w:val="center"/>
              <w:rPr>
                <w:rFonts w:ascii="Verdana" w:hAnsi="Verdana"/>
                <w:sz w:val="22"/>
                <w:szCs w:val="22"/>
              </w:rPr>
            </w:pPr>
            <w:r w:rsidRPr="00B14FD6">
              <w:rPr>
                <w:rFonts w:ascii="Verdana" w:hAnsi="Verdana"/>
                <w:noProof/>
                <w:sz w:val="22"/>
                <w:szCs w:val="22"/>
              </w:rPr>
              <w:drawing>
                <wp:inline distT="0" distB="0" distL="0" distR="0" wp14:anchorId="382B7520" wp14:editId="76955382">
                  <wp:extent cx="4742543" cy="1562735"/>
                  <wp:effectExtent l="0" t="0" r="1270" b="0"/>
                  <wp:docPr id="1440675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75588" name=""/>
                          <pic:cNvPicPr/>
                        </pic:nvPicPr>
                        <pic:blipFill>
                          <a:blip r:embed="rId13"/>
                          <a:stretch>
                            <a:fillRect/>
                          </a:stretch>
                        </pic:blipFill>
                        <pic:spPr>
                          <a:xfrm>
                            <a:off x="0" y="0"/>
                            <a:ext cx="4750139" cy="1565238"/>
                          </a:xfrm>
                          <a:prstGeom prst="rect">
                            <a:avLst/>
                          </a:prstGeom>
                        </pic:spPr>
                      </pic:pic>
                    </a:graphicData>
                  </a:graphic>
                </wp:inline>
              </w:drawing>
            </w:r>
          </w:p>
          <w:p w14:paraId="64FB62C9" w14:textId="77777777" w:rsidR="00506EE2" w:rsidRPr="00AB7FC6" w:rsidRDefault="00506EE2" w:rsidP="00506EE2">
            <w:pPr>
              <w:jc w:val="center"/>
              <w:rPr>
                <w:rFonts w:ascii="Verdana" w:hAnsi="Verdana"/>
                <w:sz w:val="22"/>
                <w:szCs w:val="22"/>
                <w:lang w:val="es-ES"/>
              </w:rPr>
            </w:pPr>
            <w:r w:rsidRPr="00AB7FC6">
              <w:rPr>
                <w:rFonts w:ascii="Verdana" w:hAnsi="Verdana"/>
                <w:sz w:val="22"/>
                <w:szCs w:val="22"/>
                <w:lang w:val="es-ES"/>
              </w:rPr>
              <w:t>Fuente: DANE</w:t>
            </w:r>
          </w:p>
          <w:p w14:paraId="1B0993E9" w14:textId="77777777" w:rsidR="00506EE2" w:rsidRPr="00AB7FC6" w:rsidRDefault="00506EE2" w:rsidP="00506EE2">
            <w:pPr>
              <w:rPr>
                <w:rFonts w:ascii="Verdana" w:hAnsi="Verdana"/>
                <w:sz w:val="22"/>
                <w:szCs w:val="22"/>
              </w:rPr>
            </w:pPr>
          </w:p>
          <w:p w14:paraId="57141B18" w14:textId="77777777" w:rsidR="00B14FD6" w:rsidRPr="00B14FD6" w:rsidRDefault="00B14FD6" w:rsidP="00B14FD6">
            <w:pPr>
              <w:jc w:val="both"/>
              <w:rPr>
                <w:rFonts w:ascii="Verdana" w:hAnsi="Verdana"/>
                <w:sz w:val="22"/>
                <w:szCs w:val="22"/>
              </w:rPr>
            </w:pPr>
            <w:r w:rsidRPr="00B14FD6">
              <w:rPr>
                <w:rFonts w:ascii="Verdana" w:hAnsi="Verdana"/>
                <w:sz w:val="22"/>
                <w:szCs w:val="22"/>
              </w:rPr>
              <w:t>En marzo de 2026 la variación mensual del IPC fue 0,78%, la variación año corrido fue 3,07% y la anual 5,56%.</w:t>
            </w:r>
          </w:p>
          <w:p w14:paraId="39604F32" w14:textId="77777777" w:rsidR="00B14FD6" w:rsidRPr="00B14FD6" w:rsidRDefault="00B14FD6" w:rsidP="00B14FD6">
            <w:pPr>
              <w:jc w:val="both"/>
              <w:rPr>
                <w:rFonts w:ascii="Verdana" w:hAnsi="Verdana"/>
                <w:sz w:val="22"/>
                <w:szCs w:val="22"/>
              </w:rPr>
            </w:pPr>
          </w:p>
          <w:p w14:paraId="3ECB0516" w14:textId="77777777" w:rsidR="00B14FD6" w:rsidRPr="00B14FD6" w:rsidRDefault="00B14FD6" w:rsidP="00B14FD6">
            <w:pPr>
              <w:jc w:val="both"/>
              <w:rPr>
                <w:rFonts w:ascii="Verdana" w:hAnsi="Verdana"/>
                <w:sz w:val="22"/>
                <w:szCs w:val="22"/>
              </w:rPr>
            </w:pPr>
            <w:r w:rsidRPr="00B14FD6">
              <w:rPr>
                <w:rFonts w:ascii="Verdana" w:hAnsi="Verdana"/>
                <w:sz w:val="22"/>
                <w:szCs w:val="22"/>
              </w:rPr>
              <w:t>En marzo de 2026 la variación anual del IPC fue 5,56%, es decir, 0,47 puntos porcentuales mayor que la reportada en el mismo periodo del año anterior, cuando fue de 5,09%.</w:t>
            </w:r>
          </w:p>
          <w:p w14:paraId="0D8EE141" w14:textId="77777777" w:rsidR="00B14FD6" w:rsidRPr="00B14FD6" w:rsidRDefault="00B14FD6" w:rsidP="00B14FD6">
            <w:pPr>
              <w:jc w:val="both"/>
              <w:rPr>
                <w:rFonts w:ascii="Verdana" w:hAnsi="Verdana"/>
                <w:sz w:val="22"/>
                <w:szCs w:val="22"/>
              </w:rPr>
            </w:pPr>
          </w:p>
          <w:p w14:paraId="1032235F" w14:textId="4A037A9A" w:rsidR="00506EE2" w:rsidRPr="00AB7FC6" w:rsidRDefault="00B14FD6" w:rsidP="00B14FD6">
            <w:pPr>
              <w:jc w:val="both"/>
              <w:rPr>
                <w:rFonts w:ascii="Verdana" w:hAnsi="Verdana"/>
                <w:sz w:val="22"/>
                <w:szCs w:val="22"/>
              </w:rPr>
            </w:pPr>
            <w:r w:rsidRPr="00B14FD6">
              <w:rPr>
                <w:rFonts w:ascii="Verdana" w:hAnsi="Verdana"/>
                <w:sz w:val="22"/>
                <w:szCs w:val="22"/>
              </w:rPr>
              <w:t>El comportamiento mensual del IPC total en marzo de 2026 (0,78%) se explicó principalmente por la variación mensual de las divisiones Alojamiento, agua, electricidad, gas y otros combustibles y Alimentos y bebidas no alcohólicas. Las mayores variaciones se presentaron en las divisiones Información y comunicación (2,96%) y Alimentos y bebidas no alcohólicas (1,27%).</w:t>
            </w:r>
          </w:p>
          <w:p w14:paraId="6E83A1E4" w14:textId="77777777" w:rsidR="00506EE2" w:rsidRPr="00AB7FC6" w:rsidRDefault="00506EE2" w:rsidP="00506EE2">
            <w:pPr>
              <w:rPr>
                <w:rFonts w:ascii="Verdana" w:hAnsi="Verdana"/>
                <w:sz w:val="22"/>
                <w:szCs w:val="22"/>
              </w:rPr>
            </w:pPr>
          </w:p>
          <w:p w14:paraId="4AE69260" w14:textId="03E63621" w:rsidR="00506EE2" w:rsidRPr="00AB7FC6" w:rsidRDefault="00506EE2" w:rsidP="00506EE2">
            <w:pPr>
              <w:rPr>
                <w:rFonts w:ascii="Verdana" w:hAnsi="Verdana"/>
                <w:b/>
                <w:sz w:val="22"/>
                <w:szCs w:val="22"/>
                <w:u w:val="single"/>
              </w:rPr>
            </w:pPr>
            <w:r w:rsidRPr="00AB7FC6">
              <w:rPr>
                <w:rFonts w:ascii="Verdana" w:hAnsi="Verdana"/>
                <w:b/>
                <w:sz w:val="22"/>
                <w:szCs w:val="22"/>
                <w:u w:val="single"/>
              </w:rPr>
              <w:t xml:space="preserve">Resultados del mes de </w:t>
            </w:r>
            <w:r w:rsidR="00B14FD6">
              <w:rPr>
                <w:rFonts w:ascii="Verdana" w:hAnsi="Verdana"/>
                <w:b/>
                <w:sz w:val="22"/>
                <w:szCs w:val="22"/>
                <w:u w:val="single"/>
              </w:rPr>
              <w:t>marzo</w:t>
            </w:r>
            <w:r w:rsidRPr="00AB7FC6">
              <w:rPr>
                <w:rFonts w:ascii="Verdana" w:hAnsi="Verdana"/>
                <w:b/>
                <w:sz w:val="22"/>
                <w:szCs w:val="22"/>
                <w:u w:val="single"/>
              </w:rPr>
              <w:t xml:space="preserve"> 202</w:t>
            </w:r>
            <w:r w:rsidR="00B14FD6">
              <w:rPr>
                <w:rFonts w:ascii="Verdana" w:hAnsi="Verdana"/>
                <w:b/>
                <w:sz w:val="22"/>
                <w:szCs w:val="22"/>
                <w:u w:val="single"/>
              </w:rPr>
              <w:t>6</w:t>
            </w:r>
            <w:r w:rsidRPr="00AB7FC6">
              <w:rPr>
                <w:rFonts w:ascii="Verdana" w:hAnsi="Verdana"/>
                <w:b/>
                <w:sz w:val="22"/>
                <w:szCs w:val="22"/>
                <w:u w:val="single"/>
              </w:rPr>
              <w:t>.</w:t>
            </w:r>
          </w:p>
          <w:p w14:paraId="0A8A521B" w14:textId="77777777" w:rsidR="00506EE2" w:rsidRPr="00AB7FC6" w:rsidRDefault="00506EE2" w:rsidP="00506EE2">
            <w:pPr>
              <w:rPr>
                <w:rFonts w:ascii="Verdana" w:hAnsi="Verdana"/>
                <w:b/>
                <w:sz w:val="22"/>
                <w:szCs w:val="22"/>
                <w:u w:val="single"/>
              </w:rPr>
            </w:pPr>
          </w:p>
          <w:p w14:paraId="777C987E" w14:textId="77777777" w:rsidR="00506EE2" w:rsidRPr="00AB7FC6" w:rsidRDefault="00506EE2" w:rsidP="00B14FD6">
            <w:pPr>
              <w:jc w:val="both"/>
              <w:rPr>
                <w:rFonts w:ascii="Verdana" w:hAnsi="Verdana"/>
                <w:sz w:val="22"/>
                <w:szCs w:val="22"/>
              </w:rPr>
            </w:pPr>
            <w:r w:rsidRPr="00AB7FC6">
              <w:rPr>
                <w:rFonts w:ascii="Verdana" w:hAnsi="Verdana"/>
                <w:b/>
                <w:sz w:val="22"/>
                <w:szCs w:val="22"/>
                <w:u w:val="single"/>
              </w:rPr>
              <w:t>Comportamiento de la variación mensual del IPC según divisiones y subclases / Variación y contribución mensual por divisiones de gasto.</w:t>
            </w:r>
          </w:p>
          <w:p w14:paraId="01F30CF1" w14:textId="77777777" w:rsidR="00506EE2" w:rsidRPr="00AB7FC6" w:rsidRDefault="00506EE2" w:rsidP="00506EE2">
            <w:pPr>
              <w:rPr>
                <w:rFonts w:ascii="Verdana" w:hAnsi="Verdana"/>
                <w:sz w:val="22"/>
                <w:szCs w:val="22"/>
              </w:rPr>
            </w:pPr>
          </w:p>
          <w:p w14:paraId="64443411" w14:textId="72572C5F" w:rsidR="00506EE2" w:rsidRPr="00AB7FC6" w:rsidRDefault="00B14FD6" w:rsidP="00B14FD6">
            <w:pPr>
              <w:jc w:val="both"/>
              <w:rPr>
                <w:rFonts w:ascii="Verdana" w:hAnsi="Verdana"/>
                <w:sz w:val="22"/>
                <w:szCs w:val="22"/>
              </w:rPr>
            </w:pPr>
            <w:r w:rsidRPr="00B14FD6">
              <w:rPr>
                <w:rFonts w:ascii="Verdana" w:hAnsi="Verdana"/>
                <w:sz w:val="22"/>
                <w:szCs w:val="22"/>
              </w:rPr>
              <w:t>En el mes de marzo de 2026, el IPC registró una variación de 0,78% en comparación con febrero de</w:t>
            </w:r>
            <w:r>
              <w:rPr>
                <w:rFonts w:ascii="Verdana" w:hAnsi="Verdana"/>
                <w:sz w:val="22"/>
                <w:szCs w:val="22"/>
              </w:rPr>
              <w:t xml:space="preserve"> </w:t>
            </w:r>
            <w:r w:rsidRPr="00B14FD6">
              <w:rPr>
                <w:rFonts w:ascii="Verdana" w:hAnsi="Verdana"/>
                <w:sz w:val="22"/>
                <w:szCs w:val="22"/>
              </w:rPr>
              <w:t xml:space="preserve">2026, ocho divisiones se ubicaron por encima del promedio nacional (0,78%): </w:t>
            </w:r>
            <w:r w:rsidRPr="00B14FD6">
              <w:rPr>
                <w:rFonts w:ascii="Verdana" w:hAnsi="Verdana"/>
                <w:sz w:val="22"/>
                <w:szCs w:val="22"/>
              </w:rPr>
              <w:lastRenderedPageBreak/>
              <w:t>Información y</w:t>
            </w:r>
            <w:r>
              <w:rPr>
                <w:rFonts w:ascii="Verdana" w:hAnsi="Verdana"/>
                <w:sz w:val="22"/>
                <w:szCs w:val="22"/>
              </w:rPr>
              <w:t xml:space="preserve"> </w:t>
            </w:r>
            <w:r w:rsidRPr="00B14FD6">
              <w:rPr>
                <w:rFonts w:ascii="Verdana" w:hAnsi="Verdana"/>
                <w:sz w:val="22"/>
                <w:szCs w:val="22"/>
              </w:rPr>
              <w:t>comunicación (2,96%), Alimentos y bebidas no alcohólicas (1,27%), Salud (1,06%), Bienes y servicios</w:t>
            </w:r>
            <w:r>
              <w:rPr>
                <w:rFonts w:ascii="Verdana" w:hAnsi="Verdana"/>
                <w:sz w:val="22"/>
                <w:szCs w:val="22"/>
              </w:rPr>
              <w:t xml:space="preserve"> </w:t>
            </w:r>
            <w:r w:rsidRPr="00B14FD6">
              <w:rPr>
                <w:rFonts w:ascii="Verdana" w:hAnsi="Verdana"/>
                <w:sz w:val="22"/>
                <w:szCs w:val="22"/>
              </w:rPr>
              <w:t>diversos (0,95%), Muebles, artículos para el hogar y para la conservación ordinaria del hogar (0,90%),</w:t>
            </w:r>
            <w:r>
              <w:rPr>
                <w:rFonts w:ascii="Verdana" w:hAnsi="Verdana"/>
                <w:sz w:val="22"/>
                <w:szCs w:val="22"/>
              </w:rPr>
              <w:t xml:space="preserve"> </w:t>
            </w:r>
            <w:r w:rsidRPr="00B14FD6">
              <w:rPr>
                <w:rFonts w:ascii="Verdana" w:hAnsi="Verdana"/>
                <w:sz w:val="22"/>
                <w:szCs w:val="22"/>
              </w:rPr>
              <w:t>Recreación y cultura (0,88%), Restaurantes y hoteles (0,86%) y por último, Alojamiento, agua,</w:t>
            </w:r>
            <w:r>
              <w:rPr>
                <w:rFonts w:ascii="Verdana" w:hAnsi="Verdana"/>
                <w:sz w:val="22"/>
                <w:szCs w:val="22"/>
              </w:rPr>
              <w:t xml:space="preserve"> </w:t>
            </w:r>
            <w:r w:rsidRPr="00B14FD6">
              <w:rPr>
                <w:rFonts w:ascii="Verdana" w:hAnsi="Verdana"/>
                <w:sz w:val="22"/>
                <w:szCs w:val="22"/>
              </w:rPr>
              <w:t>electricidad, gas y otros combustibles (0,85%). Por debajo se ubicaron: Prendas de vestir y calzado</w:t>
            </w:r>
            <w:r>
              <w:rPr>
                <w:rFonts w:ascii="Verdana" w:hAnsi="Verdana"/>
                <w:sz w:val="22"/>
                <w:szCs w:val="22"/>
              </w:rPr>
              <w:t xml:space="preserve"> </w:t>
            </w:r>
            <w:r w:rsidRPr="00B14FD6">
              <w:rPr>
                <w:rFonts w:ascii="Verdana" w:hAnsi="Verdana"/>
                <w:sz w:val="22"/>
                <w:szCs w:val="22"/>
              </w:rPr>
              <w:t>(0,19%), Educación (0,17%), Transporte (-0,22%) y por último, Bebidas alcohólicas y tabaco (-0,37%).</w:t>
            </w:r>
          </w:p>
          <w:p w14:paraId="278E6B10" w14:textId="77777777" w:rsidR="00506EE2" w:rsidRPr="00AB7FC6" w:rsidRDefault="00506EE2" w:rsidP="00506EE2">
            <w:pPr>
              <w:jc w:val="both"/>
              <w:rPr>
                <w:rFonts w:ascii="Verdana" w:hAnsi="Verdana"/>
                <w:sz w:val="22"/>
                <w:szCs w:val="22"/>
              </w:rPr>
            </w:pPr>
          </w:p>
          <w:p w14:paraId="1DAE0B19" w14:textId="086578A7" w:rsidR="00506EE2" w:rsidRPr="00AB7FC6" w:rsidRDefault="00B14FD6" w:rsidP="00506EE2">
            <w:pPr>
              <w:jc w:val="center"/>
              <w:rPr>
                <w:rFonts w:ascii="Verdana" w:hAnsi="Verdana"/>
                <w:sz w:val="22"/>
                <w:szCs w:val="22"/>
              </w:rPr>
            </w:pPr>
            <w:r w:rsidRPr="00B14FD6">
              <w:rPr>
                <w:rFonts w:ascii="Verdana" w:hAnsi="Verdana"/>
                <w:noProof/>
                <w:sz w:val="22"/>
                <w:szCs w:val="22"/>
              </w:rPr>
              <w:drawing>
                <wp:inline distT="0" distB="0" distL="0" distR="0" wp14:anchorId="37D245C8" wp14:editId="7F79FA5B">
                  <wp:extent cx="5110480" cy="2286000"/>
                  <wp:effectExtent l="0" t="0" r="0" b="0"/>
                  <wp:docPr id="12869448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44834" name=""/>
                          <pic:cNvPicPr/>
                        </pic:nvPicPr>
                        <pic:blipFill>
                          <a:blip r:embed="rId14"/>
                          <a:stretch>
                            <a:fillRect/>
                          </a:stretch>
                        </pic:blipFill>
                        <pic:spPr>
                          <a:xfrm>
                            <a:off x="0" y="0"/>
                            <a:ext cx="5125601" cy="2292764"/>
                          </a:xfrm>
                          <a:prstGeom prst="rect">
                            <a:avLst/>
                          </a:prstGeom>
                        </pic:spPr>
                      </pic:pic>
                    </a:graphicData>
                  </a:graphic>
                </wp:inline>
              </w:drawing>
            </w:r>
          </w:p>
          <w:p w14:paraId="38EC8018" w14:textId="77777777" w:rsidR="00506EE2" w:rsidRPr="00AB7FC6" w:rsidRDefault="00506EE2" w:rsidP="00506EE2">
            <w:pPr>
              <w:jc w:val="center"/>
              <w:rPr>
                <w:rFonts w:ascii="Verdana" w:hAnsi="Verdana"/>
                <w:sz w:val="22"/>
                <w:szCs w:val="22"/>
              </w:rPr>
            </w:pPr>
            <w:r w:rsidRPr="00AB7FC6">
              <w:rPr>
                <w:rFonts w:ascii="Verdana" w:hAnsi="Verdana"/>
                <w:sz w:val="22"/>
                <w:szCs w:val="22"/>
              </w:rPr>
              <w:t>Fuente: DANE</w:t>
            </w:r>
          </w:p>
          <w:p w14:paraId="63FAF388" w14:textId="77777777" w:rsidR="00506EE2" w:rsidRPr="00AB7FC6" w:rsidRDefault="00506EE2" w:rsidP="00506EE2">
            <w:pPr>
              <w:rPr>
                <w:rFonts w:ascii="Verdana" w:hAnsi="Verdana"/>
                <w:sz w:val="22"/>
                <w:szCs w:val="22"/>
              </w:rPr>
            </w:pPr>
          </w:p>
          <w:p w14:paraId="2D5D87F1" w14:textId="58F91391" w:rsidR="00506EE2" w:rsidRPr="00AB7FC6" w:rsidRDefault="00506EE2" w:rsidP="00506EE2">
            <w:pPr>
              <w:rPr>
                <w:rFonts w:ascii="Verdana" w:hAnsi="Verdana"/>
                <w:b/>
                <w:sz w:val="22"/>
                <w:szCs w:val="22"/>
                <w:u w:val="single"/>
              </w:rPr>
            </w:pPr>
            <w:r w:rsidRPr="00AB7FC6">
              <w:rPr>
                <w:rFonts w:ascii="Verdana" w:hAnsi="Verdana"/>
                <w:b/>
                <w:sz w:val="22"/>
                <w:szCs w:val="22"/>
                <w:u w:val="single"/>
              </w:rPr>
              <w:t xml:space="preserve">Variaciones y contribuciones de las subclases en el </w:t>
            </w:r>
            <w:r w:rsidR="00B14FD6">
              <w:rPr>
                <w:rFonts w:ascii="Verdana" w:hAnsi="Verdana"/>
                <w:b/>
                <w:sz w:val="22"/>
                <w:szCs w:val="22"/>
                <w:u w:val="single"/>
              </w:rPr>
              <w:t>mes</w:t>
            </w:r>
            <w:r w:rsidRPr="00AB7FC6">
              <w:rPr>
                <w:rFonts w:ascii="Verdana" w:hAnsi="Verdana"/>
                <w:b/>
                <w:sz w:val="22"/>
                <w:szCs w:val="22"/>
                <w:u w:val="single"/>
              </w:rPr>
              <w:t>.</w:t>
            </w:r>
          </w:p>
          <w:p w14:paraId="7834F2BA" w14:textId="77777777" w:rsidR="00506EE2" w:rsidRPr="00AB7FC6" w:rsidRDefault="00506EE2" w:rsidP="00506EE2">
            <w:pPr>
              <w:rPr>
                <w:rFonts w:ascii="Verdana" w:hAnsi="Verdana"/>
                <w:sz w:val="22"/>
                <w:szCs w:val="22"/>
              </w:rPr>
            </w:pPr>
          </w:p>
          <w:p w14:paraId="62923836" w14:textId="77777777" w:rsidR="00B14FD6" w:rsidRPr="00B14FD6" w:rsidRDefault="00B14FD6" w:rsidP="00B14FD6">
            <w:pPr>
              <w:jc w:val="both"/>
              <w:rPr>
                <w:rFonts w:ascii="Verdana" w:hAnsi="Verdana"/>
                <w:sz w:val="22"/>
                <w:szCs w:val="22"/>
              </w:rPr>
            </w:pPr>
            <w:r w:rsidRPr="00B14FD6">
              <w:rPr>
                <w:rFonts w:ascii="Verdana" w:hAnsi="Verdana"/>
                <w:sz w:val="22"/>
                <w:szCs w:val="22"/>
              </w:rPr>
              <w:t>En marzo de 2026 en comparación con febrero de 2026, la variación de las subclases que más</w:t>
            </w:r>
          </w:p>
          <w:p w14:paraId="2250C308" w14:textId="11BB8693" w:rsidR="00506EE2" w:rsidRPr="00AB7FC6" w:rsidRDefault="00B14FD6" w:rsidP="00B14FD6">
            <w:pPr>
              <w:jc w:val="both"/>
              <w:rPr>
                <w:rFonts w:ascii="Verdana" w:hAnsi="Verdana"/>
                <w:sz w:val="22"/>
                <w:szCs w:val="22"/>
              </w:rPr>
            </w:pPr>
            <w:r w:rsidRPr="00B14FD6">
              <w:rPr>
                <w:rFonts w:ascii="Verdana" w:hAnsi="Verdana"/>
                <w:sz w:val="22"/>
                <w:szCs w:val="22"/>
              </w:rPr>
              <w:t>aportaron al índice total fueron: frutas frescas (8,66%), electricidad (2,78%), servicios de comunicación</w:t>
            </w:r>
            <w:r>
              <w:rPr>
                <w:rFonts w:ascii="Verdana" w:hAnsi="Verdana"/>
                <w:sz w:val="22"/>
                <w:szCs w:val="22"/>
              </w:rPr>
              <w:t xml:space="preserve"> </w:t>
            </w:r>
            <w:r w:rsidRPr="00B14FD6">
              <w:rPr>
                <w:rFonts w:ascii="Verdana" w:hAnsi="Verdana"/>
                <w:sz w:val="22"/>
                <w:szCs w:val="22"/>
              </w:rPr>
              <w:t>fija y móvil y provisión a internet (3,15%), comidas en establecimientos de servicio a la mesa y</w:t>
            </w:r>
            <w:r>
              <w:rPr>
                <w:rFonts w:ascii="Verdana" w:hAnsi="Verdana"/>
                <w:sz w:val="22"/>
                <w:szCs w:val="22"/>
              </w:rPr>
              <w:t xml:space="preserve"> </w:t>
            </w:r>
            <w:r w:rsidRPr="00B14FD6">
              <w:rPr>
                <w:rFonts w:ascii="Verdana" w:hAnsi="Verdana"/>
                <w:sz w:val="22"/>
                <w:szCs w:val="22"/>
              </w:rPr>
              <w:t>autoservicio (0,93%), arriendo imputado (0,48%), arriendo efectivo (0,48%), tomate (13,58%),</w:t>
            </w:r>
            <w:r>
              <w:rPr>
                <w:rFonts w:ascii="Verdana" w:hAnsi="Verdana"/>
                <w:sz w:val="22"/>
                <w:szCs w:val="22"/>
              </w:rPr>
              <w:t xml:space="preserve"> </w:t>
            </w:r>
            <w:r w:rsidRPr="00B14FD6">
              <w:rPr>
                <w:rFonts w:ascii="Verdana" w:hAnsi="Verdana"/>
                <w:sz w:val="22"/>
                <w:szCs w:val="22"/>
              </w:rPr>
              <w:t>transporte urbano (0,64%), recogida de basuras (5,08%) y carne de res y derivados (0,97%). Las</w:t>
            </w:r>
            <w:r>
              <w:rPr>
                <w:rFonts w:ascii="Verdana" w:hAnsi="Verdana"/>
                <w:sz w:val="22"/>
                <w:szCs w:val="22"/>
              </w:rPr>
              <w:t xml:space="preserve"> </w:t>
            </w:r>
            <w:r w:rsidRPr="00B14FD6">
              <w:rPr>
                <w:rFonts w:ascii="Verdana" w:hAnsi="Verdana"/>
                <w:sz w:val="22"/>
                <w:szCs w:val="22"/>
              </w:rPr>
              <w:t>subclases con aportes negativos a la variación fueron: combustibles para vehículos (-2,83%), whisky,</w:t>
            </w:r>
            <w:r>
              <w:rPr>
                <w:rFonts w:ascii="Verdana" w:hAnsi="Verdana"/>
                <w:sz w:val="22"/>
                <w:szCs w:val="22"/>
              </w:rPr>
              <w:t xml:space="preserve"> </w:t>
            </w:r>
            <w:r w:rsidRPr="00B14FD6">
              <w:rPr>
                <w:rFonts w:ascii="Verdana" w:hAnsi="Verdana"/>
                <w:sz w:val="22"/>
                <w:szCs w:val="22"/>
              </w:rPr>
              <w:t>ron, brandy, vodka, ginebra, coñac, tequila, cremas de licor y aperitivos (-2,42%), hortalizas y</w:t>
            </w:r>
            <w:r>
              <w:rPr>
                <w:rFonts w:ascii="Verdana" w:hAnsi="Verdana"/>
                <w:sz w:val="22"/>
                <w:szCs w:val="22"/>
              </w:rPr>
              <w:t xml:space="preserve"> </w:t>
            </w:r>
            <w:r w:rsidRPr="00B14FD6">
              <w:rPr>
                <w:rFonts w:ascii="Verdana" w:hAnsi="Verdana"/>
                <w:sz w:val="22"/>
                <w:szCs w:val="22"/>
              </w:rPr>
              <w:t>legumbres frescas (-1,59%), arroz (-0,81%) y dulces, confites, caramelos, bombones, chocolatinas,</w:t>
            </w:r>
            <w:r>
              <w:rPr>
                <w:rFonts w:ascii="Verdana" w:hAnsi="Verdana"/>
                <w:sz w:val="22"/>
                <w:szCs w:val="22"/>
              </w:rPr>
              <w:t xml:space="preserve"> </w:t>
            </w:r>
            <w:r w:rsidRPr="00B14FD6">
              <w:rPr>
                <w:rFonts w:ascii="Verdana" w:hAnsi="Verdana"/>
                <w:sz w:val="22"/>
                <w:szCs w:val="22"/>
              </w:rPr>
              <w:t>chicles, masmelos, cocadas para consumo en el hogar (-4,89%).</w:t>
            </w:r>
          </w:p>
          <w:p w14:paraId="0F56CE52" w14:textId="77777777" w:rsidR="00506EE2" w:rsidRPr="00AB7FC6" w:rsidRDefault="00506EE2" w:rsidP="00506EE2">
            <w:pPr>
              <w:jc w:val="both"/>
              <w:rPr>
                <w:rFonts w:ascii="Verdana" w:hAnsi="Verdana"/>
                <w:sz w:val="22"/>
                <w:szCs w:val="22"/>
              </w:rPr>
            </w:pPr>
          </w:p>
          <w:p w14:paraId="1035CD0D" w14:textId="34F6BAC0" w:rsidR="00506EE2" w:rsidRPr="00AB7FC6" w:rsidRDefault="00B14FD6" w:rsidP="00506EE2">
            <w:pPr>
              <w:jc w:val="center"/>
              <w:rPr>
                <w:rFonts w:ascii="Verdana" w:hAnsi="Verdana"/>
                <w:sz w:val="22"/>
                <w:szCs w:val="22"/>
              </w:rPr>
            </w:pPr>
            <w:r w:rsidRPr="00B14FD6">
              <w:rPr>
                <w:rFonts w:ascii="Verdana" w:hAnsi="Verdana"/>
                <w:noProof/>
                <w:sz w:val="22"/>
                <w:szCs w:val="22"/>
              </w:rPr>
              <w:drawing>
                <wp:inline distT="0" distB="0" distL="0" distR="0" wp14:anchorId="786721B3" wp14:editId="5EADA846">
                  <wp:extent cx="5072380" cy="1974850"/>
                  <wp:effectExtent l="0" t="0" r="0" b="6350"/>
                  <wp:docPr id="1270845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45150" name=""/>
                          <pic:cNvPicPr/>
                        </pic:nvPicPr>
                        <pic:blipFill>
                          <a:blip r:embed="rId15"/>
                          <a:stretch>
                            <a:fillRect/>
                          </a:stretch>
                        </pic:blipFill>
                        <pic:spPr>
                          <a:xfrm>
                            <a:off x="0" y="0"/>
                            <a:ext cx="5081390" cy="1978358"/>
                          </a:xfrm>
                          <a:prstGeom prst="rect">
                            <a:avLst/>
                          </a:prstGeom>
                        </pic:spPr>
                      </pic:pic>
                    </a:graphicData>
                  </a:graphic>
                </wp:inline>
              </w:drawing>
            </w:r>
          </w:p>
          <w:p w14:paraId="7B08141B" w14:textId="77777777" w:rsidR="00506EE2" w:rsidRPr="00AB7FC6" w:rsidRDefault="00506EE2" w:rsidP="00506EE2">
            <w:pPr>
              <w:jc w:val="center"/>
              <w:rPr>
                <w:rFonts w:ascii="Verdana" w:hAnsi="Verdana"/>
                <w:sz w:val="22"/>
                <w:szCs w:val="22"/>
              </w:rPr>
            </w:pPr>
            <w:r w:rsidRPr="00AB7FC6">
              <w:rPr>
                <w:rFonts w:ascii="Verdana" w:hAnsi="Verdana"/>
                <w:sz w:val="22"/>
                <w:szCs w:val="22"/>
              </w:rPr>
              <w:lastRenderedPageBreak/>
              <w:t>Fuente: DANE, IPC.</w:t>
            </w:r>
          </w:p>
          <w:p w14:paraId="7FF84C56" w14:textId="77777777" w:rsidR="00506EE2" w:rsidRPr="00AB7FC6" w:rsidRDefault="00506EE2" w:rsidP="00506EE2">
            <w:pPr>
              <w:jc w:val="both"/>
              <w:rPr>
                <w:rFonts w:ascii="Verdana" w:hAnsi="Verdana"/>
                <w:sz w:val="22"/>
                <w:szCs w:val="22"/>
              </w:rPr>
            </w:pPr>
          </w:p>
          <w:p w14:paraId="73957B3F" w14:textId="77777777" w:rsidR="00506EE2" w:rsidRPr="00AB7FC6" w:rsidRDefault="00506EE2" w:rsidP="00506EE2">
            <w:pPr>
              <w:rPr>
                <w:rFonts w:ascii="Verdana" w:hAnsi="Verdana"/>
                <w:b/>
                <w:sz w:val="22"/>
                <w:szCs w:val="22"/>
                <w:u w:val="single"/>
              </w:rPr>
            </w:pPr>
            <w:r w:rsidRPr="00AB7FC6">
              <w:rPr>
                <w:rFonts w:ascii="Verdana" w:hAnsi="Verdana"/>
                <w:b/>
                <w:sz w:val="22"/>
                <w:szCs w:val="22"/>
                <w:u w:val="single"/>
              </w:rPr>
              <w:t>IPC Según Niveles de Ingreso por Criterio Absoluto*</w:t>
            </w:r>
          </w:p>
          <w:p w14:paraId="48A61167" w14:textId="77777777" w:rsidR="00506EE2" w:rsidRPr="00AB7FC6" w:rsidRDefault="00506EE2" w:rsidP="00506EE2">
            <w:pPr>
              <w:jc w:val="both"/>
              <w:rPr>
                <w:rFonts w:ascii="Verdana" w:hAnsi="Verdana"/>
                <w:b/>
                <w:sz w:val="22"/>
                <w:szCs w:val="22"/>
                <w:u w:val="single"/>
              </w:rPr>
            </w:pPr>
            <w:r w:rsidRPr="00AB7FC6">
              <w:rPr>
                <w:rFonts w:ascii="Verdana" w:hAnsi="Verdana"/>
                <w:b/>
                <w:sz w:val="22"/>
                <w:szCs w:val="22"/>
                <w:u w:val="single"/>
              </w:rPr>
              <w:t>Comportamiento de la variación mensual, año corrido y anual del IPC según niveles de ingreso por criterio absoluto / IPC según niveles de ingreso por criterio absoluto.</w:t>
            </w:r>
          </w:p>
          <w:p w14:paraId="25F67D74" w14:textId="77777777" w:rsidR="00506EE2" w:rsidRPr="00AB7FC6" w:rsidRDefault="00506EE2" w:rsidP="00506EE2">
            <w:pPr>
              <w:rPr>
                <w:rFonts w:ascii="Verdana" w:hAnsi="Verdana"/>
                <w:sz w:val="22"/>
                <w:szCs w:val="22"/>
              </w:rPr>
            </w:pPr>
          </w:p>
          <w:p w14:paraId="7C37873B" w14:textId="624BE9E8" w:rsidR="00506EE2" w:rsidRPr="00AB7FC6" w:rsidRDefault="00B14FD6" w:rsidP="00506EE2">
            <w:pPr>
              <w:jc w:val="center"/>
              <w:rPr>
                <w:rFonts w:ascii="Verdana" w:hAnsi="Verdana"/>
                <w:sz w:val="22"/>
                <w:szCs w:val="22"/>
              </w:rPr>
            </w:pPr>
            <w:r w:rsidRPr="00B14FD6">
              <w:rPr>
                <w:rFonts w:ascii="Verdana" w:hAnsi="Verdana"/>
                <w:noProof/>
                <w:sz w:val="22"/>
                <w:szCs w:val="22"/>
              </w:rPr>
              <w:drawing>
                <wp:inline distT="0" distB="0" distL="0" distR="0" wp14:anchorId="1559490B" wp14:editId="187B8D63">
                  <wp:extent cx="4438650" cy="1686546"/>
                  <wp:effectExtent l="0" t="0" r="0" b="9525"/>
                  <wp:docPr id="327022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22859" name=""/>
                          <pic:cNvPicPr/>
                        </pic:nvPicPr>
                        <pic:blipFill>
                          <a:blip r:embed="rId16"/>
                          <a:stretch>
                            <a:fillRect/>
                          </a:stretch>
                        </pic:blipFill>
                        <pic:spPr>
                          <a:xfrm>
                            <a:off x="0" y="0"/>
                            <a:ext cx="4447359" cy="1689855"/>
                          </a:xfrm>
                          <a:prstGeom prst="rect">
                            <a:avLst/>
                          </a:prstGeom>
                        </pic:spPr>
                      </pic:pic>
                    </a:graphicData>
                  </a:graphic>
                </wp:inline>
              </w:drawing>
            </w:r>
          </w:p>
          <w:p w14:paraId="794BD632" w14:textId="77777777" w:rsidR="00506EE2" w:rsidRPr="00AB7FC6" w:rsidRDefault="00506EE2" w:rsidP="00506EE2">
            <w:pPr>
              <w:jc w:val="center"/>
              <w:rPr>
                <w:rFonts w:ascii="Verdana" w:hAnsi="Verdana"/>
                <w:sz w:val="22"/>
                <w:szCs w:val="22"/>
              </w:rPr>
            </w:pPr>
            <w:r w:rsidRPr="00AB7FC6">
              <w:rPr>
                <w:rFonts w:ascii="Verdana" w:hAnsi="Verdana"/>
                <w:sz w:val="22"/>
                <w:szCs w:val="22"/>
              </w:rPr>
              <w:t>Fuente: DANE, IPC.</w:t>
            </w:r>
          </w:p>
          <w:p w14:paraId="6D652E6D" w14:textId="77777777" w:rsidR="00506EE2" w:rsidRPr="00AB7FC6" w:rsidRDefault="00506EE2" w:rsidP="00506EE2">
            <w:pPr>
              <w:rPr>
                <w:rFonts w:ascii="Verdana" w:hAnsi="Verdana"/>
                <w:sz w:val="22"/>
                <w:szCs w:val="22"/>
              </w:rPr>
            </w:pPr>
          </w:p>
          <w:p w14:paraId="00C55E3A" w14:textId="4F1BACC1" w:rsidR="008A2A3D" w:rsidRDefault="008A2A3D" w:rsidP="008A2A3D">
            <w:pPr>
              <w:jc w:val="both"/>
              <w:rPr>
                <w:rFonts w:ascii="Verdana" w:hAnsi="Verdana"/>
                <w:sz w:val="22"/>
                <w:szCs w:val="22"/>
              </w:rPr>
            </w:pPr>
            <w:r w:rsidRPr="008A2A3D">
              <w:rPr>
                <w:rFonts w:ascii="Verdana" w:hAnsi="Verdana"/>
                <w:sz w:val="22"/>
                <w:szCs w:val="22"/>
              </w:rPr>
              <w:t>En marzo de 2026, la variación mensual del IPC por nivel de ingresos fue: Pobres (0,74%), Vulnerables</w:t>
            </w:r>
            <w:r>
              <w:rPr>
                <w:rFonts w:ascii="Verdana" w:hAnsi="Verdana"/>
                <w:sz w:val="22"/>
                <w:szCs w:val="22"/>
              </w:rPr>
              <w:t xml:space="preserve"> </w:t>
            </w:r>
            <w:r w:rsidRPr="008A2A3D">
              <w:rPr>
                <w:rFonts w:ascii="Verdana" w:hAnsi="Verdana"/>
                <w:sz w:val="22"/>
                <w:szCs w:val="22"/>
              </w:rPr>
              <w:t>(0,72%), Clase media (0,75%), Ingresos altos (0,89%) y por último, Total nivel de ingresos (0,78%).</w:t>
            </w:r>
          </w:p>
          <w:p w14:paraId="0CAAEFCC" w14:textId="77777777" w:rsidR="008A2A3D" w:rsidRPr="008A2A3D" w:rsidRDefault="008A2A3D" w:rsidP="008A2A3D">
            <w:pPr>
              <w:jc w:val="both"/>
              <w:rPr>
                <w:rFonts w:ascii="Verdana" w:hAnsi="Verdana"/>
                <w:sz w:val="22"/>
                <w:szCs w:val="22"/>
              </w:rPr>
            </w:pPr>
          </w:p>
          <w:p w14:paraId="119A945B" w14:textId="383B3113" w:rsidR="008A2A3D" w:rsidRDefault="008A2A3D" w:rsidP="008A2A3D">
            <w:pPr>
              <w:jc w:val="both"/>
              <w:rPr>
                <w:rFonts w:ascii="Verdana" w:hAnsi="Verdana"/>
                <w:sz w:val="22"/>
                <w:szCs w:val="22"/>
              </w:rPr>
            </w:pPr>
            <w:r w:rsidRPr="008A2A3D">
              <w:rPr>
                <w:rFonts w:ascii="Verdana" w:hAnsi="Verdana"/>
                <w:sz w:val="22"/>
                <w:szCs w:val="22"/>
              </w:rPr>
              <w:t>En lo corrido del año, la variación del IPC por nivel de ingresos fue: Pobres (2,99%),</w:t>
            </w:r>
            <w:r>
              <w:rPr>
                <w:rFonts w:ascii="Verdana" w:hAnsi="Verdana"/>
                <w:sz w:val="22"/>
                <w:szCs w:val="22"/>
              </w:rPr>
              <w:t xml:space="preserve"> </w:t>
            </w:r>
            <w:r w:rsidRPr="008A2A3D">
              <w:rPr>
                <w:rFonts w:ascii="Verdana" w:hAnsi="Verdana"/>
                <w:sz w:val="22"/>
                <w:szCs w:val="22"/>
              </w:rPr>
              <w:t>Vulnerables</w:t>
            </w:r>
            <w:r>
              <w:rPr>
                <w:rFonts w:ascii="Verdana" w:hAnsi="Verdana"/>
                <w:sz w:val="22"/>
                <w:szCs w:val="22"/>
              </w:rPr>
              <w:t xml:space="preserve"> </w:t>
            </w:r>
            <w:r w:rsidRPr="008A2A3D">
              <w:rPr>
                <w:rFonts w:ascii="Verdana" w:hAnsi="Verdana"/>
                <w:sz w:val="22"/>
                <w:szCs w:val="22"/>
              </w:rPr>
              <w:t>(3,09%), Clase media (3,08%), Ingresos altos (3,04%) y por último, Total nivel de ingresos (3,07%).</w:t>
            </w:r>
          </w:p>
          <w:p w14:paraId="2C207702" w14:textId="77777777" w:rsidR="008A2A3D" w:rsidRPr="008A2A3D" w:rsidRDefault="008A2A3D" w:rsidP="008A2A3D">
            <w:pPr>
              <w:jc w:val="both"/>
              <w:rPr>
                <w:rFonts w:ascii="Verdana" w:hAnsi="Verdana"/>
                <w:sz w:val="22"/>
                <w:szCs w:val="22"/>
              </w:rPr>
            </w:pPr>
          </w:p>
          <w:p w14:paraId="56BAA8E6" w14:textId="075B7840" w:rsidR="00506EE2" w:rsidRDefault="008A2A3D" w:rsidP="008A2A3D">
            <w:pPr>
              <w:jc w:val="both"/>
              <w:rPr>
                <w:rFonts w:ascii="Verdana" w:hAnsi="Verdana"/>
                <w:sz w:val="22"/>
                <w:szCs w:val="22"/>
              </w:rPr>
            </w:pPr>
            <w:r w:rsidRPr="008A2A3D">
              <w:rPr>
                <w:rFonts w:ascii="Verdana" w:hAnsi="Verdana"/>
                <w:sz w:val="22"/>
                <w:szCs w:val="22"/>
              </w:rPr>
              <w:t>La variación anual del IPC por nivel de ingresos fue: Pobres (5,44%), Vulnerables (5,50%), Clase media</w:t>
            </w:r>
            <w:r>
              <w:rPr>
                <w:rFonts w:ascii="Verdana" w:hAnsi="Verdana"/>
                <w:sz w:val="22"/>
                <w:szCs w:val="22"/>
              </w:rPr>
              <w:t xml:space="preserve"> </w:t>
            </w:r>
            <w:r w:rsidRPr="008A2A3D">
              <w:rPr>
                <w:rFonts w:ascii="Verdana" w:hAnsi="Verdana"/>
                <w:sz w:val="22"/>
                <w:szCs w:val="22"/>
              </w:rPr>
              <w:t>(5,58%), Ingresos altos (5,57%) y por último, Total nivel de ingresos (5,56%).</w:t>
            </w:r>
          </w:p>
          <w:p w14:paraId="51EE6B00" w14:textId="77777777" w:rsidR="00506EE2" w:rsidRPr="00AB7FC6" w:rsidRDefault="00506EE2" w:rsidP="00506EE2">
            <w:pPr>
              <w:jc w:val="both"/>
              <w:rPr>
                <w:rFonts w:ascii="Verdana" w:hAnsi="Verdana"/>
                <w:sz w:val="22"/>
                <w:szCs w:val="22"/>
              </w:rPr>
            </w:pPr>
          </w:p>
          <w:p w14:paraId="428BCAF9" w14:textId="61D876E1" w:rsidR="00506EE2" w:rsidRPr="00AB7FC6" w:rsidRDefault="00506EE2" w:rsidP="00506EE2">
            <w:pPr>
              <w:jc w:val="both"/>
              <w:rPr>
                <w:rFonts w:ascii="Verdana" w:hAnsi="Verdana"/>
                <w:b/>
                <w:sz w:val="22"/>
                <w:szCs w:val="22"/>
                <w:u w:val="single"/>
              </w:rPr>
            </w:pPr>
            <w:r w:rsidRPr="00AB7FC6">
              <w:rPr>
                <w:rFonts w:ascii="Verdana" w:hAnsi="Verdana"/>
                <w:b/>
                <w:sz w:val="22"/>
                <w:szCs w:val="22"/>
                <w:u w:val="single"/>
              </w:rPr>
              <w:t xml:space="preserve">Variación anual del IPC por divisiones de gasto </w:t>
            </w:r>
            <w:r w:rsidR="008A2A3D">
              <w:rPr>
                <w:rFonts w:ascii="Verdana" w:hAnsi="Verdana"/>
                <w:b/>
                <w:sz w:val="22"/>
                <w:szCs w:val="22"/>
                <w:u w:val="single"/>
              </w:rPr>
              <w:t>marzo</w:t>
            </w:r>
            <w:r w:rsidRPr="00AB7FC6">
              <w:rPr>
                <w:rFonts w:ascii="Verdana" w:hAnsi="Verdana"/>
                <w:b/>
                <w:sz w:val="22"/>
                <w:szCs w:val="22"/>
                <w:u w:val="single"/>
              </w:rPr>
              <w:t xml:space="preserve"> 202</w:t>
            </w:r>
            <w:r w:rsidR="008A2A3D">
              <w:rPr>
                <w:rFonts w:ascii="Verdana" w:hAnsi="Verdana"/>
                <w:b/>
                <w:sz w:val="22"/>
                <w:szCs w:val="22"/>
                <w:u w:val="single"/>
              </w:rPr>
              <w:t>6</w:t>
            </w:r>
            <w:r w:rsidRPr="00AB7FC6">
              <w:rPr>
                <w:rFonts w:ascii="Verdana" w:hAnsi="Verdana"/>
                <w:b/>
                <w:sz w:val="22"/>
                <w:szCs w:val="22"/>
                <w:u w:val="single"/>
              </w:rPr>
              <w:t>:</w:t>
            </w:r>
          </w:p>
          <w:p w14:paraId="07F6827C" w14:textId="77777777" w:rsidR="00506EE2" w:rsidRPr="00AB7FC6" w:rsidRDefault="00506EE2" w:rsidP="00506EE2">
            <w:pPr>
              <w:jc w:val="both"/>
              <w:rPr>
                <w:rFonts w:ascii="Verdana" w:hAnsi="Verdana"/>
                <w:b/>
                <w:sz w:val="22"/>
                <w:szCs w:val="22"/>
                <w:u w:val="single"/>
              </w:rPr>
            </w:pPr>
          </w:p>
          <w:p w14:paraId="16F8823A" w14:textId="61C53BA2" w:rsidR="00506EE2" w:rsidRPr="00AB7FC6" w:rsidRDefault="008A2A3D" w:rsidP="00506EE2">
            <w:pPr>
              <w:jc w:val="center"/>
              <w:rPr>
                <w:rFonts w:ascii="Verdana" w:hAnsi="Verdana"/>
                <w:b/>
                <w:sz w:val="22"/>
                <w:szCs w:val="22"/>
                <w:u w:val="single"/>
              </w:rPr>
            </w:pPr>
            <w:r w:rsidRPr="008A2A3D">
              <w:rPr>
                <w:rFonts w:ascii="Verdana" w:hAnsi="Verdana"/>
                <w:b/>
                <w:noProof/>
                <w:sz w:val="22"/>
                <w:szCs w:val="22"/>
                <w:u w:val="single"/>
              </w:rPr>
              <w:drawing>
                <wp:inline distT="0" distB="0" distL="0" distR="0" wp14:anchorId="668DAF75" wp14:editId="0B880A08">
                  <wp:extent cx="4838065" cy="2241550"/>
                  <wp:effectExtent l="0" t="0" r="635" b="6350"/>
                  <wp:docPr id="8372519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51960" name=""/>
                          <pic:cNvPicPr/>
                        </pic:nvPicPr>
                        <pic:blipFill>
                          <a:blip r:embed="rId17"/>
                          <a:stretch>
                            <a:fillRect/>
                          </a:stretch>
                        </pic:blipFill>
                        <pic:spPr>
                          <a:xfrm>
                            <a:off x="0" y="0"/>
                            <a:ext cx="4846951" cy="2245667"/>
                          </a:xfrm>
                          <a:prstGeom prst="rect">
                            <a:avLst/>
                          </a:prstGeom>
                        </pic:spPr>
                      </pic:pic>
                    </a:graphicData>
                  </a:graphic>
                </wp:inline>
              </w:drawing>
            </w:r>
          </w:p>
          <w:p w14:paraId="56A8A0DE" w14:textId="77777777" w:rsidR="00506EE2" w:rsidRPr="00AB7FC6" w:rsidRDefault="00506EE2" w:rsidP="00506EE2">
            <w:pPr>
              <w:jc w:val="center"/>
              <w:rPr>
                <w:rFonts w:ascii="Verdana" w:eastAsia="Helvetica Narrow" w:hAnsi="Verdana" w:cs="Helvetica Narrow"/>
                <w:sz w:val="22"/>
                <w:szCs w:val="22"/>
                <w:lang w:val="es-ES"/>
              </w:rPr>
            </w:pPr>
            <w:r w:rsidRPr="00AB7FC6">
              <w:rPr>
                <w:rFonts w:ascii="Verdana" w:hAnsi="Verdana"/>
                <w:sz w:val="22"/>
                <w:szCs w:val="22"/>
              </w:rPr>
              <w:t>FUENTE: DANE, IPC.</w:t>
            </w:r>
          </w:p>
          <w:p w14:paraId="1E304E86" w14:textId="77777777" w:rsidR="00506EE2" w:rsidRDefault="00506EE2" w:rsidP="00506EE2">
            <w:pPr>
              <w:jc w:val="both"/>
              <w:rPr>
                <w:rFonts w:ascii="Verdana" w:eastAsia="Helvetica Narrow" w:hAnsi="Verdana" w:cs="Helvetica Narrow"/>
                <w:b/>
                <w:sz w:val="22"/>
                <w:szCs w:val="22"/>
                <w:u w:val="single"/>
                <w:lang w:val="es-ES"/>
              </w:rPr>
            </w:pPr>
          </w:p>
          <w:p w14:paraId="3E413768" w14:textId="3B548676" w:rsidR="00506EE2" w:rsidRDefault="008A2A3D" w:rsidP="008A2A3D">
            <w:pPr>
              <w:jc w:val="both"/>
              <w:rPr>
                <w:rFonts w:ascii="Verdana" w:eastAsia="Helvetica Narrow" w:hAnsi="Verdana" w:cs="Helvetica Narrow"/>
                <w:bCs/>
                <w:sz w:val="22"/>
                <w:szCs w:val="22"/>
                <w:lang w:val="es-ES"/>
              </w:rPr>
            </w:pPr>
            <w:r w:rsidRPr="008A2A3D">
              <w:rPr>
                <w:rFonts w:ascii="Verdana" w:eastAsia="Helvetica Narrow" w:hAnsi="Verdana" w:cs="Helvetica Narrow"/>
                <w:bCs/>
                <w:sz w:val="22"/>
                <w:szCs w:val="22"/>
                <w:lang w:val="es-ES"/>
              </w:rPr>
              <w:lastRenderedPageBreak/>
              <w:t>El comportamiento mensual del IPC total en marzo de 2026 (0,78%) se explicó principalmente por la</w:t>
            </w:r>
            <w:r>
              <w:rPr>
                <w:rFonts w:ascii="Verdana" w:eastAsia="Helvetica Narrow" w:hAnsi="Verdana" w:cs="Helvetica Narrow"/>
                <w:bCs/>
                <w:sz w:val="22"/>
                <w:szCs w:val="22"/>
                <w:lang w:val="es-ES"/>
              </w:rPr>
              <w:t xml:space="preserve"> </w:t>
            </w:r>
            <w:r w:rsidRPr="008A2A3D">
              <w:rPr>
                <w:rFonts w:ascii="Verdana" w:eastAsia="Helvetica Narrow" w:hAnsi="Verdana" w:cs="Helvetica Narrow"/>
                <w:bCs/>
                <w:sz w:val="22"/>
                <w:szCs w:val="22"/>
                <w:lang w:val="es-ES"/>
              </w:rPr>
              <w:t>variación mensual de las divisiones Alojamiento, agua, electricidad, gas y otros combustibles y</w:t>
            </w:r>
            <w:r>
              <w:rPr>
                <w:rFonts w:ascii="Verdana" w:eastAsia="Helvetica Narrow" w:hAnsi="Verdana" w:cs="Helvetica Narrow"/>
                <w:bCs/>
                <w:sz w:val="22"/>
                <w:szCs w:val="22"/>
                <w:lang w:val="es-ES"/>
              </w:rPr>
              <w:t xml:space="preserve"> </w:t>
            </w:r>
            <w:r w:rsidRPr="008A2A3D">
              <w:rPr>
                <w:rFonts w:ascii="Verdana" w:eastAsia="Helvetica Narrow" w:hAnsi="Verdana" w:cs="Helvetica Narrow"/>
                <w:bCs/>
                <w:sz w:val="22"/>
                <w:szCs w:val="22"/>
                <w:lang w:val="es-ES"/>
              </w:rPr>
              <w:t>Alimentos y bebidas no alcohólicas. Las mayores variaciones se presentaron en las divisiones</w:t>
            </w:r>
            <w:r>
              <w:rPr>
                <w:rFonts w:ascii="Verdana" w:eastAsia="Helvetica Narrow" w:hAnsi="Verdana" w:cs="Helvetica Narrow"/>
                <w:bCs/>
                <w:sz w:val="22"/>
                <w:szCs w:val="22"/>
                <w:lang w:val="es-ES"/>
              </w:rPr>
              <w:t xml:space="preserve"> </w:t>
            </w:r>
            <w:r w:rsidRPr="008A2A3D">
              <w:rPr>
                <w:rFonts w:ascii="Verdana" w:eastAsia="Helvetica Narrow" w:hAnsi="Verdana" w:cs="Helvetica Narrow"/>
                <w:bCs/>
                <w:sz w:val="22"/>
                <w:szCs w:val="22"/>
                <w:lang w:val="es-ES"/>
              </w:rPr>
              <w:t>Información y comunicación (2,96%) y Alimentos y bebidas no alcohólicas (1,27%)</w:t>
            </w:r>
            <w:r w:rsidR="00506EE2">
              <w:rPr>
                <w:rFonts w:ascii="Verdana" w:eastAsia="Helvetica Narrow" w:hAnsi="Verdana" w:cs="Helvetica Narrow"/>
                <w:bCs/>
                <w:sz w:val="22"/>
                <w:szCs w:val="22"/>
                <w:lang w:val="es-ES"/>
              </w:rPr>
              <w:t>.</w:t>
            </w:r>
          </w:p>
          <w:p w14:paraId="66F76A9E" w14:textId="77777777" w:rsidR="00506EE2" w:rsidRPr="00B95DF7" w:rsidRDefault="00506EE2" w:rsidP="00506EE2">
            <w:pPr>
              <w:jc w:val="both"/>
              <w:rPr>
                <w:rFonts w:ascii="Verdana" w:eastAsia="Helvetica Narrow" w:hAnsi="Verdana" w:cs="Helvetica Narrow"/>
                <w:bCs/>
                <w:sz w:val="22"/>
                <w:szCs w:val="22"/>
                <w:lang w:val="es-ES"/>
              </w:rPr>
            </w:pPr>
          </w:p>
          <w:p w14:paraId="3CC2276F" w14:textId="77777777" w:rsidR="00506EE2" w:rsidRPr="00AB7FC6" w:rsidRDefault="00506EE2" w:rsidP="00506EE2">
            <w:pPr>
              <w:ind w:right="104"/>
              <w:rPr>
                <w:rFonts w:ascii="Verdana" w:eastAsia="Arial" w:hAnsi="Verdana" w:cs="Arial"/>
                <w:b/>
                <w:bCs/>
                <w:sz w:val="22"/>
                <w:szCs w:val="22"/>
                <w:u w:val="single"/>
                <w:lang w:val="es-ES"/>
              </w:rPr>
            </w:pPr>
            <w:r w:rsidRPr="00AB7FC6">
              <w:rPr>
                <w:rFonts w:ascii="Verdana" w:eastAsia="Arial" w:hAnsi="Verdana" w:cs="Arial"/>
                <w:b/>
                <w:bCs/>
                <w:sz w:val="22"/>
                <w:szCs w:val="22"/>
                <w:u w:val="single"/>
                <w:lang w:val="es-ES"/>
              </w:rPr>
              <w:t>PRODUCTO INTERNO BRUTO -PIB- NACIONAL TRIMESTRAL</w:t>
            </w:r>
          </w:p>
          <w:p w14:paraId="7F6FA6B6" w14:textId="77777777" w:rsidR="00506EE2" w:rsidRPr="00AB7FC6" w:rsidRDefault="00506EE2" w:rsidP="00506EE2">
            <w:pPr>
              <w:ind w:right="104"/>
              <w:rPr>
                <w:rFonts w:ascii="Verdana" w:eastAsia="Arial" w:hAnsi="Verdana" w:cs="Arial"/>
                <w:b/>
                <w:bCs/>
                <w:sz w:val="22"/>
                <w:szCs w:val="22"/>
                <w:u w:val="single"/>
                <w:lang w:val="es-ES"/>
              </w:rPr>
            </w:pPr>
          </w:p>
          <w:p w14:paraId="795B88B4" w14:textId="7239DAEA" w:rsidR="00506EE2" w:rsidRPr="00AB7FC6" w:rsidRDefault="008A2A3D" w:rsidP="00506EE2">
            <w:pPr>
              <w:ind w:right="104"/>
              <w:jc w:val="both"/>
              <w:rPr>
                <w:rFonts w:ascii="Verdana" w:eastAsia="Arial" w:hAnsi="Verdana" w:cs="Arial"/>
                <w:bCs/>
                <w:sz w:val="22"/>
                <w:szCs w:val="22"/>
                <w:lang w:val="es-ES"/>
              </w:rPr>
            </w:pPr>
            <w:r w:rsidRPr="008A2A3D">
              <w:rPr>
                <w:rFonts w:ascii="Verdana" w:eastAsia="Arial" w:hAnsi="Verdana" w:cs="Arial"/>
                <w:bCs/>
                <w:sz w:val="22"/>
                <w:szCs w:val="22"/>
                <w:lang w:val="es-ES"/>
              </w:rPr>
              <w:t>El Producto Interno Bruto crece 2,6% en el año 2025pr respecto al año 2024p.</w:t>
            </w:r>
          </w:p>
          <w:p w14:paraId="47985382" w14:textId="77777777" w:rsidR="00506EE2" w:rsidRPr="00AB7FC6" w:rsidRDefault="00506EE2" w:rsidP="00506EE2">
            <w:pPr>
              <w:ind w:right="104"/>
              <w:rPr>
                <w:rFonts w:ascii="Verdana" w:eastAsia="Arial" w:hAnsi="Verdana" w:cs="Arial"/>
                <w:b/>
                <w:bCs/>
                <w:sz w:val="22"/>
                <w:szCs w:val="22"/>
                <w:u w:val="single"/>
                <w:lang w:val="es-ES"/>
              </w:rPr>
            </w:pPr>
          </w:p>
          <w:p w14:paraId="39C86E48" w14:textId="0E8C76A2" w:rsidR="00506EE2" w:rsidRPr="00AB7FC6" w:rsidRDefault="008A2A3D" w:rsidP="00506EE2">
            <w:pPr>
              <w:ind w:right="104"/>
              <w:jc w:val="center"/>
              <w:rPr>
                <w:rFonts w:ascii="Verdana" w:hAnsi="Verdana"/>
              </w:rPr>
            </w:pPr>
            <w:r w:rsidRPr="008A2A3D">
              <w:rPr>
                <w:rFonts w:ascii="Verdana" w:hAnsi="Verdana"/>
                <w:noProof/>
              </w:rPr>
              <w:drawing>
                <wp:inline distT="0" distB="0" distL="0" distR="0" wp14:anchorId="3DAFEA50" wp14:editId="3A44B799">
                  <wp:extent cx="4876800" cy="2537019"/>
                  <wp:effectExtent l="0" t="0" r="0" b="0"/>
                  <wp:docPr id="117622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2656" name=""/>
                          <pic:cNvPicPr/>
                        </pic:nvPicPr>
                        <pic:blipFill>
                          <a:blip r:embed="rId18"/>
                          <a:stretch>
                            <a:fillRect/>
                          </a:stretch>
                        </pic:blipFill>
                        <pic:spPr>
                          <a:xfrm>
                            <a:off x="0" y="0"/>
                            <a:ext cx="4883311" cy="2540406"/>
                          </a:xfrm>
                          <a:prstGeom prst="rect">
                            <a:avLst/>
                          </a:prstGeom>
                        </pic:spPr>
                      </pic:pic>
                    </a:graphicData>
                  </a:graphic>
                </wp:inline>
              </w:drawing>
            </w:r>
          </w:p>
          <w:p w14:paraId="593B81A4" w14:textId="77777777" w:rsidR="00506EE2" w:rsidRPr="00AB7FC6" w:rsidRDefault="00506EE2" w:rsidP="00506EE2">
            <w:pPr>
              <w:pStyle w:val="Prrafodelista"/>
              <w:ind w:left="0" w:right="104"/>
              <w:jc w:val="center"/>
              <w:rPr>
                <w:rFonts w:ascii="Verdana" w:hAnsi="Verdana"/>
                <w:sz w:val="22"/>
                <w:szCs w:val="22"/>
              </w:rPr>
            </w:pPr>
            <w:r w:rsidRPr="00AB7FC6">
              <w:rPr>
                <w:rFonts w:ascii="Verdana" w:hAnsi="Verdana"/>
                <w:sz w:val="22"/>
                <w:szCs w:val="22"/>
              </w:rPr>
              <w:t>FUENTE: DANE</w:t>
            </w:r>
          </w:p>
          <w:p w14:paraId="5AE96757" w14:textId="77777777" w:rsidR="00506EE2" w:rsidRPr="00AB7FC6" w:rsidRDefault="00506EE2" w:rsidP="00506EE2">
            <w:pPr>
              <w:pStyle w:val="Prrafodelista"/>
              <w:ind w:left="0" w:right="104"/>
              <w:jc w:val="both"/>
              <w:rPr>
                <w:rFonts w:ascii="Verdana" w:hAnsi="Verdana"/>
                <w:b/>
                <w:sz w:val="22"/>
                <w:szCs w:val="22"/>
              </w:rPr>
            </w:pPr>
          </w:p>
          <w:p w14:paraId="472E4A9F" w14:textId="77777777" w:rsidR="00506EE2" w:rsidRPr="002F238F" w:rsidRDefault="00506EE2" w:rsidP="00506EE2">
            <w:pPr>
              <w:ind w:right="104"/>
              <w:jc w:val="both"/>
              <w:rPr>
                <w:rFonts w:ascii="Verdana" w:hAnsi="Verdana"/>
                <w:sz w:val="22"/>
                <w:szCs w:val="22"/>
              </w:rPr>
            </w:pPr>
            <w:r w:rsidRPr="002F238F">
              <w:rPr>
                <w:rFonts w:ascii="Verdana" w:hAnsi="Verdana"/>
                <w:sz w:val="22"/>
                <w:szCs w:val="22"/>
              </w:rPr>
              <w:t>Las actividades económicas que más contribuyen a la dinámica del valor agregado son:</w:t>
            </w:r>
          </w:p>
          <w:p w14:paraId="55F1A3AE" w14:textId="77777777" w:rsidR="00506EE2" w:rsidRPr="002F238F" w:rsidRDefault="00506EE2" w:rsidP="00506EE2">
            <w:pPr>
              <w:ind w:right="104"/>
              <w:jc w:val="both"/>
              <w:rPr>
                <w:rFonts w:ascii="Verdana" w:hAnsi="Verdana"/>
                <w:sz w:val="22"/>
                <w:szCs w:val="22"/>
              </w:rPr>
            </w:pPr>
          </w:p>
          <w:p w14:paraId="68A7B45E" w14:textId="77777777" w:rsidR="008A2A3D" w:rsidRPr="008A2A3D" w:rsidRDefault="008A2A3D" w:rsidP="008174EA">
            <w:pPr>
              <w:pStyle w:val="Prrafodelista"/>
              <w:numPr>
                <w:ilvl w:val="0"/>
                <w:numId w:val="4"/>
              </w:numPr>
              <w:ind w:right="30"/>
              <w:jc w:val="both"/>
              <w:rPr>
                <w:rFonts w:ascii="Verdana" w:hAnsi="Verdana"/>
                <w:sz w:val="22"/>
                <w:szCs w:val="22"/>
              </w:rPr>
            </w:pPr>
            <w:r w:rsidRPr="008A2A3D">
              <w:rPr>
                <w:rFonts w:ascii="Verdana" w:hAnsi="Verdana"/>
                <w:sz w:val="22"/>
                <w:szCs w:val="22"/>
              </w:rPr>
              <w:t>Comercio al por mayor y al por menor; reparación de vehículos automotores y motocicletas; Transporte y almacenamiento; Alojamiento y servicios de comida crece 4,6% (contribuye 0,9 puntos porcentuales a la variación anual).</w:t>
            </w:r>
          </w:p>
          <w:p w14:paraId="04BF7256" w14:textId="77777777" w:rsidR="008A2A3D" w:rsidRPr="008A2A3D" w:rsidRDefault="008A2A3D" w:rsidP="008174EA">
            <w:pPr>
              <w:pStyle w:val="Prrafodelista"/>
              <w:numPr>
                <w:ilvl w:val="0"/>
                <w:numId w:val="4"/>
              </w:numPr>
              <w:ind w:right="30"/>
              <w:jc w:val="both"/>
              <w:rPr>
                <w:rFonts w:ascii="Verdana" w:hAnsi="Verdana"/>
                <w:sz w:val="22"/>
                <w:szCs w:val="22"/>
              </w:rPr>
            </w:pPr>
            <w:r w:rsidRPr="008A2A3D">
              <w:rPr>
                <w:rFonts w:ascii="Verdana" w:hAnsi="Verdana"/>
                <w:sz w:val="22"/>
                <w:szCs w:val="22"/>
              </w:rPr>
              <w:t>Administración pública y defensa; planes de seguridad social de afiliación obligatoria; Educación; Actividades de atención de la salud humana y de servicios sociales crece 4,5% (contribuye 0,8 puntos porcentuales a la variación anual).</w:t>
            </w:r>
          </w:p>
          <w:p w14:paraId="43E74FF3" w14:textId="2C238005" w:rsidR="00506EE2" w:rsidRPr="002F238F" w:rsidRDefault="008A2A3D" w:rsidP="008174EA">
            <w:pPr>
              <w:pStyle w:val="Prrafodelista"/>
              <w:numPr>
                <w:ilvl w:val="0"/>
                <w:numId w:val="4"/>
              </w:numPr>
              <w:ind w:right="30"/>
              <w:jc w:val="both"/>
              <w:rPr>
                <w:rFonts w:ascii="Verdana" w:hAnsi="Verdana"/>
                <w:sz w:val="22"/>
                <w:szCs w:val="22"/>
              </w:rPr>
            </w:pPr>
            <w:r w:rsidRPr="008A2A3D">
              <w:rPr>
                <w:rFonts w:ascii="Verdana" w:hAnsi="Verdana"/>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w:t>
            </w:r>
          </w:p>
          <w:p w14:paraId="1BF2F851" w14:textId="77777777" w:rsidR="00506EE2" w:rsidRPr="00AB7FC6" w:rsidRDefault="00506EE2" w:rsidP="00506EE2">
            <w:pPr>
              <w:ind w:right="29"/>
              <w:jc w:val="both"/>
              <w:rPr>
                <w:rFonts w:ascii="Verdana" w:hAnsi="Verdana"/>
                <w:sz w:val="22"/>
                <w:szCs w:val="22"/>
              </w:rPr>
            </w:pPr>
          </w:p>
          <w:p w14:paraId="532D0980" w14:textId="50E3D27B" w:rsidR="00506EE2" w:rsidRPr="00AB7FC6" w:rsidRDefault="008A2A3D" w:rsidP="00506EE2">
            <w:pPr>
              <w:ind w:right="29"/>
              <w:jc w:val="both"/>
              <w:rPr>
                <w:rFonts w:ascii="Verdana" w:hAnsi="Verdana"/>
                <w:sz w:val="22"/>
                <w:szCs w:val="22"/>
              </w:rPr>
            </w:pPr>
            <w:r w:rsidRPr="008A2A3D">
              <w:rPr>
                <w:rFonts w:ascii="Verdana" w:hAnsi="Verdana"/>
                <w:sz w:val="22"/>
                <w:szCs w:val="22"/>
              </w:rPr>
              <w:t>En el cuarto trimestre de 2025pr, el Producto Interno Bruto en su serie original, crece 2,3% respecto al mismo periodo de 2024p. Las actividades económicas que más contribuyen a la dinámica del valor agregado son</w:t>
            </w:r>
            <w:r w:rsidR="00506EE2" w:rsidRPr="00AB7FC6">
              <w:rPr>
                <w:rFonts w:ascii="Verdana" w:hAnsi="Verdana"/>
                <w:sz w:val="22"/>
                <w:szCs w:val="22"/>
              </w:rPr>
              <w:t>:</w:t>
            </w:r>
          </w:p>
          <w:p w14:paraId="01D257AF" w14:textId="77777777" w:rsidR="00506EE2" w:rsidRPr="00AB7FC6" w:rsidRDefault="00506EE2" w:rsidP="00506EE2">
            <w:pPr>
              <w:ind w:right="29"/>
              <w:jc w:val="both"/>
              <w:rPr>
                <w:rFonts w:ascii="Verdana" w:hAnsi="Verdana"/>
                <w:sz w:val="22"/>
                <w:szCs w:val="22"/>
              </w:rPr>
            </w:pPr>
          </w:p>
          <w:p w14:paraId="7D7A826D" w14:textId="77777777" w:rsidR="00506EE2" w:rsidRPr="002F238F" w:rsidRDefault="00506EE2" w:rsidP="008174EA">
            <w:pPr>
              <w:pStyle w:val="Prrafodelista"/>
              <w:numPr>
                <w:ilvl w:val="0"/>
                <w:numId w:val="3"/>
              </w:numPr>
              <w:ind w:left="360" w:right="29"/>
              <w:jc w:val="both"/>
              <w:rPr>
                <w:rFonts w:ascii="Verdana" w:hAnsi="Verdana"/>
                <w:sz w:val="22"/>
                <w:szCs w:val="22"/>
              </w:rPr>
            </w:pPr>
            <w:r w:rsidRPr="002F238F">
              <w:rPr>
                <w:rFonts w:ascii="Verdana" w:hAnsi="Verdana"/>
                <w:sz w:val="22"/>
                <w:szCs w:val="22"/>
              </w:rPr>
              <w:t>Comercio al por mayor y al por menor; reparación de vehículos automotores y motocicletas; Transporte y almacenamiento; Alojamiento y servicios de comida crece 5,1% (contribuye 1,0 puntos porcentuales a la variación anual).</w:t>
            </w:r>
          </w:p>
          <w:p w14:paraId="0F9DC011" w14:textId="77777777" w:rsidR="008A2A3D" w:rsidRPr="008A2A3D" w:rsidRDefault="008A2A3D" w:rsidP="008174EA">
            <w:pPr>
              <w:pStyle w:val="Prrafodelista"/>
              <w:numPr>
                <w:ilvl w:val="0"/>
                <w:numId w:val="3"/>
              </w:numPr>
              <w:ind w:left="457" w:right="29" w:hanging="425"/>
              <w:jc w:val="both"/>
              <w:rPr>
                <w:rFonts w:ascii="Verdana" w:hAnsi="Verdana"/>
                <w:sz w:val="22"/>
                <w:szCs w:val="22"/>
              </w:rPr>
            </w:pPr>
            <w:r w:rsidRPr="008A2A3D">
              <w:rPr>
                <w:rFonts w:ascii="Verdana" w:hAnsi="Verdana"/>
                <w:sz w:val="22"/>
                <w:szCs w:val="22"/>
              </w:rPr>
              <w:lastRenderedPageBreak/>
              <w:t>Administración pública y defensa; planes de seguridad social de afiliación obligatoria; Educación; Actividades de atención de la salud humana y de servicios sociales crece 4,8% (contribuye 0,9 puntos porcentuales a la variación anual).</w:t>
            </w:r>
          </w:p>
          <w:p w14:paraId="31DDFFE1" w14:textId="77777777" w:rsidR="008A2A3D" w:rsidRPr="008A2A3D" w:rsidRDefault="008A2A3D" w:rsidP="008174EA">
            <w:pPr>
              <w:pStyle w:val="Prrafodelista"/>
              <w:numPr>
                <w:ilvl w:val="0"/>
                <w:numId w:val="3"/>
              </w:numPr>
              <w:ind w:left="457" w:right="29" w:hanging="425"/>
              <w:jc w:val="both"/>
              <w:rPr>
                <w:rFonts w:ascii="Verdana" w:hAnsi="Verdana"/>
                <w:sz w:val="22"/>
                <w:szCs w:val="22"/>
              </w:rPr>
            </w:pPr>
            <w:r w:rsidRPr="008A2A3D">
              <w:rPr>
                <w:rFonts w:ascii="Verdana" w:hAnsi="Verdana"/>
                <w:sz w:val="22"/>
                <w:szCs w:val="22"/>
              </w:rPr>
              <w:t>Comercio al por mayor y al por menor; reparación de vehículos automotores y motocicletas; Transporte y almacenamiento; Alojamiento y servicios de comida crece 3,4% (contribuye 0,7 puntos porcentuales a la variación anual).</w:t>
            </w:r>
          </w:p>
          <w:p w14:paraId="458D0949" w14:textId="2CAE1AF4" w:rsidR="00506EE2" w:rsidRPr="00AB7FC6" w:rsidRDefault="008A2A3D" w:rsidP="008174EA">
            <w:pPr>
              <w:pStyle w:val="Prrafodelista"/>
              <w:numPr>
                <w:ilvl w:val="0"/>
                <w:numId w:val="3"/>
              </w:numPr>
              <w:ind w:left="457" w:right="29" w:hanging="425"/>
              <w:jc w:val="both"/>
              <w:rPr>
                <w:rFonts w:ascii="Verdana" w:hAnsi="Verdana"/>
                <w:sz w:val="22"/>
                <w:szCs w:val="22"/>
              </w:rPr>
            </w:pPr>
            <w:r w:rsidRPr="008A2A3D">
              <w:rPr>
                <w:rFonts w:ascii="Verdana" w:hAnsi="Verdana"/>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r w:rsidR="00506EE2" w:rsidRPr="002F238F">
              <w:rPr>
                <w:rFonts w:ascii="Verdana" w:hAnsi="Verdana"/>
                <w:sz w:val="22"/>
                <w:szCs w:val="22"/>
              </w:rPr>
              <w:t>.</w:t>
            </w:r>
          </w:p>
          <w:p w14:paraId="4EAA04F1" w14:textId="77777777" w:rsidR="00506EE2" w:rsidRDefault="00506EE2" w:rsidP="00506EE2">
            <w:pPr>
              <w:ind w:right="29"/>
              <w:rPr>
                <w:rFonts w:ascii="Verdana" w:eastAsia="Arial" w:hAnsi="Verdana" w:cs="Arial"/>
                <w:b/>
                <w:bCs/>
                <w:sz w:val="22"/>
                <w:szCs w:val="22"/>
                <w:u w:val="single"/>
                <w:lang w:val="es-ES"/>
              </w:rPr>
            </w:pPr>
          </w:p>
          <w:p w14:paraId="6B8C8011" w14:textId="67D8900E" w:rsidR="00506EE2" w:rsidRDefault="00290B65" w:rsidP="00506EE2">
            <w:pPr>
              <w:ind w:right="29"/>
              <w:jc w:val="both"/>
              <w:rPr>
                <w:rFonts w:ascii="Verdana" w:eastAsia="Arial" w:hAnsi="Verdana" w:cs="Arial"/>
                <w:sz w:val="22"/>
                <w:szCs w:val="22"/>
                <w:lang w:val="es-ES"/>
              </w:rPr>
            </w:pPr>
            <w:r w:rsidRPr="00290B65">
              <w:rPr>
                <w:rFonts w:ascii="Verdana" w:eastAsia="Arial" w:hAnsi="Verdana" w:cs="Arial"/>
                <w:sz w:val="22"/>
                <w:szCs w:val="22"/>
                <w:lang w:val="es-ES"/>
              </w:rPr>
              <w:t>Respecto al trimestre inmediatamente anterior, el Producto Interno Bruto en su serie ajustada por efecto estacional y calendario crece 0,1%. Cuando se observa el comportamiento de las actividades económicas relacionadas</w:t>
            </w:r>
            <w:r w:rsidR="00506EE2" w:rsidRPr="002F238F">
              <w:rPr>
                <w:rFonts w:ascii="Verdana" w:eastAsia="Arial" w:hAnsi="Verdana" w:cs="Arial"/>
                <w:sz w:val="22"/>
                <w:szCs w:val="22"/>
                <w:lang w:val="es-ES"/>
              </w:rPr>
              <w:t>:</w:t>
            </w:r>
          </w:p>
          <w:p w14:paraId="081A094F" w14:textId="77777777" w:rsidR="00506EE2" w:rsidRDefault="00506EE2" w:rsidP="00506EE2">
            <w:pPr>
              <w:ind w:right="29"/>
              <w:jc w:val="both"/>
              <w:rPr>
                <w:rFonts w:ascii="Verdana" w:eastAsia="Arial" w:hAnsi="Verdana" w:cs="Arial"/>
                <w:sz w:val="22"/>
                <w:szCs w:val="22"/>
                <w:lang w:val="es-ES"/>
              </w:rPr>
            </w:pPr>
          </w:p>
          <w:p w14:paraId="1F56EF58" w14:textId="77777777" w:rsidR="00290B65" w:rsidRPr="00290B65" w:rsidRDefault="00290B65" w:rsidP="008174EA">
            <w:pPr>
              <w:pStyle w:val="Prrafodelista"/>
              <w:numPr>
                <w:ilvl w:val="0"/>
                <w:numId w:val="5"/>
              </w:numPr>
              <w:ind w:right="29"/>
              <w:jc w:val="both"/>
              <w:rPr>
                <w:rFonts w:ascii="Verdana" w:eastAsia="Arial" w:hAnsi="Verdana" w:cs="Arial"/>
                <w:sz w:val="22"/>
                <w:szCs w:val="22"/>
                <w:lang w:val="es-ES"/>
              </w:rPr>
            </w:pPr>
            <w:r w:rsidRPr="00290B65">
              <w:rPr>
                <w:rFonts w:ascii="Verdana" w:eastAsia="Arial" w:hAnsi="Verdana" w:cs="Arial"/>
                <w:sz w:val="22"/>
                <w:szCs w:val="22"/>
                <w:lang w:val="es-E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6528C847" w14:textId="77777777" w:rsidR="00290B65" w:rsidRPr="00290B65" w:rsidRDefault="00290B65" w:rsidP="008174EA">
            <w:pPr>
              <w:pStyle w:val="Prrafodelista"/>
              <w:numPr>
                <w:ilvl w:val="0"/>
                <w:numId w:val="5"/>
              </w:numPr>
              <w:ind w:right="29"/>
              <w:jc w:val="both"/>
              <w:rPr>
                <w:rFonts w:ascii="Verdana" w:eastAsia="Arial" w:hAnsi="Verdana" w:cs="Arial"/>
                <w:sz w:val="22"/>
                <w:szCs w:val="22"/>
                <w:lang w:val="es-ES"/>
              </w:rPr>
            </w:pPr>
            <w:r w:rsidRPr="00290B65">
              <w:rPr>
                <w:rFonts w:ascii="Verdana" w:eastAsia="Arial" w:hAnsi="Verdana" w:cs="Arial"/>
                <w:sz w:val="22"/>
                <w:szCs w:val="22"/>
                <w:lang w:val="es-ES"/>
              </w:rPr>
              <w:t>Comercio al por mayor y al por menor; reparación de vehículos automotores y motocicletas; Transporte y almacenamiento; Alojamiento y servicios de comida crece 1,6%.</w:t>
            </w:r>
          </w:p>
          <w:p w14:paraId="6DA23CF6" w14:textId="6898264E" w:rsidR="00506EE2" w:rsidRDefault="00290B65" w:rsidP="008174EA">
            <w:pPr>
              <w:pStyle w:val="Prrafodelista"/>
              <w:numPr>
                <w:ilvl w:val="0"/>
                <w:numId w:val="5"/>
              </w:numPr>
              <w:ind w:right="29"/>
              <w:jc w:val="both"/>
              <w:rPr>
                <w:rFonts w:ascii="Verdana" w:eastAsia="Arial" w:hAnsi="Verdana" w:cs="Arial"/>
                <w:sz w:val="22"/>
                <w:szCs w:val="22"/>
                <w:lang w:val="es-ES"/>
              </w:rPr>
            </w:pPr>
            <w:r w:rsidRPr="00290B65">
              <w:rPr>
                <w:rFonts w:ascii="Verdana" w:eastAsia="Arial" w:hAnsi="Verdana" w:cs="Arial"/>
                <w:sz w:val="22"/>
                <w:szCs w:val="22"/>
                <w:lang w:val="es-ES"/>
              </w:rPr>
              <w:t>Explotación de minas y canteras crece 1,2%</w:t>
            </w:r>
            <w:r w:rsidR="00506EE2" w:rsidRPr="002F238F">
              <w:rPr>
                <w:rFonts w:ascii="Verdana" w:eastAsia="Arial" w:hAnsi="Verdana" w:cs="Arial"/>
                <w:sz w:val="22"/>
                <w:szCs w:val="22"/>
                <w:lang w:val="es-ES"/>
              </w:rPr>
              <w:t>.</w:t>
            </w:r>
          </w:p>
          <w:p w14:paraId="0409932B" w14:textId="77777777" w:rsidR="00506EE2" w:rsidRPr="002F238F" w:rsidRDefault="00506EE2" w:rsidP="00506EE2">
            <w:pPr>
              <w:ind w:right="29"/>
              <w:jc w:val="both"/>
              <w:rPr>
                <w:rFonts w:ascii="Verdana" w:eastAsia="Arial" w:hAnsi="Verdana" w:cs="Arial"/>
                <w:sz w:val="22"/>
                <w:szCs w:val="22"/>
                <w:lang w:val="es-ES"/>
              </w:rPr>
            </w:pPr>
          </w:p>
          <w:p w14:paraId="7E5F9E60" w14:textId="24113391" w:rsidR="00506EE2" w:rsidRPr="00AB7FC6" w:rsidRDefault="00290B65" w:rsidP="00506EE2">
            <w:pPr>
              <w:ind w:right="104"/>
              <w:jc w:val="center"/>
              <w:rPr>
                <w:rFonts w:ascii="Verdana" w:eastAsia="Arial" w:hAnsi="Verdana" w:cs="Arial"/>
                <w:b/>
                <w:bCs/>
                <w:sz w:val="22"/>
                <w:szCs w:val="22"/>
                <w:u w:val="single"/>
                <w:lang w:val="es-ES"/>
              </w:rPr>
            </w:pPr>
            <w:r w:rsidRPr="00290B65">
              <w:rPr>
                <w:rFonts w:ascii="Verdana" w:eastAsia="Arial" w:hAnsi="Verdana" w:cs="Arial"/>
                <w:b/>
                <w:bCs/>
                <w:noProof/>
                <w:sz w:val="22"/>
                <w:szCs w:val="22"/>
                <w:u w:val="single"/>
                <w:lang w:val="es-ES"/>
              </w:rPr>
              <w:drawing>
                <wp:inline distT="0" distB="0" distL="0" distR="0" wp14:anchorId="42F3F4ED" wp14:editId="55C24CAA">
                  <wp:extent cx="4147911" cy="3740150"/>
                  <wp:effectExtent l="0" t="0" r="5080" b="0"/>
                  <wp:docPr id="6670013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001300" name=""/>
                          <pic:cNvPicPr/>
                        </pic:nvPicPr>
                        <pic:blipFill>
                          <a:blip r:embed="rId19"/>
                          <a:stretch>
                            <a:fillRect/>
                          </a:stretch>
                        </pic:blipFill>
                        <pic:spPr>
                          <a:xfrm>
                            <a:off x="0" y="0"/>
                            <a:ext cx="4157305" cy="3748621"/>
                          </a:xfrm>
                          <a:prstGeom prst="rect">
                            <a:avLst/>
                          </a:prstGeom>
                        </pic:spPr>
                      </pic:pic>
                    </a:graphicData>
                  </a:graphic>
                </wp:inline>
              </w:drawing>
            </w:r>
          </w:p>
          <w:p w14:paraId="354BCD33" w14:textId="77777777" w:rsidR="00506EE2" w:rsidRPr="00AB7FC6" w:rsidRDefault="00506EE2" w:rsidP="00506EE2">
            <w:pPr>
              <w:jc w:val="center"/>
              <w:rPr>
                <w:rFonts w:ascii="Verdana" w:eastAsia="Arial" w:hAnsi="Verdana" w:cs="Arial"/>
                <w:bCs/>
                <w:sz w:val="22"/>
                <w:szCs w:val="22"/>
                <w:lang w:val="es-ES"/>
              </w:rPr>
            </w:pPr>
            <w:r w:rsidRPr="00AB7FC6">
              <w:rPr>
                <w:rFonts w:ascii="Verdana" w:eastAsia="Arial" w:hAnsi="Verdana" w:cs="Arial"/>
                <w:bCs/>
                <w:sz w:val="22"/>
                <w:szCs w:val="22"/>
                <w:lang w:val="es-ES"/>
              </w:rPr>
              <w:t>FUENTE: DANE, Cuentas Nacionales.</w:t>
            </w:r>
          </w:p>
          <w:p w14:paraId="380BEEFA" w14:textId="77777777" w:rsidR="00506EE2" w:rsidRPr="00AB7FC6" w:rsidRDefault="00506EE2" w:rsidP="00506EE2">
            <w:pPr>
              <w:jc w:val="both"/>
              <w:rPr>
                <w:rFonts w:ascii="Verdana" w:eastAsia="Helvetica Narrow" w:hAnsi="Verdana" w:cs="Helvetica Narrow"/>
                <w:b/>
                <w:sz w:val="22"/>
                <w:szCs w:val="22"/>
                <w:u w:val="single"/>
                <w:lang w:val="es-ES"/>
              </w:rPr>
            </w:pPr>
          </w:p>
          <w:p w14:paraId="3CDBB14E" w14:textId="77777777" w:rsidR="00506EE2" w:rsidRPr="00AB7FC6" w:rsidRDefault="00506EE2" w:rsidP="00506EE2">
            <w:pPr>
              <w:ind w:right="104"/>
              <w:rPr>
                <w:rFonts w:ascii="Verdana" w:eastAsia="Arial" w:hAnsi="Verdana" w:cs="Arial"/>
                <w:b/>
                <w:bCs/>
                <w:sz w:val="22"/>
                <w:szCs w:val="22"/>
                <w:u w:val="single"/>
                <w:lang w:val="es-ES"/>
              </w:rPr>
            </w:pPr>
            <w:r w:rsidRPr="00AB7FC6">
              <w:rPr>
                <w:rFonts w:ascii="Verdana" w:eastAsia="Arial" w:hAnsi="Verdana" w:cs="Arial"/>
                <w:b/>
                <w:bCs/>
                <w:sz w:val="22"/>
                <w:szCs w:val="22"/>
                <w:u w:val="single"/>
                <w:lang w:val="es-ES"/>
              </w:rPr>
              <w:t>Variación del Salario Mínimo en Colombia</w:t>
            </w:r>
          </w:p>
          <w:p w14:paraId="532DD7EC" w14:textId="77777777" w:rsidR="00506EE2" w:rsidRPr="00AB7FC6" w:rsidRDefault="00506EE2" w:rsidP="00506EE2">
            <w:pPr>
              <w:ind w:right="104"/>
              <w:rPr>
                <w:rFonts w:ascii="Verdana" w:eastAsia="Arial" w:hAnsi="Verdana" w:cs="Arial"/>
                <w:bCs/>
                <w:sz w:val="22"/>
                <w:szCs w:val="22"/>
                <w:lang w:val="es-ES"/>
              </w:rPr>
            </w:pPr>
          </w:p>
          <w:p w14:paraId="20C169BA" w14:textId="77777777" w:rsidR="00506EE2" w:rsidRPr="00AB7FC6" w:rsidRDefault="00506EE2" w:rsidP="00506EE2">
            <w:pPr>
              <w:ind w:right="104"/>
              <w:jc w:val="both"/>
              <w:rPr>
                <w:rFonts w:ascii="Verdana" w:eastAsia="Arial" w:hAnsi="Verdana" w:cs="Arial"/>
                <w:bCs/>
                <w:sz w:val="22"/>
                <w:szCs w:val="22"/>
                <w:lang w:val="es-ES"/>
              </w:rPr>
            </w:pPr>
            <w:r w:rsidRPr="00AB7FC6">
              <w:rPr>
                <w:rFonts w:ascii="Verdana" w:eastAsia="Arial" w:hAnsi="Verdana" w:cs="Arial"/>
                <w:bCs/>
                <w:sz w:val="22"/>
                <w:szCs w:val="22"/>
                <w:lang w:val="es-ES"/>
              </w:rPr>
              <w:t>De acuerdo con la identificación de que para realizar prestación del servicio de soporte, mantenimiento y actualización del Software se debe contar con el personal calificado (técnico, profesional), por lo que se encuentra como un factor de incidencia en el precio la variación en el salario mínimo en Colombia. Se encuentra procedente revisar y para el efecto se mostrará los incrementos del salario mínimo en Colombia durante los últimos años, así:</w:t>
            </w:r>
          </w:p>
          <w:p w14:paraId="3701DB1D" w14:textId="77777777" w:rsidR="00506EE2" w:rsidRPr="00AB7FC6" w:rsidRDefault="00506EE2" w:rsidP="00506EE2">
            <w:pPr>
              <w:ind w:right="104"/>
              <w:jc w:val="both"/>
              <w:rPr>
                <w:rFonts w:ascii="Verdana" w:eastAsia="Arial" w:hAnsi="Verdana" w:cs="Arial"/>
                <w:bCs/>
                <w:sz w:val="22"/>
                <w:szCs w:val="22"/>
                <w:lang w:val="es-ES"/>
              </w:rPr>
            </w:pPr>
          </w:p>
          <w:tbl>
            <w:tblPr>
              <w:tblW w:w="5000" w:type="pct"/>
              <w:tblCellMar>
                <w:left w:w="70" w:type="dxa"/>
                <w:right w:w="70" w:type="dxa"/>
              </w:tblCellMar>
              <w:tblLook w:val="04A0" w:firstRow="1" w:lastRow="0" w:firstColumn="1" w:lastColumn="0" w:noHBand="0" w:noVBand="1"/>
            </w:tblPr>
            <w:tblGrid>
              <w:gridCol w:w="1687"/>
              <w:gridCol w:w="2164"/>
              <w:gridCol w:w="2050"/>
              <w:gridCol w:w="2050"/>
              <w:gridCol w:w="2445"/>
            </w:tblGrid>
            <w:tr w:rsidR="00506EE2" w:rsidRPr="006E5471" w14:paraId="20B309DB" w14:textId="77777777" w:rsidTr="00AC4200">
              <w:trPr>
                <w:trHeight w:val="389"/>
              </w:trPr>
              <w:tc>
                <w:tcPr>
                  <w:tcW w:w="811" w:type="pct"/>
                  <w:tcBorders>
                    <w:top w:val="single" w:sz="4" w:space="0" w:color="auto"/>
                    <w:left w:val="single" w:sz="4" w:space="0" w:color="auto"/>
                    <w:bottom w:val="single" w:sz="4" w:space="0" w:color="auto"/>
                    <w:right w:val="single" w:sz="4" w:space="0" w:color="auto"/>
                  </w:tcBorders>
                  <w:vAlign w:val="center"/>
                  <w:hideMark/>
                </w:tcPr>
                <w:p w14:paraId="5D3FB981"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VIGENCIA</w:t>
                  </w:r>
                </w:p>
              </w:tc>
              <w:tc>
                <w:tcPr>
                  <w:tcW w:w="1041" w:type="pct"/>
                  <w:tcBorders>
                    <w:top w:val="single" w:sz="4" w:space="0" w:color="auto"/>
                    <w:left w:val="nil"/>
                    <w:bottom w:val="single" w:sz="4" w:space="0" w:color="auto"/>
                    <w:right w:val="single" w:sz="4" w:space="0" w:color="auto"/>
                  </w:tcBorders>
                  <w:vAlign w:val="center"/>
                  <w:hideMark/>
                </w:tcPr>
                <w:p w14:paraId="70BC7F20"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SMMLV</w:t>
                  </w:r>
                </w:p>
              </w:tc>
              <w:tc>
                <w:tcPr>
                  <w:tcW w:w="986" w:type="pct"/>
                  <w:tcBorders>
                    <w:top w:val="single" w:sz="4" w:space="0" w:color="auto"/>
                    <w:left w:val="nil"/>
                    <w:bottom w:val="single" w:sz="4" w:space="0" w:color="auto"/>
                    <w:right w:val="single" w:sz="4" w:space="0" w:color="auto"/>
                  </w:tcBorders>
                  <w:vAlign w:val="center"/>
                  <w:hideMark/>
                </w:tcPr>
                <w:p w14:paraId="0A65D2BC"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VALOR INCREMENTO</w:t>
                  </w:r>
                </w:p>
              </w:tc>
              <w:tc>
                <w:tcPr>
                  <w:tcW w:w="986" w:type="pct"/>
                  <w:tcBorders>
                    <w:top w:val="single" w:sz="4" w:space="0" w:color="auto"/>
                    <w:left w:val="nil"/>
                    <w:bottom w:val="single" w:sz="4" w:space="0" w:color="auto"/>
                    <w:right w:val="single" w:sz="4" w:space="0" w:color="auto"/>
                  </w:tcBorders>
                  <w:vAlign w:val="center"/>
                  <w:hideMark/>
                </w:tcPr>
                <w:p w14:paraId="7F521D2E"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 INCREMENTO</w:t>
                  </w:r>
                </w:p>
              </w:tc>
              <w:tc>
                <w:tcPr>
                  <w:tcW w:w="1176" w:type="pct"/>
                  <w:tcBorders>
                    <w:top w:val="single" w:sz="4" w:space="0" w:color="auto"/>
                    <w:left w:val="nil"/>
                    <w:bottom w:val="single" w:sz="4" w:space="0" w:color="auto"/>
                    <w:right w:val="single" w:sz="4" w:space="0" w:color="auto"/>
                  </w:tcBorders>
                  <w:vAlign w:val="center"/>
                  <w:hideMark/>
                </w:tcPr>
                <w:p w14:paraId="0C367855"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DECRETO</w:t>
                  </w:r>
                </w:p>
              </w:tc>
            </w:tr>
            <w:tr w:rsidR="00506EE2" w:rsidRPr="006E5471" w14:paraId="4CFECC39" w14:textId="77777777" w:rsidTr="00AC4200">
              <w:trPr>
                <w:trHeight w:val="242"/>
              </w:trPr>
              <w:tc>
                <w:tcPr>
                  <w:tcW w:w="811" w:type="pct"/>
                  <w:tcBorders>
                    <w:top w:val="single" w:sz="4" w:space="0" w:color="auto"/>
                    <w:left w:val="single" w:sz="4" w:space="0" w:color="auto"/>
                    <w:bottom w:val="single" w:sz="4" w:space="0" w:color="auto"/>
                    <w:right w:val="single" w:sz="4" w:space="0" w:color="auto"/>
                  </w:tcBorders>
                  <w:vAlign w:val="center"/>
                </w:tcPr>
                <w:p w14:paraId="0F8DDA26"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202</w:t>
                  </w:r>
                  <w:r>
                    <w:rPr>
                      <w:rFonts w:ascii="Calibri" w:hAnsi="Calibri" w:cs="Calibri"/>
                      <w:color w:val="000000"/>
                      <w:sz w:val="22"/>
                      <w:szCs w:val="22"/>
                      <w:lang w:eastAsia="es-CO"/>
                    </w:rPr>
                    <w:t>6</w:t>
                  </w:r>
                </w:p>
              </w:tc>
              <w:tc>
                <w:tcPr>
                  <w:tcW w:w="1041" w:type="pct"/>
                  <w:tcBorders>
                    <w:top w:val="single" w:sz="4" w:space="0" w:color="auto"/>
                    <w:left w:val="nil"/>
                    <w:bottom w:val="single" w:sz="4" w:space="0" w:color="auto"/>
                    <w:right w:val="single" w:sz="4" w:space="0" w:color="auto"/>
                  </w:tcBorders>
                  <w:vAlign w:val="center"/>
                </w:tcPr>
                <w:p w14:paraId="4FF69123"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w:t>
                  </w:r>
                  <w:r>
                    <w:rPr>
                      <w:rFonts w:ascii="Calibri" w:hAnsi="Calibri" w:cs="Calibri"/>
                      <w:color w:val="000000"/>
                      <w:sz w:val="22"/>
                      <w:szCs w:val="22"/>
                      <w:lang w:eastAsia="es-CO"/>
                    </w:rPr>
                    <w:t>750</w:t>
                  </w:r>
                  <w:r w:rsidRPr="006E5471">
                    <w:rPr>
                      <w:rFonts w:ascii="Calibri" w:hAnsi="Calibri" w:cs="Calibri"/>
                      <w:color w:val="000000"/>
                      <w:sz w:val="22"/>
                      <w:szCs w:val="22"/>
                      <w:lang w:eastAsia="es-CO"/>
                    </w:rPr>
                    <w:t>.</w:t>
                  </w:r>
                  <w:r>
                    <w:rPr>
                      <w:rFonts w:ascii="Calibri" w:hAnsi="Calibri" w:cs="Calibri"/>
                      <w:color w:val="000000"/>
                      <w:sz w:val="22"/>
                      <w:szCs w:val="22"/>
                      <w:lang w:eastAsia="es-CO"/>
                    </w:rPr>
                    <w:t>905</w:t>
                  </w:r>
                  <w:r w:rsidRPr="006E5471">
                    <w:rPr>
                      <w:rFonts w:ascii="Calibri" w:hAnsi="Calibri" w:cs="Calibri"/>
                      <w:color w:val="000000"/>
                      <w:sz w:val="22"/>
                      <w:szCs w:val="22"/>
                      <w:lang w:eastAsia="es-CO"/>
                    </w:rPr>
                    <w:t>,00</w:t>
                  </w:r>
                </w:p>
              </w:tc>
              <w:tc>
                <w:tcPr>
                  <w:tcW w:w="986" w:type="pct"/>
                  <w:tcBorders>
                    <w:top w:val="single" w:sz="4" w:space="0" w:color="auto"/>
                    <w:left w:val="nil"/>
                    <w:bottom w:val="single" w:sz="4" w:space="0" w:color="auto"/>
                    <w:right w:val="single" w:sz="4" w:space="0" w:color="auto"/>
                  </w:tcBorders>
                  <w:vAlign w:val="center"/>
                </w:tcPr>
                <w:p w14:paraId="412AC16F"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$ 3</w:t>
                  </w:r>
                  <w:r>
                    <w:rPr>
                      <w:rFonts w:ascii="Calibri" w:hAnsi="Calibri" w:cs="Calibri"/>
                      <w:color w:val="000000"/>
                      <w:sz w:val="22"/>
                      <w:szCs w:val="22"/>
                      <w:lang w:eastAsia="es-CO"/>
                    </w:rPr>
                    <w:t>27</w:t>
                  </w:r>
                  <w:r w:rsidRPr="006E5471">
                    <w:rPr>
                      <w:rFonts w:ascii="Calibri" w:hAnsi="Calibri" w:cs="Calibri"/>
                      <w:color w:val="000000"/>
                      <w:sz w:val="22"/>
                      <w:szCs w:val="22"/>
                      <w:lang w:eastAsia="es-CO"/>
                    </w:rPr>
                    <w:t>.</w:t>
                  </w:r>
                  <w:r>
                    <w:rPr>
                      <w:rFonts w:ascii="Calibri" w:hAnsi="Calibri" w:cs="Calibri"/>
                      <w:color w:val="000000"/>
                      <w:sz w:val="22"/>
                      <w:szCs w:val="22"/>
                      <w:lang w:eastAsia="es-CO"/>
                    </w:rPr>
                    <w:t>405</w:t>
                  </w:r>
                  <w:r w:rsidRPr="006E5471">
                    <w:rPr>
                      <w:rFonts w:ascii="Calibri" w:hAnsi="Calibri" w:cs="Calibri"/>
                      <w:color w:val="000000"/>
                      <w:sz w:val="22"/>
                      <w:szCs w:val="22"/>
                      <w:lang w:eastAsia="es-CO"/>
                    </w:rPr>
                    <w:t>,00</w:t>
                  </w:r>
                </w:p>
              </w:tc>
              <w:tc>
                <w:tcPr>
                  <w:tcW w:w="986" w:type="pct"/>
                  <w:tcBorders>
                    <w:top w:val="single" w:sz="4" w:space="0" w:color="auto"/>
                    <w:left w:val="nil"/>
                    <w:bottom w:val="single" w:sz="4" w:space="0" w:color="auto"/>
                    <w:right w:val="single" w:sz="4" w:space="0" w:color="auto"/>
                  </w:tcBorders>
                  <w:vAlign w:val="center"/>
                </w:tcPr>
                <w:p w14:paraId="204B915F" w14:textId="77777777" w:rsidR="00506EE2" w:rsidRPr="006E5471" w:rsidRDefault="00506EE2" w:rsidP="00506EE2">
                  <w:pPr>
                    <w:jc w:val="center"/>
                    <w:rPr>
                      <w:rFonts w:ascii="Calibri" w:hAnsi="Calibri" w:cs="Calibri"/>
                      <w:b/>
                      <w:bCs/>
                      <w:color w:val="000000"/>
                      <w:sz w:val="22"/>
                      <w:szCs w:val="22"/>
                      <w:lang w:eastAsia="es-CO"/>
                    </w:rPr>
                  </w:pPr>
                  <w:r>
                    <w:rPr>
                      <w:rFonts w:ascii="Calibri" w:hAnsi="Calibri" w:cs="Calibri"/>
                      <w:color w:val="000000"/>
                      <w:sz w:val="22"/>
                      <w:szCs w:val="22"/>
                      <w:lang w:eastAsia="es-CO"/>
                    </w:rPr>
                    <w:t>23</w:t>
                  </w:r>
                  <w:r w:rsidRPr="006E5471">
                    <w:rPr>
                      <w:rFonts w:ascii="Calibri" w:hAnsi="Calibri" w:cs="Calibri"/>
                      <w:color w:val="000000"/>
                      <w:sz w:val="22"/>
                      <w:szCs w:val="22"/>
                      <w:lang w:eastAsia="es-CO"/>
                    </w:rPr>
                    <w:t>,</w:t>
                  </w:r>
                  <w:r>
                    <w:rPr>
                      <w:rFonts w:ascii="Calibri" w:hAnsi="Calibri" w:cs="Calibri"/>
                      <w:color w:val="000000"/>
                      <w:sz w:val="22"/>
                      <w:szCs w:val="22"/>
                      <w:lang w:eastAsia="es-CO"/>
                    </w:rPr>
                    <w:t>00</w:t>
                  </w:r>
                  <w:r w:rsidRPr="006E5471">
                    <w:rPr>
                      <w:rFonts w:ascii="Calibri" w:hAnsi="Calibri" w:cs="Calibri"/>
                      <w:color w:val="000000"/>
                      <w:sz w:val="22"/>
                      <w:szCs w:val="22"/>
                      <w:lang w:eastAsia="es-CO"/>
                    </w:rPr>
                    <w:t>%</w:t>
                  </w:r>
                </w:p>
              </w:tc>
              <w:tc>
                <w:tcPr>
                  <w:tcW w:w="1176" w:type="pct"/>
                  <w:tcBorders>
                    <w:top w:val="single" w:sz="4" w:space="0" w:color="auto"/>
                    <w:left w:val="nil"/>
                    <w:bottom w:val="single" w:sz="4" w:space="0" w:color="auto"/>
                    <w:right w:val="single" w:sz="4" w:space="0" w:color="auto"/>
                  </w:tcBorders>
                  <w:vAlign w:val="center"/>
                </w:tcPr>
                <w:p w14:paraId="0E14BF62" w14:textId="77777777" w:rsidR="00506EE2" w:rsidRPr="006E5471" w:rsidRDefault="00506EE2" w:rsidP="00506EE2">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1</w:t>
                  </w:r>
                  <w:r>
                    <w:rPr>
                      <w:rFonts w:ascii="Calibri" w:hAnsi="Calibri" w:cs="Calibri"/>
                      <w:color w:val="000000"/>
                      <w:sz w:val="22"/>
                      <w:szCs w:val="22"/>
                      <w:lang w:eastAsia="es-CO"/>
                    </w:rPr>
                    <w:t>469</w:t>
                  </w:r>
                  <w:r w:rsidRPr="006E5471">
                    <w:rPr>
                      <w:rFonts w:ascii="Calibri" w:hAnsi="Calibri" w:cs="Calibri"/>
                      <w:color w:val="000000"/>
                      <w:sz w:val="22"/>
                      <w:szCs w:val="22"/>
                      <w:lang w:eastAsia="es-CO"/>
                    </w:rPr>
                    <w:t xml:space="preserve"> – DIC </w:t>
                  </w:r>
                  <w:r>
                    <w:rPr>
                      <w:rFonts w:ascii="Calibri" w:hAnsi="Calibri" w:cs="Calibri"/>
                      <w:color w:val="000000"/>
                      <w:sz w:val="22"/>
                      <w:szCs w:val="22"/>
                      <w:lang w:eastAsia="es-CO"/>
                    </w:rPr>
                    <w:t>29</w:t>
                  </w:r>
                  <w:r w:rsidRPr="006E5471">
                    <w:rPr>
                      <w:rFonts w:ascii="Calibri" w:hAnsi="Calibri" w:cs="Calibri"/>
                      <w:color w:val="000000"/>
                      <w:sz w:val="22"/>
                      <w:szCs w:val="22"/>
                      <w:lang w:eastAsia="es-CO"/>
                    </w:rPr>
                    <w:t xml:space="preserve"> 202</w:t>
                  </w:r>
                  <w:r>
                    <w:rPr>
                      <w:rFonts w:ascii="Calibri" w:hAnsi="Calibri" w:cs="Calibri"/>
                      <w:color w:val="000000"/>
                      <w:sz w:val="22"/>
                      <w:szCs w:val="22"/>
                      <w:lang w:eastAsia="es-CO"/>
                    </w:rPr>
                    <w:t>5</w:t>
                  </w:r>
                </w:p>
              </w:tc>
            </w:tr>
            <w:tr w:rsidR="00506EE2" w:rsidRPr="006E5471" w14:paraId="76AE2CDC" w14:textId="77777777" w:rsidTr="00AC4200">
              <w:trPr>
                <w:trHeight w:val="221"/>
              </w:trPr>
              <w:tc>
                <w:tcPr>
                  <w:tcW w:w="811" w:type="pct"/>
                  <w:tcBorders>
                    <w:top w:val="single" w:sz="4" w:space="0" w:color="auto"/>
                    <w:left w:val="single" w:sz="4" w:space="0" w:color="auto"/>
                    <w:bottom w:val="single" w:sz="4" w:space="0" w:color="auto"/>
                    <w:right w:val="single" w:sz="4" w:space="0" w:color="auto"/>
                  </w:tcBorders>
                  <w:vAlign w:val="center"/>
                </w:tcPr>
                <w:p w14:paraId="65ED745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2025</w:t>
                  </w:r>
                </w:p>
              </w:tc>
              <w:tc>
                <w:tcPr>
                  <w:tcW w:w="1041" w:type="pct"/>
                  <w:tcBorders>
                    <w:top w:val="single" w:sz="4" w:space="0" w:color="auto"/>
                    <w:left w:val="nil"/>
                    <w:bottom w:val="single" w:sz="4" w:space="0" w:color="auto"/>
                    <w:right w:val="single" w:sz="4" w:space="0" w:color="auto"/>
                  </w:tcBorders>
                  <w:vAlign w:val="center"/>
                </w:tcPr>
                <w:p w14:paraId="6194C19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1.423.500,00</w:t>
                  </w:r>
                </w:p>
              </w:tc>
              <w:tc>
                <w:tcPr>
                  <w:tcW w:w="986" w:type="pct"/>
                  <w:tcBorders>
                    <w:top w:val="single" w:sz="4" w:space="0" w:color="auto"/>
                    <w:left w:val="nil"/>
                    <w:bottom w:val="single" w:sz="4" w:space="0" w:color="auto"/>
                    <w:right w:val="single" w:sz="4" w:space="0" w:color="auto"/>
                  </w:tcBorders>
                  <w:vAlign w:val="center"/>
                </w:tcPr>
                <w:p w14:paraId="22D46A9F"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123.500,00</w:t>
                  </w:r>
                </w:p>
              </w:tc>
              <w:tc>
                <w:tcPr>
                  <w:tcW w:w="986" w:type="pct"/>
                  <w:tcBorders>
                    <w:top w:val="single" w:sz="4" w:space="0" w:color="auto"/>
                    <w:left w:val="nil"/>
                    <w:bottom w:val="single" w:sz="4" w:space="0" w:color="auto"/>
                    <w:right w:val="single" w:sz="4" w:space="0" w:color="auto"/>
                  </w:tcBorders>
                  <w:vAlign w:val="center"/>
                </w:tcPr>
                <w:p w14:paraId="4A0B0D49"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9,53%</w:t>
                  </w:r>
                </w:p>
              </w:tc>
              <w:tc>
                <w:tcPr>
                  <w:tcW w:w="1176" w:type="pct"/>
                  <w:tcBorders>
                    <w:top w:val="single" w:sz="4" w:space="0" w:color="auto"/>
                    <w:left w:val="nil"/>
                    <w:bottom w:val="single" w:sz="4" w:space="0" w:color="auto"/>
                    <w:right w:val="single" w:sz="4" w:space="0" w:color="auto"/>
                  </w:tcBorders>
                  <w:vAlign w:val="center"/>
                </w:tcPr>
                <w:p w14:paraId="250973DA"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1572 – DIC 24 2024</w:t>
                  </w:r>
                </w:p>
              </w:tc>
            </w:tr>
            <w:tr w:rsidR="00506EE2" w:rsidRPr="006E5471" w14:paraId="18D6339C"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12FBFCBE"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2024</w:t>
                  </w:r>
                </w:p>
              </w:tc>
              <w:tc>
                <w:tcPr>
                  <w:tcW w:w="1041" w:type="pct"/>
                  <w:tcBorders>
                    <w:top w:val="nil"/>
                    <w:left w:val="nil"/>
                    <w:bottom w:val="single" w:sz="4" w:space="0" w:color="auto"/>
                    <w:right w:val="single" w:sz="4" w:space="0" w:color="auto"/>
                  </w:tcBorders>
                  <w:noWrap/>
                  <w:vAlign w:val="center"/>
                  <w:hideMark/>
                </w:tcPr>
                <w:p w14:paraId="681BD292"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$ 1.300.000,00</w:t>
                  </w:r>
                </w:p>
              </w:tc>
              <w:tc>
                <w:tcPr>
                  <w:tcW w:w="986" w:type="pct"/>
                  <w:tcBorders>
                    <w:top w:val="nil"/>
                    <w:left w:val="nil"/>
                    <w:bottom w:val="single" w:sz="4" w:space="0" w:color="auto"/>
                    <w:right w:val="single" w:sz="4" w:space="0" w:color="auto"/>
                  </w:tcBorders>
                  <w:noWrap/>
                  <w:vAlign w:val="center"/>
                  <w:hideMark/>
                </w:tcPr>
                <w:p w14:paraId="0E6A2B2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$ 140.000,00</w:t>
                  </w:r>
                </w:p>
              </w:tc>
              <w:tc>
                <w:tcPr>
                  <w:tcW w:w="986" w:type="pct"/>
                  <w:tcBorders>
                    <w:top w:val="nil"/>
                    <w:left w:val="nil"/>
                    <w:bottom w:val="single" w:sz="4" w:space="0" w:color="auto"/>
                    <w:right w:val="single" w:sz="4" w:space="0" w:color="auto"/>
                  </w:tcBorders>
                  <w:noWrap/>
                  <w:vAlign w:val="center"/>
                  <w:hideMark/>
                </w:tcPr>
                <w:p w14:paraId="1A06DB54"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12,00%</w:t>
                  </w:r>
                </w:p>
              </w:tc>
              <w:tc>
                <w:tcPr>
                  <w:tcW w:w="1176" w:type="pct"/>
                  <w:tcBorders>
                    <w:top w:val="nil"/>
                    <w:left w:val="nil"/>
                    <w:bottom w:val="single" w:sz="4" w:space="0" w:color="auto"/>
                    <w:right w:val="single" w:sz="4" w:space="0" w:color="auto"/>
                  </w:tcBorders>
                  <w:noWrap/>
                  <w:vAlign w:val="center"/>
                  <w:hideMark/>
                </w:tcPr>
                <w:p w14:paraId="1418DCAA"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2292 - DIC 29 2023</w:t>
                  </w:r>
                </w:p>
              </w:tc>
            </w:tr>
            <w:tr w:rsidR="00506EE2" w:rsidRPr="006E5471" w14:paraId="393CC5AD"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C86B6F2"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2023</w:t>
                  </w:r>
                </w:p>
              </w:tc>
              <w:tc>
                <w:tcPr>
                  <w:tcW w:w="1041" w:type="pct"/>
                  <w:tcBorders>
                    <w:top w:val="nil"/>
                    <w:left w:val="nil"/>
                    <w:bottom w:val="single" w:sz="4" w:space="0" w:color="auto"/>
                    <w:right w:val="single" w:sz="4" w:space="0" w:color="auto"/>
                  </w:tcBorders>
                  <w:noWrap/>
                  <w:vAlign w:val="center"/>
                  <w:hideMark/>
                </w:tcPr>
                <w:p w14:paraId="07254280"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$ 1.160.000,00</w:t>
                  </w:r>
                </w:p>
              </w:tc>
              <w:tc>
                <w:tcPr>
                  <w:tcW w:w="986" w:type="pct"/>
                  <w:tcBorders>
                    <w:top w:val="nil"/>
                    <w:left w:val="nil"/>
                    <w:bottom w:val="single" w:sz="4" w:space="0" w:color="auto"/>
                    <w:right w:val="single" w:sz="4" w:space="0" w:color="auto"/>
                  </w:tcBorders>
                  <w:noWrap/>
                  <w:vAlign w:val="center"/>
                  <w:hideMark/>
                </w:tcPr>
                <w:p w14:paraId="3B74E139"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$ 160.000,00</w:t>
                  </w:r>
                </w:p>
              </w:tc>
              <w:tc>
                <w:tcPr>
                  <w:tcW w:w="986" w:type="pct"/>
                  <w:tcBorders>
                    <w:top w:val="nil"/>
                    <w:left w:val="nil"/>
                    <w:bottom w:val="single" w:sz="4" w:space="0" w:color="auto"/>
                    <w:right w:val="single" w:sz="4" w:space="0" w:color="auto"/>
                  </w:tcBorders>
                  <w:noWrap/>
                  <w:vAlign w:val="center"/>
                  <w:hideMark/>
                </w:tcPr>
                <w:p w14:paraId="0DF10E71"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16,00%</w:t>
                  </w:r>
                </w:p>
              </w:tc>
              <w:tc>
                <w:tcPr>
                  <w:tcW w:w="1176" w:type="pct"/>
                  <w:tcBorders>
                    <w:top w:val="nil"/>
                    <w:left w:val="nil"/>
                    <w:bottom w:val="single" w:sz="4" w:space="0" w:color="auto"/>
                    <w:right w:val="single" w:sz="4" w:space="0" w:color="auto"/>
                  </w:tcBorders>
                  <w:noWrap/>
                  <w:vAlign w:val="center"/>
                  <w:hideMark/>
                </w:tcPr>
                <w:p w14:paraId="73C3CA82"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2613 - DIC 28 2022</w:t>
                  </w:r>
                </w:p>
              </w:tc>
            </w:tr>
            <w:tr w:rsidR="00506EE2" w:rsidRPr="006E5471" w14:paraId="178CFCFD"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B785FC7"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2022</w:t>
                  </w:r>
                </w:p>
              </w:tc>
              <w:tc>
                <w:tcPr>
                  <w:tcW w:w="1041" w:type="pct"/>
                  <w:tcBorders>
                    <w:top w:val="nil"/>
                    <w:left w:val="nil"/>
                    <w:bottom w:val="single" w:sz="4" w:space="0" w:color="auto"/>
                    <w:right w:val="single" w:sz="4" w:space="0" w:color="auto"/>
                  </w:tcBorders>
                  <w:noWrap/>
                  <w:vAlign w:val="center"/>
                  <w:hideMark/>
                </w:tcPr>
                <w:p w14:paraId="03FF3EA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$ 1.000.000,00</w:t>
                  </w:r>
                </w:p>
              </w:tc>
              <w:tc>
                <w:tcPr>
                  <w:tcW w:w="986" w:type="pct"/>
                  <w:tcBorders>
                    <w:top w:val="nil"/>
                    <w:left w:val="nil"/>
                    <w:bottom w:val="single" w:sz="4" w:space="0" w:color="auto"/>
                    <w:right w:val="single" w:sz="4" w:space="0" w:color="auto"/>
                  </w:tcBorders>
                  <w:noWrap/>
                  <w:vAlign w:val="center"/>
                  <w:hideMark/>
                </w:tcPr>
                <w:p w14:paraId="72130266"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$ 91.464,00</w:t>
                  </w:r>
                </w:p>
              </w:tc>
              <w:tc>
                <w:tcPr>
                  <w:tcW w:w="986" w:type="pct"/>
                  <w:tcBorders>
                    <w:top w:val="nil"/>
                    <w:left w:val="nil"/>
                    <w:bottom w:val="single" w:sz="4" w:space="0" w:color="auto"/>
                    <w:right w:val="single" w:sz="4" w:space="0" w:color="auto"/>
                  </w:tcBorders>
                  <w:noWrap/>
                  <w:vAlign w:val="center"/>
                  <w:hideMark/>
                </w:tcPr>
                <w:p w14:paraId="5E5007AD"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10,07%</w:t>
                  </w:r>
                </w:p>
              </w:tc>
              <w:tc>
                <w:tcPr>
                  <w:tcW w:w="1176" w:type="pct"/>
                  <w:tcBorders>
                    <w:top w:val="nil"/>
                    <w:left w:val="nil"/>
                    <w:bottom w:val="single" w:sz="4" w:space="0" w:color="auto"/>
                    <w:right w:val="single" w:sz="4" w:space="0" w:color="auto"/>
                  </w:tcBorders>
                  <w:noWrap/>
                  <w:vAlign w:val="center"/>
                  <w:hideMark/>
                </w:tcPr>
                <w:p w14:paraId="3F43652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1724 - DIC 15 2021</w:t>
                  </w:r>
                </w:p>
              </w:tc>
            </w:tr>
            <w:tr w:rsidR="00506EE2" w:rsidRPr="006E5471" w14:paraId="1496D0DA"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16D22BA3"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2021</w:t>
                  </w:r>
                </w:p>
              </w:tc>
              <w:tc>
                <w:tcPr>
                  <w:tcW w:w="1041" w:type="pct"/>
                  <w:tcBorders>
                    <w:top w:val="nil"/>
                    <w:left w:val="nil"/>
                    <w:bottom w:val="single" w:sz="4" w:space="0" w:color="auto"/>
                    <w:right w:val="single" w:sz="4" w:space="0" w:color="auto"/>
                  </w:tcBorders>
                  <w:noWrap/>
                  <w:vAlign w:val="center"/>
                  <w:hideMark/>
                </w:tcPr>
                <w:p w14:paraId="17E0C8C2"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$ 908.526,00</w:t>
                  </w:r>
                </w:p>
              </w:tc>
              <w:tc>
                <w:tcPr>
                  <w:tcW w:w="986" w:type="pct"/>
                  <w:tcBorders>
                    <w:top w:val="nil"/>
                    <w:left w:val="nil"/>
                    <w:bottom w:val="single" w:sz="4" w:space="0" w:color="auto"/>
                    <w:right w:val="single" w:sz="4" w:space="0" w:color="auto"/>
                  </w:tcBorders>
                  <w:noWrap/>
                  <w:vAlign w:val="center"/>
                  <w:hideMark/>
                </w:tcPr>
                <w:p w14:paraId="25828B53"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$ 30.722,15</w:t>
                  </w:r>
                </w:p>
              </w:tc>
              <w:tc>
                <w:tcPr>
                  <w:tcW w:w="986" w:type="pct"/>
                  <w:tcBorders>
                    <w:top w:val="nil"/>
                    <w:left w:val="nil"/>
                    <w:bottom w:val="single" w:sz="4" w:space="0" w:color="auto"/>
                    <w:right w:val="single" w:sz="4" w:space="0" w:color="auto"/>
                  </w:tcBorders>
                  <w:noWrap/>
                  <w:vAlign w:val="center"/>
                  <w:hideMark/>
                </w:tcPr>
                <w:p w14:paraId="1C27C89F"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3,50%</w:t>
                  </w:r>
                </w:p>
              </w:tc>
              <w:tc>
                <w:tcPr>
                  <w:tcW w:w="1176" w:type="pct"/>
                  <w:tcBorders>
                    <w:top w:val="nil"/>
                    <w:left w:val="nil"/>
                    <w:bottom w:val="single" w:sz="4" w:space="0" w:color="auto"/>
                    <w:right w:val="single" w:sz="4" w:space="0" w:color="auto"/>
                  </w:tcBorders>
                  <w:noWrap/>
                  <w:vAlign w:val="center"/>
                  <w:hideMark/>
                </w:tcPr>
                <w:p w14:paraId="3D482A98"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1785 - DIC 29 2020</w:t>
                  </w:r>
                </w:p>
              </w:tc>
            </w:tr>
            <w:tr w:rsidR="00506EE2" w:rsidRPr="006E5471" w14:paraId="52030979"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78D7078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2020</w:t>
                  </w:r>
                </w:p>
              </w:tc>
              <w:tc>
                <w:tcPr>
                  <w:tcW w:w="1041" w:type="pct"/>
                  <w:tcBorders>
                    <w:top w:val="nil"/>
                    <w:left w:val="nil"/>
                    <w:bottom w:val="single" w:sz="4" w:space="0" w:color="auto"/>
                    <w:right w:val="single" w:sz="4" w:space="0" w:color="auto"/>
                  </w:tcBorders>
                  <w:noWrap/>
                  <w:vAlign w:val="center"/>
                  <w:hideMark/>
                </w:tcPr>
                <w:p w14:paraId="6C496338"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$ 877.804,00</w:t>
                  </w:r>
                </w:p>
              </w:tc>
              <w:tc>
                <w:tcPr>
                  <w:tcW w:w="986" w:type="pct"/>
                  <w:tcBorders>
                    <w:top w:val="nil"/>
                    <w:left w:val="nil"/>
                    <w:bottom w:val="single" w:sz="4" w:space="0" w:color="auto"/>
                    <w:right w:val="single" w:sz="4" w:space="0" w:color="auto"/>
                  </w:tcBorders>
                  <w:noWrap/>
                  <w:vAlign w:val="center"/>
                  <w:hideMark/>
                </w:tcPr>
                <w:p w14:paraId="567041C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$ 48.687,01</w:t>
                  </w:r>
                </w:p>
              </w:tc>
              <w:tc>
                <w:tcPr>
                  <w:tcW w:w="986" w:type="pct"/>
                  <w:tcBorders>
                    <w:top w:val="nil"/>
                    <w:left w:val="nil"/>
                    <w:bottom w:val="single" w:sz="4" w:space="0" w:color="auto"/>
                    <w:right w:val="single" w:sz="4" w:space="0" w:color="auto"/>
                  </w:tcBorders>
                  <w:noWrap/>
                  <w:vAlign w:val="center"/>
                  <w:hideMark/>
                </w:tcPr>
                <w:p w14:paraId="2B980819"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027B5F48"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2360 - DIC26 2019</w:t>
                  </w:r>
                </w:p>
              </w:tc>
            </w:tr>
            <w:tr w:rsidR="00506EE2" w:rsidRPr="006E5471" w14:paraId="393E9093"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598F4944"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2019</w:t>
                  </w:r>
                </w:p>
              </w:tc>
              <w:tc>
                <w:tcPr>
                  <w:tcW w:w="1041" w:type="pct"/>
                  <w:tcBorders>
                    <w:top w:val="nil"/>
                    <w:left w:val="nil"/>
                    <w:bottom w:val="single" w:sz="4" w:space="0" w:color="auto"/>
                    <w:right w:val="single" w:sz="4" w:space="0" w:color="auto"/>
                  </w:tcBorders>
                  <w:noWrap/>
                  <w:vAlign w:val="center"/>
                  <w:hideMark/>
                </w:tcPr>
                <w:p w14:paraId="68FA8C2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$ 828.117,00</w:t>
                  </w:r>
                </w:p>
              </w:tc>
              <w:tc>
                <w:tcPr>
                  <w:tcW w:w="986" w:type="pct"/>
                  <w:tcBorders>
                    <w:top w:val="nil"/>
                    <w:left w:val="nil"/>
                    <w:bottom w:val="single" w:sz="4" w:space="0" w:color="auto"/>
                    <w:right w:val="single" w:sz="4" w:space="0" w:color="auto"/>
                  </w:tcBorders>
                  <w:noWrap/>
                  <w:vAlign w:val="center"/>
                  <w:hideMark/>
                </w:tcPr>
                <w:p w14:paraId="6EE03EF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$ 46.874,54</w:t>
                  </w:r>
                </w:p>
              </w:tc>
              <w:tc>
                <w:tcPr>
                  <w:tcW w:w="986" w:type="pct"/>
                  <w:tcBorders>
                    <w:top w:val="nil"/>
                    <w:left w:val="nil"/>
                    <w:bottom w:val="single" w:sz="4" w:space="0" w:color="auto"/>
                    <w:right w:val="single" w:sz="4" w:space="0" w:color="auto"/>
                  </w:tcBorders>
                  <w:noWrap/>
                  <w:vAlign w:val="center"/>
                  <w:hideMark/>
                </w:tcPr>
                <w:p w14:paraId="2BDD42EF"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625D8830"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2451 - DIC 27 2018</w:t>
                  </w:r>
                </w:p>
              </w:tc>
            </w:tr>
            <w:tr w:rsidR="00506EE2" w:rsidRPr="006E5471" w14:paraId="752A7692"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303D29E6"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2018</w:t>
                  </w:r>
                </w:p>
              </w:tc>
              <w:tc>
                <w:tcPr>
                  <w:tcW w:w="1041" w:type="pct"/>
                  <w:tcBorders>
                    <w:top w:val="nil"/>
                    <w:left w:val="nil"/>
                    <w:bottom w:val="single" w:sz="4" w:space="0" w:color="auto"/>
                    <w:right w:val="single" w:sz="4" w:space="0" w:color="auto"/>
                  </w:tcBorders>
                  <w:noWrap/>
                  <w:vAlign w:val="center"/>
                  <w:hideMark/>
                </w:tcPr>
                <w:p w14:paraId="357D35DF"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$ 781.242,00</w:t>
                  </w:r>
                </w:p>
              </w:tc>
              <w:tc>
                <w:tcPr>
                  <w:tcW w:w="986" w:type="pct"/>
                  <w:tcBorders>
                    <w:top w:val="nil"/>
                    <w:left w:val="nil"/>
                    <w:bottom w:val="single" w:sz="4" w:space="0" w:color="auto"/>
                    <w:right w:val="single" w:sz="4" w:space="0" w:color="auto"/>
                  </w:tcBorders>
                  <w:noWrap/>
                  <w:vAlign w:val="center"/>
                  <w:hideMark/>
                </w:tcPr>
                <w:p w14:paraId="1F88734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$ 43.525,30</w:t>
                  </w:r>
                </w:p>
              </w:tc>
              <w:tc>
                <w:tcPr>
                  <w:tcW w:w="986" w:type="pct"/>
                  <w:tcBorders>
                    <w:top w:val="nil"/>
                    <w:left w:val="nil"/>
                    <w:bottom w:val="single" w:sz="4" w:space="0" w:color="auto"/>
                    <w:right w:val="single" w:sz="4" w:space="0" w:color="auto"/>
                  </w:tcBorders>
                  <w:noWrap/>
                  <w:vAlign w:val="center"/>
                  <w:hideMark/>
                </w:tcPr>
                <w:p w14:paraId="50BAEDF0"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5,90%</w:t>
                  </w:r>
                </w:p>
              </w:tc>
              <w:tc>
                <w:tcPr>
                  <w:tcW w:w="1176" w:type="pct"/>
                  <w:tcBorders>
                    <w:top w:val="nil"/>
                    <w:left w:val="nil"/>
                    <w:bottom w:val="single" w:sz="4" w:space="0" w:color="auto"/>
                    <w:right w:val="single" w:sz="4" w:space="0" w:color="auto"/>
                  </w:tcBorders>
                  <w:noWrap/>
                  <w:vAlign w:val="center"/>
                  <w:hideMark/>
                </w:tcPr>
                <w:p w14:paraId="2E470228"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2451 - DIC 27 2017</w:t>
                  </w:r>
                </w:p>
              </w:tc>
            </w:tr>
            <w:tr w:rsidR="00506EE2" w:rsidRPr="006E5471" w14:paraId="2190AA1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7913A829"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2017</w:t>
                  </w:r>
                </w:p>
              </w:tc>
              <w:tc>
                <w:tcPr>
                  <w:tcW w:w="1041" w:type="pct"/>
                  <w:tcBorders>
                    <w:top w:val="nil"/>
                    <w:left w:val="nil"/>
                    <w:bottom w:val="single" w:sz="4" w:space="0" w:color="auto"/>
                    <w:right w:val="single" w:sz="4" w:space="0" w:color="auto"/>
                  </w:tcBorders>
                  <w:noWrap/>
                  <w:vAlign w:val="center"/>
                  <w:hideMark/>
                </w:tcPr>
                <w:p w14:paraId="0227271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$ 737.717,00</w:t>
                  </w:r>
                </w:p>
              </w:tc>
              <w:tc>
                <w:tcPr>
                  <w:tcW w:w="986" w:type="pct"/>
                  <w:tcBorders>
                    <w:top w:val="nil"/>
                    <w:left w:val="nil"/>
                    <w:bottom w:val="single" w:sz="4" w:space="0" w:color="auto"/>
                    <w:right w:val="single" w:sz="4" w:space="0" w:color="auto"/>
                  </w:tcBorders>
                  <w:noWrap/>
                  <w:vAlign w:val="center"/>
                  <w:hideMark/>
                </w:tcPr>
                <w:p w14:paraId="3313F42D"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$ 48.262,00</w:t>
                  </w:r>
                </w:p>
              </w:tc>
              <w:tc>
                <w:tcPr>
                  <w:tcW w:w="986" w:type="pct"/>
                  <w:tcBorders>
                    <w:top w:val="nil"/>
                    <w:left w:val="nil"/>
                    <w:bottom w:val="single" w:sz="4" w:space="0" w:color="auto"/>
                    <w:right w:val="single" w:sz="4" w:space="0" w:color="auto"/>
                  </w:tcBorders>
                  <w:noWrap/>
                  <w:vAlign w:val="center"/>
                  <w:hideMark/>
                </w:tcPr>
                <w:p w14:paraId="1F8B3320"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3A3515C3"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2209 - DIC 30 2016</w:t>
                  </w:r>
                </w:p>
              </w:tc>
            </w:tr>
            <w:tr w:rsidR="00506EE2" w:rsidRPr="006E5471" w14:paraId="7BF7E07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45D9FC70"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2016</w:t>
                  </w:r>
                </w:p>
              </w:tc>
              <w:tc>
                <w:tcPr>
                  <w:tcW w:w="1041" w:type="pct"/>
                  <w:tcBorders>
                    <w:top w:val="nil"/>
                    <w:left w:val="nil"/>
                    <w:bottom w:val="single" w:sz="4" w:space="0" w:color="auto"/>
                    <w:right w:val="single" w:sz="4" w:space="0" w:color="auto"/>
                  </w:tcBorders>
                  <w:noWrap/>
                  <w:vAlign w:val="center"/>
                  <w:hideMark/>
                </w:tcPr>
                <w:p w14:paraId="56B6247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$ 689.455,00</w:t>
                  </w:r>
                </w:p>
              </w:tc>
              <w:tc>
                <w:tcPr>
                  <w:tcW w:w="986" w:type="pct"/>
                  <w:tcBorders>
                    <w:top w:val="nil"/>
                    <w:left w:val="nil"/>
                    <w:bottom w:val="single" w:sz="4" w:space="0" w:color="auto"/>
                    <w:right w:val="single" w:sz="4" w:space="0" w:color="auto"/>
                  </w:tcBorders>
                  <w:noWrap/>
                  <w:vAlign w:val="center"/>
                  <w:hideMark/>
                </w:tcPr>
                <w:p w14:paraId="24A2940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$ 45.105,00</w:t>
                  </w:r>
                </w:p>
              </w:tc>
              <w:tc>
                <w:tcPr>
                  <w:tcW w:w="986" w:type="pct"/>
                  <w:tcBorders>
                    <w:top w:val="nil"/>
                    <w:left w:val="nil"/>
                    <w:bottom w:val="single" w:sz="4" w:space="0" w:color="auto"/>
                    <w:right w:val="single" w:sz="4" w:space="0" w:color="auto"/>
                  </w:tcBorders>
                  <w:noWrap/>
                  <w:vAlign w:val="center"/>
                  <w:hideMark/>
                </w:tcPr>
                <w:p w14:paraId="0C165286"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4F68A111"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2552 - DIC 30 2015</w:t>
                  </w:r>
                </w:p>
              </w:tc>
            </w:tr>
            <w:tr w:rsidR="00506EE2" w:rsidRPr="006E5471" w14:paraId="6960A8A0"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F6B268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2015</w:t>
                  </w:r>
                </w:p>
              </w:tc>
              <w:tc>
                <w:tcPr>
                  <w:tcW w:w="1041" w:type="pct"/>
                  <w:tcBorders>
                    <w:top w:val="nil"/>
                    <w:left w:val="nil"/>
                    <w:bottom w:val="single" w:sz="4" w:space="0" w:color="auto"/>
                    <w:right w:val="single" w:sz="4" w:space="0" w:color="auto"/>
                  </w:tcBorders>
                  <w:noWrap/>
                  <w:vAlign w:val="center"/>
                  <w:hideMark/>
                </w:tcPr>
                <w:p w14:paraId="7CB1AEBB"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$ 644.350,00</w:t>
                  </w:r>
                </w:p>
              </w:tc>
              <w:tc>
                <w:tcPr>
                  <w:tcW w:w="986" w:type="pct"/>
                  <w:tcBorders>
                    <w:top w:val="nil"/>
                    <w:left w:val="nil"/>
                    <w:bottom w:val="single" w:sz="4" w:space="0" w:color="auto"/>
                    <w:right w:val="single" w:sz="4" w:space="0" w:color="auto"/>
                  </w:tcBorders>
                  <w:noWrap/>
                  <w:vAlign w:val="center"/>
                  <w:hideMark/>
                </w:tcPr>
                <w:p w14:paraId="478923D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$ 28.350,00</w:t>
                  </w:r>
                </w:p>
              </w:tc>
              <w:tc>
                <w:tcPr>
                  <w:tcW w:w="986" w:type="pct"/>
                  <w:tcBorders>
                    <w:top w:val="nil"/>
                    <w:left w:val="nil"/>
                    <w:bottom w:val="single" w:sz="4" w:space="0" w:color="auto"/>
                    <w:right w:val="single" w:sz="4" w:space="0" w:color="auto"/>
                  </w:tcBorders>
                  <w:noWrap/>
                  <w:vAlign w:val="center"/>
                  <w:hideMark/>
                </w:tcPr>
                <w:p w14:paraId="7331865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4,60%</w:t>
                  </w:r>
                </w:p>
              </w:tc>
              <w:tc>
                <w:tcPr>
                  <w:tcW w:w="1176" w:type="pct"/>
                  <w:tcBorders>
                    <w:top w:val="nil"/>
                    <w:left w:val="nil"/>
                    <w:bottom w:val="single" w:sz="4" w:space="0" w:color="auto"/>
                    <w:right w:val="single" w:sz="4" w:space="0" w:color="auto"/>
                  </w:tcBorders>
                  <w:noWrap/>
                  <w:vAlign w:val="center"/>
                  <w:hideMark/>
                </w:tcPr>
                <w:p w14:paraId="4DFC76A6"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2731 - DIC 30 2014</w:t>
                  </w:r>
                </w:p>
              </w:tc>
            </w:tr>
            <w:tr w:rsidR="00506EE2" w:rsidRPr="006E5471" w14:paraId="3EEE15D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3C31F8AA"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2014</w:t>
                  </w:r>
                </w:p>
              </w:tc>
              <w:tc>
                <w:tcPr>
                  <w:tcW w:w="1041" w:type="pct"/>
                  <w:tcBorders>
                    <w:top w:val="nil"/>
                    <w:left w:val="nil"/>
                    <w:bottom w:val="single" w:sz="4" w:space="0" w:color="auto"/>
                    <w:right w:val="single" w:sz="4" w:space="0" w:color="auto"/>
                  </w:tcBorders>
                  <w:noWrap/>
                  <w:vAlign w:val="center"/>
                  <w:hideMark/>
                </w:tcPr>
                <w:p w14:paraId="641D52DE"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$ 616.000,00</w:t>
                  </w:r>
                </w:p>
              </w:tc>
              <w:tc>
                <w:tcPr>
                  <w:tcW w:w="986" w:type="pct"/>
                  <w:tcBorders>
                    <w:top w:val="nil"/>
                    <w:left w:val="nil"/>
                    <w:bottom w:val="single" w:sz="4" w:space="0" w:color="auto"/>
                    <w:right w:val="single" w:sz="4" w:space="0" w:color="auto"/>
                  </w:tcBorders>
                  <w:noWrap/>
                  <w:vAlign w:val="center"/>
                  <w:hideMark/>
                </w:tcPr>
                <w:p w14:paraId="540108EE"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$ 26.500,00</w:t>
                  </w:r>
                </w:p>
              </w:tc>
              <w:tc>
                <w:tcPr>
                  <w:tcW w:w="986" w:type="pct"/>
                  <w:tcBorders>
                    <w:top w:val="nil"/>
                    <w:left w:val="nil"/>
                    <w:bottom w:val="single" w:sz="4" w:space="0" w:color="auto"/>
                    <w:right w:val="single" w:sz="4" w:space="0" w:color="auto"/>
                  </w:tcBorders>
                  <w:noWrap/>
                  <w:vAlign w:val="center"/>
                  <w:hideMark/>
                </w:tcPr>
                <w:p w14:paraId="46C07D15"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4,50%</w:t>
                  </w:r>
                </w:p>
              </w:tc>
              <w:tc>
                <w:tcPr>
                  <w:tcW w:w="1176" w:type="pct"/>
                  <w:tcBorders>
                    <w:top w:val="nil"/>
                    <w:left w:val="nil"/>
                    <w:bottom w:val="single" w:sz="4" w:space="0" w:color="auto"/>
                    <w:right w:val="single" w:sz="4" w:space="0" w:color="auto"/>
                  </w:tcBorders>
                  <w:noWrap/>
                  <w:vAlign w:val="center"/>
                  <w:hideMark/>
                </w:tcPr>
                <w:p w14:paraId="618B7AAC" w14:textId="77777777" w:rsidR="00506EE2" w:rsidRPr="006E5471" w:rsidRDefault="00506EE2" w:rsidP="00506EE2">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3068 - DIC 30 2013</w:t>
                  </w:r>
                </w:p>
              </w:tc>
            </w:tr>
          </w:tbl>
          <w:p w14:paraId="4EC8AE86" w14:textId="77777777" w:rsidR="00506EE2" w:rsidRPr="00AB7FC6" w:rsidRDefault="00506EE2" w:rsidP="00506EE2">
            <w:pPr>
              <w:ind w:right="104"/>
              <w:jc w:val="both"/>
              <w:rPr>
                <w:rFonts w:ascii="Verdana" w:eastAsia="Arial" w:hAnsi="Verdana" w:cs="Arial"/>
                <w:bCs/>
                <w:sz w:val="22"/>
                <w:szCs w:val="22"/>
                <w:lang w:val="es-ES"/>
              </w:rPr>
            </w:pPr>
          </w:p>
          <w:p w14:paraId="03DC2738" w14:textId="77777777" w:rsidR="00506EE2" w:rsidRPr="00AB7FC6" w:rsidRDefault="00506EE2" w:rsidP="00506EE2">
            <w:pPr>
              <w:jc w:val="both"/>
              <w:rPr>
                <w:rFonts w:ascii="Verdana" w:eastAsia="Arial" w:hAnsi="Verdana" w:cs="Arial"/>
                <w:bCs/>
                <w:sz w:val="22"/>
                <w:szCs w:val="22"/>
                <w:lang w:val="es-ES"/>
              </w:rPr>
            </w:pPr>
            <w:r w:rsidRPr="00AC5E63">
              <w:rPr>
                <w:rFonts w:ascii="Verdana" w:eastAsia="Arial" w:hAnsi="Verdana" w:cs="Arial"/>
                <w:bCs/>
                <w:sz w:val="22"/>
                <w:szCs w:val="22"/>
                <w:lang w:val="es-ES"/>
              </w:rPr>
              <w:t>La contratación de personal es un elemento esencial para que el interesado tenga en cuenta al momento de constituir su oferta, el salario mínimo se incrementó en 23,00%, resultando la suma de $1.750.905, la mínima obligatoria para un empleado en Colombia</w:t>
            </w:r>
            <w:r w:rsidRPr="00AB7FC6">
              <w:rPr>
                <w:rFonts w:ascii="Verdana" w:eastAsia="Arial" w:hAnsi="Verdana" w:cs="Arial"/>
                <w:bCs/>
                <w:sz w:val="22"/>
                <w:szCs w:val="22"/>
                <w:lang w:val="es-ES"/>
              </w:rPr>
              <w:t>.</w:t>
            </w:r>
          </w:p>
          <w:p w14:paraId="2FD94F55" w14:textId="77777777" w:rsidR="00506EE2" w:rsidRPr="00AB7FC6" w:rsidRDefault="00506EE2" w:rsidP="00506EE2">
            <w:pPr>
              <w:jc w:val="both"/>
              <w:rPr>
                <w:rFonts w:ascii="Verdana" w:eastAsia="Arial" w:hAnsi="Verdana" w:cs="Arial"/>
                <w:bCs/>
                <w:sz w:val="22"/>
                <w:szCs w:val="22"/>
                <w:lang w:val="es-ES"/>
              </w:rPr>
            </w:pPr>
          </w:p>
          <w:p w14:paraId="3EC54E5D" w14:textId="77777777" w:rsidR="00506EE2" w:rsidRPr="00AB7FC6" w:rsidRDefault="00506EE2" w:rsidP="00506EE2">
            <w:pPr>
              <w:jc w:val="both"/>
              <w:rPr>
                <w:rFonts w:ascii="Verdana" w:eastAsia="Helvetica Narrow" w:hAnsi="Verdana" w:cs="Helvetica Narrow"/>
                <w:b/>
                <w:sz w:val="22"/>
                <w:szCs w:val="22"/>
                <w:lang w:val="es-ES"/>
              </w:rPr>
            </w:pPr>
            <w:r w:rsidRPr="00AB7FC6">
              <w:rPr>
                <w:rFonts w:ascii="Verdana" w:eastAsia="Helvetica Narrow" w:hAnsi="Verdana" w:cs="Helvetica Narrow"/>
                <w:b/>
                <w:sz w:val="22"/>
                <w:szCs w:val="22"/>
                <w:lang w:val="es-ES"/>
              </w:rPr>
              <w:t>TASA DE DESEMPLEO</w:t>
            </w:r>
            <w:r>
              <w:rPr>
                <w:rFonts w:ascii="Verdana" w:eastAsia="Helvetica Narrow" w:hAnsi="Verdana" w:cs="Helvetica Narrow"/>
                <w:b/>
                <w:sz w:val="22"/>
                <w:szCs w:val="22"/>
                <w:lang w:val="es-ES"/>
              </w:rPr>
              <w:t xml:space="preserve"> DICIEMBRE 2025.</w:t>
            </w:r>
          </w:p>
          <w:p w14:paraId="325C2180" w14:textId="77777777" w:rsidR="00506EE2" w:rsidRPr="00AB7FC6" w:rsidRDefault="00506EE2" w:rsidP="00506EE2">
            <w:pPr>
              <w:jc w:val="both"/>
              <w:rPr>
                <w:rFonts w:ascii="Verdana" w:eastAsia="Helvetica Narrow" w:hAnsi="Verdana" w:cs="Helvetica Narrow"/>
                <w:b/>
                <w:sz w:val="22"/>
                <w:szCs w:val="22"/>
                <w:u w:val="single"/>
                <w:lang w:val="es-ES"/>
              </w:rPr>
            </w:pPr>
          </w:p>
          <w:p w14:paraId="137DEB91" w14:textId="77777777" w:rsidR="00506EE2" w:rsidRPr="00AB7FC6" w:rsidRDefault="00506EE2" w:rsidP="00506EE2">
            <w:pPr>
              <w:jc w:val="both"/>
              <w:rPr>
                <w:rFonts w:ascii="Verdana" w:eastAsia="Helvetica Narrow" w:hAnsi="Verdana" w:cs="Helvetica Narrow"/>
                <w:sz w:val="22"/>
                <w:szCs w:val="22"/>
                <w:lang w:val="es-ES"/>
              </w:rPr>
            </w:pPr>
            <w:r w:rsidRPr="007C3F97">
              <w:rPr>
                <w:rFonts w:ascii="Verdana" w:eastAsia="Helvetica Narrow" w:hAnsi="Verdana" w:cs="Helvetica Narrow"/>
                <w:sz w:val="22"/>
                <w:szCs w:val="22"/>
                <w:lang w:val="es-ES"/>
              </w:rPr>
              <w:t>Para el mes de diciembre de 2025, la tasa de desocupación del total nacional fue 8,0%, lo que representó una disminución de 1,1 puntos porcentuales respecto al mismo mes de 2024 (9,1%). La tasa global de participación se ubicó en 64,3% y la tasa de ocupación en 59,2%, mientras que en diciembre de 2024 estas tasas fueron 64,4% y 58,5%, respectivamente.</w:t>
            </w:r>
          </w:p>
          <w:p w14:paraId="60C2D8C4" w14:textId="77777777" w:rsidR="00506EE2" w:rsidRPr="00AB7FC6" w:rsidRDefault="00506EE2" w:rsidP="00506EE2">
            <w:pPr>
              <w:jc w:val="both"/>
              <w:rPr>
                <w:rFonts w:ascii="Verdana" w:eastAsia="Helvetica Narrow" w:hAnsi="Verdana" w:cs="Helvetica Narrow"/>
                <w:sz w:val="22"/>
                <w:szCs w:val="22"/>
                <w:lang w:val="es-ES"/>
              </w:rPr>
            </w:pPr>
          </w:p>
          <w:p w14:paraId="2E02AECC" w14:textId="77777777" w:rsidR="00506EE2" w:rsidRPr="00AB7FC6" w:rsidRDefault="00506EE2" w:rsidP="00506EE2">
            <w:pPr>
              <w:jc w:val="center"/>
              <w:rPr>
                <w:rFonts w:ascii="Verdana" w:eastAsia="Helvetica Narrow" w:hAnsi="Verdana" w:cs="Helvetica Narrow"/>
                <w:sz w:val="22"/>
                <w:szCs w:val="22"/>
                <w:lang w:val="es-ES"/>
              </w:rPr>
            </w:pPr>
            <w:r w:rsidRPr="007C3F97">
              <w:rPr>
                <w:rFonts w:ascii="Verdana" w:eastAsia="Helvetica Narrow" w:hAnsi="Verdana" w:cs="Helvetica Narrow"/>
                <w:noProof/>
                <w:sz w:val="22"/>
                <w:szCs w:val="22"/>
                <w:lang w:val="es-ES"/>
              </w:rPr>
              <w:lastRenderedPageBreak/>
              <w:drawing>
                <wp:inline distT="0" distB="0" distL="0" distR="0" wp14:anchorId="00B27446" wp14:editId="00153EF1">
                  <wp:extent cx="6032500" cy="2288287"/>
                  <wp:effectExtent l="0" t="0" r="6350" b="0"/>
                  <wp:docPr id="2020857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7102" name=""/>
                          <pic:cNvPicPr/>
                        </pic:nvPicPr>
                        <pic:blipFill>
                          <a:blip r:embed="rId20"/>
                          <a:stretch>
                            <a:fillRect/>
                          </a:stretch>
                        </pic:blipFill>
                        <pic:spPr>
                          <a:xfrm>
                            <a:off x="0" y="0"/>
                            <a:ext cx="6042989" cy="2292266"/>
                          </a:xfrm>
                          <a:prstGeom prst="rect">
                            <a:avLst/>
                          </a:prstGeom>
                        </pic:spPr>
                      </pic:pic>
                    </a:graphicData>
                  </a:graphic>
                </wp:inline>
              </w:drawing>
            </w:r>
          </w:p>
          <w:p w14:paraId="37F8888C" w14:textId="77777777" w:rsidR="00506EE2" w:rsidRPr="00AB7FC6" w:rsidRDefault="00506EE2" w:rsidP="00506EE2">
            <w:pPr>
              <w:ind w:right="104"/>
              <w:jc w:val="center"/>
              <w:rPr>
                <w:rFonts w:ascii="Verdana" w:hAnsi="Verdana"/>
                <w:sz w:val="22"/>
                <w:szCs w:val="22"/>
                <w:lang w:val="es-ES"/>
              </w:rPr>
            </w:pPr>
            <w:r w:rsidRPr="00AB7FC6">
              <w:rPr>
                <w:rFonts w:ascii="Verdana" w:hAnsi="Verdana"/>
                <w:sz w:val="22"/>
                <w:szCs w:val="22"/>
                <w:lang w:val="es-ES"/>
              </w:rPr>
              <w:t>Fuente: Dane</w:t>
            </w:r>
          </w:p>
          <w:p w14:paraId="549B44CA" w14:textId="77777777" w:rsidR="00506EE2" w:rsidRDefault="00506EE2" w:rsidP="00506EE2">
            <w:pPr>
              <w:jc w:val="both"/>
              <w:rPr>
                <w:rFonts w:ascii="Verdana" w:eastAsia="Helvetica Narrow" w:hAnsi="Verdana" w:cs="Helvetica Narrow"/>
                <w:b/>
                <w:sz w:val="22"/>
                <w:szCs w:val="22"/>
                <w:u w:val="single"/>
                <w:lang w:val="es-ES"/>
              </w:rPr>
            </w:pPr>
          </w:p>
          <w:p w14:paraId="41BBB64C" w14:textId="63AAE2BB" w:rsidR="002C2B4F" w:rsidRPr="002528FB" w:rsidRDefault="00506EE2" w:rsidP="00506EE2">
            <w:pPr>
              <w:ind w:right="104"/>
              <w:jc w:val="both"/>
              <w:rPr>
                <w:rFonts w:ascii="Verdana" w:hAnsi="Verdana"/>
                <w:lang w:val="es-ES"/>
              </w:rPr>
            </w:pPr>
            <w:r w:rsidRPr="007C3F97">
              <w:rPr>
                <w:rFonts w:ascii="Verdana" w:eastAsia="Helvetica Narrow" w:hAnsi="Verdana" w:cs="Helvetica Narrow"/>
                <w:bCs/>
                <w:sz w:val="22"/>
                <w:szCs w:val="22"/>
                <w:lang w:val="es-ES"/>
              </w:rPr>
              <w:t>En diciembre de 2025, la tasa de desocupación en el total de las 13 ciudades y áreas metropolitanas fue 7,8%, mientras que en el mismo mes de 2024 fue 9,0%. La tasa global de participación se ubicó en 66,7%, en tanto que en diciembre de 2024 fue 66,0%. Finalmente, la tasa de ocupación fue 61,5%, lo que representó un aumento de 1,5 puntos porcentuales respecto al mismo mes del año anterior (60,1%).</w:t>
            </w:r>
          </w:p>
          <w:p w14:paraId="5B628605" w14:textId="02CEA0AC" w:rsidR="006A4490" w:rsidRPr="00506EE2" w:rsidRDefault="006A4490" w:rsidP="005E4BF2">
            <w:pPr>
              <w:ind w:right="104"/>
              <w:jc w:val="both"/>
              <w:rPr>
                <w:rFonts w:ascii="Verdana" w:hAnsi="Verdana" w:cstheme="minorHAnsi"/>
                <w:sz w:val="22"/>
                <w:szCs w:val="22"/>
                <w:lang w:val="es-ES"/>
              </w:rPr>
            </w:pPr>
          </w:p>
          <w:p w14:paraId="4F5B079F" w14:textId="679278AE" w:rsidR="00194538" w:rsidRPr="00506EE2" w:rsidRDefault="00194538" w:rsidP="00EE30B7">
            <w:pPr>
              <w:jc w:val="both"/>
              <w:rPr>
                <w:rFonts w:ascii="Verdana" w:eastAsia="Helvetica Narrow" w:hAnsi="Verdana" w:cs="Helvetica Narrow"/>
                <w:b/>
                <w:sz w:val="22"/>
                <w:szCs w:val="22"/>
                <w:u w:val="single"/>
                <w:lang w:val="es-ES"/>
              </w:rPr>
            </w:pPr>
            <w:r w:rsidRPr="00506EE2">
              <w:rPr>
                <w:rFonts w:ascii="Verdana" w:eastAsia="Helvetica Narrow" w:hAnsi="Verdana" w:cs="Helvetica Narrow"/>
                <w:b/>
                <w:sz w:val="22"/>
                <w:szCs w:val="22"/>
                <w:u w:val="single"/>
                <w:lang w:val="es-ES"/>
              </w:rPr>
              <w:t>Análisis de la Demanda</w:t>
            </w:r>
          </w:p>
          <w:p w14:paraId="43BE11FB" w14:textId="22EC83C6" w:rsidR="00AE56D4" w:rsidRDefault="00AE56D4" w:rsidP="00EE30B7">
            <w:pPr>
              <w:jc w:val="both"/>
              <w:rPr>
                <w:rFonts w:ascii="Verdana" w:eastAsia="Helvetica Narrow" w:hAnsi="Verdana" w:cs="Helvetica Narrow"/>
                <w:b/>
                <w:sz w:val="22"/>
                <w:szCs w:val="22"/>
                <w:u w:val="single"/>
                <w:lang w:val="es-ES"/>
              </w:rPr>
            </w:pPr>
          </w:p>
          <w:p w14:paraId="6B3E8ECF" w14:textId="1694F3AD" w:rsidR="006E5AD3" w:rsidRDefault="006E5AD3" w:rsidP="00EE30B7">
            <w:pPr>
              <w:jc w:val="both"/>
              <w:rPr>
                <w:rFonts w:ascii="Verdana" w:eastAsia="Helvetica Narrow" w:hAnsi="Verdana" w:cs="Helvetica Narrow"/>
                <w:bCs/>
                <w:sz w:val="22"/>
                <w:szCs w:val="22"/>
                <w:lang w:val="es-ES"/>
              </w:rPr>
            </w:pPr>
            <w:r>
              <w:rPr>
                <w:rFonts w:ascii="Verdana" w:eastAsia="Helvetica Narrow" w:hAnsi="Verdana" w:cs="Helvetica Narrow"/>
                <w:bCs/>
                <w:sz w:val="22"/>
                <w:szCs w:val="22"/>
                <w:lang w:val="es-ES"/>
              </w:rPr>
              <w:t>El histórico de la entidad en esta contratación es el siguiente:</w:t>
            </w:r>
          </w:p>
          <w:p w14:paraId="365D28BE" w14:textId="77777777" w:rsidR="006E5AD3" w:rsidRDefault="006E5AD3" w:rsidP="00EE30B7">
            <w:pPr>
              <w:jc w:val="both"/>
              <w:rPr>
                <w:rFonts w:ascii="Verdana" w:eastAsia="Helvetica Narrow" w:hAnsi="Verdana" w:cs="Helvetica Narrow"/>
                <w:bCs/>
                <w:sz w:val="22"/>
                <w:szCs w:val="22"/>
                <w:lang w:val="es-ES"/>
              </w:rPr>
            </w:pPr>
          </w:p>
          <w:tbl>
            <w:tblPr>
              <w:tblStyle w:val="Tablaconcuadrcula"/>
              <w:tblW w:w="0" w:type="auto"/>
              <w:tblLook w:val="04A0" w:firstRow="1" w:lastRow="0" w:firstColumn="1" w:lastColumn="0" w:noHBand="0" w:noVBand="1"/>
            </w:tblPr>
            <w:tblGrid>
              <w:gridCol w:w="1153"/>
              <w:gridCol w:w="1276"/>
              <w:gridCol w:w="2138"/>
              <w:gridCol w:w="3154"/>
              <w:gridCol w:w="1494"/>
              <w:gridCol w:w="1181"/>
            </w:tblGrid>
            <w:tr w:rsidR="00D53E99" w:rsidRPr="00041DCD" w14:paraId="0242B8E7" w14:textId="77777777" w:rsidTr="00D53E99">
              <w:trPr>
                <w:trHeight w:val="255"/>
              </w:trPr>
              <w:tc>
                <w:tcPr>
                  <w:tcW w:w="1153" w:type="dxa"/>
                  <w:shd w:val="clear" w:color="auto" w:fill="D9D9D9" w:themeFill="background1" w:themeFillShade="D9"/>
                  <w:vAlign w:val="center"/>
                  <w:hideMark/>
                </w:tcPr>
                <w:p w14:paraId="62B78004" w14:textId="77777777" w:rsidR="006E5AD3" w:rsidRPr="00041DCD" w:rsidRDefault="006E5AD3" w:rsidP="006E5AD3">
                  <w:pPr>
                    <w:ind w:left="44"/>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Entidad</w:t>
                  </w:r>
                </w:p>
              </w:tc>
              <w:tc>
                <w:tcPr>
                  <w:tcW w:w="1276" w:type="dxa"/>
                  <w:shd w:val="clear" w:color="auto" w:fill="D9D9D9" w:themeFill="background1" w:themeFillShade="D9"/>
                  <w:vAlign w:val="center"/>
                  <w:hideMark/>
                </w:tcPr>
                <w:p w14:paraId="34B6FC5C" w14:textId="05E03FB3" w:rsidR="006E5AD3" w:rsidRPr="00041DCD" w:rsidRDefault="006E5AD3" w:rsidP="006E5AD3">
                  <w:pPr>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 xml:space="preserve">Número de </w:t>
                  </w:r>
                  <w:r w:rsidR="00D53E99">
                    <w:rPr>
                      <w:rFonts w:ascii="Verdana" w:eastAsia="Helvetica Narrow" w:hAnsi="Verdana" w:cs="Helvetica Narrow"/>
                      <w:b/>
                      <w:bCs/>
                      <w:sz w:val="16"/>
                      <w:szCs w:val="16"/>
                    </w:rPr>
                    <w:t>Contrato</w:t>
                  </w:r>
                </w:p>
              </w:tc>
              <w:tc>
                <w:tcPr>
                  <w:tcW w:w="2138" w:type="dxa"/>
                  <w:shd w:val="clear" w:color="auto" w:fill="D9D9D9" w:themeFill="background1" w:themeFillShade="D9"/>
                  <w:vAlign w:val="center"/>
                </w:tcPr>
                <w:p w14:paraId="6AFC2644" w14:textId="77777777" w:rsidR="006E5AD3" w:rsidRPr="00041DCD" w:rsidRDefault="006E5AD3" w:rsidP="006E5AD3">
                  <w:pPr>
                    <w:ind w:left="-53" w:right="15"/>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Modalidad</w:t>
                  </w:r>
                </w:p>
              </w:tc>
              <w:tc>
                <w:tcPr>
                  <w:tcW w:w="3154" w:type="dxa"/>
                  <w:shd w:val="clear" w:color="auto" w:fill="D9D9D9" w:themeFill="background1" w:themeFillShade="D9"/>
                  <w:vAlign w:val="center"/>
                  <w:hideMark/>
                </w:tcPr>
                <w:p w14:paraId="6654FE87" w14:textId="77777777" w:rsidR="006E5AD3" w:rsidRPr="00041DCD" w:rsidRDefault="006E5AD3" w:rsidP="006E5AD3">
                  <w:pPr>
                    <w:tabs>
                      <w:tab w:val="left" w:pos="1701"/>
                    </w:tabs>
                    <w:ind w:right="-3"/>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Objeto</w:t>
                  </w:r>
                </w:p>
              </w:tc>
              <w:tc>
                <w:tcPr>
                  <w:tcW w:w="1494" w:type="dxa"/>
                  <w:shd w:val="clear" w:color="auto" w:fill="D9D9D9" w:themeFill="background1" w:themeFillShade="D9"/>
                  <w:vAlign w:val="center"/>
                  <w:hideMark/>
                </w:tcPr>
                <w:p w14:paraId="65B57CBF" w14:textId="77777777" w:rsidR="006E5AD3" w:rsidRPr="00041DCD" w:rsidRDefault="006E5AD3" w:rsidP="006E5AD3">
                  <w:pPr>
                    <w:tabs>
                      <w:tab w:val="left" w:pos="780"/>
                    </w:tabs>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Cuantía</w:t>
                  </w:r>
                </w:p>
              </w:tc>
              <w:tc>
                <w:tcPr>
                  <w:tcW w:w="1181" w:type="dxa"/>
                  <w:shd w:val="clear" w:color="auto" w:fill="D9D9D9" w:themeFill="background1" w:themeFillShade="D9"/>
                  <w:vAlign w:val="center"/>
                  <w:hideMark/>
                </w:tcPr>
                <w:p w14:paraId="7E7FA751" w14:textId="77777777" w:rsidR="006E5AD3" w:rsidRPr="00041DCD" w:rsidRDefault="006E5AD3" w:rsidP="006E5AD3">
                  <w:pPr>
                    <w:tabs>
                      <w:tab w:val="left" w:pos="780"/>
                    </w:tabs>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Estado</w:t>
                  </w:r>
                </w:p>
              </w:tc>
            </w:tr>
            <w:tr w:rsidR="006E5AD3" w:rsidRPr="00041DCD" w14:paraId="26E3F25A" w14:textId="77777777" w:rsidTr="00D53E99">
              <w:trPr>
                <w:trHeight w:val="718"/>
              </w:trPr>
              <w:tc>
                <w:tcPr>
                  <w:tcW w:w="1153" w:type="dxa"/>
                  <w:vAlign w:val="center"/>
                  <w:hideMark/>
                </w:tcPr>
                <w:p w14:paraId="54BC2DBD" w14:textId="24BD9BAD" w:rsidR="006E5AD3" w:rsidRPr="00041DCD" w:rsidRDefault="006E5AD3" w:rsidP="006E5AD3">
                  <w:pPr>
                    <w:ind w:left="44"/>
                    <w:jc w:val="center"/>
                    <w:rPr>
                      <w:rFonts w:ascii="Verdana" w:eastAsia="Helvetica Narrow" w:hAnsi="Verdana" w:cs="Helvetica Narrow"/>
                      <w:sz w:val="16"/>
                      <w:szCs w:val="16"/>
                    </w:rPr>
                  </w:pPr>
                  <w:r>
                    <w:rPr>
                      <w:rFonts w:ascii="Verdana" w:eastAsia="Helvetica Narrow" w:hAnsi="Verdana" w:cs="Helvetica Narrow"/>
                      <w:sz w:val="16"/>
                      <w:szCs w:val="16"/>
                    </w:rPr>
                    <w:t>IDEAM</w:t>
                  </w:r>
                </w:p>
              </w:tc>
              <w:tc>
                <w:tcPr>
                  <w:tcW w:w="1276" w:type="dxa"/>
                  <w:vAlign w:val="center"/>
                  <w:hideMark/>
                </w:tcPr>
                <w:p w14:paraId="523391DD" w14:textId="3AC41F50" w:rsidR="006E5AD3" w:rsidRPr="00041DCD" w:rsidRDefault="00D53E99" w:rsidP="006E5AD3">
                  <w:pPr>
                    <w:tabs>
                      <w:tab w:val="left" w:pos="756"/>
                    </w:tabs>
                    <w:jc w:val="center"/>
                    <w:rPr>
                      <w:rFonts w:ascii="Verdana" w:eastAsia="Helvetica Narrow" w:hAnsi="Verdana" w:cs="Helvetica Narrow"/>
                      <w:sz w:val="16"/>
                      <w:szCs w:val="16"/>
                    </w:rPr>
                  </w:pPr>
                  <w:r>
                    <w:rPr>
                      <w:rFonts w:ascii="Verdana" w:eastAsia="Helvetica Narrow" w:hAnsi="Verdana" w:cs="Helvetica Narrow"/>
                      <w:sz w:val="16"/>
                      <w:szCs w:val="16"/>
                    </w:rPr>
                    <w:t>599 DE 2023</w:t>
                  </w:r>
                </w:p>
              </w:tc>
              <w:tc>
                <w:tcPr>
                  <w:tcW w:w="2138" w:type="dxa"/>
                  <w:vAlign w:val="center"/>
                </w:tcPr>
                <w:p w14:paraId="1F6FB2D7" w14:textId="5AAD44FD" w:rsidR="006E5AD3" w:rsidRPr="00041DCD" w:rsidRDefault="00D53E99" w:rsidP="006E5AD3">
                  <w:pPr>
                    <w:ind w:left="-53" w:right="7"/>
                    <w:jc w:val="center"/>
                    <w:rPr>
                      <w:rFonts w:ascii="Verdana" w:eastAsia="Helvetica Narrow" w:hAnsi="Verdana" w:cs="Helvetica Narrow"/>
                      <w:sz w:val="16"/>
                      <w:szCs w:val="16"/>
                    </w:rPr>
                  </w:pPr>
                  <w:r>
                    <w:rPr>
                      <w:rFonts w:ascii="Verdana" w:eastAsia="Helvetica Narrow" w:hAnsi="Verdana" w:cs="Helvetica Narrow"/>
                      <w:sz w:val="16"/>
                      <w:szCs w:val="16"/>
                    </w:rPr>
                    <w:t>Selección Abreviada Subasta Inversa</w:t>
                  </w:r>
                </w:p>
              </w:tc>
              <w:tc>
                <w:tcPr>
                  <w:tcW w:w="3154" w:type="dxa"/>
                  <w:vAlign w:val="center"/>
                  <w:hideMark/>
                </w:tcPr>
                <w:p w14:paraId="1B2C96A2" w14:textId="1DCE1558" w:rsidR="006E5AD3" w:rsidRPr="00041DCD" w:rsidRDefault="00D53E99" w:rsidP="006E5AD3">
                  <w:pPr>
                    <w:tabs>
                      <w:tab w:val="left" w:pos="1701"/>
                    </w:tabs>
                    <w:ind w:right="-3"/>
                    <w:jc w:val="both"/>
                    <w:rPr>
                      <w:rFonts w:ascii="Verdana" w:eastAsia="Helvetica Narrow" w:hAnsi="Verdana" w:cs="Helvetica Narrow"/>
                      <w:sz w:val="16"/>
                      <w:szCs w:val="16"/>
                    </w:rPr>
                  </w:pPr>
                  <w:r>
                    <w:rPr>
                      <w:rFonts w:ascii="Verdana" w:eastAsia="Helvetica Narrow" w:hAnsi="Verdana" w:cs="Helvetica Narrow"/>
                      <w:sz w:val="16"/>
                      <w:szCs w:val="16"/>
                    </w:rPr>
                    <w:t>ADQUISICIÓN, INSTALACIÓN Y PUESTA EN FUNCIONAMIENTO DE UPS PARA EL IDEAM</w:t>
                  </w:r>
                  <w:r w:rsidR="006E5AD3" w:rsidRPr="00041DCD">
                    <w:rPr>
                      <w:rFonts w:ascii="Verdana" w:eastAsia="Helvetica Narrow" w:hAnsi="Verdana" w:cs="Helvetica Narrow"/>
                      <w:sz w:val="16"/>
                      <w:szCs w:val="16"/>
                    </w:rPr>
                    <w:t>.</w:t>
                  </w:r>
                </w:p>
              </w:tc>
              <w:tc>
                <w:tcPr>
                  <w:tcW w:w="1494" w:type="dxa"/>
                  <w:vAlign w:val="center"/>
                  <w:hideMark/>
                </w:tcPr>
                <w:p w14:paraId="189B84FE" w14:textId="36552772" w:rsidR="006E5AD3" w:rsidRPr="00041DCD" w:rsidRDefault="006E5AD3" w:rsidP="006E5AD3">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D53E99">
                    <w:rPr>
                      <w:rFonts w:ascii="Verdana" w:eastAsia="Helvetica Narrow" w:hAnsi="Verdana" w:cs="Helvetica Narrow"/>
                      <w:sz w:val="16"/>
                      <w:szCs w:val="16"/>
                    </w:rPr>
                    <w:t>34</w:t>
                  </w:r>
                  <w:r w:rsidRPr="00B43110">
                    <w:rPr>
                      <w:rFonts w:ascii="Verdana" w:hAnsi="Verdana"/>
                      <w:sz w:val="16"/>
                      <w:szCs w:val="16"/>
                    </w:rPr>
                    <w:t>.</w:t>
                  </w:r>
                  <w:r w:rsidR="00D53E99">
                    <w:rPr>
                      <w:rFonts w:ascii="Verdana" w:hAnsi="Verdana"/>
                      <w:sz w:val="16"/>
                      <w:szCs w:val="16"/>
                    </w:rPr>
                    <w:t>304</w:t>
                  </w:r>
                  <w:r w:rsidRPr="00B43110">
                    <w:rPr>
                      <w:rFonts w:ascii="Verdana" w:hAnsi="Verdana"/>
                      <w:sz w:val="16"/>
                      <w:szCs w:val="16"/>
                    </w:rPr>
                    <w:t>.6</w:t>
                  </w:r>
                  <w:r w:rsidR="00D53E99">
                    <w:rPr>
                      <w:rFonts w:ascii="Verdana" w:hAnsi="Verdana"/>
                      <w:sz w:val="16"/>
                      <w:szCs w:val="16"/>
                    </w:rPr>
                    <w:t>06</w:t>
                  </w:r>
                </w:p>
              </w:tc>
              <w:tc>
                <w:tcPr>
                  <w:tcW w:w="1181" w:type="dxa"/>
                  <w:vAlign w:val="center"/>
                  <w:hideMark/>
                </w:tcPr>
                <w:p w14:paraId="2149CA55" w14:textId="77777777" w:rsidR="006E5AD3" w:rsidRPr="00041DCD" w:rsidRDefault="006E5AD3" w:rsidP="006E5AD3">
                  <w:pPr>
                    <w:tabs>
                      <w:tab w:val="left" w:pos="780"/>
                    </w:tabs>
                    <w:jc w:val="center"/>
                    <w:rPr>
                      <w:rFonts w:ascii="Verdana" w:eastAsia="Helvetica Narrow" w:hAnsi="Verdana" w:cs="Helvetica Narrow"/>
                      <w:sz w:val="16"/>
                      <w:szCs w:val="16"/>
                    </w:rPr>
                  </w:pPr>
                  <w:r w:rsidRPr="00041DCD">
                    <w:rPr>
                      <w:rFonts w:ascii="Verdana" w:hAnsi="Verdana"/>
                      <w:sz w:val="16"/>
                      <w:szCs w:val="16"/>
                      <w:lang w:eastAsia="es-CO"/>
                    </w:rPr>
                    <w:t>Proceso adjudicado y celebrado</w:t>
                  </w:r>
                </w:p>
              </w:tc>
            </w:tr>
            <w:tr w:rsidR="006E5AD3" w:rsidRPr="00041DCD" w14:paraId="4C2FF209" w14:textId="77777777" w:rsidTr="00D53E99">
              <w:trPr>
                <w:trHeight w:hRule="exact" w:val="866"/>
              </w:trPr>
              <w:tc>
                <w:tcPr>
                  <w:tcW w:w="1153" w:type="dxa"/>
                  <w:vAlign w:val="center"/>
                  <w:hideMark/>
                </w:tcPr>
                <w:p w14:paraId="11D52783" w14:textId="40E1F85A" w:rsidR="006E5AD3" w:rsidRPr="00041DCD" w:rsidRDefault="006E5AD3" w:rsidP="006E5AD3">
                  <w:pPr>
                    <w:ind w:left="44"/>
                    <w:jc w:val="center"/>
                    <w:rPr>
                      <w:rFonts w:ascii="Verdana" w:eastAsia="Helvetica Narrow" w:hAnsi="Verdana" w:cs="Helvetica Narrow"/>
                      <w:sz w:val="16"/>
                      <w:szCs w:val="16"/>
                    </w:rPr>
                  </w:pPr>
                  <w:r>
                    <w:rPr>
                      <w:rFonts w:ascii="Verdana" w:eastAsia="Helvetica Narrow" w:hAnsi="Verdana" w:cs="Helvetica Narrow"/>
                      <w:sz w:val="16"/>
                      <w:szCs w:val="16"/>
                    </w:rPr>
                    <w:t>IDEAM</w:t>
                  </w:r>
                </w:p>
              </w:tc>
              <w:tc>
                <w:tcPr>
                  <w:tcW w:w="1276" w:type="dxa"/>
                  <w:vAlign w:val="center"/>
                  <w:hideMark/>
                </w:tcPr>
                <w:p w14:paraId="395984A3" w14:textId="308C0A22" w:rsidR="006E5AD3" w:rsidRPr="00041DCD" w:rsidRDefault="00D53E99" w:rsidP="006E5AD3">
                  <w:pPr>
                    <w:jc w:val="center"/>
                    <w:rPr>
                      <w:rFonts w:ascii="Verdana" w:eastAsia="Helvetica Narrow" w:hAnsi="Verdana" w:cs="Helvetica Narrow"/>
                      <w:sz w:val="16"/>
                      <w:szCs w:val="16"/>
                    </w:rPr>
                  </w:pPr>
                  <w:r>
                    <w:rPr>
                      <w:rFonts w:ascii="Verdana" w:eastAsia="Helvetica Narrow" w:hAnsi="Verdana" w:cs="Helvetica Narrow"/>
                      <w:sz w:val="16"/>
                      <w:szCs w:val="16"/>
                    </w:rPr>
                    <w:t>427 DE 2024</w:t>
                  </w:r>
                </w:p>
              </w:tc>
              <w:tc>
                <w:tcPr>
                  <w:tcW w:w="2138" w:type="dxa"/>
                  <w:vAlign w:val="center"/>
                </w:tcPr>
                <w:p w14:paraId="3A4235F6" w14:textId="4F69151C" w:rsidR="006E5AD3" w:rsidRPr="00041DCD" w:rsidRDefault="00D53E99" w:rsidP="006E5AD3">
                  <w:pPr>
                    <w:ind w:left="-53"/>
                    <w:jc w:val="center"/>
                    <w:rPr>
                      <w:rFonts w:ascii="Verdana" w:eastAsia="Helvetica Narrow" w:hAnsi="Verdana" w:cs="Helvetica Narrow"/>
                      <w:sz w:val="16"/>
                      <w:szCs w:val="16"/>
                    </w:rPr>
                  </w:pPr>
                  <w:r>
                    <w:rPr>
                      <w:rFonts w:ascii="Verdana" w:eastAsia="Helvetica Narrow" w:hAnsi="Verdana" w:cs="Helvetica Narrow"/>
                      <w:sz w:val="16"/>
                      <w:szCs w:val="16"/>
                    </w:rPr>
                    <w:t>Selección Abreviada Subasta Inversa</w:t>
                  </w:r>
                </w:p>
              </w:tc>
              <w:tc>
                <w:tcPr>
                  <w:tcW w:w="3154" w:type="dxa"/>
                  <w:vAlign w:val="center"/>
                  <w:hideMark/>
                </w:tcPr>
                <w:p w14:paraId="191CE28E" w14:textId="59B1BA90" w:rsidR="006E5AD3" w:rsidRPr="00041DCD" w:rsidRDefault="00D53E99" w:rsidP="006E5AD3">
                  <w:pPr>
                    <w:tabs>
                      <w:tab w:val="left" w:pos="1701"/>
                    </w:tabs>
                    <w:ind w:right="-3"/>
                    <w:jc w:val="both"/>
                    <w:rPr>
                      <w:rFonts w:ascii="Verdana" w:eastAsia="Helvetica Narrow" w:hAnsi="Verdana" w:cs="Helvetica Narrow"/>
                      <w:sz w:val="16"/>
                      <w:szCs w:val="16"/>
                    </w:rPr>
                  </w:pPr>
                  <w:r>
                    <w:rPr>
                      <w:rFonts w:ascii="Verdana" w:eastAsia="Helvetica Narrow" w:hAnsi="Verdana" w:cs="Helvetica Narrow"/>
                      <w:sz w:val="16"/>
                      <w:szCs w:val="16"/>
                    </w:rPr>
                    <w:t>ADQUISICIÓN E INSTALACIÓN DE UPS MAYORES A 3KVA PARA AREAS OPERATIVAS Y OFICINAS DEL IDEAM EN AEROPUERTOS</w:t>
                  </w:r>
                  <w:r w:rsidR="006E5AD3" w:rsidRPr="00543A0B">
                    <w:rPr>
                      <w:rFonts w:ascii="Verdana" w:eastAsia="Helvetica Narrow" w:hAnsi="Verdana" w:cs="Helvetica Narrow"/>
                      <w:sz w:val="16"/>
                      <w:szCs w:val="16"/>
                    </w:rPr>
                    <w:t>.</w:t>
                  </w:r>
                </w:p>
              </w:tc>
              <w:tc>
                <w:tcPr>
                  <w:tcW w:w="1494" w:type="dxa"/>
                  <w:vAlign w:val="center"/>
                  <w:hideMark/>
                </w:tcPr>
                <w:p w14:paraId="042C204E" w14:textId="497147BA" w:rsidR="006E5AD3" w:rsidRPr="00041DCD" w:rsidRDefault="006E5AD3" w:rsidP="006E5AD3">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D53E99">
                    <w:rPr>
                      <w:rFonts w:ascii="Verdana" w:eastAsia="Helvetica Narrow" w:hAnsi="Verdana" w:cs="Helvetica Narrow"/>
                      <w:sz w:val="16"/>
                      <w:szCs w:val="16"/>
                    </w:rPr>
                    <w:t>71</w:t>
                  </w:r>
                  <w:r w:rsidRPr="000C354D">
                    <w:rPr>
                      <w:rFonts w:ascii="Verdana" w:hAnsi="Verdana"/>
                      <w:sz w:val="16"/>
                      <w:szCs w:val="16"/>
                    </w:rPr>
                    <w:t>.</w:t>
                  </w:r>
                  <w:r w:rsidR="00D53E99">
                    <w:rPr>
                      <w:rFonts w:ascii="Verdana" w:hAnsi="Verdana"/>
                      <w:sz w:val="16"/>
                      <w:szCs w:val="16"/>
                    </w:rPr>
                    <w:t>650</w:t>
                  </w:r>
                  <w:r w:rsidRPr="000C354D">
                    <w:rPr>
                      <w:rFonts w:ascii="Verdana" w:hAnsi="Verdana"/>
                      <w:sz w:val="16"/>
                      <w:szCs w:val="16"/>
                    </w:rPr>
                    <w:t>.</w:t>
                  </w:r>
                  <w:r w:rsidR="00D53E99">
                    <w:rPr>
                      <w:rFonts w:ascii="Verdana" w:hAnsi="Verdana"/>
                      <w:sz w:val="16"/>
                      <w:szCs w:val="16"/>
                    </w:rPr>
                    <w:t>73</w:t>
                  </w:r>
                  <w:r w:rsidRPr="000C354D">
                    <w:rPr>
                      <w:rFonts w:ascii="Verdana" w:hAnsi="Verdana"/>
                      <w:sz w:val="16"/>
                      <w:szCs w:val="16"/>
                    </w:rPr>
                    <w:t>3</w:t>
                  </w:r>
                </w:p>
              </w:tc>
              <w:tc>
                <w:tcPr>
                  <w:tcW w:w="1181" w:type="dxa"/>
                  <w:vAlign w:val="center"/>
                  <w:hideMark/>
                </w:tcPr>
                <w:p w14:paraId="2BE00516" w14:textId="77777777" w:rsidR="006E5AD3" w:rsidRPr="00041DCD" w:rsidRDefault="006E5AD3" w:rsidP="006E5AD3">
                  <w:pPr>
                    <w:tabs>
                      <w:tab w:val="left" w:pos="780"/>
                    </w:tabs>
                    <w:jc w:val="center"/>
                    <w:rPr>
                      <w:rFonts w:ascii="Verdana" w:eastAsia="Helvetica Narrow" w:hAnsi="Verdana" w:cs="Helvetica Narrow"/>
                      <w:sz w:val="16"/>
                      <w:szCs w:val="16"/>
                    </w:rPr>
                  </w:pPr>
                  <w:r w:rsidRPr="00041DCD">
                    <w:rPr>
                      <w:rFonts w:ascii="Verdana" w:hAnsi="Verdana"/>
                      <w:sz w:val="16"/>
                      <w:szCs w:val="16"/>
                      <w:lang w:eastAsia="es-CO"/>
                    </w:rPr>
                    <w:t>Proceso adjudicado y celebrado</w:t>
                  </w:r>
                </w:p>
              </w:tc>
            </w:tr>
            <w:tr w:rsidR="006E5AD3" w:rsidRPr="00041DCD" w14:paraId="2A9FECCD" w14:textId="77777777" w:rsidTr="00D53E99">
              <w:trPr>
                <w:trHeight w:val="687"/>
              </w:trPr>
              <w:tc>
                <w:tcPr>
                  <w:tcW w:w="1153" w:type="dxa"/>
                  <w:vAlign w:val="center"/>
                </w:tcPr>
                <w:p w14:paraId="66652353" w14:textId="282004C8" w:rsidR="006E5AD3" w:rsidRPr="00041DCD" w:rsidRDefault="006E5AD3" w:rsidP="006E5AD3">
                  <w:pPr>
                    <w:ind w:left="44"/>
                    <w:jc w:val="center"/>
                    <w:rPr>
                      <w:rFonts w:ascii="Verdana" w:eastAsia="Helvetica Narrow" w:hAnsi="Verdana" w:cs="Helvetica Narrow"/>
                      <w:sz w:val="16"/>
                      <w:szCs w:val="16"/>
                    </w:rPr>
                  </w:pPr>
                  <w:r>
                    <w:rPr>
                      <w:rFonts w:ascii="Verdana" w:eastAsia="Helvetica Narrow" w:hAnsi="Verdana" w:cs="Helvetica Narrow"/>
                      <w:sz w:val="16"/>
                      <w:szCs w:val="16"/>
                    </w:rPr>
                    <w:t>IDEAM</w:t>
                  </w:r>
                </w:p>
              </w:tc>
              <w:tc>
                <w:tcPr>
                  <w:tcW w:w="1276" w:type="dxa"/>
                  <w:vAlign w:val="center"/>
                </w:tcPr>
                <w:p w14:paraId="5109221C" w14:textId="567FD162" w:rsidR="006E5AD3" w:rsidRPr="00041DCD" w:rsidRDefault="00D53E99" w:rsidP="006E5AD3">
                  <w:pPr>
                    <w:jc w:val="center"/>
                    <w:rPr>
                      <w:rFonts w:ascii="Verdana" w:eastAsia="Helvetica Narrow" w:hAnsi="Verdana" w:cs="Helvetica Narrow"/>
                      <w:sz w:val="16"/>
                      <w:szCs w:val="16"/>
                    </w:rPr>
                  </w:pPr>
                  <w:r>
                    <w:rPr>
                      <w:rFonts w:ascii="Verdana" w:eastAsia="Helvetica Narrow" w:hAnsi="Verdana" w:cs="Helvetica Narrow"/>
                      <w:sz w:val="16"/>
                      <w:szCs w:val="16"/>
                    </w:rPr>
                    <w:t>382 DE 2025</w:t>
                  </w:r>
                </w:p>
              </w:tc>
              <w:tc>
                <w:tcPr>
                  <w:tcW w:w="2138" w:type="dxa"/>
                  <w:vAlign w:val="center"/>
                </w:tcPr>
                <w:p w14:paraId="666E68C8" w14:textId="00C4F466" w:rsidR="006E5AD3" w:rsidRPr="00041DCD" w:rsidRDefault="00D53E99" w:rsidP="006E5AD3">
                  <w:pPr>
                    <w:ind w:left="-53"/>
                    <w:jc w:val="center"/>
                    <w:rPr>
                      <w:rFonts w:ascii="Verdana" w:eastAsia="Helvetica Narrow" w:hAnsi="Verdana" w:cs="Helvetica Narrow"/>
                      <w:sz w:val="16"/>
                      <w:szCs w:val="16"/>
                    </w:rPr>
                  </w:pPr>
                  <w:r>
                    <w:rPr>
                      <w:rFonts w:ascii="Verdana" w:eastAsia="Helvetica Narrow" w:hAnsi="Verdana" w:cs="Helvetica Narrow"/>
                      <w:sz w:val="16"/>
                      <w:szCs w:val="16"/>
                    </w:rPr>
                    <w:t>Selección Abreviada Subasta Inversa</w:t>
                  </w:r>
                </w:p>
              </w:tc>
              <w:tc>
                <w:tcPr>
                  <w:tcW w:w="3154" w:type="dxa"/>
                  <w:vAlign w:val="center"/>
                </w:tcPr>
                <w:p w14:paraId="34B6ADFA" w14:textId="28CE06F6" w:rsidR="006E5AD3" w:rsidRPr="00041DCD" w:rsidRDefault="00D53E99" w:rsidP="006E5AD3">
                  <w:pPr>
                    <w:tabs>
                      <w:tab w:val="left" w:pos="1701"/>
                    </w:tabs>
                    <w:ind w:right="-3"/>
                    <w:jc w:val="both"/>
                    <w:rPr>
                      <w:rFonts w:ascii="Verdana" w:eastAsia="Helvetica Narrow" w:hAnsi="Verdana" w:cs="Helvetica Narrow"/>
                      <w:sz w:val="16"/>
                      <w:szCs w:val="16"/>
                    </w:rPr>
                  </w:pPr>
                  <w:r>
                    <w:rPr>
                      <w:rFonts w:ascii="Verdana" w:eastAsia="Helvetica Narrow" w:hAnsi="Verdana" w:cs="Helvetica Narrow"/>
                      <w:sz w:val="16"/>
                      <w:szCs w:val="16"/>
                    </w:rPr>
                    <w:t>ADQUISICIÓN E INSTALACIÓN DE UPS MAYORES A 3KVA PARA EL IDEAM</w:t>
                  </w:r>
                  <w:r w:rsidR="006E5AD3" w:rsidRPr="00041DCD">
                    <w:rPr>
                      <w:rFonts w:ascii="Verdana" w:eastAsia="Helvetica Narrow" w:hAnsi="Verdana" w:cs="Helvetica Narrow"/>
                      <w:sz w:val="16"/>
                      <w:szCs w:val="16"/>
                    </w:rPr>
                    <w:t>.</w:t>
                  </w:r>
                </w:p>
              </w:tc>
              <w:tc>
                <w:tcPr>
                  <w:tcW w:w="1494" w:type="dxa"/>
                  <w:vAlign w:val="center"/>
                </w:tcPr>
                <w:p w14:paraId="5F3D2A2F" w14:textId="5CCC4759" w:rsidR="006E5AD3" w:rsidRPr="00041DCD" w:rsidRDefault="006E5AD3" w:rsidP="006E5AD3">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CE38D8">
                    <w:rPr>
                      <w:rFonts w:ascii="Verdana" w:eastAsia="Helvetica Narrow" w:hAnsi="Verdana" w:cs="Helvetica Narrow"/>
                      <w:sz w:val="16"/>
                      <w:szCs w:val="16"/>
                    </w:rPr>
                    <w:t>54</w:t>
                  </w:r>
                  <w:r w:rsidRPr="00AD65E2">
                    <w:rPr>
                      <w:rFonts w:ascii="Verdana" w:eastAsia="Helvetica Narrow" w:hAnsi="Verdana" w:cs="Helvetica Narrow"/>
                      <w:sz w:val="16"/>
                      <w:szCs w:val="16"/>
                    </w:rPr>
                    <w:t>.</w:t>
                  </w:r>
                  <w:r w:rsidR="00CE38D8">
                    <w:rPr>
                      <w:rFonts w:ascii="Verdana" w:eastAsia="Helvetica Narrow" w:hAnsi="Verdana" w:cs="Helvetica Narrow"/>
                      <w:sz w:val="16"/>
                      <w:szCs w:val="16"/>
                    </w:rPr>
                    <w:t>708</w:t>
                  </w:r>
                  <w:r w:rsidRPr="00AD65E2">
                    <w:rPr>
                      <w:rFonts w:ascii="Verdana" w:eastAsia="Helvetica Narrow" w:hAnsi="Verdana" w:cs="Helvetica Narrow"/>
                      <w:sz w:val="16"/>
                      <w:szCs w:val="16"/>
                    </w:rPr>
                    <w:t>.000</w:t>
                  </w:r>
                </w:p>
              </w:tc>
              <w:tc>
                <w:tcPr>
                  <w:tcW w:w="1181" w:type="dxa"/>
                  <w:vAlign w:val="center"/>
                </w:tcPr>
                <w:p w14:paraId="48882929" w14:textId="77777777" w:rsidR="006E5AD3" w:rsidRPr="00041DCD" w:rsidRDefault="006E5AD3" w:rsidP="006E5AD3">
                  <w:pPr>
                    <w:tabs>
                      <w:tab w:val="left" w:pos="780"/>
                    </w:tabs>
                    <w:jc w:val="center"/>
                    <w:rPr>
                      <w:rFonts w:ascii="Verdana" w:hAnsi="Verdana"/>
                      <w:sz w:val="16"/>
                      <w:szCs w:val="16"/>
                      <w:lang w:eastAsia="es-CO"/>
                    </w:rPr>
                  </w:pPr>
                  <w:r w:rsidRPr="00041DCD">
                    <w:rPr>
                      <w:rFonts w:ascii="Verdana" w:hAnsi="Verdana"/>
                      <w:sz w:val="16"/>
                      <w:szCs w:val="16"/>
                      <w:lang w:eastAsia="es-CO"/>
                    </w:rPr>
                    <w:t>Proceso adjudicado y celebrado</w:t>
                  </w:r>
                </w:p>
              </w:tc>
            </w:tr>
          </w:tbl>
          <w:p w14:paraId="6925E0A9" w14:textId="77777777" w:rsidR="006E5AD3" w:rsidRPr="006E5AD3" w:rsidRDefault="006E5AD3" w:rsidP="00EE30B7">
            <w:pPr>
              <w:jc w:val="both"/>
              <w:rPr>
                <w:rFonts w:ascii="Verdana" w:eastAsia="Helvetica Narrow" w:hAnsi="Verdana" w:cs="Helvetica Narrow"/>
                <w:bCs/>
                <w:sz w:val="22"/>
                <w:szCs w:val="22"/>
                <w:lang w:val="es-ES"/>
              </w:rPr>
            </w:pPr>
          </w:p>
          <w:p w14:paraId="72402F28" w14:textId="7A628983" w:rsidR="00194538" w:rsidRPr="00506EE2" w:rsidRDefault="00194538" w:rsidP="00EE30B7">
            <w:pPr>
              <w:ind w:right="104"/>
              <w:jc w:val="both"/>
              <w:rPr>
                <w:rFonts w:ascii="Verdana" w:eastAsia="Helvetica Narrow" w:hAnsi="Verdana" w:cs="Helvetica Narrow"/>
                <w:sz w:val="22"/>
                <w:szCs w:val="22"/>
                <w:lang w:val="es-ES"/>
              </w:rPr>
            </w:pPr>
            <w:r w:rsidRPr="00506EE2">
              <w:rPr>
                <w:rFonts w:ascii="Verdana" w:eastAsia="Helvetica Narrow" w:hAnsi="Verdana" w:cs="Helvetica Narrow"/>
                <w:sz w:val="22"/>
                <w:szCs w:val="22"/>
                <w:lang w:val="es-ES"/>
              </w:rPr>
              <w:t xml:space="preserve">Para este proceso se tuvo en cuenta para el análisis de la Demanda el histórico </w:t>
            </w:r>
            <w:r w:rsidR="00DA4362" w:rsidRPr="00506EE2">
              <w:rPr>
                <w:rFonts w:ascii="Verdana" w:eastAsia="Helvetica Narrow" w:hAnsi="Verdana" w:cs="Helvetica Narrow"/>
                <w:sz w:val="22"/>
                <w:szCs w:val="22"/>
                <w:lang w:val="es-ES"/>
              </w:rPr>
              <w:t>de</w:t>
            </w:r>
            <w:r w:rsidRPr="00506EE2">
              <w:rPr>
                <w:rFonts w:ascii="Verdana" w:eastAsia="Helvetica Narrow" w:hAnsi="Verdana" w:cs="Helvetica Narrow"/>
                <w:sz w:val="22"/>
                <w:szCs w:val="22"/>
                <w:lang w:val="es-ES"/>
              </w:rPr>
              <w:t xml:space="preserve"> diferentes</w:t>
            </w:r>
            <w:r w:rsidR="00DA4362" w:rsidRPr="00506EE2">
              <w:rPr>
                <w:rFonts w:ascii="Verdana" w:eastAsia="Helvetica Narrow" w:hAnsi="Verdana" w:cs="Helvetica Narrow"/>
                <w:sz w:val="22"/>
                <w:szCs w:val="22"/>
                <w:lang w:val="es-ES"/>
              </w:rPr>
              <w:t xml:space="preserve"> entidades, con</w:t>
            </w:r>
            <w:r w:rsidRPr="00506EE2">
              <w:rPr>
                <w:rFonts w:ascii="Verdana" w:eastAsia="Helvetica Narrow" w:hAnsi="Verdana" w:cs="Helvetica Narrow"/>
                <w:sz w:val="22"/>
                <w:szCs w:val="22"/>
                <w:lang w:val="es-ES"/>
              </w:rPr>
              <w:t xml:space="preserve"> contratos </w:t>
            </w:r>
            <w:r w:rsidR="00DA4362" w:rsidRPr="00506EE2">
              <w:rPr>
                <w:rFonts w:ascii="Verdana" w:eastAsia="Helvetica Narrow" w:hAnsi="Verdana" w:cs="Helvetica Narrow"/>
                <w:sz w:val="22"/>
                <w:szCs w:val="22"/>
                <w:lang w:val="es-ES"/>
              </w:rPr>
              <w:t xml:space="preserve">de </w:t>
            </w:r>
            <w:r w:rsidRPr="00506EE2">
              <w:rPr>
                <w:rFonts w:ascii="Verdana" w:eastAsia="Helvetica Narrow" w:hAnsi="Verdana" w:cs="Helvetica Narrow"/>
                <w:sz w:val="22"/>
                <w:szCs w:val="22"/>
                <w:lang w:val="es-ES"/>
              </w:rPr>
              <w:t xml:space="preserve">objeto similar publicados en el SECOP, </w:t>
            </w:r>
            <w:r w:rsidR="006753D9" w:rsidRPr="00506EE2">
              <w:rPr>
                <w:rFonts w:ascii="Verdana" w:eastAsia="Helvetica Narrow" w:hAnsi="Verdana" w:cs="Helvetica Narrow"/>
                <w:sz w:val="22"/>
                <w:szCs w:val="22"/>
                <w:lang w:val="es-ES"/>
              </w:rPr>
              <w:t xml:space="preserve">revisados el día </w:t>
            </w:r>
            <w:r w:rsidR="00506EE2">
              <w:rPr>
                <w:rFonts w:ascii="Verdana" w:eastAsia="Helvetica Narrow" w:hAnsi="Verdana" w:cs="Helvetica Narrow"/>
                <w:sz w:val="22"/>
                <w:szCs w:val="22"/>
                <w:lang w:val="es-ES"/>
              </w:rPr>
              <w:t>0</w:t>
            </w:r>
            <w:r w:rsidR="00EB447D">
              <w:rPr>
                <w:rFonts w:ascii="Verdana" w:eastAsia="Helvetica Narrow" w:hAnsi="Verdana" w:cs="Helvetica Narrow"/>
                <w:sz w:val="22"/>
                <w:szCs w:val="22"/>
                <w:lang w:val="es-ES"/>
              </w:rPr>
              <w:t>6</w:t>
            </w:r>
            <w:r w:rsidR="00CA09EA" w:rsidRPr="00506EE2">
              <w:rPr>
                <w:rFonts w:ascii="Verdana" w:eastAsia="Helvetica Narrow" w:hAnsi="Verdana" w:cs="Helvetica Narrow"/>
                <w:sz w:val="22"/>
                <w:szCs w:val="22"/>
                <w:lang w:val="es-ES"/>
              </w:rPr>
              <w:t xml:space="preserve"> de </w:t>
            </w:r>
            <w:r w:rsidR="00290B65">
              <w:rPr>
                <w:rFonts w:ascii="Verdana" w:eastAsia="Helvetica Narrow" w:hAnsi="Verdana" w:cs="Helvetica Narrow"/>
                <w:sz w:val="22"/>
                <w:szCs w:val="22"/>
                <w:lang w:val="es-ES"/>
              </w:rPr>
              <w:t>abril</w:t>
            </w:r>
            <w:r w:rsidR="007A6E78" w:rsidRPr="00506EE2">
              <w:rPr>
                <w:rFonts w:ascii="Verdana" w:eastAsia="Helvetica Narrow" w:hAnsi="Verdana" w:cs="Helvetica Narrow"/>
                <w:sz w:val="22"/>
                <w:szCs w:val="22"/>
                <w:lang w:val="es-ES"/>
              </w:rPr>
              <w:t xml:space="preserve"> de 20</w:t>
            </w:r>
            <w:r w:rsidR="00AE56D4" w:rsidRPr="00506EE2">
              <w:rPr>
                <w:rFonts w:ascii="Verdana" w:eastAsia="Helvetica Narrow" w:hAnsi="Verdana" w:cs="Helvetica Narrow"/>
                <w:sz w:val="22"/>
                <w:szCs w:val="22"/>
                <w:lang w:val="es-ES"/>
              </w:rPr>
              <w:t>2</w:t>
            </w:r>
            <w:r w:rsidR="00506EE2">
              <w:rPr>
                <w:rFonts w:ascii="Verdana" w:eastAsia="Helvetica Narrow" w:hAnsi="Verdana" w:cs="Helvetica Narrow"/>
                <w:sz w:val="22"/>
                <w:szCs w:val="22"/>
                <w:lang w:val="es-ES"/>
              </w:rPr>
              <w:t>6</w:t>
            </w:r>
            <w:r w:rsidR="007A6E78" w:rsidRPr="00506EE2">
              <w:rPr>
                <w:rFonts w:ascii="Verdana" w:eastAsia="Helvetica Narrow" w:hAnsi="Verdana" w:cs="Helvetica Narrow"/>
                <w:sz w:val="22"/>
                <w:szCs w:val="22"/>
                <w:lang w:val="es-ES"/>
              </w:rPr>
              <w:t xml:space="preserve">, </w:t>
            </w:r>
            <w:r w:rsidRPr="00506EE2">
              <w:rPr>
                <w:rFonts w:ascii="Verdana" w:eastAsia="Helvetica Narrow" w:hAnsi="Verdana" w:cs="Helvetica Narrow"/>
                <w:sz w:val="22"/>
                <w:szCs w:val="22"/>
                <w:lang w:val="es-ES"/>
              </w:rPr>
              <w:t>como los que se relacionan a continuación:</w:t>
            </w:r>
          </w:p>
          <w:p w14:paraId="235E0DEA" w14:textId="4D72F8E1" w:rsidR="00194538" w:rsidRPr="00506EE2" w:rsidRDefault="00194538" w:rsidP="00EE30B7">
            <w:pPr>
              <w:ind w:right="104"/>
              <w:jc w:val="both"/>
              <w:rPr>
                <w:rFonts w:ascii="Verdana" w:eastAsia="Helvetica Narrow" w:hAnsi="Verdana" w:cs="Helvetica Narrow"/>
                <w:sz w:val="22"/>
                <w:szCs w:val="22"/>
                <w:lang w:val="es-ES"/>
              </w:rPr>
            </w:pPr>
          </w:p>
          <w:tbl>
            <w:tblPr>
              <w:tblStyle w:val="Tablaconcuadrcula"/>
              <w:tblW w:w="0" w:type="auto"/>
              <w:tblLook w:val="04A0" w:firstRow="1" w:lastRow="0" w:firstColumn="1" w:lastColumn="0" w:noHBand="0" w:noVBand="1"/>
            </w:tblPr>
            <w:tblGrid>
              <w:gridCol w:w="1862"/>
              <w:gridCol w:w="1300"/>
              <w:gridCol w:w="1134"/>
              <w:gridCol w:w="3386"/>
              <w:gridCol w:w="1518"/>
              <w:gridCol w:w="1196"/>
            </w:tblGrid>
            <w:tr w:rsidR="00EB447D" w:rsidRPr="00041DCD" w14:paraId="10FE0CE9" w14:textId="77777777" w:rsidTr="00CE0521">
              <w:trPr>
                <w:trHeight w:val="255"/>
              </w:trPr>
              <w:tc>
                <w:tcPr>
                  <w:tcW w:w="1862" w:type="dxa"/>
                  <w:shd w:val="clear" w:color="auto" w:fill="D9D9D9" w:themeFill="background1" w:themeFillShade="D9"/>
                  <w:vAlign w:val="center"/>
                  <w:hideMark/>
                </w:tcPr>
                <w:p w14:paraId="7100B1DF" w14:textId="77777777" w:rsidR="00EB447D" w:rsidRPr="00041DCD" w:rsidRDefault="00EB447D" w:rsidP="00EB447D">
                  <w:pPr>
                    <w:ind w:left="44"/>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Entidad</w:t>
                  </w:r>
                </w:p>
              </w:tc>
              <w:tc>
                <w:tcPr>
                  <w:tcW w:w="1300" w:type="dxa"/>
                  <w:shd w:val="clear" w:color="auto" w:fill="D9D9D9" w:themeFill="background1" w:themeFillShade="D9"/>
                  <w:vAlign w:val="center"/>
                  <w:hideMark/>
                </w:tcPr>
                <w:p w14:paraId="42B4B3B8" w14:textId="77777777" w:rsidR="00EB447D" w:rsidRPr="00041DCD" w:rsidRDefault="00EB447D" w:rsidP="00EB447D">
                  <w:pPr>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Número de Proceso</w:t>
                  </w:r>
                </w:p>
              </w:tc>
              <w:tc>
                <w:tcPr>
                  <w:tcW w:w="1134" w:type="dxa"/>
                  <w:shd w:val="clear" w:color="auto" w:fill="D9D9D9" w:themeFill="background1" w:themeFillShade="D9"/>
                  <w:vAlign w:val="center"/>
                </w:tcPr>
                <w:p w14:paraId="295F6F7D" w14:textId="77777777" w:rsidR="00EB447D" w:rsidRPr="00041DCD" w:rsidRDefault="00EB447D" w:rsidP="00EB447D">
                  <w:pPr>
                    <w:ind w:left="-53" w:right="15"/>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Modalidad</w:t>
                  </w:r>
                </w:p>
              </w:tc>
              <w:tc>
                <w:tcPr>
                  <w:tcW w:w="3386" w:type="dxa"/>
                  <w:shd w:val="clear" w:color="auto" w:fill="D9D9D9" w:themeFill="background1" w:themeFillShade="D9"/>
                  <w:vAlign w:val="center"/>
                  <w:hideMark/>
                </w:tcPr>
                <w:p w14:paraId="4D44D97D" w14:textId="77777777" w:rsidR="00EB447D" w:rsidRPr="00041DCD" w:rsidRDefault="00EB447D" w:rsidP="00EB447D">
                  <w:pPr>
                    <w:tabs>
                      <w:tab w:val="left" w:pos="1701"/>
                    </w:tabs>
                    <w:ind w:right="-3"/>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Objeto</w:t>
                  </w:r>
                </w:p>
              </w:tc>
              <w:tc>
                <w:tcPr>
                  <w:tcW w:w="1518" w:type="dxa"/>
                  <w:shd w:val="clear" w:color="auto" w:fill="D9D9D9" w:themeFill="background1" w:themeFillShade="D9"/>
                  <w:vAlign w:val="center"/>
                  <w:hideMark/>
                </w:tcPr>
                <w:p w14:paraId="65586A66" w14:textId="77777777" w:rsidR="00EB447D" w:rsidRPr="00041DCD" w:rsidRDefault="00EB447D" w:rsidP="00EB447D">
                  <w:pPr>
                    <w:tabs>
                      <w:tab w:val="left" w:pos="780"/>
                    </w:tabs>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Cuantía</w:t>
                  </w:r>
                </w:p>
              </w:tc>
              <w:tc>
                <w:tcPr>
                  <w:tcW w:w="1196" w:type="dxa"/>
                  <w:shd w:val="clear" w:color="auto" w:fill="D9D9D9" w:themeFill="background1" w:themeFillShade="D9"/>
                  <w:vAlign w:val="center"/>
                  <w:hideMark/>
                </w:tcPr>
                <w:p w14:paraId="0BF6AAAB" w14:textId="77777777" w:rsidR="00EB447D" w:rsidRPr="00041DCD" w:rsidRDefault="00EB447D" w:rsidP="00EB447D">
                  <w:pPr>
                    <w:tabs>
                      <w:tab w:val="left" w:pos="780"/>
                    </w:tabs>
                    <w:jc w:val="center"/>
                    <w:rPr>
                      <w:rFonts w:ascii="Verdana" w:eastAsia="Helvetica Narrow" w:hAnsi="Verdana" w:cs="Helvetica Narrow"/>
                      <w:b/>
                      <w:bCs/>
                      <w:sz w:val="16"/>
                      <w:szCs w:val="16"/>
                    </w:rPr>
                  </w:pPr>
                  <w:r w:rsidRPr="00041DCD">
                    <w:rPr>
                      <w:rFonts w:ascii="Verdana" w:eastAsia="Helvetica Narrow" w:hAnsi="Verdana" w:cs="Helvetica Narrow"/>
                      <w:b/>
                      <w:bCs/>
                      <w:sz w:val="16"/>
                      <w:szCs w:val="16"/>
                    </w:rPr>
                    <w:t>Estado</w:t>
                  </w:r>
                </w:p>
              </w:tc>
            </w:tr>
            <w:tr w:rsidR="00EB447D" w:rsidRPr="00041DCD" w14:paraId="7878A63E" w14:textId="77777777" w:rsidTr="00CE0521">
              <w:trPr>
                <w:trHeight w:val="718"/>
              </w:trPr>
              <w:tc>
                <w:tcPr>
                  <w:tcW w:w="1862" w:type="dxa"/>
                  <w:vAlign w:val="center"/>
                  <w:hideMark/>
                </w:tcPr>
                <w:p w14:paraId="7D41EF41" w14:textId="0FD82B53" w:rsidR="00EB447D" w:rsidRPr="00041DCD" w:rsidRDefault="00354242" w:rsidP="00EB447D">
                  <w:pPr>
                    <w:ind w:left="44"/>
                    <w:jc w:val="center"/>
                    <w:rPr>
                      <w:rFonts w:ascii="Verdana" w:eastAsia="Helvetica Narrow" w:hAnsi="Verdana" w:cs="Helvetica Narrow"/>
                      <w:sz w:val="16"/>
                      <w:szCs w:val="16"/>
                    </w:rPr>
                  </w:pPr>
                  <w:r w:rsidRPr="00354242">
                    <w:rPr>
                      <w:rFonts w:ascii="Verdana" w:eastAsia="Helvetica Narrow" w:hAnsi="Verdana" w:cs="Helvetica Narrow"/>
                      <w:sz w:val="16"/>
                      <w:szCs w:val="16"/>
                    </w:rPr>
                    <w:t>INSTITUTO NACIONAL DE MEDICINA LEGAL Y CIENCIAS FORENSES</w:t>
                  </w:r>
                </w:p>
              </w:tc>
              <w:tc>
                <w:tcPr>
                  <w:tcW w:w="1300" w:type="dxa"/>
                  <w:vAlign w:val="center"/>
                  <w:hideMark/>
                </w:tcPr>
                <w:p w14:paraId="65847BAF" w14:textId="3CB7BE20" w:rsidR="00EB447D" w:rsidRPr="00041DCD" w:rsidRDefault="00354242" w:rsidP="00EB447D">
                  <w:pPr>
                    <w:tabs>
                      <w:tab w:val="left" w:pos="756"/>
                    </w:tabs>
                    <w:jc w:val="center"/>
                    <w:rPr>
                      <w:rFonts w:ascii="Verdana" w:eastAsia="Helvetica Narrow" w:hAnsi="Verdana" w:cs="Helvetica Narrow"/>
                      <w:sz w:val="16"/>
                      <w:szCs w:val="16"/>
                    </w:rPr>
                  </w:pPr>
                  <w:r w:rsidRPr="00354242">
                    <w:rPr>
                      <w:rFonts w:ascii="Verdana" w:eastAsia="Helvetica Narrow" w:hAnsi="Verdana" w:cs="Helvetica Narrow"/>
                      <w:sz w:val="16"/>
                      <w:szCs w:val="16"/>
                    </w:rPr>
                    <w:t>SASI-0001-DRNT-2025</w:t>
                  </w:r>
                </w:p>
              </w:tc>
              <w:tc>
                <w:tcPr>
                  <w:tcW w:w="1134" w:type="dxa"/>
                  <w:vAlign w:val="center"/>
                </w:tcPr>
                <w:p w14:paraId="2689D825" w14:textId="43A08E4E" w:rsidR="00EB447D" w:rsidRPr="00041DCD" w:rsidRDefault="00354242" w:rsidP="00EB447D">
                  <w:pPr>
                    <w:ind w:left="-53" w:right="7"/>
                    <w:jc w:val="center"/>
                    <w:rPr>
                      <w:rFonts w:ascii="Verdana" w:eastAsia="Helvetica Narrow" w:hAnsi="Verdana" w:cs="Helvetica Narrow"/>
                      <w:sz w:val="16"/>
                      <w:szCs w:val="16"/>
                    </w:rPr>
                  </w:pPr>
                  <w:r>
                    <w:rPr>
                      <w:rFonts w:ascii="Verdana" w:eastAsia="Helvetica Narrow" w:hAnsi="Verdana" w:cs="Helvetica Narrow"/>
                      <w:sz w:val="16"/>
                      <w:szCs w:val="16"/>
                    </w:rPr>
                    <w:t>Selección Abreviada Subasta Inversa</w:t>
                  </w:r>
                </w:p>
              </w:tc>
              <w:tc>
                <w:tcPr>
                  <w:tcW w:w="3386" w:type="dxa"/>
                  <w:vAlign w:val="center"/>
                  <w:hideMark/>
                </w:tcPr>
                <w:p w14:paraId="1135C8AE" w14:textId="08971135" w:rsidR="00EB447D" w:rsidRPr="00041DCD" w:rsidRDefault="00354242" w:rsidP="00EB447D">
                  <w:pPr>
                    <w:tabs>
                      <w:tab w:val="left" w:pos="1701"/>
                    </w:tabs>
                    <w:ind w:right="-3"/>
                    <w:jc w:val="both"/>
                    <w:rPr>
                      <w:rFonts w:ascii="Verdana" w:eastAsia="Helvetica Narrow" w:hAnsi="Verdana" w:cs="Helvetica Narrow"/>
                      <w:sz w:val="16"/>
                      <w:szCs w:val="16"/>
                    </w:rPr>
                  </w:pPr>
                  <w:r w:rsidRPr="00354242">
                    <w:rPr>
                      <w:rFonts w:ascii="Verdana" w:eastAsia="Helvetica Narrow" w:hAnsi="Verdana" w:cs="Helvetica Narrow"/>
                      <w:sz w:val="16"/>
                      <w:szCs w:val="16"/>
                    </w:rPr>
                    <w:t>ADQUISICIÓN DE UPS Y SUMINISTRO DE BATERÍAS PARA UNIDADES DE POTENCIA ININTERRUMPIDA, PARA EL INSTITUTO NACIONAL DE MEDICINA LEGAL Y CIENCIAS FORENSES /REGIONAL NORTE</w:t>
                  </w:r>
                  <w:r w:rsidR="00EB447D" w:rsidRPr="00041DCD">
                    <w:rPr>
                      <w:rFonts w:ascii="Verdana" w:eastAsia="Helvetica Narrow" w:hAnsi="Verdana" w:cs="Helvetica Narrow"/>
                      <w:sz w:val="16"/>
                      <w:szCs w:val="16"/>
                    </w:rPr>
                    <w:t>.</w:t>
                  </w:r>
                </w:p>
              </w:tc>
              <w:tc>
                <w:tcPr>
                  <w:tcW w:w="1518" w:type="dxa"/>
                  <w:vAlign w:val="center"/>
                  <w:hideMark/>
                </w:tcPr>
                <w:p w14:paraId="57606864" w14:textId="6BF06022" w:rsidR="00EB447D" w:rsidRPr="00041DCD" w:rsidRDefault="00EB447D" w:rsidP="00EB447D">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354242" w:rsidRPr="00354242">
                    <w:rPr>
                      <w:rFonts w:ascii="Verdana" w:hAnsi="Verdana"/>
                      <w:sz w:val="16"/>
                      <w:szCs w:val="16"/>
                    </w:rPr>
                    <w:t>71.475.201</w:t>
                  </w:r>
                </w:p>
              </w:tc>
              <w:tc>
                <w:tcPr>
                  <w:tcW w:w="1196" w:type="dxa"/>
                  <w:vAlign w:val="center"/>
                  <w:hideMark/>
                </w:tcPr>
                <w:p w14:paraId="2891B279" w14:textId="77777777" w:rsidR="00EB447D" w:rsidRPr="00041DCD" w:rsidRDefault="00EB447D" w:rsidP="00EB447D">
                  <w:pPr>
                    <w:tabs>
                      <w:tab w:val="left" w:pos="780"/>
                    </w:tabs>
                    <w:jc w:val="center"/>
                    <w:rPr>
                      <w:rFonts w:ascii="Verdana" w:eastAsia="Helvetica Narrow" w:hAnsi="Verdana" w:cs="Helvetica Narrow"/>
                      <w:sz w:val="16"/>
                      <w:szCs w:val="16"/>
                    </w:rPr>
                  </w:pPr>
                  <w:r w:rsidRPr="00041DCD">
                    <w:rPr>
                      <w:rFonts w:ascii="Verdana" w:hAnsi="Verdana"/>
                      <w:sz w:val="16"/>
                      <w:szCs w:val="16"/>
                      <w:lang w:eastAsia="es-CO"/>
                    </w:rPr>
                    <w:t>Proceso adjudicado y celebrado</w:t>
                  </w:r>
                </w:p>
              </w:tc>
            </w:tr>
            <w:tr w:rsidR="00EB447D" w:rsidRPr="00041DCD" w14:paraId="4B5DC8AE" w14:textId="77777777" w:rsidTr="00CE0521">
              <w:trPr>
                <w:trHeight w:val="422"/>
              </w:trPr>
              <w:tc>
                <w:tcPr>
                  <w:tcW w:w="1862" w:type="dxa"/>
                  <w:vAlign w:val="center"/>
                  <w:hideMark/>
                </w:tcPr>
                <w:p w14:paraId="478E9401" w14:textId="5C8E609E" w:rsidR="00EB447D" w:rsidRPr="00041DCD" w:rsidRDefault="00CE0521" w:rsidP="00EB447D">
                  <w:pPr>
                    <w:ind w:left="44"/>
                    <w:jc w:val="center"/>
                    <w:rPr>
                      <w:rFonts w:ascii="Verdana" w:eastAsia="Helvetica Narrow" w:hAnsi="Verdana" w:cs="Helvetica Narrow"/>
                      <w:sz w:val="16"/>
                      <w:szCs w:val="16"/>
                    </w:rPr>
                  </w:pPr>
                  <w:r w:rsidRPr="00CE0521">
                    <w:rPr>
                      <w:rFonts w:ascii="Verdana" w:eastAsia="Helvetica Narrow" w:hAnsi="Verdana" w:cs="Helvetica Narrow"/>
                      <w:sz w:val="16"/>
                      <w:szCs w:val="16"/>
                    </w:rPr>
                    <w:lastRenderedPageBreak/>
                    <w:t>DIRECCION EJECUTIVA SECCIONAL RIOHACHA</w:t>
                  </w:r>
                </w:p>
              </w:tc>
              <w:tc>
                <w:tcPr>
                  <w:tcW w:w="1300" w:type="dxa"/>
                  <w:vAlign w:val="center"/>
                  <w:hideMark/>
                </w:tcPr>
                <w:p w14:paraId="43D0D164" w14:textId="4F18E767" w:rsidR="00EB447D" w:rsidRPr="00041DCD" w:rsidRDefault="00CE0521" w:rsidP="00EB447D">
                  <w:pPr>
                    <w:jc w:val="center"/>
                    <w:rPr>
                      <w:rFonts w:ascii="Verdana" w:eastAsia="Helvetica Narrow" w:hAnsi="Verdana" w:cs="Helvetica Narrow"/>
                      <w:sz w:val="16"/>
                      <w:szCs w:val="16"/>
                    </w:rPr>
                  </w:pPr>
                  <w:r w:rsidRPr="00CE0521">
                    <w:rPr>
                      <w:rFonts w:ascii="Verdana" w:eastAsia="Helvetica Narrow" w:hAnsi="Verdana" w:cs="Helvetica Narrow"/>
                      <w:sz w:val="16"/>
                      <w:szCs w:val="16"/>
                    </w:rPr>
                    <w:t>MC-DR-14-2025</w:t>
                  </w:r>
                </w:p>
              </w:tc>
              <w:tc>
                <w:tcPr>
                  <w:tcW w:w="1134" w:type="dxa"/>
                  <w:vAlign w:val="center"/>
                </w:tcPr>
                <w:p w14:paraId="3CFDB9CD" w14:textId="63551CE6" w:rsidR="00EB447D" w:rsidRPr="00041DCD" w:rsidRDefault="00CE0521" w:rsidP="00EB447D">
                  <w:pPr>
                    <w:ind w:left="-53"/>
                    <w:jc w:val="center"/>
                    <w:rPr>
                      <w:rFonts w:ascii="Verdana" w:eastAsia="Helvetica Narrow" w:hAnsi="Verdana" w:cs="Helvetica Narrow"/>
                      <w:sz w:val="16"/>
                      <w:szCs w:val="16"/>
                    </w:rPr>
                  </w:pPr>
                  <w:r w:rsidRPr="00041DCD">
                    <w:rPr>
                      <w:rFonts w:ascii="Verdana" w:eastAsia="Helvetica Narrow" w:hAnsi="Verdana" w:cs="Helvetica Narrow"/>
                      <w:sz w:val="16"/>
                      <w:szCs w:val="16"/>
                    </w:rPr>
                    <w:t>Mínima Cuantía</w:t>
                  </w:r>
                </w:p>
              </w:tc>
              <w:tc>
                <w:tcPr>
                  <w:tcW w:w="3386" w:type="dxa"/>
                  <w:vAlign w:val="center"/>
                  <w:hideMark/>
                </w:tcPr>
                <w:p w14:paraId="6CCDCA75" w14:textId="15B8AB55" w:rsidR="00EB447D" w:rsidRPr="00041DCD" w:rsidRDefault="00CE0521" w:rsidP="00EB447D">
                  <w:pPr>
                    <w:tabs>
                      <w:tab w:val="left" w:pos="1701"/>
                    </w:tabs>
                    <w:ind w:right="-3"/>
                    <w:jc w:val="both"/>
                    <w:rPr>
                      <w:rFonts w:ascii="Verdana" w:eastAsia="Helvetica Narrow" w:hAnsi="Verdana" w:cs="Helvetica Narrow"/>
                      <w:sz w:val="16"/>
                      <w:szCs w:val="16"/>
                    </w:rPr>
                  </w:pPr>
                  <w:r w:rsidRPr="00CE0521">
                    <w:rPr>
                      <w:rFonts w:ascii="Verdana" w:eastAsia="Helvetica Narrow" w:hAnsi="Verdana" w:cs="Helvetica Narrow"/>
                      <w:sz w:val="16"/>
                      <w:szCs w:val="16"/>
                    </w:rPr>
                    <w:t>ADQUISICIÓN DE UPS</w:t>
                  </w:r>
                  <w:r w:rsidR="00EB447D" w:rsidRPr="00543A0B">
                    <w:rPr>
                      <w:rFonts w:ascii="Verdana" w:eastAsia="Helvetica Narrow" w:hAnsi="Verdana" w:cs="Helvetica Narrow"/>
                      <w:sz w:val="16"/>
                      <w:szCs w:val="16"/>
                    </w:rPr>
                    <w:t>.</w:t>
                  </w:r>
                </w:p>
              </w:tc>
              <w:tc>
                <w:tcPr>
                  <w:tcW w:w="1518" w:type="dxa"/>
                  <w:vAlign w:val="center"/>
                  <w:hideMark/>
                </w:tcPr>
                <w:p w14:paraId="2DDCD44E" w14:textId="4C54CAAE" w:rsidR="00EB447D" w:rsidRPr="00041DCD" w:rsidRDefault="00EB447D" w:rsidP="00EB447D">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CE0521" w:rsidRPr="00CE0521">
                    <w:rPr>
                      <w:rFonts w:ascii="Verdana" w:hAnsi="Verdana"/>
                      <w:sz w:val="16"/>
                      <w:szCs w:val="16"/>
                    </w:rPr>
                    <w:t>68.243.238</w:t>
                  </w:r>
                </w:p>
              </w:tc>
              <w:tc>
                <w:tcPr>
                  <w:tcW w:w="1196" w:type="dxa"/>
                  <w:vAlign w:val="center"/>
                  <w:hideMark/>
                </w:tcPr>
                <w:p w14:paraId="0BC97A19" w14:textId="77777777" w:rsidR="00EB447D" w:rsidRPr="00041DCD" w:rsidRDefault="00EB447D" w:rsidP="00EB447D">
                  <w:pPr>
                    <w:tabs>
                      <w:tab w:val="left" w:pos="780"/>
                    </w:tabs>
                    <w:jc w:val="center"/>
                    <w:rPr>
                      <w:rFonts w:ascii="Verdana" w:eastAsia="Helvetica Narrow" w:hAnsi="Verdana" w:cs="Helvetica Narrow"/>
                      <w:sz w:val="16"/>
                      <w:szCs w:val="16"/>
                    </w:rPr>
                  </w:pPr>
                  <w:r w:rsidRPr="00041DCD">
                    <w:rPr>
                      <w:rFonts w:ascii="Verdana" w:hAnsi="Verdana"/>
                      <w:sz w:val="16"/>
                      <w:szCs w:val="16"/>
                      <w:lang w:eastAsia="es-CO"/>
                    </w:rPr>
                    <w:t>Proceso adjudicado y celebrado</w:t>
                  </w:r>
                </w:p>
              </w:tc>
            </w:tr>
            <w:tr w:rsidR="00EB447D" w:rsidRPr="00041DCD" w14:paraId="23B468D7" w14:textId="77777777" w:rsidTr="00CE0521">
              <w:trPr>
                <w:trHeight w:val="687"/>
              </w:trPr>
              <w:tc>
                <w:tcPr>
                  <w:tcW w:w="1862" w:type="dxa"/>
                  <w:vAlign w:val="center"/>
                </w:tcPr>
                <w:p w14:paraId="67E88C82" w14:textId="49D1B4F3" w:rsidR="00EB447D" w:rsidRPr="00041DCD" w:rsidRDefault="00CE0521" w:rsidP="00EB447D">
                  <w:pPr>
                    <w:ind w:left="44"/>
                    <w:jc w:val="center"/>
                    <w:rPr>
                      <w:rFonts w:ascii="Verdana" w:eastAsia="Helvetica Narrow" w:hAnsi="Verdana" w:cs="Helvetica Narrow"/>
                      <w:sz w:val="16"/>
                      <w:szCs w:val="16"/>
                    </w:rPr>
                  </w:pPr>
                  <w:r w:rsidRPr="00CE0521">
                    <w:rPr>
                      <w:rFonts w:ascii="Verdana" w:eastAsia="Helvetica Narrow" w:hAnsi="Verdana" w:cs="Helvetica Narrow"/>
                      <w:sz w:val="16"/>
                      <w:szCs w:val="16"/>
                    </w:rPr>
                    <w:t>DEPARTAMENTO DE CUNDINAMARCA- SECRETARIA DE SALUD</w:t>
                  </w:r>
                </w:p>
              </w:tc>
              <w:tc>
                <w:tcPr>
                  <w:tcW w:w="1300" w:type="dxa"/>
                  <w:vAlign w:val="center"/>
                </w:tcPr>
                <w:p w14:paraId="5F633423" w14:textId="0C28A0B2" w:rsidR="00EB447D" w:rsidRPr="00041DCD" w:rsidRDefault="00CE0521" w:rsidP="00EB447D">
                  <w:pPr>
                    <w:jc w:val="center"/>
                    <w:rPr>
                      <w:rFonts w:ascii="Verdana" w:eastAsia="Helvetica Narrow" w:hAnsi="Verdana" w:cs="Helvetica Narrow"/>
                      <w:sz w:val="16"/>
                      <w:szCs w:val="16"/>
                    </w:rPr>
                  </w:pPr>
                  <w:r w:rsidRPr="00CE0521">
                    <w:rPr>
                      <w:rFonts w:ascii="Verdana" w:eastAsia="Helvetica Narrow" w:hAnsi="Verdana" w:cs="Helvetica Narrow"/>
                      <w:sz w:val="16"/>
                      <w:szCs w:val="16"/>
                    </w:rPr>
                    <w:t>SS-SA-CV-005-2025</w:t>
                  </w:r>
                </w:p>
              </w:tc>
              <w:tc>
                <w:tcPr>
                  <w:tcW w:w="1134" w:type="dxa"/>
                  <w:vAlign w:val="center"/>
                </w:tcPr>
                <w:p w14:paraId="7BD4058B" w14:textId="238576F7" w:rsidR="00EB447D" w:rsidRPr="00041DCD" w:rsidRDefault="00CE0521" w:rsidP="00EB447D">
                  <w:pPr>
                    <w:ind w:left="-53"/>
                    <w:jc w:val="center"/>
                    <w:rPr>
                      <w:rFonts w:ascii="Verdana" w:eastAsia="Helvetica Narrow" w:hAnsi="Verdana" w:cs="Helvetica Narrow"/>
                      <w:sz w:val="16"/>
                      <w:szCs w:val="16"/>
                    </w:rPr>
                  </w:pPr>
                  <w:r>
                    <w:rPr>
                      <w:rFonts w:ascii="Verdana" w:eastAsia="Helvetica Narrow" w:hAnsi="Verdana" w:cs="Helvetica Narrow"/>
                      <w:sz w:val="16"/>
                      <w:szCs w:val="16"/>
                    </w:rPr>
                    <w:t>Selección Abreviada Subasta Inversa</w:t>
                  </w:r>
                </w:p>
              </w:tc>
              <w:tc>
                <w:tcPr>
                  <w:tcW w:w="3386" w:type="dxa"/>
                  <w:vAlign w:val="center"/>
                </w:tcPr>
                <w:p w14:paraId="0FE595BE" w14:textId="1CC023CD" w:rsidR="00EB447D" w:rsidRPr="00041DCD" w:rsidRDefault="00CE0521" w:rsidP="00EB447D">
                  <w:pPr>
                    <w:tabs>
                      <w:tab w:val="left" w:pos="1701"/>
                    </w:tabs>
                    <w:ind w:right="-3"/>
                    <w:jc w:val="both"/>
                    <w:rPr>
                      <w:rFonts w:ascii="Verdana" w:eastAsia="Helvetica Narrow" w:hAnsi="Verdana" w:cs="Helvetica Narrow"/>
                      <w:sz w:val="16"/>
                      <w:szCs w:val="16"/>
                    </w:rPr>
                  </w:pPr>
                  <w:r w:rsidRPr="00CE0521">
                    <w:rPr>
                      <w:rFonts w:ascii="Verdana" w:eastAsia="Helvetica Narrow" w:hAnsi="Verdana" w:cs="Helvetica Narrow"/>
                      <w:sz w:val="16"/>
                      <w:szCs w:val="16"/>
                    </w:rPr>
                    <w:t>ADQUISICIÓN DE UPS PARA FORTALECER LA RED DE FRÍO</w:t>
                  </w:r>
                  <w:r w:rsidR="00EB447D" w:rsidRPr="00041DCD">
                    <w:rPr>
                      <w:rFonts w:ascii="Verdana" w:eastAsia="Helvetica Narrow" w:hAnsi="Verdana" w:cs="Helvetica Narrow"/>
                      <w:sz w:val="16"/>
                      <w:szCs w:val="16"/>
                    </w:rPr>
                    <w:t>.</w:t>
                  </w:r>
                </w:p>
              </w:tc>
              <w:tc>
                <w:tcPr>
                  <w:tcW w:w="1518" w:type="dxa"/>
                  <w:vAlign w:val="center"/>
                </w:tcPr>
                <w:p w14:paraId="75AE5164" w14:textId="7A194FBA" w:rsidR="00EB447D" w:rsidRPr="00041DCD" w:rsidRDefault="00EB447D" w:rsidP="00EB447D">
                  <w:pPr>
                    <w:tabs>
                      <w:tab w:val="left" w:pos="780"/>
                    </w:tabs>
                    <w:jc w:val="center"/>
                    <w:rPr>
                      <w:rFonts w:ascii="Verdana" w:eastAsia="Helvetica Narrow" w:hAnsi="Verdana" w:cs="Helvetica Narrow"/>
                      <w:sz w:val="16"/>
                      <w:szCs w:val="16"/>
                    </w:rPr>
                  </w:pPr>
                  <w:r w:rsidRPr="00041DCD">
                    <w:rPr>
                      <w:rFonts w:ascii="Verdana" w:eastAsia="Helvetica Narrow" w:hAnsi="Verdana" w:cs="Helvetica Narrow"/>
                      <w:sz w:val="16"/>
                      <w:szCs w:val="16"/>
                    </w:rPr>
                    <w:t>$</w:t>
                  </w:r>
                  <w:r w:rsidR="00CE0521" w:rsidRPr="00CE0521">
                    <w:rPr>
                      <w:rFonts w:ascii="Verdana" w:eastAsia="Helvetica Narrow" w:hAnsi="Verdana" w:cs="Helvetica Narrow"/>
                      <w:sz w:val="16"/>
                      <w:szCs w:val="16"/>
                    </w:rPr>
                    <w:t>414.120.000</w:t>
                  </w:r>
                </w:p>
              </w:tc>
              <w:tc>
                <w:tcPr>
                  <w:tcW w:w="1196" w:type="dxa"/>
                  <w:vAlign w:val="center"/>
                </w:tcPr>
                <w:p w14:paraId="3B757273" w14:textId="77777777" w:rsidR="00EB447D" w:rsidRPr="00041DCD" w:rsidRDefault="00EB447D" w:rsidP="00EB447D">
                  <w:pPr>
                    <w:tabs>
                      <w:tab w:val="left" w:pos="780"/>
                    </w:tabs>
                    <w:jc w:val="center"/>
                    <w:rPr>
                      <w:rFonts w:ascii="Verdana" w:hAnsi="Verdana"/>
                      <w:sz w:val="16"/>
                      <w:szCs w:val="16"/>
                      <w:lang w:eastAsia="es-CO"/>
                    </w:rPr>
                  </w:pPr>
                  <w:r w:rsidRPr="00041DCD">
                    <w:rPr>
                      <w:rFonts w:ascii="Verdana" w:hAnsi="Verdana"/>
                      <w:sz w:val="16"/>
                      <w:szCs w:val="16"/>
                      <w:lang w:eastAsia="es-CO"/>
                    </w:rPr>
                    <w:t>Proceso adjudicado y celebrado</w:t>
                  </w:r>
                </w:p>
              </w:tc>
            </w:tr>
          </w:tbl>
          <w:p w14:paraId="6C12A755" w14:textId="77777777" w:rsidR="00AD65E2" w:rsidRDefault="00AD65E2" w:rsidP="00690B77">
            <w:pPr>
              <w:spacing w:before="91" w:line="280" w:lineRule="exact"/>
              <w:jc w:val="both"/>
              <w:rPr>
                <w:rFonts w:ascii="Verdana" w:hAnsi="Verdana" w:cs="Arial"/>
                <w:b/>
                <w:sz w:val="22"/>
                <w:szCs w:val="22"/>
                <w:u w:val="single"/>
              </w:rPr>
            </w:pPr>
          </w:p>
          <w:p w14:paraId="1087A5F9" w14:textId="5EFB5C59" w:rsidR="00690B77" w:rsidRPr="00827E83" w:rsidRDefault="00690B77" w:rsidP="00690B77">
            <w:pPr>
              <w:spacing w:before="91" w:line="280" w:lineRule="exact"/>
              <w:jc w:val="both"/>
              <w:rPr>
                <w:rFonts w:ascii="Verdana" w:hAnsi="Verdana" w:cs="Arial"/>
                <w:b/>
                <w:sz w:val="22"/>
                <w:szCs w:val="22"/>
                <w:u w:val="single"/>
              </w:rPr>
            </w:pPr>
            <w:r w:rsidRPr="00827E83">
              <w:rPr>
                <w:rFonts w:ascii="Verdana" w:hAnsi="Verdana" w:cs="Arial"/>
                <w:b/>
                <w:sz w:val="22"/>
                <w:szCs w:val="22"/>
                <w:u w:val="single"/>
              </w:rPr>
              <w:t xml:space="preserve">Análisis de la Oferta y del </w:t>
            </w:r>
            <w:r w:rsidRPr="00827E83">
              <w:rPr>
                <w:rFonts w:ascii="Verdana" w:hAnsi="Verdana" w:cs="TimesNewRomanPS-BoldMT"/>
                <w:b/>
                <w:bCs/>
                <w:sz w:val="22"/>
                <w:szCs w:val="22"/>
                <w:u w:val="single"/>
                <w:lang w:eastAsia="es-ES"/>
              </w:rPr>
              <w:t>Sector Relativo a las MIPYMES.</w:t>
            </w:r>
          </w:p>
          <w:p w14:paraId="3EF705F1" w14:textId="77777777" w:rsidR="00690B77" w:rsidRPr="00827E83" w:rsidRDefault="00690B77" w:rsidP="00690B77">
            <w:pPr>
              <w:ind w:right="-1"/>
              <w:jc w:val="both"/>
              <w:rPr>
                <w:rFonts w:ascii="Verdana" w:hAnsi="Verdana"/>
                <w:b/>
                <w:sz w:val="22"/>
                <w:szCs w:val="22"/>
              </w:rPr>
            </w:pPr>
          </w:p>
          <w:p w14:paraId="17A2399C" w14:textId="25ABC924" w:rsidR="00DA0C16" w:rsidRPr="00827E83" w:rsidRDefault="00690B77" w:rsidP="00690B77">
            <w:pPr>
              <w:ind w:right="104"/>
              <w:jc w:val="both"/>
              <w:rPr>
                <w:rFonts w:ascii="Verdana" w:hAnsi="Verdana" w:cs="Arial"/>
                <w:sz w:val="22"/>
                <w:szCs w:val="22"/>
              </w:rPr>
            </w:pPr>
            <w:r w:rsidRPr="00827E83">
              <w:rPr>
                <w:rFonts w:ascii="Verdana" w:hAnsi="Verdana" w:cs="Arial"/>
                <w:sz w:val="22"/>
                <w:szCs w:val="22"/>
              </w:rPr>
              <w:t>De otra parte, se efectuó análisis a través de la herramienta Abastecimiento Estratégico de CCE, evidenciando lo siguiente:</w:t>
            </w:r>
          </w:p>
          <w:p w14:paraId="1158F560" w14:textId="4CD434EA" w:rsidR="00DA0C16" w:rsidRDefault="00DA0C16" w:rsidP="00EE30B7">
            <w:pPr>
              <w:ind w:right="104"/>
              <w:jc w:val="both"/>
              <w:rPr>
                <w:rFonts w:ascii="Verdana" w:hAnsi="Verdana" w:cs="Arial"/>
                <w:b/>
                <w:sz w:val="22"/>
                <w:szCs w:val="22"/>
              </w:rPr>
            </w:pPr>
          </w:p>
          <w:p w14:paraId="5CB87C33" w14:textId="6807E68E" w:rsidR="00EC21D8" w:rsidRDefault="00EC21D8" w:rsidP="00EE30B7">
            <w:pPr>
              <w:ind w:right="104"/>
              <w:jc w:val="both"/>
              <w:rPr>
                <w:rFonts w:ascii="Verdana" w:hAnsi="Verdana" w:cs="Arial"/>
                <w:b/>
                <w:sz w:val="22"/>
                <w:szCs w:val="22"/>
              </w:rPr>
            </w:pPr>
            <w:r w:rsidRPr="00EC21D8">
              <w:rPr>
                <w:rFonts w:ascii="Verdana" w:hAnsi="Verdana" w:cs="Arial"/>
                <w:b/>
                <w:noProof/>
                <w:sz w:val="22"/>
                <w:szCs w:val="22"/>
              </w:rPr>
              <w:drawing>
                <wp:inline distT="0" distB="0" distL="0" distR="0" wp14:anchorId="1224C6BB" wp14:editId="09BF54D6">
                  <wp:extent cx="6638872" cy="3616657"/>
                  <wp:effectExtent l="0" t="0" r="0" b="3175"/>
                  <wp:docPr id="10557242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24240" name=""/>
                          <pic:cNvPicPr/>
                        </pic:nvPicPr>
                        <pic:blipFill>
                          <a:blip r:embed="rId21"/>
                          <a:stretch>
                            <a:fillRect/>
                          </a:stretch>
                        </pic:blipFill>
                        <pic:spPr>
                          <a:xfrm>
                            <a:off x="0" y="0"/>
                            <a:ext cx="6648025" cy="3621643"/>
                          </a:xfrm>
                          <a:prstGeom prst="rect">
                            <a:avLst/>
                          </a:prstGeom>
                        </pic:spPr>
                      </pic:pic>
                    </a:graphicData>
                  </a:graphic>
                </wp:inline>
              </w:drawing>
            </w:r>
          </w:p>
          <w:p w14:paraId="5D349152" w14:textId="6C2A738C" w:rsidR="00EB447D" w:rsidRPr="00827E83" w:rsidRDefault="00EC21D8" w:rsidP="00EE30B7">
            <w:pPr>
              <w:ind w:right="104"/>
              <w:jc w:val="both"/>
              <w:rPr>
                <w:rFonts w:ascii="Verdana" w:hAnsi="Verdana" w:cs="Arial"/>
                <w:b/>
                <w:sz w:val="22"/>
                <w:szCs w:val="22"/>
              </w:rPr>
            </w:pPr>
            <w:r w:rsidRPr="00EC21D8">
              <w:rPr>
                <w:rFonts w:ascii="Verdana" w:hAnsi="Verdana" w:cs="Arial"/>
                <w:b/>
                <w:noProof/>
                <w:sz w:val="22"/>
                <w:szCs w:val="22"/>
              </w:rPr>
              <w:drawing>
                <wp:inline distT="0" distB="0" distL="0" distR="0" wp14:anchorId="339FA3CB" wp14:editId="46ED3582">
                  <wp:extent cx="6658447" cy="2163171"/>
                  <wp:effectExtent l="0" t="0" r="0" b="8890"/>
                  <wp:docPr id="1791094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94521" name=""/>
                          <pic:cNvPicPr/>
                        </pic:nvPicPr>
                        <pic:blipFill>
                          <a:blip r:embed="rId22"/>
                          <a:stretch>
                            <a:fillRect/>
                          </a:stretch>
                        </pic:blipFill>
                        <pic:spPr>
                          <a:xfrm>
                            <a:off x="0" y="0"/>
                            <a:ext cx="6670574" cy="2167111"/>
                          </a:xfrm>
                          <a:prstGeom prst="rect">
                            <a:avLst/>
                          </a:prstGeom>
                        </pic:spPr>
                      </pic:pic>
                    </a:graphicData>
                  </a:graphic>
                </wp:inline>
              </w:drawing>
            </w:r>
          </w:p>
          <w:p w14:paraId="03FEE28F" w14:textId="527BF155" w:rsidR="00E43104" w:rsidRDefault="00EC21D8" w:rsidP="00EE30B7">
            <w:pPr>
              <w:ind w:right="104"/>
              <w:jc w:val="both"/>
              <w:rPr>
                <w:rFonts w:ascii="Verdana" w:hAnsi="Verdana" w:cs="Arial"/>
                <w:b/>
              </w:rPr>
            </w:pPr>
            <w:r w:rsidRPr="00EC21D8">
              <w:rPr>
                <w:rFonts w:ascii="Verdana" w:hAnsi="Verdana" w:cs="Arial"/>
                <w:b/>
                <w:noProof/>
              </w:rPr>
              <w:lastRenderedPageBreak/>
              <w:drawing>
                <wp:inline distT="0" distB="0" distL="0" distR="0" wp14:anchorId="77E627E9" wp14:editId="4B0F80D1">
                  <wp:extent cx="6646460" cy="3753324"/>
                  <wp:effectExtent l="0" t="0" r="2540" b="0"/>
                  <wp:docPr id="450117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17686" name=""/>
                          <pic:cNvPicPr/>
                        </pic:nvPicPr>
                        <pic:blipFill>
                          <a:blip r:embed="rId23"/>
                          <a:stretch>
                            <a:fillRect/>
                          </a:stretch>
                        </pic:blipFill>
                        <pic:spPr>
                          <a:xfrm>
                            <a:off x="0" y="0"/>
                            <a:ext cx="6650000" cy="3755323"/>
                          </a:xfrm>
                          <a:prstGeom prst="rect">
                            <a:avLst/>
                          </a:prstGeom>
                        </pic:spPr>
                      </pic:pic>
                    </a:graphicData>
                  </a:graphic>
                </wp:inline>
              </w:drawing>
            </w:r>
          </w:p>
          <w:p w14:paraId="1B16C469" w14:textId="57B44D5A" w:rsidR="00490C5B" w:rsidRPr="005E4BF2" w:rsidRDefault="00EC21D8" w:rsidP="00EE30B7">
            <w:pPr>
              <w:ind w:right="104"/>
              <w:jc w:val="both"/>
              <w:rPr>
                <w:rFonts w:ascii="Verdana" w:hAnsi="Verdana" w:cs="Arial"/>
                <w:b/>
              </w:rPr>
            </w:pPr>
            <w:r w:rsidRPr="00EC21D8">
              <w:rPr>
                <w:rFonts w:ascii="Verdana" w:hAnsi="Verdana" w:cs="Arial"/>
                <w:b/>
                <w:noProof/>
              </w:rPr>
              <w:drawing>
                <wp:inline distT="0" distB="0" distL="0" distR="0" wp14:anchorId="3B086111" wp14:editId="038F3FC6">
                  <wp:extent cx="6644902" cy="2026692"/>
                  <wp:effectExtent l="0" t="0" r="3810" b="0"/>
                  <wp:docPr id="7795344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534455" name=""/>
                          <pic:cNvPicPr/>
                        </pic:nvPicPr>
                        <pic:blipFill>
                          <a:blip r:embed="rId24"/>
                          <a:stretch>
                            <a:fillRect/>
                          </a:stretch>
                        </pic:blipFill>
                        <pic:spPr>
                          <a:xfrm>
                            <a:off x="0" y="0"/>
                            <a:ext cx="6653448" cy="2029299"/>
                          </a:xfrm>
                          <a:prstGeom prst="rect">
                            <a:avLst/>
                          </a:prstGeom>
                        </pic:spPr>
                      </pic:pic>
                    </a:graphicData>
                  </a:graphic>
                </wp:inline>
              </w:drawing>
            </w:r>
          </w:p>
          <w:p w14:paraId="77E298AA" w14:textId="7485A0D0" w:rsidR="001D00E3" w:rsidRPr="005E4BF2" w:rsidRDefault="00F15826" w:rsidP="00EE30B7">
            <w:pPr>
              <w:ind w:right="104"/>
              <w:jc w:val="both"/>
              <w:rPr>
                <w:rFonts w:ascii="Verdana" w:hAnsi="Verdana" w:cs="Arial"/>
                <w:b/>
              </w:rPr>
            </w:pPr>
            <w:r w:rsidRPr="00F15826">
              <w:rPr>
                <w:rFonts w:ascii="Verdana" w:hAnsi="Verdana" w:cs="Arial"/>
                <w:b/>
                <w:noProof/>
              </w:rPr>
              <w:drawing>
                <wp:inline distT="0" distB="0" distL="0" distR="0" wp14:anchorId="45774F10" wp14:editId="15899AAB">
                  <wp:extent cx="6609843" cy="2306472"/>
                  <wp:effectExtent l="0" t="0" r="635" b="0"/>
                  <wp:docPr id="1740087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87878" name=""/>
                          <pic:cNvPicPr/>
                        </pic:nvPicPr>
                        <pic:blipFill>
                          <a:blip r:embed="rId25"/>
                          <a:stretch>
                            <a:fillRect/>
                          </a:stretch>
                        </pic:blipFill>
                        <pic:spPr>
                          <a:xfrm>
                            <a:off x="0" y="0"/>
                            <a:ext cx="6630028" cy="2313515"/>
                          </a:xfrm>
                          <a:prstGeom prst="rect">
                            <a:avLst/>
                          </a:prstGeom>
                        </pic:spPr>
                      </pic:pic>
                    </a:graphicData>
                  </a:graphic>
                </wp:inline>
              </w:drawing>
            </w:r>
          </w:p>
          <w:p w14:paraId="2311607E" w14:textId="4142574B" w:rsidR="001D00E3" w:rsidRPr="005E4BF2" w:rsidRDefault="00D0469B" w:rsidP="00EE30B7">
            <w:pPr>
              <w:ind w:right="104"/>
              <w:jc w:val="both"/>
              <w:rPr>
                <w:rFonts w:ascii="Verdana" w:hAnsi="Verdana" w:cs="Arial"/>
              </w:rPr>
            </w:pPr>
            <w:r w:rsidRPr="005E4BF2">
              <w:rPr>
                <w:rFonts w:ascii="Verdana" w:hAnsi="Verdana" w:cs="Arial"/>
              </w:rPr>
              <w:lastRenderedPageBreak/>
              <w:t>Fuente: Modelo de abastecimiento estratégico Colombia Compra Eficiente.</w:t>
            </w:r>
          </w:p>
          <w:p w14:paraId="2463F52C" w14:textId="1B72E093" w:rsidR="001D00E3" w:rsidRPr="000A296C" w:rsidRDefault="001D00E3" w:rsidP="00EE30B7">
            <w:pPr>
              <w:ind w:right="104"/>
              <w:jc w:val="both"/>
              <w:rPr>
                <w:rFonts w:ascii="Verdana" w:hAnsi="Verdana" w:cs="Arial"/>
                <w:b/>
                <w:sz w:val="22"/>
                <w:szCs w:val="22"/>
              </w:rPr>
            </w:pPr>
          </w:p>
          <w:p w14:paraId="675C6310" w14:textId="3DF76852" w:rsidR="00690B77" w:rsidRPr="000A296C" w:rsidRDefault="00AF4890" w:rsidP="00690B77">
            <w:pPr>
              <w:jc w:val="both"/>
              <w:rPr>
                <w:rFonts w:ascii="Verdana" w:hAnsi="Verdana"/>
                <w:sz w:val="22"/>
                <w:szCs w:val="22"/>
                <w:lang w:eastAsia="en-US"/>
              </w:rPr>
            </w:pPr>
            <w:r w:rsidRPr="00AF4890">
              <w:rPr>
                <w:rFonts w:ascii="Verdana" w:hAnsi="Verdana" w:cs="Arial"/>
                <w:sz w:val="22"/>
                <w:szCs w:val="22"/>
              </w:rPr>
              <w:t>De lo anterior, se puede concluir que este tipo de contratos se adelantan con más frecuencia durante los meses de ju</w:t>
            </w:r>
            <w:r w:rsidR="00F15826">
              <w:rPr>
                <w:rFonts w:ascii="Verdana" w:hAnsi="Verdana" w:cs="Arial"/>
                <w:sz w:val="22"/>
                <w:szCs w:val="22"/>
              </w:rPr>
              <w:t>l</w:t>
            </w:r>
            <w:r w:rsidRPr="00AF4890">
              <w:rPr>
                <w:rFonts w:ascii="Verdana" w:hAnsi="Verdana" w:cs="Arial"/>
                <w:sz w:val="22"/>
                <w:szCs w:val="22"/>
              </w:rPr>
              <w:t xml:space="preserve">io, </w:t>
            </w:r>
            <w:r w:rsidR="00F15826">
              <w:rPr>
                <w:rFonts w:ascii="Verdana" w:hAnsi="Verdana" w:cs="Arial"/>
                <w:sz w:val="22"/>
                <w:szCs w:val="22"/>
              </w:rPr>
              <w:t>octubre</w:t>
            </w:r>
            <w:r w:rsidRPr="00AF4890">
              <w:rPr>
                <w:rFonts w:ascii="Verdana" w:hAnsi="Verdana" w:cs="Arial"/>
                <w:sz w:val="22"/>
                <w:szCs w:val="22"/>
              </w:rPr>
              <w:t xml:space="preserve"> y diciembre, que en los procesos analizados no se presentaron proveedores en unión temporal o consorcio y que las modalidades de contratación más utilizada corresponde a minina cuantía</w:t>
            </w:r>
            <w:r w:rsidR="00F15826">
              <w:rPr>
                <w:rFonts w:ascii="Verdana" w:hAnsi="Verdana" w:cs="Arial"/>
                <w:sz w:val="22"/>
                <w:szCs w:val="22"/>
              </w:rPr>
              <w:t xml:space="preserve"> y selección abreviada por subasta inversa</w:t>
            </w:r>
            <w:r w:rsidR="00690B77" w:rsidRPr="000A296C">
              <w:rPr>
                <w:rFonts w:ascii="Verdana" w:hAnsi="Verdana" w:cs="Arial"/>
                <w:sz w:val="22"/>
                <w:szCs w:val="22"/>
              </w:rPr>
              <w:t>.</w:t>
            </w:r>
          </w:p>
          <w:p w14:paraId="5E514855" w14:textId="77777777" w:rsidR="00690B77" w:rsidRPr="000A296C" w:rsidRDefault="00690B77" w:rsidP="00690B77">
            <w:pPr>
              <w:jc w:val="both"/>
              <w:rPr>
                <w:rFonts w:ascii="Verdana" w:hAnsi="Verdana"/>
                <w:sz w:val="22"/>
                <w:szCs w:val="22"/>
                <w:lang w:eastAsia="en-US"/>
              </w:rPr>
            </w:pPr>
          </w:p>
          <w:p w14:paraId="6F50D7D1" w14:textId="77777777" w:rsidR="00690B77" w:rsidRPr="000A296C" w:rsidRDefault="00690B77" w:rsidP="00690B77">
            <w:pPr>
              <w:jc w:val="both"/>
              <w:rPr>
                <w:rFonts w:ascii="Verdana" w:hAnsi="Verdana"/>
                <w:sz w:val="22"/>
                <w:szCs w:val="22"/>
                <w:lang w:eastAsia="en-US"/>
              </w:rPr>
            </w:pPr>
            <w:r w:rsidRPr="000A296C">
              <w:rPr>
                <w:rFonts w:ascii="Verdana" w:hAnsi="Verdana"/>
                <w:sz w:val="22"/>
                <w:szCs w:val="22"/>
                <w:lang w:eastAsia="en-US"/>
              </w:rPr>
              <w:t>Considerando que el artículo 33 de la Ley 2069 de 2020, por medio se modifica el artículo 12 de la ley 590 de 2000 establece que: “Deberán en el Análisis de Sector identificar las MIPYMES que podrían ser potenciales proveedoras directas o indirectas, con el fin de definir reglas que promuevan y faciliten su participación en el Proceso de Contratación”</w:t>
            </w:r>
          </w:p>
          <w:p w14:paraId="0B745F32" w14:textId="77777777" w:rsidR="00690B77" w:rsidRPr="000A296C" w:rsidRDefault="00690B77" w:rsidP="00690B77">
            <w:pPr>
              <w:jc w:val="both"/>
              <w:rPr>
                <w:rFonts w:ascii="Verdana" w:hAnsi="Verdana"/>
                <w:sz w:val="22"/>
                <w:szCs w:val="22"/>
                <w:lang w:eastAsia="en-US"/>
              </w:rPr>
            </w:pPr>
          </w:p>
          <w:p w14:paraId="0A74B4CB" w14:textId="77777777" w:rsidR="00690B77" w:rsidRPr="003F608B" w:rsidRDefault="00690B77" w:rsidP="00690B77">
            <w:pPr>
              <w:jc w:val="both"/>
              <w:rPr>
                <w:rFonts w:ascii="Verdana" w:hAnsi="Verdana"/>
                <w:i/>
                <w:iCs/>
                <w:sz w:val="22"/>
                <w:szCs w:val="22"/>
                <w:lang w:eastAsia="en-US"/>
              </w:rPr>
            </w:pPr>
            <w:r w:rsidRPr="000A296C">
              <w:rPr>
                <w:rFonts w:ascii="Verdana" w:hAnsi="Verdana"/>
                <w:i/>
                <w:iCs/>
                <w:sz w:val="22"/>
                <w:szCs w:val="22"/>
                <w:lang w:eastAsia="en-US"/>
              </w:rPr>
              <w:t>“La desaceleración económica también se ha sentido en las pequeñas y las medianas empresas, al punto que ya se nota una caída de 4,7% en su creación, en lo que va corrido de este año</w:t>
            </w:r>
            <w:r w:rsidRPr="003F608B">
              <w:rPr>
                <w:rFonts w:ascii="Verdana" w:hAnsi="Verdana"/>
                <w:i/>
                <w:iCs/>
                <w:sz w:val="22"/>
                <w:szCs w:val="22"/>
                <w:lang w:eastAsia="en-US"/>
              </w:rPr>
              <w:t>, según las cifras que maneja hasta junio Confecámaras.</w:t>
            </w:r>
          </w:p>
          <w:p w14:paraId="3A4888FE" w14:textId="77777777" w:rsidR="00690B77" w:rsidRPr="003F608B" w:rsidRDefault="00690B77" w:rsidP="00690B77">
            <w:pPr>
              <w:jc w:val="both"/>
              <w:rPr>
                <w:rFonts w:ascii="Verdana" w:hAnsi="Verdana"/>
                <w:i/>
                <w:iCs/>
                <w:sz w:val="22"/>
                <w:szCs w:val="22"/>
                <w:lang w:eastAsia="en-US"/>
              </w:rPr>
            </w:pPr>
          </w:p>
          <w:p w14:paraId="0BBC496D" w14:textId="77777777" w:rsidR="00690B77" w:rsidRPr="003F608B" w:rsidRDefault="00690B77" w:rsidP="00690B77">
            <w:pPr>
              <w:jc w:val="both"/>
              <w:rPr>
                <w:rFonts w:ascii="Verdana" w:hAnsi="Verdana"/>
                <w:i/>
                <w:iCs/>
                <w:sz w:val="22"/>
                <w:szCs w:val="22"/>
                <w:lang w:eastAsia="en-US"/>
              </w:rPr>
            </w:pPr>
            <w:r w:rsidRPr="003F608B">
              <w:rPr>
                <w:rFonts w:ascii="Verdana" w:hAnsi="Verdana"/>
                <w:i/>
                <w:iCs/>
                <w:sz w:val="22"/>
                <w:szCs w:val="22"/>
                <w:lang w:eastAsia="en-US"/>
              </w:rPr>
              <w:t>En lo que va de 2023, e han creado 141.687 MIPYMES, especialmente en los sectores de comercio, hotelería y restaurante e industria. La reducción que se ha visto explicó Julián Domínguez, presidente de Confecámaras se debe al «fenómeno de desaceleración económica que afecta la economía mundial y en consecuencia la colombiana».</w:t>
            </w:r>
          </w:p>
          <w:p w14:paraId="51598335" w14:textId="77777777" w:rsidR="00690B77" w:rsidRPr="003F608B" w:rsidRDefault="00690B77" w:rsidP="00690B77">
            <w:pPr>
              <w:jc w:val="both"/>
              <w:rPr>
                <w:rFonts w:ascii="Verdana" w:hAnsi="Verdana"/>
                <w:i/>
                <w:iCs/>
                <w:sz w:val="22"/>
                <w:szCs w:val="22"/>
                <w:lang w:eastAsia="en-US"/>
              </w:rPr>
            </w:pPr>
          </w:p>
          <w:p w14:paraId="720B7353" w14:textId="77777777" w:rsidR="00690B77" w:rsidRPr="003F608B" w:rsidRDefault="00690B77" w:rsidP="00690B77">
            <w:pPr>
              <w:jc w:val="both"/>
              <w:rPr>
                <w:rFonts w:ascii="Verdana" w:hAnsi="Verdana"/>
                <w:i/>
                <w:iCs/>
                <w:sz w:val="22"/>
                <w:szCs w:val="22"/>
                <w:lang w:eastAsia="en-US"/>
              </w:rPr>
            </w:pPr>
            <w:r w:rsidRPr="003F608B">
              <w:rPr>
                <w:rFonts w:ascii="Verdana" w:hAnsi="Verdana"/>
                <w:i/>
                <w:iCs/>
                <w:sz w:val="22"/>
                <w:szCs w:val="22"/>
                <w:lang w:eastAsia="en-US"/>
              </w:rPr>
              <w:t>Además, estos negocios representan 99,5% del total del tejido empresarial y emplean a cerca de 65% de los habitantes del país. En total, la base operacional de Colombia cuenta con más de 1,72 millones de Pyme registradas.</w:t>
            </w:r>
          </w:p>
          <w:p w14:paraId="3C5426A5" w14:textId="77777777" w:rsidR="00690B77" w:rsidRPr="003F608B" w:rsidRDefault="00690B77" w:rsidP="00690B77">
            <w:pPr>
              <w:jc w:val="both"/>
              <w:rPr>
                <w:rFonts w:ascii="Verdana" w:hAnsi="Verdana"/>
                <w:i/>
                <w:iCs/>
                <w:sz w:val="22"/>
                <w:szCs w:val="22"/>
                <w:lang w:eastAsia="en-US"/>
              </w:rPr>
            </w:pPr>
          </w:p>
          <w:p w14:paraId="5C68936B" w14:textId="035B6C93" w:rsidR="0042033A" w:rsidRPr="003F608B" w:rsidRDefault="00690B77" w:rsidP="00690B77">
            <w:pPr>
              <w:ind w:right="104"/>
              <w:jc w:val="both"/>
              <w:rPr>
                <w:rFonts w:ascii="Verdana" w:hAnsi="Verdana" w:cs="Arial"/>
                <w:sz w:val="22"/>
                <w:szCs w:val="22"/>
              </w:rPr>
            </w:pPr>
            <w:r w:rsidRPr="003F608B">
              <w:rPr>
                <w:rFonts w:ascii="Verdana" w:hAnsi="Verdana"/>
                <w:i/>
                <w:iCs/>
                <w:sz w:val="22"/>
                <w:szCs w:val="22"/>
                <w:lang w:eastAsia="en-US"/>
              </w:rPr>
              <w:t>Entre estas, la mayor cantidad están categorizadas como microempresas con 1,59 millones de compañías. Luego, le siguen las pequeñas con 103.118 y el menor número de firmas se encuentran localizadas en el sector de los negocios medianos, que abarcan 27.317 registros.”</w:t>
            </w:r>
            <w:r w:rsidRPr="003F608B">
              <w:rPr>
                <w:rStyle w:val="Refdenotaalpie"/>
                <w:rFonts w:ascii="Verdana" w:hAnsi="Verdana"/>
                <w:i/>
                <w:iCs/>
                <w:sz w:val="22"/>
                <w:szCs w:val="22"/>
                <w:lang w:eastAsia="en-US"/>
              </w:rPr>
              <w:footnoteReference w:id="2"/>
            </w:r>
            <w:r w:rsidR="0042033A" w:rsidRPr="003F608B">
              <w:rPr>
                <w:rFonts w:ascii="Verdana" w:hAnsi="Verdana" w:cs="Arial"/>
                <w:sz w:val="22"/>
                <w:szCs w:val="22"/>
              </w:rPr>
              <w:t>.</w:t>
            </w:r>
          </w:p>
          <w:p w14:paraId="3101AE2B" w14:textId="0C6BDBB8" w:rsidR="00C65345" w:rsidRPr="003F608B" w:rsidRDefault="00C65345" w:rsidP="00530EBD">
            <w:pPr>
              <w:ind w:right="104"/>
              <w:jc w:val="both"/>
              <w:rPr>
                <w:rFonts w:ascii="Verdana" w:hAnsi="Verdana" w:cs="Arial"/>
                <w:color w:val="FF0000"/>
                <w:sz w:val="22"/>
                <w:szCs w:val="22"/>
              </w:rPr>
            </w:pPr>
          </w:p>
          <w:p w14:paraId="45559412" w14:textId="04114168" w:rsidR="00C65345" w:rsidRPr="003F608B" w:rsidRDefault="00C65345" w:rsidP="00F03D37">
            <w:pPr>
              <w:jc w:val="both"/>
              <w:rPr>
                <w:rFonts w:ascii="Verdana" w:hAnsi="Verdana"/>
                <w:b/>
                <w:sz w:val="22"/>
                <w:szCs w:val="22"/>
              </w:rPr>
            </w:pPr>
            <w:r w:rsidRPr="003F608B">
              <w:rPr>
                <w:rFonts w:ascii="Verdana" w:hAnsi="Verdana"/>
                <w:b/>
                <w:sz w:val="22"/>
                <w:szCs w:val="22"/>
              </w:rPr>
              <w:t>Análisis de Mercado:</w:t>
            </w:r>
          </w:p>
          <w:p w14:paraId="2D1C24C0" w14:textId="77777777" w:rsidR="00C65345" w:rsidRPr="003F608B" w:rsidRDefault="00C65345" w:rsidP="00F03D37">
            <w:pPr>
              <w:jc w:val="both"/>
              <w:rPr>
                <w:rFonts w:ascii="Verdana" w:hAnsi="Verdana"/>
                <w:sz w:val="22"/>
                <w:szCs w:val="22"/>
                <w:highlight w:val="yellow"/>
              </w:rPr>
            </w:pPr>
          </w:p>
          <w:p w14:paraId="292719D5" w14:textId="255A71CB" w:rsidR="00E60AB4" w:rsidRDefault="009710EB" w:rsidP="00FC389D">
            <w:pPr>
              <w:jc w:val="both"/>
              <w:rPr>
                <w:rFonts w:ascii="Verdana" w:hAnsi="Verdana"/>
                <w:b/>
                <w:sz w:val="22"/>
                <w:szCs w:val="22"/>
              </w:rPr>
            </w:pPr>
            <w:r w:rsidRPr="003F608B">
              <w:rPr>
                <w:rFonts w:ascii="Verdana" w:hAnsi="Verdana"/>
                <w:b/>
                <w:sz w:val="22"/>
                <w:szCs w:val="22"/>
              </w:rPr>
              <w:t>Estructura Estudio de Mercado</w:t>
            </w:r>
          </w:p>
          <w:p w14:paraId="4E105B98" w14:textId="77777777" w:rsidR="00FC389D" w:rsidRDefault="00FC389D" w:rsidP="00FC389D">
            <w:pPr>
              <w:jc w:val="both"/>
              <w:rPr>
                <w:rFonts w:ascii="Verdana" w:hAnsi="Verdana"/>
                <w:b/>
                <w:sz w:val="22"/>
                <w:szCs w:val="22"/>
              </w:rPr>
            </w:pPr>
          </w:p>
          <w:p w14:paraId="7CBABFA8" w14:textId="77777777" w:rsidR="00FC389D" w:rsidRPr="002767BD" w:rsidRDefault="00FC389D" w:rsidP="00FC389D">
            <w:pPr>
              <w:jc w:val="both"/>
              <w:rPr>
                <w:rFonts w:ascii="Verdana" w:hAnsi="Verdana" w:cs="Arial"/>
                <w:sz w:val="22"/>
                <w:szCs w:val="22"/>
              </w:rPr>
            </w:pPr>
            <w:r w:rsidRPr="002767BD">
              <w:rPr>
                <w:rFonts w:ascii="Verdana" w:hAnsi="Verdana"/>
                <w:sz w:val="22"/>
                <w:szCs w:val="22"/>
              </w:rPr>
              <w:t xml:space="preserve">La Entidad con </w:t>
            </w:r>
            <w:r w:rsidRPr="002767BD">
              <w:rPr>
                <w:rFonts w:ascii="Verdana" w:hAnsi="Verdana" w:cs="Arial"/>
                <w:sz w:val="22"/>
                <w:szCs w:val="22"/>
              </w:rPr>
              <w:t>el fin de establecer el presupuesto para el presente proceso de selección, efectuó un estudio de mercado a través de solicitudes de cotización a través de la plataforma SECOP II (SIP-034-2026), de fecha 23/04/2026 hasta el día 28/04/2026, lapso durante el cual se recibió dos (2) cotizaciones de las empresas SISELCOM SISTEMAS ELECTRICOS Y DE COMUNICACIONES S.A.S. y POWERSUN S.A.S.</w:t>
            </w:r>
          </w:p>
          <w:p w14:paraId="235797CE" w14:textId="77777777" w:rsidR="00FC389D" w:rsidRPr="002767BD" w:rsidRDefault="00FC389D" w:rsidP="00FC389D">
            <w:pPr>
              <w:jc w:val="both"/>
              <w:rPr>
                <w:rFonts w:ascii="Verdana" w:hAnsi="Verdana" w:cs="Arial"/>
                <w:sz w:val="22"/>
                <w:szCs w:val="22"/>
                <w:highlight w:val="yellow"/>
              </w:rPr>
            </w:pPr>
          </w:p>
          <w:p w14:paraId="72677267" w14:textId="77777777" w:rsidR="00FC389D" w:rsidRPr="002767BD" w:rsidRDefault="00FC389D" w:rsidP="00FC389D">
            <w:pPr>
              <w:jc w:val="both"/>
              <w:rPr>
                <w:rFonts w:ascii="Verdana" w:hAnsi="Verdana" w:cs="Arial"/>
                <w:sz w:val="22"/>
                <w:szCs w:val="22"/>
              </w:rPr>
            </w:pPr>
            <w:r w:rsidRPr="002767BD">
              <w:rPr>
                <w:rFonts w:ascii="Verdana" w:hAnsi="Verdana" w:cs="Arial"/>
                <w:sz w:val="22"/>
                <w:szCs w:val="22"/>
              </w:rPr>
              <w:t>Con el fin de establecer el presupuesto para el presente proceso de selección, se efectuó un estudio de mercado a través de cotizaciones solicitadas por correo electrónico a empresas prestadoras de este tipo de servicios que cumplen con las especificaciones técnicas descritas en este estudio (SINERGY &amp; LOWELL S.A.S. y GPS ELECTRONICS LTDA), calculando el valor promedio, estas empresas manifestaron pertenecer a las Mypime.</w:t>
            </w:r>
          </w:p>
          <w:p w14:paraId="059CDEF2" w14:textId="77777777" w:rsidR="00FC389D" w:rsidRPr="002767BD" w:rsidRDefault="00FC389D" w:rsidP="00FC389D">
            <w:pPr>
              <w:jc w:val="both"/>
              <w:rPr>
                <w:rFonts w:ascii="Verdana" w:eastAsia="Arial Narrow" w:hAnsi="Verdana" w:cs="Arial Narrow"/>
                <w:sz w:val="22"/>
                <w:szCs w:val="22"/>
              </w:rPr>
            </w:pPr>
          </w:p>
          <w:p w14:paraId="6E219166" w14:textId="77777777" w:rsidR="00FC389D" w:rsidRPr="002767BD" w:rsidRDefault="00FC389D" w:rsidP="00FC389D">
            <w:pPr>
              <w:jc w:val="both"/>
              <w:rPr>
                <w:rFonts w:ascii="Verdana" w:eastAsia="Arial Narrow" w:hAnsi="Verdana" w:cs="Arial Narrow"/>
                <w:sz w:val="22"/>
                <w:szCs w:val="22"/>
              </w:rPr>
            </w:pPr>
            <w:r w:rsidRPr="002767BD">
              <w:rPr>
                <w:rFonts w:ascii="Verdana" w:eastAsia="Arial Narrow" w:hAnsi="Verdana" w:cs="Arial Narrow"/>
                <w:sz w:val="22"/>
                <w:szCs w:val="22"/>
              </w:rPr>
              <w:t>Cuadro No. 1: Estudio de mercado necesidad inicial:</w:t>
            </w:r>
          </w:p>
          <w:p w14:paraId="18D3EBB2" w14:textId="77777777" w:rsidR="00FC389D" w:rsidRPr="002767BD" w:rsidRDefault="00FC389D" w:rsidP="00FC389D">
            <w:pPr>
              <w:jc w:val="both"/>
              <w:rPr>
                <w:rFonts w:ascii="Verdana" w:eastAsia="Arial Narrow" w:hAnsi="Verdana" w:cs="Arial Narrow"/>
                <w:sz w:val="22"/>
                <w:szCs w:val="22"/>
              </w:rPr>
            </w:pPr>
          </w:p>
          <w:p w14:paraId="1505C609" w14:textId="77777777" w:rsidR="00FC389D" w:rsidRPr="002767BD" w:rsidRDefault="00FC389D" w:rsidP="00FC389D">
            <w:pPr>
              <w:jc w:val="both"/>
              <w:rPr>
                <w:rFonts w:ascii="Verdana" w:eastAsia="Arial Narrow" w:hAnsi="Verdana" w:cs="Arial Narrow"/>
                <w:sz w:val="22"/>
                <w:szCs w:val="22"/>
              </w:rPr>
            </w:pPr>
            <w:r w:rsidRPr="002767BD">
              <w:rPr>
                <w:rFonts w:ascii="Verdana" w:hAnsi="Verdana"/>
                <w:noProof/>
                <w:sz w:val="22"/>
                <w:szCs w:val="22"/>
              </w:rPr>
              <w:drawing>
                <wp:inline distT="0" distB="0" distL="0" distR="0" wp14:anchorId="1A0EB7E9" wp14:editId="41B21D9E">
                  <wp:extent cx="6314435" cy="1605643"/>
                  <wp:effectExtent l="0" t="0" r="0" b="0"/>
                  <wp:docPr id="16032743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22186" cy="1633042"/>
                          </a:xfrm>
                          <a:prstGeom prst="rect">
                            <a:avLst/>
                          </a:prstGeom>
                          <a:noFill/>
                          <a:ln>
                            <a:noFill/>
                          </a:ln>
                        </pic:spPr>
                      </pic:pic>
                    </a:graphicData>
                  </a:graphic>
                </wp:inline>
              </w:drawing>
            </w:r>
          </w:p>
          <w:p w14:paraId="198B0DDB" w14:textId="77777777" w:rsidR="00FC389D" w:rsidRPr="002767BD" w:rsidRDefault="00FC389D" w:rsidP="00FC389D">
            <w:pPr>
              <w:jc w:val="both"/>
              <w:rPr>
                <w:rFonts w:ascii="Verdana" w:eastAsia="Arial Narrow" w:hAnsi="Verdana" w:cs="Arial Narrow"/>
                <w:sz w:val="22"/>
                <w:szCs w:val="22"/>
              </w:rPr>
            </w:pPr>
          </w:p>
          <w:p w14:paraId="069F4216" w14:textId="77777777" w:rsidR="00FC389D" w:rsidRPr="002767BD" w:rsidRDefault="00FC389D" w:rsidP="00FC389D">
            <w:pPr>
              <w:jc w:val="both"/>
              <w:rPr>
                <w:rFonts w:ascii="Verdana" w:eastAsia="Arial Narrow" w:hAnsi="Verdana" w:cs="Arial Narrow"/>
                <w:sz w:val="22"/>
                <w:szCs w:val="22"/>
              </w:rPr>
            </w:pPr>
            <w:r w:rsidRPr="002767BD">
              <w:rPr>
                <w:rFonts w:ascii="Verdana" w:eastAsia="Arial Narrow" w:hAnsi="Verdana" w:cs="Arial Narrow"/>
                <w:sz w:val="22"/>
                <w:szCs w:val="22"/>
              </w:rPr>
              <w:t>Cuadro No. 2: Estudio de mercado necesidad final:</w:t>
            </w:r>
          </w:p>
          <w:p w14:paraId="26B6E9F6" w14:textId="77777777" w:rsidR="00FC389D" w:rsidRPr="002767BD" w:rsidRDefault="00FC389D" w:rsidP="00FC389D">
            <w:pPr>
              <w:jc w:val="both"/>
              <w:rPr>
                <w:rFonts w:ascii="Verdana" w:eastAsia="Arial Narrow" w:hAnsi="Verdana" w:cs="Arial Narrow"/>
                <w:sz w:val="22"/>
                <w:szCs w:val="22"/>
              </w:rPr>
            </w:pPr>
          </w:p>
          <w:p w14:paraId="523A3D09" w14:textId="77777777" w:rsidR="00FC389D" w:rsidRPr="002767BD" w:rsidRDefault="00FC389D" w:rsidP="00FC389D">
            <w:pPr>
              <w:jc w:val="both"/>
              <w:rPr>
                <w:rFonts w:ascii="Verdana" w:eastAsia="Arial Narrow" w:hAnsi="Verdana" w:cs="Arial Narrow"/>
                <w:sz w:val="22"/>
                <w:szCs w:val="22"/>
                <w:highlight w:val="yellow"/>
              </w:rPr>
            </w:pPr>
            <w:r w:rsidRPr="002767BD">
              <w:rPr>
                <w:rFonts w:ascii="Verdana" w:hAnsi="Verdana"/>
                <w:noProof/>
                <w:sz w:val="22"/>
                <w:szCs w:val="22"/>
              </w:rPr>
              <w:drawing>
                <wp:inline distT="0" distB="0" distL="0" distR="0" wp14:anchorId="6927042C" wp14:editId="18D7FAA8">
                  <wp:extent cx="6291943" cy="1545484"/>
                  <wp:effectExtent l="0" t="0" r="0" b="0"/>
                  <wp:docPr id="2057899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23082" cy="1553133"/>
                          </a:xfrm>
                          <a:prstGeom prst="rect">
                            <a:avLst/>
                          </a:prstGeom>
                          <a:noFill/>
                          <a:ln>
                            <a:noFill/>
                          </a:ln>
                        </pic:spPr>
                      </pic:pic>
                    </a:graphicData>
                  </a:graphic>
                </wp:inline>
              </w:drawing>
            </w:r>
          </w:p>
          <w:p w14:paraId="1F4464BA" w14:textId="77777777" w:rsidR="00FC389D" w:rsidRPr="002767BD" w:rsidRDefault="00FC389D" w:rsidP="00FC389D">
            <w:pPr>
              <w:jc w:val="both"/>
              <w:rPr>
                <w:rFonts w:ascii="Verdana" w:eastAsia="Arial Narrow" w:hAnsi="Verdana" w:cs="Arial Narrow"/>
                <w:sz w:val="22"/>
                <w:szCs w:val="22"/>
                <w:highlight w:val="yellow"/>
              </w:rPr>
            </w:pPr>
          </w:p>
          <w:p w14:paraId="1DD900F9" w14:textId="77777777" w:rsidR="00FC389D" w:rsidRPr="002767BD" w:rsidRDefault="00FC389D" w:rsidP="00FC389D">
            <w:pPr>
              <w:shd w:val="clear" w:color="auto" w:fill="FFFFFF"/>
              <w:jc w:val="both"/>
              <w:rPr>
                <w:rFonts w:ascii="Verdana" w:eastAsia="Arial Narrow" w:hAnsi="Verdana" w:cs="Arial Narrow"/>
                <w:sz w:val="22"/>
                <w:szCs w:val="22"/>
              </w:rPr>
            </w:pPr>
            <w:r w:rsidRPr="002767BD">
              <w:rPr>
                <w:rFonts w:ascii="Verdana" w:hAnsi="Verdana" w:cs="Arial"/>
                <w:sz w:val="22"/>
                <w:szCs w:val="22"/>
              </w:rPr>
              <w:t xml:space="preserve">Finalmente, el valor del presupuesto oficial es de </w:t>
            </w:r>
            <w:r w:rsidRPr="00D95433">
              <w:rPr>
                <w:rFonts w:ascii="Verdana" w:hAnsi="Verdana" w:cs="Arial"/>
                <w:b/>
                <w:sz w:val="22"/>
                <w:szCs w:val="22"/>
              </w:rPr>
              <w:t>SETENTA Y UN MILLONES QUINIENTOS VEINTIDÓS MIL QUINIENTOS CINCUENTA Y CINCO PESOS ($ 71.522.555,00) M/CTE., INCLUIDO IVA,</w:t>
            </w:r>
            <w:r w:rsidRPr="002767BD">
              <w:rPr>
                <w:rFonts w:ascii="Verdana" w:hAnsi="Verdana" w:cs="Arial"/>
                <w:bCs/>
                <w:sz w:val="22"/>
                <w:szCs w:val="22"/>
              </w:rPr>
              <w:t xml:space="preserve"> tasas contribuciones, erogaciones</w:t>
            </w:r>
            <w:r w:rsidRPr="002767BD">
              <w:rPr>
                <w:rFonts w:ascii="Verdana" w:eastAsia="Arial Narrow" w:hAnsi="Verdana" w:cs="Arial Narrow"/>
                <w:sz w:val="22"/>
                <w:szCs w:val="22"/>
              </w:rPr>
              <w:t xml:space="preserve"> y demás costos directos e indirectos a que haya lugar.</w:t>
            </w:r>
          </w:p>
          <w:p w14:paraId="29071C49" w14:textId="77777777" w:rsidR="00FC389D" w:rsidRPr="002767BD" w:rsidRDefault="00FC389D" w:rsidP="00FC389D">
            <w:pPr>
              <w:shd w:val="clear" w:color="auto" w:fill="FFFFFF"/>
              <w:jc w:val="both"/>
              <w:rPr>
                <w:rFonts w:ascii="Verdana" w:eastAsia="Arial Narrow" w:hAnsi="Verdana" w:cs="Arial Narrow"/>
                <w:sz w:val="22"/>
                <w:szCs w:val="22"/>
              </w:rPr>
            </w:pPr>
          </w:p>
          <w:p w14:paraId="10D4EF78" w14:textId="77777777" w:rsidR="00FC389D" w:rsidRPr="002767BD" w:rsidRDefault="00FC389D" w:rsidP="00FC389D">
            <w:pPr>
              <w:pBdr>
                <w:top w:val="nil"/>
                <w:left w:val="nil"/>
                <w:bottom w:val="nil"/>
                <w:right w:val="nil"/>
                <w:between w:val="nil"/>
              </w:pBdr>
              <w:tabs>
                <w:tab w:val="left" w:pos="709"/>
              </w:tabs>
              <w:jc w:val="both"/>
              <w:rPr>
                <w:rFonts w:ascii="Verdana" w:hAnsi="Verdana" w:cs="Arial"/>
                <w:sz w:val="22"/>
                <w:szCs w:val="22"/>
              </w:rPr>
            </w:pPr>
            <w:r w:rsidRPr="002767BD">
              <w:rPr>
                <w:rFonts w:ascii="Verdana" w:hAnsi="Verdana" w:cs="Arial"/>
                <w:b/>
                <w:bCs/>
                <w:sz w:val="22"/>
                <w:szCs w:val="22"/>
              </w:rPr>
              <w:t>NOTA 1:</w:t>
            </w:r>
            <w:r w:rsidRPr="002767BD">
              <w:rPr>
                <w:rFonts w:ascii="Verdana" w:hAnsi="Verdana" w:cs="Arial"/>
                <w:sz w:val="22"/>
                <w:szCs w:val="22"/>
              </w:rPr>
              <w:t xml:space="preserve"> Debido a que la necesidad identificada supera el presupuesto disponible para la entidad. En este sentido, si de la subasta que se lleve a cabo se obtiene un ahorro, se adquirirán cantidades adicionales de las referencias relacionadas en los ítems que se describen a continuación:</w:t>
            </w:r>
          </w:p>
          <w:p w14:paraId="53F384FE" w14:textId="77777777" w:rsidR="00FC389D" w:rsidRPr="002767BD" w:rsidRDefault="00FC389D" w:rsidP="00FC389D">
            <w:pPr>
              <w:pBdr>
                <w:top w:val="nil"/>
                <w:left w:val="nil"/>
                <w:bottom w:val="nil"/>
                <w:right w:val="nil"/>
                <w:between w:val="nil"/>
              </w:pBdr>
              <w:tabs>
                <w:tab w:val="left" w:pos="709"/>
              </w:tabs>
              <w:jc w:val="both"/>
              <w:rPr>
                <w:rFonts w:ascii="Verdana" w:hAnsi="Verdana" w:cs="Arial"/>
                <w:sz w:val="22"/>
                <w:szCs w:val="22"/>
              </w:rPr>
            </w:pPr>
          </w:p>
          <w:tbl>
            <w:tblPr>
              <w:tblW w:w="5000" w:type="pct"/>
              <w:shd w:val="clear" w:color="auto" w:fill="D9D9D9" w:themeFill="background1" w:themeFillShade="D9"/>
              <w:tblLayout w:type="fixed"/>
              <w:tblCellMar>
                <w:left w:w="70" w:type="dxa"/>
                <w:right w:w="70" w:type="dxa"/>
              </w:tblCellMar>
              <w:tblLook w:val="04A0" w:firstRow="1" w:lastRow="0" w:firstColumn="1" w:lastColumn="0" w:noHBand="0" w:noVBand="1"/>
            </w:tblPr>
            <w:tblGrid>
              <w:gridCol w:w="711"/>
              <w:gridCol w:w="3212"/>
              <w:gridCol w:w="1884"/>
              <w:gridCol w:w="3433"/>
              <w:gridCol w:w="1156"/>
            </w:tblGrid>
            <w:tr w:rsidR="00FC389D" w:rsidRPr="002767BD" w14:paraId="63CCA206" w14:textId="77777777" w:rsidTr="00B82061">
              <w:trPr>
                <w:trHeight w:val="20"/>
              </w:trPr>
              <w:tc>
                <w:tcPr>
                  <w:tcW w:w="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1D92B"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ITEM</w:t>
                  </w:r>
                </w:p>
              </w:tc>
              <w:tc>
                <w:tcPr>
                  <w:tcW w:w="15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3518BE"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DESCRIPCIÓN DEL BIEN Y/O SERVICIO</w:t>
                  </w:r>
                </w:p>
              </w:tc>
              <w:tc>
                <w:tcPr>
                  <w:tcW w:w="90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030DDC"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CIUDAD</w:t>
                  </w:r>
                </w:p>
              </w:tc>
              <w:tc>
                <w:tcPr>
                  <w:tcW w:w="16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378CC9"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DIRECCION DE INSTALACIÓN</w:t>
                  </w:r>
                </w:p>
              </w:tc>
              <w:tc>
                <w:tcPr>
                  <w:tcW w:w="55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20C904"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CANT.</w:t>
                  </w:r>
                </w:p>
              </w:tc>
            </w:tr>
            <w:tr w:rsidR="00FC389D" w:rsidRPr="002767BD" w14:paraId="1BA4CD9B"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3C70BEE2"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c>
                <w:tcPr>
                  <w:tcW w:w="1545" w:type="pct"/>
                  <w:tcBorders>
                    <w:top w:val="nil"/>
                    <w:left w:val="nil"/>
                    <w:bottom w:val="single" w:sz="4" w:space="0" w:color="auto"/>
                    <w:right w:val="single" w:sz="4" w:space="0" w:color="auto"/>
                  </w:tcBorders>
                  <w:vAlign w:val="center"/>
                  <w:hideMark/>
                </w:tcPr>
                <w:p w14:paraId="4C57C3DC"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15 kVA, 120V, 60 Hz, con baterías internas.</w:t>
                  </w:r>
                </w:p>
              </w:tc>
              <w:tc>
                <w:tcPr>
                  <w:tcW w:w="906" w:type="pct"/>
                  <w:tcBorders>
                    <w:top w:val="nil"/>
                    <w:left w:val="nil"/>
                    <w:bottom w:val="single" w:sz="4" w:space="0" w:color="auto"/>
                    <w:right w:val="single" w:sz="4" w:space="0" w:color="auto"/>
                  </w:tcBorders>
                  <w:vAlign w:val="center"/>
                  <w:hideMark/>
                </w:tcPr>
                <w:p w14:paraId="5E01AE0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MEDELLÍN</w:t>
                  </w:r>
                </w:p>
              </w:tc>
              <w:tc>
                <w:tcPr>
                  <w:tcW w:w="1651" w:type="pct"/>
                  <w:tcBorders>
                    <w:top w:val="nil"/>
                    <w:left w:val="nil"/>
                    <w:bottom w:val="single" w:sz="4" w:space="0" w:color="auto"/>
                    <w:right w:val="single" w:sz="4" w:space="0" w:color="auto"/>
                  </w:tcBorders>
                  <w:vAlign w:val="center"/>
                  <w:hideMark/>
                </w:tcPr>
                <w:p w14:paraId="017D4977"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01 - Medellín, Antioquia - Medellín Av. Circunvalar 4 # 71-56</w:t>
                  </w:r>
                </w:p>
              </w:tc>
              <w:tc>
                <w:tcPr>
                  <w:tcW w:w="556" w:type="pct"/>
                  <w:tcBorders>
                    <w:top w:val="nil"/>
                    <w:left w:val="nil"/>
                    <w:bottom w:val="single" w:sz="4" w:space="0" w:color="auto"/>
                    <w:right w:val="single" w:sz="4" w:space="0" w:color="auto"/>
                  </w:tcBorders>
                  <w:vAlign w:val="center"/>
                  <w:hideMark/>
                </w:tcPr>
                <w:p w14:paraId="3E77F953"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61FA69DA"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1C707A3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3</w:t>
                  </w:r>
                </w:p>
              </w:tc>
              <w:tc>
                <w:tcPr>
                  <w:tcW w:w="1545" w:type="pct"/>
                  <w:tcBorders>
                    <w:top w:val="nil"/>
                    <w:left w:val="nil"/>
                    <w:bottom w:val="single" w:sz="4" w:space="0" w:color="auto"/>
                    <w:right w:val="single" w:sz="4" w:space="0" w:color="auto"/>
                  </w:tcBorders>
                  <w:vAlign w:val="center"/>
                  <w:hideMark/>
                </w:tcPr>
                <w:p w14:paraId="220C7D33"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20 kVA, 120V, 60 Hz, con baterías internas.</w:t>
                  </w:r>
                </w:p>
              </w:tc>
              <w:tc>
                <w:tcPr>
                  <w:tcW w:w="906" w:type="pct"/>
                  <w:tcBorders>
                    <w:top w:val="nil"/>
                    <w:left w:val="nil"/>
                    <w:bottom w:val="single" w:sz="4" w:space="0" w:color="auto"/>
                    <w:right w:val="single" w:sz="4" w:space="0" w:color="auto"/>
                  </w:tcBorders>
                  <w:vAlign w:val="center"/>
                  <w:hideMark/>
                </w:tcPr>
                <w:p w14:paraId="542BC75F"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SANTA MARTA</w:t>
                  </w:r>
                </w:p>
              </w:tc>
              <w:tc>
                <w:tcPr>
                  <w:tcW w:w="1651" w:type="pct"/>
                  <w:tcBorders>
                    <w:top w:val="nil"/>
                    <w:left w:val="nil"/>
                    <w:bottom w:val="single" w:sz="4" w:space="0" w:color="auto"/>
                    <w:right w:val="single" w:sz="4" w:space="0" w:color="auto"/>
                  </w:tcBorders>
                  <w:vAlign w:val="center"/>
                  <w:hideMark/>
                </w:tcPr>
                <w:p w14:paraId="2E8C6A0B"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05 - Santa Marta, Magdalena - Santa Marta Calle 24A # 2 - 54</w:t>
                  </w:r>
                </w:p>
              </w:tc>
              <w:tc>
                <w:tcPr>
                  <w:tcW w:w="556" w:type="pct"/>
                  <w:tcBorders>
                    <w:top w:val="nil"/>
                    <w:left w:val="nil"/>
                    <w:bottom w:val="single" w:sz="4" w:space="0" w:color="auto"/>
                    <w:right w:val="single" w:sz="4" w:space="0" w:color="auto"/>
                  </w:tcBorders>
                  <w:vAlign w:val="center"/>
                  <w:hideMark/>
                </w:tcPr>
                <w:p w14:paraId="5BCCFC5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6EDA0E92"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5EBBC9E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7</w:t>
                  </w:r>
                </w:p>
              </w:tc>
              <w:tc>
                <w:tcPr>
                  <w:tcW w:w="1545" w:type="pct"/>
                  <w:tcBorders>
                    <w:top w:val="nil"/>
                    <w:left w:val="nil"/>
                    <w:bottom w:val="single" w:sz="4" w:space="0" w:color="auto"/>
                    <w:right w:val="single" w:sz="4" w:space="0" w:color="auto"/>
                  </w:tcBorders>
                  <w:vAlign w:val="center"/>
                  <w:hideMark/>
                </w:tcPr>
                <w:p w14:paraId="653C95FA"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60527E78"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BARRANQUILLA</w:t>
                  </w:r>
                </w:p>
              </w:tc>
              <w:tc>
                <w:tcPr>
                  <w:tcW w:w="1651" w:type="pct"/>
                  <w:tcBorders>
                    <w:top w:val="nil"/>
                    <w:left w:val="nil"/>
                    <w:bottom w:val="single" w:sz="4" w:space="0" w:color="auto"/>
                    <w:right w:val="single" w:sz="4" w:space="0" w:color="auto"/>
                  </w:tcBorders>
                  <w:vAlign w:val="center"/>
                  <w:hideMark/>
                </w:tcPr>
                <w:p w14:paraId="57CABBF3"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Oficina Meteorología Aeronáutica IDEAM - Aeropuerto Ernesto Cortissoz, Barranquilla - Atlántico</w:t>
                  </w:r>
                </w:p>
              </w:tc>
              <w:tc>
                <w:tcPr>
                  <w:tcW w:w="556" w:type="pct"/>
                  <w:tcBorders>
                    <w:top w:val="nil"/>
                    <w:left w:val="nil"/>
                    <w:bottom w:val="single" w:sz="4" w:space="0" w:color="auto"/>
                    <w:right w:val="single" w:sz="4" w:space="0" w:color="auto"/>
                  </w:tcBorders>
                  <w:vAlign w:val="center"/>
                  <w:hideMark/>
                </w:tcPr>
                <w:p w14:paraId="17994ADF"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6CF55019"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3E6DF4C5"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8</w:t>
                  </w:r>
                </w:p>
              </w:tc>
              <w:tc>
                <w:tcPr>
                  <w:tcW w:w="1545" w:type="pct"/>
                  <w:tcBorders>
                    <w:top w:val="nil"/>
                    <w:left w:val="nil"/>
                    <w:bottom w:val="single" w:sz="4" w:space="0" w:color="auto"/>
                    <w:right w:val="single" w:sz="4" w:space="0" w:color="auto"/>
                  </w:tcBorders>
                  <w:vAlign w:val="center"/>
                  <w:hideMark/>
                </w:tcPr>
                <w:p w14:paraId="1B53FB9E"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7FE88BE6"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LETICIA</w:t>
                  </w:r>
                </w:p>
              </w:tc>
              <w:tc>
                <w:tcPr>
                  <w:tcW w:w="1651" w:type="pct"/>
                  <w:tcBorders>
                    <w:top w:val="nil"/>
                    <w:left w:val="nil"/>
                    <w:bottom w:val="single" w:sz="4" w:space="0" w:color="auto"/>
                    <w:right w:val="single" w:sz="4" w:space="0" w:color="auto"/>
                  </w:tcBorders>
                  <w:vAlign w:val="center"/>
                  <w:hideMark/>
                </w:tcPr>
                <w:p w14:paraId="174BFCE7"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Oficina Meteorología Aeronáutica IDEAM - Aeropuerto Alfredo Vasquez Cobo, Leticia - Amazonas</w:t>
                  </w:r>
                </w:p>
              </w:tc>
              <w:tc>
                <w:tcPr>
                  <w:tcW w:w="556" w:type="pct"/>
                  <w:tcBorders>
                    <w:top w:val="nil"/>
                    <w:left w:val="nil"/>
                    <w:bottom w:val="single" w:sz="4" w:space="0" w:color="auto"/>
                    <w:right w:val="single" w:sz="4" w:space="0" w:color="auto"/>
                  </w:tcBorders>
                  <w:vAlign w:val="center"/>
                  <w:hideMark/>
                </w:tcPr>
                <w:p w14:paraId="5931F79E"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bl>
          <w:p w14:paraId="06CCE004" w14:textId="77777777" w:rsidR="00FC389D" w:rsidRDefault="00FC389D" w:rsidP="00FC389D">
            <w:pPr>
              <w:jc w:val="both"/>
              <w:rPr>
                <w:rFonts w:ascii="Verdana" w:hAnsi="Verdana" w:cs="Arial"/>
                <w:sz w:val="22"/>
                <w:szCs w:val="22"/>
                <w:highlight w:val="yellow"/>
              </w:rPr>
            </w:pPr>
          </w:p>
          <w:p w14:paraId="33FC98A5" w14:textId="59CE6F85" w:rsidR="008658FE" w:rsidRPr="009710EB" w:rsidRDefault="008658FE" w:rsidP="00EE30B7">
            <w:pPr>
              <w:jc w:val="both"/>
              <w:rPr>
                <w:rFonts w:ascii="Verdana" w:eastAsia="Arial" w:hAnsi="Verdana" w:cs="Arial"/>
                <w:b/>
                <w:sz w:val="22"/>
                <w:szCs w:val="22"/>
                <w:u w:val="single"/>
                <w:lang w:val="es-ES"/>
              </w:rPr>
            </w:pPr>
            <w:r w:rsidRPr="009710EB">
              <w:rPr>
                <w:rFonts w:ascii="Verdana" w:eastAsia="Arial" w:hAnsi="Verdana" w:cs="Arial"/>
                <w:b/>
                <w:sz w:val="22"/>
                <w:szCs w:val="22"/>
                <w:u w:val="single"/>
                <w:lang w:val="es-ES"/>
              </w:rPr>
              <w:t>NORMATIVIDAD</w:t>
            </w:r>
          </w:p>
          <w:p w14:paraId="7C78C662" w14:textId="77777777" w:rsidR="008658FE" w:rsidRPr="009710EB" w:rsidRDefault="008658FE" w:rsidP="00EE30B7">
            <w:pPr>
              <w:ind w:right="204"/>
              <w:jc w:val="both"/>
              <w:rPr>
                <w:rFonts w:ascii="Verdana" w:eastAsia="Arial" w:hAnsi="Verdana" w:cs="Arial"/>
                <w:b/>
                <w:sz w:val="22"/>
                <w:szCs w:val="22"/>
                <w:lang w:val="es-ES"/>
              </w:rPr>
            </w:pPr>
          </w:p>
          <w:p w14:paraId="078B6050" w14:textId="77777777" w:rsidR="00FF3DAA" w:rsidRPr="009710EB" w:rsidRDefault="00DA4362" w:rsidP="00EE30B7">
            <w:pPr>
              <w:ind w:right="204"/>
              <w:jc w:val="both"/>
              <w:rPr>
                <w:rFonts w:ascii="Verdana" w:eastAsia="Arial" w:hAnsi="Verdana" w:cs="Arial"/>
                <w:sz w:val="22"/>
                <w:szCs w:val="22"/>
                <w:lang w:val="es-ES"/>
              </w:rPr>
            </w:pPr>
            <w:r w:rsidRPr="009710EB">
              <w:rPr>
                <w:rFonts w:ascii="Verdana" w:eastAsia="Arial" w:hAnsi="Verdana" w:cs="Arial"/>
                <w:sz w:val="22"/>
                <w:szCs w:val="22"/>
                <w:lang w:val="es-ES"/>
              </w:rPr>
              <w:t>Ley 80 de 1993, Ley 1150 de 2007</w:t>
            </w:r>
          </w:p>
          <w:p w14:paraId="405F92A4" w14:textId="5CCC2239" w:rsidR="00DA4362" w:rsidRPr="009710EB" w:rsidRDefault="00DA4362" w:rsidP="00EE30B7">
            <w:pPr>
              <w:ind w:right="204"/>
              <w:jc w:val="both"/>
              <w:rPr>
                <w:rFonts w:ascii="Verdana" w:eastAsia="Arial" w:hAnsi="Verdana" w:cs="Arial"/>
                <w:sz w:val="22"/>
                <w:szCs w:val="22"/>
                <w:lang w:val="es-ES"/>
              </w:rPr>
            </w:pPr>
            <w:r w:rsidRPr="009710EB">
              <w:rPr>
                <w:rFonts w:ascii="Verdana" w:eastAsia="Arial" w:hAnsi="Verdana" w:cs="Arial"/>
                <w:sz w:val="22"/>
                <w:szCs w:val="22"/>
                <w:lang w:val="es-ES"/>
              </w:rPr>
              <w:t>Decreto 1</w:t>
            </w:r>
            <w:r w:rsidR="00FF3DAA" w:rsidRPr="009710EB">
              <w:rPr>
                <w:rFonts w:ascii="Verdana" w:eastAsia="Arial" w:hAnsi="Verdana" w:cs="Arial"/>
                <w:sz w:val="22"/>
                <w:szCs w:val="22"/>
                <w:lang w:val="es-ES"/>
              </w:rPr>
              <w:t>082</w:t>
            </w:r>
            <w:r w:rsidRPr="009710EB">
              <w:rPr>
                <w:rFonts w:ascii="Verdana" w:eastAsia="Arial" w:hAnsi="Verdana" w:cs="Arial"/>
                <w:sz w:val="22"/>
                <w:szCs w:val="22"/>
                <w:lang w:val="es-ES"/>
              </w:rPr>
              <w:t xml:space="preserve"> de 2015. </w:t>
            </w:r>
          </w:p>
          <w:p w14:paraId="2D896CEE" w14:textId="6338E5A5" w:rsidR="00DA4362" w:rsidRPr="009710EB" w:rsidRDefault="00DA4362" w:rsidP="00EE30B7">
            <w:pPr>
              <w:ind w:right="204"/>
              <w:jc w:val="both"/>
              <w:rPr>
                <w:rFonts w:ascii="Verdana" w:eastAsia="Arial" w:hAnsi="Verdana" w:cs="Arial"/>
                <w:sz w:val="22"/>
                <w:szCs w:val="22"/>
                <w:lang w:val="es-ES"/>
              </w:rPr>
            </w:pPr>
            <w:r w:rsidRPr="009710EB">
              <w:rPr>
                <w:rFonts w:ascii="Verdana" w:eastAsia="Arial" w:hAnsi="Verdana" w:cs="Arial"/>
                <w:sz w:val="22"/>
                <w:szCs w:val="22"/>
                <w:lang w:val="es-ES"/>
              </w:rPr>
              <w:t xml:space="preserve">Ley </w:t>
            </w:r>
            <w:r w:rsidR="00120590" w:rsidRPr="009710EB">
              <w:rPr>
                <w:rFonts w:ascii="Verdana" w:eastAsia="Arial" w:hAnsi="Verdana" w:cs="Arial"/>
                <w:sz w:val="22"/>
                <w:szCs w:val="22"/>
                <w:lang w:val="es-ES"/>
              </w:rPr>
              <w:t>1697 de</w:t>
            </w:r>
            <w:r w:rsidRPr="009710EB">
              <w:rPr>
                <w:rFonts w:ascii="Verdana" w:eastAsia="Arial" w:hAnsi="Verdana" w:cs="Arial"/>
                <w:sz w:val="22"/>
                <w:szCs w:val="22"/>
                <w:lang w:val="es-ES"/>
              </w:rPr>
              <w:t xml:space="preserve"> 2013 </w:t>
            </w:r>
          </w:p>
          <w:p w14:paraId="0C24A7A7" w14:textId="77777777" w:rsidR="00DA4362" w:rsidRPr="009710EB" w:rsidRDefault="00DA4362" w:rsidP="00EE30B7">
            <w:pPr>
              <w:ind w:right="204"/>
              <w:jc w:val="both"/>
              <w:rPr>
                <w:rFonts w:ascii="Verdana" w:eastAsia="Arial" w:hAnsi="Verdana" w:cs="Arial"/>
                <w:sz w:val="22"/>
                <w:szCs w:val="22"/>
                <w:lang w:val="es-ES"/>
              </w:rPr>
            </w:pPr>
            <w:r w:rsidRPr="009710EB">
              <w:rPr>
                <w:rFonts w:ascii="Verdana" w:eastAsia="Arial" w:hAnsi="Verdana" w:cs="Arial"/>
                <w:sz w:val="22"/>
                <w:szCs w:val="22"/>
                <w:lang w:val="es-ES"/>
              </w:rPr>
              <w:t xml:space="preserve">Ley 9 de 1979. </w:t>
            </w:r>
          </w:p>
          <w:p w14:paraId="75406631" w14:textId="77777777" w:rsidR="00194538" w:rsidRPr="009710EB" w:rsidRDefault="00194538" w:rsidP="00EE30B7">
            <w:pPr>
              <w:ind w:right="104"/>
              <w:jc w:val="both"/>
              <w:rPr>
                <w:rFonts w:ascii="Verdana" w:hAnsi="Verdana" w:cs="Arial"/>
                <w:sz w:val="22"/>
                <w:szCs w:val="22"/>
              </w:rPr>
            </w:pPr>
            <w:r w:rsidRPr="009710EB">
              <w:rPr>
                <w:rFonts w:ascii="Verdana" w:hAnsi="Verdana" w:cs="Arial"/>
                <w:sz w:val="22"/>
                <w:szCs w:val="22"/>
              </w:rPr>
              <w:t>Artículo 1° del Decreto 668 de 1989, deber de los comerciantes de renovar la matricula mercantil.</w:t>
            </w:r>
          </w:p>
          <w:p w14:paraId="429D4C4E" w14:textId="77777777" w:rsidR="00194538" w:rsidRPr="009710EB" w:rsidRDefault="00194538" w:rsidP="00EE30B7">
            <w:pPr>
              <w:ind w:right="104"/>
              <w:jc w:val="both"/>
              <w:rPr>
                <w:rFonts w:ascii="Verdana" w:hAnsi="Verdana" w:cs="Arial"/>
                <w:sz w:val="22"/>
                <w:szCs w:val="22"/>
              </w:rPr>
            </w:pPr>
            <w:r w:rsidRPr="009710EB">
              <w:rPr>
                <w:rFonts w:ascii="Verdana" w:hAnsi="Verdana" w:cs="Arial"/>
                <w:sz w:val="22"/>
                <w:szCs w:val="22"/>
              </w:rPr>
              <w:t>Artículo 166 del Decreto 019 de 2012, deber de renovar el Registro Único Empresarial.</w:t>
            </w:r>
          </w:p>
          <w:p w14:paraId="27851265" w14:textId="4CB6440E" w:rsidR="00194538" w:rsidRPr="009710EB" w:rsidRDefault="00194538" w:rsidP="00EE30B7">
            <w:pPr>
              <w:ind w:right="104"/>
              <w:jc w:val="both"/>
              <w:rPr>
                <w:rFonts w:ascii="Verdana" w:hAnsi="Verdana" w:cs="Arial"/>
                <w:sz w:val="22"/>
                <w:szCs w:val="22"/>
              </w:rPr>
            </w:pPr>
            <w:r w:rsidRPr="009710EB">
              <w:rPr>
                <w:rFonts w:ascii="Verdana" w:hAnsi="Verdana" w:cs="Arial"/>
                <w:sz w:val="22"/>
                <w:szCs w:val="22"/>
              </w:rPr>
              <w:t>Estatuto del consumidor Ley 1480 de 2012.</w:t>
            </w:r>
          </w:p>
          <w:p w14:paraId="5BD6D273" w14:textId="6A91FA9C" w:rsidR="006F65D7" w:rsidRPr="009710EB" w:rsidRDefault="006F65D7" w:rsidP="00EE30B7">
            <w:pPr>
              <w:ind w:right="104"/>
              <w:jc w:val="both"/>
              <w:rPr>
                <w:rFonts w:ascii="Verdana" w:hAnsi="Verdana" w:cs="Arial"/>
                <w:sz w:val="22"/>
                <w:szCs w:val="22"/>
              </w:rPr>
            </w:pPr>
            <w:r w:rsidRPr="009710EB">
              <w:rPr>
                <w:rFonts w:ascii="Verdana" w:hAnsi="Verdana"/>
                <w:color w:val="000000"/>
                <w:sz w:val="22"/>
                <w:szCs w:val="22"/>
              </w:rPr>
              <w:t>Decreto No. 1575 de 2007.</w:t>
            </w:r>
          </w:p>
          <w:p w14:paraId="075DBC6F" w14:textId="77777777" w:rsidR="00EA4F04" w:rsidRPr="009710EB" w:rsidRDefault="00EA4F04" w:rsidP="00EE30B7">
            <w:pPr>
              <w:ind w:right="104"/>
              <w:jc w:val="both"/>
              <w:rPr>
                <w:rFonts w:ascii="Verdana" w:hAnsi="Verdana" w:cs="Arial"/>
                <w:sz w:val="22"/>
                <w:szCs w:val="22"/>
              </w:rPr>
            </w:pPr>
          </w:p>
          <w:p w14:paraId="371F802A" w14:textId="10CADFFD" w:rsidR="00194538" w:rsidRPr="009710EB" w:rsidRDefault="00194538" w:rsidP="00EE30B7">
            <w:pPr>
              <w:jc w:val="both"/>
              <w:rPr>
                <w:rFonts w:ascii="Verdana" w:eastAsia="Arial" w:hAnsi="Verdana" w:cs="Arial"/>
                <w:b/>
                <w:sz w:val="22"/>
                <w:szCs w:val="22"/>
                <w:u w:val="single"/>
                <w:lang w:val="es-ES"/>
              </w:rPr>
            </w:pPr>
            <w:r w:rsidRPr="009710EB">
              <w:rPr>
                <w:rFonts w:ascii="Verdana" w:eastAsia="Arial" w:hAnsi="Verdana" w:cs="Arial"/>
                <w:b/>
                <w:sz w:val="22"/>
                <w:szCs w:val="22"/>
                <w:u w:val="single"/>
                <w:lang w:val="es-ES"/>
              </w:rPr>
              <w:t xml:space="preserve">PERSPECTIVA </w:t>
            </w:r>
            <w:r w:rsidR="00FE06B9" w:rsidRPr="009710EB">
              <w:rPr>
                <w:rFonts w:ascii="Verdana" w:eastAsia="Arial" w:hAnsi="Verdana" w:cs="Arial"/>
                <w:b/>
                <w:sz w:val="22"/>
                <w:szCs w:val="22"/>
                <w:u w:val="single"/>
                <w:lang w:val="es-ES"/>
              </w:rPr>
              <w:t>TÉCNICA</w:t>
            </w:r>
          </w:p>
          <w:p w14:paraId="26E224D9" w14:textId="77777777" w:rsidR="009710EB" w:rsidRPr="00FC491C" w:rsidRDefault="009710EB" w:rsidP="009710EB">
            <w:pPr>
              <w:autoSpaceDE w:val="0"/>
              <w:autoSpaceDN w:val="0"/>
              <w:adjustRightInd w:val="0"/>
              <w:jc w:val="both"/>
              <w:rPr>
                <w:rFonts w:ascii="Verdana" w:hAnsi="Verdana" w:cs="Arial Narrow"/>
                <w:sz w:val="22"/>
                <w:szCs w:val="22"/>
                <w:highlight w:val="yellow"/>
              </w:rPr>
            </w:pPr>
          </w:p>
          <w:p w14:paraId="56B9D43F" w14:textId="77777777" w:rsidR="00E60AB4" w:rsidRDefault="00E60AB4" w:rsidP="00E32114">
            <w:pPr>
              <w:tabs>
                <w:tab w:val="left" w:pos="360"/>
              </w:tabs>
              <w:jc w:val="both"/>
              <w:rPr>
                <w:rFonts w:ascii="Verdana" w:hAnsi="Verdana" w:cs="Arial Narrow"/>
              </w:rPr>
            </w:pPr>
          </w:p>
          <w:p w14:paraId="4DC8BF22" w14:textId="77777777" w:rsidR="00FC389D" w:rsidRPr="002767BD" w:rsidRDefault="00FC389D" w:rsidP="00FC389D">
            <w:pPr>
              <w:tabs>
                <w:tab w:val="left" w:pos="360"/>
              </w:tabs>
              <w:jc w:val="both"/>
              <w:rPr>
                <w:rFonts w:ascii="Verdana" w:hAnsi="Verdana" w:cs="Arial Narrow"/>
                <w:b/>
                <w:bCs/>
                <w:i/>
                <w:iCs/>
                <w:sz w:val="22"/>
                <w:szCs w:val="22"/>
              </w:rPr>
            </w:pPr>
            <w:r w:rsidRPr="002767BD">
              <w:rPr>
                <w:rFonts w:ascii="Verdana" w:hAnsi="Verdana" w:cs="Arial Narrow"/>
                <w:sz w:val="22"/>
                <w:szCs w:val="22"/>
              </w:rPr>
              <w:t xml:space="preserve">Según el artículo 17 de la Ley 99 de 1993, el Instituto de Hidrología, Meteorología y Estudios Ambientales, IDEAM, es un </w:t>
            </w:r>
            <w:r w:rsidRPr="002767BD">
              <w:rPr>
                <w:rFonts w:ascii="Verdana" w:hAnsi="Verdana" w:cs="Arial Narrow"/>
                <w:i/>
                <w:iCs/>
                <w:sz w:val="22"/>
                <w:szCs w:val="22"/>
              </w:rPr>
              <w:t xml:space="preserve">“establecimiento público de carácter nacional adscrito al Ministerio de Ambiente y Desarrollo Sostenible, con autonomía administrativa, personería jurídica y patrimonio independiente, encargado del levantamiento y manejo de la información científica y técnica sobre los ecosistemas que forman parte del patrimonio ambiental del país, así como de establecer las bases técnicas para clasificar y zonificar el uso del territorio nacional para los fines de la planificación y el ordenamiento del territorio. </w:t>
            </w:r>
          </w:p>
          <w:p w14:paraId="29595A83" w14:textId="77777777" w:rsidR="00FC389D" w:rsidRPr="002767BD" w:rsidRDefault="00FC389D" w:rsidP="00FC389D">
            <w:pPr>
              <w:jc w:val="both"/>
              <w:rPr>
                <w:rFonts w:ascii="Verdana" w:hAnsi="Verdana" w:cs="Arial"/>
                <w:i/>
                <w:iCs/>
                <w:sz w:val="22"/>
                <w:szCs w:val="22"/>
                <w:lang w:eastAsia="es-CO"/>
              </w:rPr>
            </w:pPr>
          </w:p>
          <w:p w14:paraId="63F2214A" w14:textId="77777777" w:rsidR="00FC389D" w:rsidRPr="002767BD" w:rsidRDefault="00FC389D" w:rsidP="00FC389D">
            <w:pPr>
              <w:tabs>
                <w:tab w:val="left" w:pos="2127"/>
              </w:tabs>
              <w:jc w:val="both"/>
              <w:rPr>
                <w:rFonts w:ascii="Verdana" w:hAnsi="Verdana"/>
                <w:i/>
                <w:iCs/>
                <w:sz w:val="22"/>
                <w:szCs w:val="22"/>
                <w:lang w:eastAsia="es-CO"/>
              </w:rPr>
            </w:pPr>
            <w:r w:rsidRPr="002767BD">
              <w:rPr>
                <w:rFonts w:ascii="Verdana" w:hAnsi="Verdana"/>
                <w:i/>
                <w:iCs/>
                <w:sz w:val="22"/>
                <w:szCs w:val="22"/>
                <w:lang w:eastAsia="es-CO"/>
              </w:rPr>
              <w:t xml:space="preserve">El IDEAM deberá obtener, analizar, estudiar, procesar y divulgar la información básica sobre hidrología, hidrogeología, meteorología, geografía básica sobre aspectos biofísicos, geomorfología, suelos y cobertura vegetal para el manejo y aprovechamiento de los recursos biofísicos de la Nación y tendrá a su cargo el establecimiento y funcionamiento de infraestructuras meteorológicas e hidrológicas nacionales para proveer informaciones, predicciones, avisos y servicios de asesoramiento a la comunidad. </w:t>
            </w:r>
          </w:p>
          <w:p w14:paraId="5AF3FB95" w14:textId="77777777" w:rsidR="00FC389D" w:rsidRPr="002767BD" w:rsidRDefault="00FC389D" w:rsidP="00FC389D">
            <w:pPr>
              <w:tabs>
                <w:tab w:val="left" w:pos="2127"/>
              </w:tabs>
              <w:jc w:val="both"/>
              <w:rPr>
                <w:rFonts w:ascii="Verdana" w:hAnsi="Verdana"/>
                <w:i/>
                <w:iCs/>
                <w:sz w:val="22"/>
                <w:szCs w:val="22"/>
                <w:lang w:eastAsia="es-CO"/>
              </w:rPr>
            </w:pPr>
          </w:p>
          <w:p w14:paraId="5D076BF4" w14:textId="77777777" w:rsidR="00FC389D" w:rsidRPr="002767BD" w:rsidRDefault="00FC389D" w:rsidP="00FC389D">
            <w:pPr>
              <w:tabs>
                <w:tab w:val="left" w:pos="2127"/>
              </w:tabs>
              <w:jc w:val="both"/>
              <w:rPr>
                <w:rFonts w:ascii="Verdana" w:hAnsi="Verdana"/>
                <w:i/>
                <w:iCs/>
                <w:sz w:val="22"/>
                <w:szCs w:val="22"/>
                <w:lang w:eastAsia="es-CO"/>
              </w:rPr>
            </w:pPr>
            <w:r w:rsidRPr="002767BD">
              <w:rPr>
                <w:rFonts w:ascii="Verdana" w:hAnsi="Verdana"/>
                <w:i/>
                <w:iCs/>
                <w:sz w:val="22"/>
                <w:szCs w:val="22"/>
                <w:lang w:eastAsia="es-CO"/>
              </w:rPr>
              <w:t>Corresponde a este instituto, efectuar el seguimiento de los recursos biofísicos de la Nación especialmente en lo referente a su contaminación y degradación necesarios para la toma de decisiones de las autoridades ambientales.”</w:t>
            </w:r>
          </w:p>
          <w:p w14:paraId="00C54DE8" w14:textId="77777777" w:rsidR="00FC389D" w:rsidRPr="002767BD" w:rsidRDefault="00FC389D" w:rsidP="00FC389D">
            <w:pPr>
              <w:tabs>
                <w:tab w:val="left" w:pos="2127"/>
              </w:tabs>
              <w:jc w:val="both"/>
              <w:rPr>
                <w:rFonts w:ascii="Verdana" w:hAnsi="Verdana"/>
                <w:i/>
                <w:iCs/>
                <w:sz w:val="22"/>
                <w:szCs w:val="22"/>
                <w:lang w:eastAsia="es-CO"/>
              </w:rPr>
            </w:pPr>
          </w:p>
          <w:p w14:paraId="2C4A5DBA" w14:textId="77777777" w:rsidR="00FC389D" w:rsidRPr="002767BD" w:rsidRDefault="00FC389D" w:rsidP="00FC389D">
            <w:pPr>
              <w:tabs>
                <w:tab w:val="left" w:pos="360"/>
              </w:tabs>
              <w:jc w:val="both"/>
              <w:rPr>
                <w:rFonts w:ascii="Verdana" w:hAnsi="Verdana"/>
                <w:sz w:val="22"/>
                <w:szCs w:val="22"/>
              </w:rPr>
            </w:pPr>
            <w:r w:rsidRPr="002767BD">
              <w:rPr>
                <w:rFonts w:ascii="Verdana" w:hAnsi="Verdana"/>
                <w:sz w:val="22"/>
                <w:szCs w:val="22"/>
              </w:rPr>
              <w:t xml:space="preserve">Según los parágrafos 1, 2, 3 y 4 del citado artículo, la Ley ordenó, trasladar al IDEAM las funciones que sobre producción, procesamiento y análisis de información geográfica básica de aspectos biofísicos viene desempeñando la Subdirección de Geografía del Instituto Geográfico Agustín Codazzi, IGAC, junto con sus archivos, instalaciones, laboratorios y demás bienes relacionados; trasladar al IDEAM las funciones que en materia de hidrología y meteorología tiene actualmente asignadas el Instituto Colombiano de Hidrología, Meteorología y Adecuación de Tierras, HIMAT, el cual en lo sucesivo se denominará Instituto Nacional de Adecuación de Tierras, INAT; trasládense al IDEAM toda la información, archivos, laboratorios, centros de procesamiento de información, medios de transporte, infraestructura y equipos hidrológicos y meteorológicos, instalaciones y demás elementos que actualmente dispone el HIMAT relacionados con sus actividades hidrológicas y meteorológicas; trasladar al IDEAM las funciones que sobre investigación básica general sobre recursos naturales viene efectuando el INDERENA y de forma específica las investigaciones que sobre recursos forestales y </w:t>
            </w:r>
            <w:r w:rsidRPr="002767BD">
              <w:rPr>
                <w:rFonts w:ascii="Verdana" w:hAnsi="Verdana"/>
                <w:sz w:val="22"/>
                <w:szCs w:val="22"/>
              </w:rPr>
              <w:lastRenderedPageBreak/>
              <w:t>conservación de suelos desempeñan las Subgerencias de Bosques y Desarrollo; trasladar al IDEAM las funciones que en materia de aguas subterráneas tiene asignadas el Instituto de Investigaciones en Geociencias, Minería y Química.</w:t>
            </w:r>
          </w:p>
          <w:p w14:paraId="3BFA7500" w14:textId="77777777" w:rsidR="00FC389D" w:rsidRPr="002767BD" w:rsidRDefault="00FC389D" w:rsidP="00FC389D">
            <w:pPr>
              <w:tabs>
                <w:tab w:val="left" w:pos="4476"/>
              </w:tabs>
              <w:jc w:val="both"/>
              <w:rPr>
                <w:rFonts w:ascii="Verdana" w:hAnsi="Verdana" w:cs="Arial"/>
                <w:sz w:val="22"/>
                <w:szCs w:val="22"/>
              </w:rPr>
            </w:pPr>
          </w:p>
          <w:p w14:paraId="12674A78" w14:textId="77777777" w:rsidR="00FC389D" w:rsidRPr="002767BD" w:rsidRDefault="00FC389D" w:rsidP="00FC389D">
            <w:pPr>
              <w:jc w:val="both"/>
              <w:rPr>
                <w:rFonts w:ascii="Verdana" w:hAnsi="Verdana" w:cs="Calibri"/>
                <w:i/>
                <w:sz w:val="22"/>
                <w:szCs w:val="22"/>
              </w:rPr>
            </w:pPr>
            <w:r w:rsidRPr="002767BD">
              <w:rPr>
                <w:rFonts w:ascii="Verdana" w:hAnsi="Verdana" w:cs="Calibri"/>
                <w:sz w:val="22"/>
                <w:szCs w:val="22"/>
              </w:rPr>
              <w:t xml:space="preserve">Así mismo el </w:t>
            </w:r>
            <w:r w:rsidRPr="002767BD">
              <w:rPr>
                <w:rFonts w:ascii="Verdana" w:hAnsi="Verdana" w:cs="Calibri"/>
                <w:b/>
                <w:sz w:val="22"/>
                <w:szCs w:val="22"/>
              </w:rPr>
              <w:t>Decreto 1076 de 2015 “</w:t>
            </w:r>
            <w:r w:rsidRPr="002767BD">
              <w:rPr>
                <w:rFonts w:ascii="Verdana" w:hAnsi="Verdana" w:cs="Calibri"/>
                <w:b/>
                <w:i/>
                <w:iCs/>
                <w:sz w:val="22"/>
                <w:szCs w:val="22"/>
              </w:rPr>
              <w:t>Por medio del cual se expide el Decreto Único Reglamentario del Sector Ambiente y Desarrollo Sostenible”</w:t>
            </w:r>
            <w:r w:rsidRPr="002767BD">
              <w:rPr>
                <w:rFonts w:ascii="Verdana" w:hAnsi="Verdana" w:cs="Calibri"/>
                <w:b/>
                <w:sz w:val="22"/>
                <w:szCs w:val="22"/>
              </w:rPr>
              <w:t xml:space="preserve">, </w:t>
            </w:r>
            <w:r w:rsidRPr="002767BD">
              <w:rPr>
                <w:rFonts w:ascii="Verdana" w:hAnsi="Verdana" w:cs="Calibri"/>
                <w:bCs/>
                <w:sz w:val="22"/>
                <w:szCs w:val="22"/>
              </w:rPr>
              <w:t>en su artículo</w:t>
            </w:r>
            <w:r w:rsidRPr="002767BD">
              <w:rPr>
                <w:rFonts w:ascii="Verdana" w:hAnsi="Verdana" w:cs="Calibri"/>
                <w:b/>
                <w:sz w:val="22"/>
                <w:szCs w:val="22"/>
              </w:rPr>
              <w:t xml:space="preserve"> </w:t>
            </w:r>
            <w:r w:rsidRPr="002767BD">
              <w:rPr>
                <w:rFonts w:ascii="Verdana" w:hAnsi="Verdana" w:cs="Calibri"/>
                <w:i/>
                <w:sz w:val="22"/>
                <w:szCs w:val="22"/>
              </w:rPr>
              <w:t xml:space="preserve">1.2.1.1.1., establece que el Instituto de Hidrología, Meteorología y Estudios Ambientales – (IDEAM), tiene por objeto: “(…) 1. Suministrar los conocimientos, los datos y la información ambiental que requieren el Ministerio del Medio Ambiente y demás entidades del Sistema Nacional Ambiental -SINA-. 2. Realizar el levantamiento y manejo de la información científica y técnica sobre los ecosistemas que forman parte del patrimonio ambiental del país. 3. Establecer las bases técnicas para clasificar y zonificar el uso del territorio nacional para los fines de la planificación y el ordenamiento ambiental del territorio. 4. Obtener, almacenar, analizar, estudiar, procesar y divulgar la información básica sobre hidrología, hidrogeología, meteorología, geografía básica sobre aspectos biofísicos, geomorfología, suelos y cobertura vegetal para el manejo y aprovechamiento de los recursos biofísicos de la Nación, en especial las que en estos aspectos, con anterioridad a la Ley 99 de 1993 venían desempeñando el Instituto Colombiano de Hidrología, Meteorología y Adecuación de Tierras -HIMAT-; el Instituto de Investigaciones en Geociencias, Minería y Química – INGEOMINAS-; y la Subdirección de Geografía del Instituto Geográfico Agustín Codazzi – IGAC- </w:t>
            </w:r>
            <w:r w:rsidRPr="002767BD">
              <w:rPr>
                <w:rFonts w:ascii="Verdana" w:hAnsi="Verdana" w:cs="Calibri"/>
                <w:bCs/>
                <w:i/>
                <w:sz w:val="22"/>
                <w:szCs w:val="22"/>
              </w:rPr>
              <w:t>5. Establecer y poner en funcionamiento las infraestructuras oceanográficas, mareográficas, meteorológicas e hidrológicas nacionales para proveer informaciones, predicciones, avisos y servicios de asesoramiento a la comunidad.</w:t>
            </w:r>
            <w:r w:rsidRPr="002767BD">
              <w:rPr>
                <w:rFonts w:ascii="Verdana" w:hAnsi="Verdana" w:cs="Calibri"/>
                <w:b/>
                <w:i/>
                <w:sz w:val="22"/>
                <w:szCs w:val="22"/>
              </w:rPr>
              <w:t xml:space="preserve"> </w:t>
            </w:r>
            <w:r w:rsidRPr="002767BD">
              <w:rPr>
                <w:rFonts w:ascii="Verdana" w:hAnsi="Verdana" w:cs="Calibri"/>
                <w:i/>
                <w:sz w:val="22"/>
                <w:szCs w:val="22"/>
              </w:rPr>
              <w:t>6</w:t>
            </w:r>
            <w:r w:rsidRPr="002767BD">
              <w:rPr>
                <w:rFonts w:ascii="Verdana" w:hAnsi="Verdana" w:cs="Calibri"/>
                <w:b/>
                <w:i/>
                <w:sz w:val="22"/>
                <w:szCs w:val="22"/>
              </w:rPr>
              <w:t xml:space="preserve">. </w:t>
            </w:r>
            <w:r w:rsidRPr="002767BD">
              <w:rPr>
                <w:rFonts w:ascii="Verdana" w:hAnsi="Verdana" w:cs="Calibri"/>
                <w:i/>
                <w:sz w:val="22"/>
                <w:szCs w:val="22"/>
              </w:rPr>
              <w:t>Efectuar el seguimiento de los recursos biofísicos de la Nación especialmente en lo referente a su contaminación y degradación, necesarios para la toma de decisiones de las autoridades ambientales. 7. Realizar estudios e investigaciones sobre recursos naturales, en especial la relacionada con recursos forestales y conservación de suelos, y demás actividades que con anterioridad a la Ley 99 de 1993 venían desempeñando las subgerencias de Bosques y Desarrollo del Instituto Nacional de los Recursos Naturales y del Ambiente -INDERENA. 8. Realizar los estudios e investigaciones sobre hidrología y meteorología que con anterioridad a la Ley 99 de 1993 venía desempeño el HIMAT. 9. Realizar los estudios e investigaciones ambientales que permitan conocer los efectos del desarrollo socioeconómico sobre la naturaleza, sus procesos, el medio ambiente y los recursos naturales renovables y proponer indicadores ambientales. 10. Acopiar, almacenar, Procesar, analizar y difundir datos y allegar o producir la información y los conocimientos necesarios para realizar el seguimiento de la interacción de los procesos sociales, económicos y naturales y proponer alternativas tecnológicas, sistemas y modelos de desarrollo sostenible. 11. Dirigir y coordinar el Sistema de Información Ambiental y operarlo en colaboración con las entidades científicas vinculadas al Ministerio del Medio Ambiente, con las Corporaciones y demás entidades del SINA. 12. Prestar el servicio de información en las áreas de su competencia a los usuarios que la requieran.”</w:t>
            </w:r>
          </w:p>
          <w:p w14:paraId="1FA0A813" w14:textId="77777777" w:rsidR="00FC389D" w:rsidRPr="002767BD" w:rsidRDefault="00FC389D" w:rsidP="00FC389D">
            <w:pPr>
              <w:ind w:left="45"/>
              <w:jc w:val="both"/>
              <w:rPr>
                <w:rFonts w:ascii="Verdana" w:hAnsi="Verdana" w:cs="Arial"/>
                <w:sz w:val="22"/>
                <w:szCs w:val="22"/>
              </w:rPr>
            </w:pPr>
          </w:p>
          <w:p w14:paraId="715CA981" w14:textId="77777777" w:rsidR="00FC389D" w:rsidRPr="002767BD" w:rsidRDefault="00FC389D" w:rsidP="00FC389D">
            <w:pPr>
              <w:jc w:val="both"/>
              <w:rPr>
                <w:rFonts w:ascii="Verdana" w:hAnsi="Verdana" w:cs="Calibri"/>
                <w:i/>
                <w:sz w:val="22"/>
                <w:szCs w:val="22"/>
              </w:rPr>
            </w:pPr>
            <w:r w:rsidRPr="002767BD">
              <w:rPr>
                <w:rFonts w:ascii="Verdana" w:hAnsi="Verdana" w:cs="Calibri"/>
                <w:sz w:val="22"/>
                <w:szCs w:val="22"/>
              </w:rPr>
              <w:t>La Resolución No. 415 del 09 de mayo de 2024</w:t>
            </w:r>
            <w:r w:rsidRPr="002767BD">
              <w:rPr>
                <w:rFonts w:ascii="Verdana" w:hAnsi="Verdana" w:cs="Calibri"/>
                <w:i/>
                <w:iCs/>
                <w:sz w:val="22"/>
                <w:szCs w:val="22"/>
              </w:rPr>
              <w:t xml:space="preserve"> “Por la cual se unifican los actos administrativos y se actualizan las funciones de los Grupos Internos de Trabajo de la Secretaría General del Instituto de Hidrología, Meteorología y Estudios Ambientales - IDEAM</w:t>
            </w:r>
            <w:r w:rsidRPr="002767BD">
              <w:rPr>
                <w:rFonts w:ascii="Verdana" w:hAnsi="Verdana" w:cs="Calibri"/>
                <w:sz w:val="22"/>
                <w:szCs w:val="22"/>
              </w:rPr>
              <w:t xml:space="preserve">, en su artículo 7° establece que son funciones del Grupo de Servicios Administrativos entre otras: </w:t>
            </w:r>
            <w:r w:rsidRPr="002767BD">
              <w:rPr>
                <w:rFonts w:ascii="Verdana" w:hAnsi="Verdana" w:cs="Calibri"/>
                <w:i/>
                <w:sz w:val="22"/>
                <w:szCs w:val="22"/>
              </w:rPr>
              <w:t xml:space="preserve">“(…)1. Administrar de manera eficiente, económica y eficaz los recursos físicos del IDEAM a cargo del grupo, efectuando una adecuada planificación, ejecución, seguimiento y control de los mismos. 2. Gestionar el mantenimiento y conservación de los bienes muebles e inmuebles del IDEAM o </w:t>
            </w:r>
            <w:r w:rsidRPr="002767BD">
              <w:rPr>
                <w:rFonts w:ascii="Verdana" w:hAnsi="Verdana" w:cs="Calibri"/>
                <w:i/>
                <w:sz w:val="22"/>
                <w:szCs w:val="22"/>
              </w:rPr>
              <w:lastRenderedPageBreak/>
              <w:t>de responsabilidad de este. 3. Administrar y monitorear los inmuebles del IDEAM o de responsabilidad de este, para que cuenten con condiciones de infraestructuras optimas, y así garantizar el desarrollo de las funciones propias del Instituto. (…) 5.</w:t>
            </w:r>
            <w:r w:rsidRPr="002767BD">
              <w:rPr>
                <w:rFonts w:ascii="Verdana" w:hAnsi="Verdana"/>
                <w:sz w:val="22"/>
                <w:szCs w:val="22"/>
              </w:rPr>
              <w:t xml:space="preserve"> </w:t>
            </w:r>
            <w:r w:rsidRPr="002767BD">
              <w:rPr>
                <w:rFonts w:ascii="Verdana" w:hAnsi="Verdana" w:cs="Calibri"/>
                <w:i/>
                <w:sz w:val="22"/>
                <w:szCs w:val="22"/>
              </w:rPr>
              <w:t>Gestionar los recursos físicos de acuerdo con los requerimientos del IDEAM en materia de adecuaciones, reparaciones locativas, suministro y conservación de bienes.</w:t>
            </w:r>
            <w:r w:rsidRPr="002767BD">
              <w:rPr>
                <w:rFonts w:ascii="Verdana" w:hAnsi="Verdana" w:cs="Arial"/>
                <w:i/>
                <w:iCs/>
                <w:sz w:val="22"/>
                <w:szCs w:val="22"/>
              </w:rPr>
              <w:t xml:space="preserve"> (…)</w:t>
            </w:r>
            <w:r w:rsidRPr="002767BD">
              <w:rPr>
                <w:rFonts w:ascii="Verdana" w:hAnsi="Verdana" w:cs="Calibri"/>
                <w:i/>
                <w:sz w:val="22"/>
                <w:szCs w:val="22"/>
              </w:rPr>
              <w:t>”</w:t>
            </w:r>
          </w:p>
          <w:p w14:paraId="0ADFBA72" w14:textId="77777777" w:rsidR="00FC389D" w:rsidRPr="002767BD" w:rsidRDefault="00FC389D" w:rsidP="00FC389D">
            <w:pPr>
              <w:jc w:val="both"/>
              <w:rPr>
                <w:rFonts w:ascii="Verdana" w:hAnsi="Verdana" w:cs="Calibri"/>
                <w:sz w:val="22"/>
                <w:szCs w:val="22"/>
              </w:rPr>
            </w:pPr>
          </w:p>
          <w:p w14:paraId="44004F33"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En desarrollo de lo anterior, el IDEAM debe propender por el óptimo funcionamiento de la infraestructura física, de los sistemas técnicos y operativos para proporcionar las mejores condiciones de trabajo a los funcionarios que laboren en las diferentes sedes a nivel nacional y aeropuertos, lo cual debe hacerse a través de procesos planificados de mantenimiento preventivo y eventualmente correctivo, brindando bienestar a los usuarios para obtener el máximo aprovechamiento de los recursos.</w:t>
            </w:r>
          </w:p>
          <w:p w14:paraId="5AEB42AC" w14:textId="77777777" w:rsidR="00FC389D" w:rsidRPr="002767BD" w:rsidRDefault="00FC389D" w:rsidP="00FC389D">
            <w:pPr>
              <w:jc w:val="both"/>
              <w:rPr>
                <w:rFonts w:ascii="Verdana" w:hAnsi="Verdana" w:cs="Calibri"/>
                <w:sz w:val="22"/>
                <w:szCs w:val="22"/>
              </w:rPr>
            </w:pPr>
          </w:p>
          <w:p w14:paraId="0E69B6F3"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El Instituto de Hidrología, Meteorología y Estudios Ambientales (IDEAM) es responsable de suministrar los datos y la información ambiental que requieran el Ministerio de Ambiente, Vivienda y Desarrollo Territorial y demás entidades del Sistema Nacional Ambiental – SINA, además de acopiar, almacenar, procesar, analizar y difundir datos, así como allegar o producir la información necesaria para realizar el seguimiento de la interacción de los procesos sociales, económicos y naturales y proponer alternativas tecnológicas, sistemas y modelos de desarrollo sostenible (Constitución de 1991, Ley 99 de 1993 y sus decretos reglamentarios).</w:t>
            </w:r>
          </w:p>
          <w:p w14:paraId="089C426D" w14:textId="77777777" w:rsidR="00FC389D" w:rsidRPr="002767BD" w:rsidRDefault="00FC389D" w:rsidP="00FC389D">
            <w:pPr>
              <w:jc w:val="both"/>
              <w:rPr>
                <w:rFonts w:ascii="Verdana" w:hAnsi="Verdana" w:cs="Calibri"/>
                <w:sz w:val="22"/>
                <w:szCs w:val="22"/>
              </w:rPr>
            </w:pPr>
          </w:p>
          <w:p w14:paraId="6DAD0146"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La Oficina de Informática del IDEAM ha dispuesto la infraestructura informática sobre un sistema de energía eléctrica regulada, la cual se obtiene mediante una solución tipo UPS. Las UPS (unidades de potencia ininterrumpida) son dispositivos formados por un estabilizador de tensión y baterías internas, que brindan protección a los equipos de las variaciones de la tensión eléctrica (altos o bajos voltajes) y en caso de un corte de energía, mantienen un suministro de energía durante un tiempo determinado. El propósito de una UPS es proporcionar una fuente de energía que permanezca con tensión estable y continua independientemente de las perturbaciones que puedan presentarse en la red eléctrica externa.</w:t>
            </w:r>
          </w:p>
          <w:p w14:paraId="2116C4AE"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 xml:space="preserve"> </w:t>
            </w:r>
          </w:p>
          <w:p w14:paraId="01841092"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Los beneficios de tenerla son entre otros:</w:t>
            </w:r>
          </w:p>
          <w:p w14:paraId="427C5DD9"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 xml:space="preserve"> </w:t>
            </w:r>
          </w:p>
          <w:p w14:paraId="38291923" w14:textId="77777777" w:rsidR="00FC389D" w:rsidRPr="002767BD" w:rsidRDefault="00FC389D" w:rsidP="00FC389D">
            <w:pPr>
              <w:widowControl w:val="0"/>
              <w:numPr>
                <w:ilvl w:val="0"/>
                <w:numId w:val="7"/>
              </w:numPr>
              <w:autoSpaceDE w:val="0"/>
              <w:autoSpaceDN w:val="0"/>
              <w:jc w:val="both"/>
              <w:rPr>
                <w:rFonts w:ascii="Verdana" w:hAnsi="Verdana" w:cs="Calibri"/>
                <w:sz w:val="22"/>
                <w:szCs w:val="22"/>
              </w:rPr>
            </w:pPr>
            <w:r w:rsidRPr="002767BD">
              <w:rPr>
                <w:rFonts w:ascii="Verdana" w:hAnsi="Verdana" w:cs="Calibri"/>
                <w:sz w:val="22"/>
                <w:szCs w:val="22"/>
              </w:rPr>
              <w:t>Protección contra daños, con supresión de sobretensiones y filtrado de ruido de línea.</w:t>
            </w:r>
          </w:p>
          <w:p w14:paraId="1BB627B6" w14:textId="77777777" w:rsidR="00FC389D" w:rsidRPr="002767BD" w:rsidRDefault="00FC389D" w:rsidP="00FC389D">
            <w:pPr>
              <w:widowControl w:val="0"/>
              <w:numPr>
                <w:ilvl w:val="0"/>
                <w:numId w:val="7"/>
              </w:numPr>
              <w:autoSpaceDE w:val="0"/>
              <w:autoSpaceDN w:val="0"/>
              <w:jc w:val="both"/>
              <w:rPr>
                <w:rFonts w:ascii="Verdana" w:hAnsi="Verdana" w:cs="Calibri"/>
                <w:sz w:val="22"/>
                <w:szCs w:val="22"/>
              </w:rPr>
            </w:pPr>
            <w:r w:rsidRPr="002767BD">
              <w:rPr>
                <w:rFonts w:ascii="Verdana" w:hAnsi="Verdana" w:cs="Calibri"/>
                <w:sz w:val="22"/>
                <w:szCs w:val="22"/>
              </w:rPr>
              <w:t>Protección contra tiempo de inactividad, con un respaldo de batería confiable.</w:t>
            </w:r>
          </w:p>
          <w:p w14:paraId="361E3C59" w14:textId="77777777" w:rsidR="00FC389D" w:rsidRPr="002767BD" w:rsidRDefault="00FC389D" w:rsidP="00FC389D">
            <w:pPr>
              <w:widowControl w:val="0"/>
              <w:numPr>
                <w:ilvl w:val="0"/>
                <w:numId w:val="7"/>
              </w:numPr>
              <w:autoSpaceDE w:val="0"/>
              <w:autoSpaceDN w:val="0"/>
              <w:jc w:val="both"/>
              <w:rPr>
                <w:rFonts w:ascii="Verdana" w:hAnsi="Verdana" w:cs="Calibri"/>
                <w:sz w:val="22"/>
                <w:szCs w:val="22"/>
              </w:rPr>
            </w:pPr>
            <w:r w:rsidRPr="002767BD">
              <w:rPr>
                <w:rFonts w:ascii="Verdana" w:hAnsi="Verdana" w:cs="Calibri"/>
                <w:sz w:val="22"/>
                <w:szCs w:val="22"/>
              </w:rPr>
              <w:t>Protección contra pérdida de datos, con almacenamiento de datos y opciones de apagado.</w:t>
            </w:r>
          </w:p>
          <w:p w14:paraId="40FDE3E5" w14:textId="77777777" w:rsidR="00FC389D" w:rsidRPr="002767BD" w:rsidRDefault="00FC389D" w:rsidP="00FC389D">
            <w:pPr>
              <w:jc w:val="both"/>
              <w:rPr>
                <w:rFonts w:ascii="Verdana" w:hAnsi="Verdana" w:cs="Calibri"/>
                <w:sz w:val="22"/>
                <w:szCs w:val="22"/>
              </w:rPr>
            </w:pPr>
          </w:p>
          <w:p w14:paraId="671C9F8E"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Las UPS, además de proteger de sobrecargas de voltaje a los equipos de cómputo y de comunicaciones, garantiza un tiempo mínimo de autonomía en caso de ausencia de fluido eléctrico para aquellos equipos catalogados como críticos, los cuales deben estar en funcionamiento en forma permanente, para soportar adecuadamente los servicios de almacenamiento de información, procesamiento y comunicación del Instituto.</w:t>
            </w:r>
          </w:p>
          <w:p w14:paraId="502202D8" w14:textId="77777777" w:rsidR="00FC389D" w:rsidRPr="002767BD" w:rsidRDefault="00FC389D" w:rsidP="00FC389D">
            <w:pPr>
              <w:jc w:val="both"/>
              <w:rPr>
                <w:rFonts w:ascii="Verdana" w:hAnsi="Verdana" w:cs="Calibri"/>
                <w:sz w:val="22"/>
                <w:szCs w:val="22"/>
              </w:rPr>
            </w:pPr>
          </w:p>
          <w:p w14:paraId="43D406C3"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Para la vigencia 2025 se adelantó el Contrato No. 382 de 2025, cuyo objeto fue: “(SG-269) ADQUISICIÓN E INSTALACIÓN DE UPS MAYORES A 3 KVA PARA EL IDEAM.”, las cuales fueron adquiridas y distribuidas como se señala a continuación y dependiendo las necesidades reportadas en esa vigencia:</w:t>
            </w:r>
          </w:p>
          <w:p w14:paraId="38144F11" w14:textId="77777777" w:rsidR="00FC389D" w:rsidRPr="002767BD" w:rsidRDefault="00FC389D" w:rsidP="00FC389D">
            <w:pPr>
              <w:jc w:val="both"/>
              <w:rPr>
                <w:rFonts w:ascii="Verdana" w:hAnsi="Verdana"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1"/>
              <w:gridCol w:w="751"/>
              <w:gridCol w:w="2233"/>
              <w:gridCol w:w="4051"/>
            </w:tblGrid>
            <w:tr w:rsidR="00FC389D" w:rsidRPr="002767BD" w14:paraId="06D83606" w14:textId="77777777" w:rsidTr="00B82061">
              <w:trPr>
                <w:trHeight w:val="20"/>
              </w:trPr>
              <w:tc>
                <w:tcPr>
                  <w:tcW w:w="0" w:type="auto"/>
                  <w:shd w:val="clear" w:color="auto" w:fill="D9D9D9" w:themeFill="background1" w:themeFillShade="D9"/>
                  <w:vAlign w:val="center"/>
                  <w:hideMark/>
                </w:tcPr>
                <w:p w14:paraId="7E2A0C0C" w14:textId="77777777" w:rsidR="00FC389D" w:rsidRPr="002767BD" w:rsidRDefault="00FC389D" w:rsidP="00FC389D">
                  <w:pPr>
                    <w:jc w:val="center"/>
                    <w:rPr>
                      <w:rFonts w:ascii="Verdana" w:hAnsi="Verdana"/>
                      <w:b/>
                      <w:bCs/>
                      <w:color w:val="000000"/>
                      <w:sz w:val="18"/>
                      <w:szCs w:val="18"/>
                      <w:lang w:eastAsia="es-CO"/>
                    </w:rPr>
                  </w:pPr>
                  <w:r w:rsidRPr="002767BD">
                    <w:rPr>
                      <w:rFonts w:ascii="Verdana" w:hAnsi="Verdana"/>
                      <w:b/>
                      <w:bCs/>
                      <w:color w:val="000000"/>
                      <w:sz w:val="18"/>
                      <w:szCs w:val="18"/>
                      <w:lang w:eastAsia="es-CO"/>
                    </w:rPr>
                    <w:lastRenderedPageBreak/>
                    <w:t>DESCRIPCIÓN DEL BIEN Y/O SERVICIO</w:t>
                  </w:r>
                </w:p>
              </w:tc>
              <w:tc>
                <w:tcPr>
                  <w:tcW w:w="0" w:type="auto"/>
                  <w:shd w:val="clear" w:color="auto" w:fill="D9D9D9" w:themeFill="background1" w:themeFillShade="D9"/>
                  <w:vAlign w:val="center"/>
                </w:tcPr>
                <w:p w14:paraId="2E1D3680" w14:textId="77777777" w:rsidR="00FC389D" w:rsidRPr="002767BD" w:rsidRDefault="00FC389D" w:rsidP="00FC389D">
                  <w:pPr>
                    <w:jc w:val="center"/>
                    <w:rPr>
                      <w:rFonts w:ascii="Verdana" w:hAnsi="Verdana"/>
                      <w:b/>
                      <w:bCs/>
                      <w:color w:val="000000"/>
                      <w:sz w:val="18"/>
                      <w:szCs w:val="18"/>
                      <w:lang w:eastAsia="es-CO"/>
                    </w:rPr>
                  </w:pPr>
                  <w:r w:rsidRPr="002767BD">
                    <w:rPr>
                      <w:rFonts w:ascii="Verdana" w:hAnsi="Verdana"/>
                      <w:b/>
                      <w:bCs/>
                      <w:color w:val="000000"/>
                      <w:sz w:val="18"/>
                      <w:szCs w:val="18"/>
                      <w:lang w:eastAsia="es-CO"/>
                    </w:rPr>
                    <w:t>CANT.</w:t>
                  </w:r>
                </w:p>
              </w:tc>
              <w:tc>
                <w:tcPr>
                  <w:tcW w:w="0" w:type="auto"/>
                  <w:shd w:val="clear" w:color="auto" w:fill="D9D9D9" w:themeFill="background1" w:themeFillShade="D9"/>
                  <w:vAlign w:val="center"/>
                  <w:hideMark/>
                </w:tcPr>
                <w:p w14:paraId="31C09601" w14:textId="77777777" w:rsidR="00FC389D" w:rsidRPr="002767BD" w:rsidRDefault="00FC389D" w:rsidP="00FC389D">
                  <w:pPr>
                    <w:jc w:val="center"/>
                    <w:rPr>
                      <w:rFonts w:ascii="Verdana" w:hAnsi="Verdana"/>
                      <w:b/>
                      <w:bCs/>
                      <w:color w:val="000000"/>
                      <w:sz w:val="18"/>
                      <w:szCs w:val="18"/>
                      <w:lang w:eastAsia="es-CO"/>
                    </w:rPr>
                  </w:pPr>
                  <w:r w:rsidRPr="002767BD">
                    <w:rPr>
                      <w:rFonts w:ascii="Verdana" w:hAnsi="Verdana"/>
                      <w:b/>
                      <w:bCs/>
                      <w:color w:val="000000"/>
                      <w:sz w:val="18"/>
                      <w:szCs w:val="18"/>
                      <w:lang w:eastAsia="es-CO"/>
                    </w:rPr>
                    <w:t>CIUDAD</w:t>
                  </w:r>
                </w:p>
              </w:tc>
              <w:tc>
                <w:tcPr>
                  <w:tcW w:w="0" w:type="auto"/>
                  <w:shd w:val="clear" w:color="auto" w:fill="D9D9D9" w:themeFill="background1" w:themeFillShade="D9"/>
                  <w:vAlign w:val="center"/>
                  <w:hideMark/>
                </w:tcPr>
                <w:p w14:paraId="44478578" w14:textId="77777777" w:rsidR="00FC389D" w:rsidRPr="002767BD" w:rsidRDefault="00FC389D" w:rsidP="00FC389D">
                  <w:pPr>
                    <w:jc w:val="center"/>
                    <w:rPr>
                      <w:rFonts w:ascii="Verdana" w:hAnsi="Verdana"/>
                      <w:b/>
                      <w:bCs/>
                      <w:color w:val="000000"/>
                      <w:sz w:val="18"/>
                      <w:szCs w:val="18"/>
                      <w:lang w:eastAsia="es-CO"/>
                    </w:rPr>
                  </w:pPr>
                  <w:r w:rsidRPr="002767BD">
                    <w:rPr>
                      <w:rFonts w:ascii="Verdana" w:hAnsi="Verdana"/>
                      <w:b/>
                      <w:bCs/>
                      <w:color w:val="000000"/>
                      <w:sz w:val="18"/>
                      <w:szCs w:val="18"/>
                      <w:lang w:eastAsia="es-CO"/>
                    </w:rPr>
                    <w:t>DIRECCION DE INSTALACIÓN</w:t>
                  </w:r>
                </w:p>
              </w:tc>
            </w:tr>
            <w:tr w:rsidR="00FC389D" w:rsidRPr="002767BD" w14:paraId="11396A4F" w14:textId="77777777" w:rsidTr="00B82061">
              <w:trPr>
                <w:trHeight w:val="20"/>
              </w:trPr>
              <w:tc>
                <w:tcPr>
                  <w:tcW w:w="0" w:type="auto"/>
                  <w:vAlign w:val="center"/>
                  <w:hideMark/>
                </w:tcPr>
                <w:p w14:paraId="2F9D2719"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10 kVA, 120V, 60 Hz, con baterías internas.</w:t>
                  </w:r>
                </w:p>
              </w:tc>
              <w:tc>
                <w:tcPr>
                  <w:tcW w:w="0" w:type="auto"/>
                  <w:vAlign w:val="center"/>
                </w:tcPr>
                <w:p w14:paraId="3AF1B649"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65EADDF1"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DUITAMA</w:t>
                  </w:r>
                </w:p>
              </w:tc>
              <w:tc>
                <w:tcPr>
                  <w:tcW w:w="0" w:type="auto"/>
                  <w:vAlign w:val="center"/>
                  <w:hideMark/>
                </w:tcPr>
                <w:p w14:paraId="7E515511"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Área Operativa No. 6 IDEAM – Duitama, Boyacá - Duitama Km 1 vía Pantano de Vargas</w:t>
                  </w:r>
                </w:p>
              </w:tc>
            </w:tr>
            <w:tr w:rsidR="00FC389D" w:rsidRPr="002767BD" w14:paraId="69A86B61" w14:textId="77777777" w:rsidTr="00B82061">
              <w:trPr>
                <w:trHeight w:val="20"/>
              </w:trPr>
              <w:tc>
                <w:tcPr>
                  <w:tcW w:w="0" w:type="auto"/>
                  <w:vAlign w:val="center"/>
                  <w:hideMark/>
                </w:tcPr>
                <w:p w14:paraId="62B0195C"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10 kVA, 120V, 60 Hz, con baterías internas.</w:t>
                  </w:r>
                </w:p>
              </w:tc>
              <w:tc>
                <w:tcPr>
                  <w:tcW w:w="0" w:type="auto"/>
                  <w:vAlign w:val="center"/>
                </w:tcPr>
                <w:p w14:paraId="18C9D543"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120721F7"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NEIVA</w:t>
                  </w:r>
                </w:p>
              </w:tc>
              <w:tc>
                <w:tcPr>
                  <w:tcW w:w="0" w:type="auto"/>
                  <w:vAlign w:val="center"/>
                  <w:hideMark/>
                </w:tcPr>
                <w:p w14:paraId="36AEC42B"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Área Operativa No. 4 IDEAM – Neiva, Huila - Neiva Calle 3 # 8 - 40</w:t>
                  </w:r>
                </w:p>
              </w:tc>
            </w:tr>
            <w:tr w:rsidR="00FC389D" w:rsidRPr="002767BD" w14:paraId="2760FC37" w14:textId="77777777" w:rsidTr="00B82061">
              <w:trPr>
                <w:trHeight w:val="20"/>
              </w:trPr>
              <w:tc>
                <w:tcPr>
                  <w:tcW w:w="0" w:type="auto"/>
                  <w:vAlign w:val="center"/>
                  <w:hideMark/>
                </w:tcPr>
                <w:p w14:paraId="7D2C4632"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10 kVA, 120V, 60 Hz, con baterías internas.</w:t>
                  </w:r>
                </w:p>
              </w:tc>
              <w:tc>
                <w:tcPr>
                  <w:tcW w:w="0" w:type="auto"/>
                  <w:vAlign w:val="center"/>
                </w:tcPr>
                <w:p w14:paraId="268DE3D4"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2C69F2A4"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IBAGUE</w:t>
                  </w:r>
                </w:p>
              </w:tc>
              <w:tc>
                <w:tcPr>
                  <w:tcW w:w="0" w:type="auto"/>
                  <w:vAlign w:val="center"/>
                  <w:hideMark/>
                </w:tcPr>
                <w:p w14:paraId="778E4103"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Área Operativa No. 10 IDEAM – Ibagué, Tolima - Ibagué Carrera 6 # 46 -71</w:t>
                  </w:r>
                </w:p>
              </w:tc>
            </w:tr>
            <w:tr w:rsidR="00FC389D" w:rsidRPr="002767BD" w14:paraId="73BBEAE1" w14:textId="77777777" w:rsidTr="00B82061">
              <w:trPr>
                <w:trHeight w:val="20"/>
              </w:trPr>
              <w:tc>
                <w:tcPr>
                  <w:tcW w:w="0" w:type="auto"/>
                  <w:vAlign w:val="center"/>
                  <w:hideMark/>
                </w:tcPr>
                <w:p w14:paraId="4EB881A7"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1752BBF0"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5C00989D"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MEDELLÍN</w:t>
                  </w:r>
                </w:p>
              </w:tc>
              <w:tc>
                <w:tcPr>
                  <w:tcW w:w="0" w:type="auto"/>
                  <w:vAlign w:val="center"/>
                  <w:hideMark/>
                </w:tcPr>
                <w:p w14:paraId="1DEBA23E"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Olaya Herrera, Medellín</w:t>
                  </w:r>
                </w:p>
              </w:tc>
            </w:tr>
            <w:tr w:rsidR="00FC389D" w:rsidRPr="002767BD" w14:paraId="102569D6" w14:textId="77777777" w:rsidTr="00B82061">
              <w:trPr>
                <w:trHeight w:val="20"/>
              </w:trPr>
              <w:tc>
                <w:tcPr>
                  <w:tcW w:w="0" w:type="auto"/>
                  <w:vAlign w:val="center"/>
                  <w:hideMark/>
                </w:tcPr>
                <w:p w14:paraId="0B2EA916"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18196179"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20BD2671"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BUCARAMANGA</w:t>
                  </w:r>
                </w:p>
              </w:tc>
              <w:tc>
                <w:tcPr>
                  <w:tcW w:w="0" w:type="auto"/>
                  <w:vAlign w:val="center"/>
                  <w:hideMark/>
                </w:tcPr>
                <w:p w14:paraId="13787B78"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Palo Negro en Bucaramanga - estación de radiosonda</w:t>
                  </w:r>
                </w:p>
              </w:tc>
            </w:tr>
            <w:tr w:rsidR="00FC389D" w:rsidRPr="002767BD" w14:paraId="29FC4BFB" w14:textId="77777777" w:rsidTr="00B82061">
              <w:trPr>
                <w:trHeight w:val="20"/>
              </w:trPr>
              <w:tc>
                <w:tcPr>
                  <w:tcW w:w="0" w:type="auto"/>
                  <w:vAlign w:val="center"/>
                  <w:hideMark/>
                </w:tcPr>
                <w:p w14:paraId="0659F5E9"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443BA3D7"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3F0951C9"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PUERTO CARREÑO - VICHADA</w:t>
                  </w:r>
                </w:p>
              </w:tc>
              <w:tc>
                <w:tcPr>
                  <w:tcW w:w="0" w:type="auto"/>
                  <w:vAlign w:val="center"/>
                  <w:hideMark/>
                </w:tcPr>
                <w:p w14:paraId="63936E53"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Puerto Carreño.</w:t>
                  </w:r>
                </w:p>
              </w:tc>
            </w:tr>
            <w:tr w:rsidR="00FC389D" w:rsidRPr="002767BD" w14:paraId="376F8C42" w14:textId="77777777" w:rsidTr="00B82061">
              <w:trPr>
                <w:trHeight w:val="20"/>
              </w:trPr>
              <w:tc>
                <w:tcPr>
                  <w:tcW w:w="0" w:type="auto"/>
                  <w:vAlign w:val="center"/>
                  <w:hideMark/>
                </w:tcPr>
                <w:p w14:paraId="4EFBB041"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28A57FD0"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70250C00"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PROVIDENCIA ISLAS</w:t>
                  </w:r>
                </w:p>
              </w:tc>
              <w:tc>
                <w:tcPr>
                  <w:tcW w:w="0" w:type="auto"/>
                  <w:vAlign w:val="center"/>
                  <w:hideMark/>
                </w:tcPr>
                <w:p w14:paraId="584A5A1A"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El Embrujo, Isla de Providencia</w:t>
                  </w:r>
                </w:p>
              </w:tc>
            </w:tr>
            <w:tr w:rsidR="00FC389D" w:rsidRPr="002767BD" w14:paraId="5F2587E7" w14:textId="77777777" w:rsidTr="00B82061">
              <w:trPr>
                <w:trHeight w:val="20"/>
              </w:trPr>
              <w:tc>
                <w:tcPr>
                  <w:tcW w:w="0" w:type="auto"/>
                  <w:vAlign w:val="center"/>
                  <w:hideMark/>
                </w:tcPr>
                <w:p w14:paraId="4D64A0A2"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28734CD5"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6A574305"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BARRANCABERMEJA</w:t>
                  </w:r>
                </w:p>
              </w:tc>
              <w:tc>
                <w:tcPr>
                  <w:tcW w:w="0" w:type="auto"/>
                  <w:vAlign w:val="center"/>
                  <w:hideMark/>
                </w:tcPr>
                <w:p w14:paraId="30B30723"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Yariguies en Barrancabermeja</w:t>
                  </w:r>
                </w:p>
              </w:tc>
            </w:tr>
            <w:tr w:rsidR="00FC389D" w:rsidRPr="002767BD" w14:paraId="746E36FC" w14:textId="77777777" w:rsidTr="00B82061">
              <w:trPr>
                <w:trHeight w:val="20"/>
              </w:trPr>
              <w:tc>
                <w:tcPr>
                  <w:tcW w:w="0" w:type="auto"/>
                  <w:vAlign w:val="center"/>
                  <w:hideMark/>
                </w:tcPr>
                <w:p w14:paraId="3DDB9FFB"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Suministro e instalación UPS On-Line de 3 kVA, 120V, 60 Hz, con baterías internas.</w:t>
                  </w:r>
                </w:p>
              </w:tc>
              <w:tc>
                <w:tcPr>
                  <w:tcW w:w="0" w:type="auto"/>
                  <w:vAlign w:val="center"/>
                </w:tcPr>
                <w:p w14:paraId="2D952BB6"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1</w:t>
                  </w:r>
                </w:p>
              </w:tc>
              <w:tc>
                <w:tcPr>
                  <w:tcW w:w="0" w:type="auto"/>
                  <w:vAlign w:val="center"/>
                  <w:hideMark/>
                </w:tcPr>
                <w:p w14:paraId="4EBAC28D" w14:textId="77777777" w:rsidR="00FC389D" w:rsidRPr="002767BD" w:rsidRDefault="00FC389D" w:rsidP="00FC389D">
                  <w:pPr>
                    <w:jc w:val="center"/>
                    <w:rPr>
                      <w:rFonts w:ascii="Verdana" w:hAnsi="Verdana"/>
                      <w:color w:val="000000"/>
                      <w:sz w:val="18"/>
                      <w:szCs w:val="18"/>
                      <w:lang w:eastAsia="es-CO"/>
                    </w:rPr>
                  </w:pPr>
                  <w:r w:rsidRPr="002767BD">
                    <w:rPr>
                      <w:rFonts w:ascii="Verdana" w:hAnsi="Verdana"/>
                      <w:color w:val="000000"/>
                      <w:sz w:val="18"/>
                      <w:szCs w:val="18"/>
                      <w:lang w:eastAsia="es-CO"/>
                    </w:rPr>
                    <w:t>CAREPA</w:t>
                  </w:r>
                </w:p>
              </w:tc>
              <w:tc>
                <w:tcPr>
                  <w:tcW w:w="0" w:type="auto"/>
                  <w:vAlign w:val="center"/>
                  <w:hideMark/>
                </w:tcPr>
                <w:p w14:paraId="6DC68877" w14:textId="77777777" w:rsidR="00FC389D" w:rsidRPr="002767BD" w:rsidRDefault="00FC389D" w:rsidP="00FC389D">
                  <w:pPr>
                    <w:jc w:val="both"/>
                    <w:rPr>
                      <w:rFonts w:ascii="Verdana" w:hAnsi="Verdana"/>
                      <w:color w:val="000000"/>
                      <w:sz w:val="18"/>
                      <w:szCs w:val="18"/>
                      <w:lang w:eastAsia="es-CO"/>
                    </w:rPr>
                  </w:pPr>
                  <w:r w:rsidRPr="002767BD">
                    <w:rPr>
                      <w:rFonts w:ascii="Verdana" w:hAnsi="Verdana"/>
                      <w:color w:val="000000"/>
                      <w:sz w:val="18"/>
                      <w:szCs w:val="18"/>
                      <w:lang w:eastAsia="es-CO"/>
                    </w:rPr>
                    <w:t>Oficina Meteorología Aeronáutica IDEAM – Aeropuerto Los Cedros en Carepa Vía Zungo Embarcadero</w:t>
                  </w:r>
                </w:p>
              </w:tc>
            </w:tr>
          </w:tbl>
          <w:p w14:paraId="43406831" w14:textId="77777777" w:rsidR="00FC389D" w:rsidRPr="002767BD" w:rsidRDefault="00FC389D" w:rsidP="00FC389D">
            <w:pPr>
              <w:jc w:val="both"/>
              <w:rPr>
                <w:rFonts w:ascii="Verdana" w:hAnsi="Verdana" w:cs="Calibri"/>
                <w:sz w:val="22"/>
                <w:szCs w:val="22"/>
              </w:rPr>
            </w:pPr>
          </w:p>
          <w:p w14:paraId="18EA0961"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Así mismo, para la vigencia del año 2025, la Entidad adelantó el proceso de selección No. SA-SIE-011-2025, cuyo proponente adjudicatario resulto ser la Persona Jurídica POWERSUN S.A.S., contrato No. 361 de 2025, cuyo objeto fue: “(SG-266) PRESTACIÓN DE SERVICIOS DE MANTENIMIENTO DE UPS MAYORES A 3 KVA INCLUIDA LA COMPRA DE BATERIAS UBICADAS EN SEDES DEL IDEAM.”, en donde para las UPS del Área Operativa No. 7 – Pasto identificada con placa de inventario 16957 en el reporte técnico de mantenimiento realizado se indicó lo siguiente por parte del contratista:</w:t>
            </w:r>
          </w:p>
          <w:p w14:paraId="65767F17" w14:textId="77777777" w:rsidR="00FC389D" w:rsidRPr="002767BD" w:rsidRDefault="00FC389D" w:rsidP="00FC389D">
            <w:pPr>
              <w:rPr>
                <w:rFonts w:ascii="Verdana" w:hAnsi="Verdana" w:cs="Calibri"/>
                <w:sz w:val="22"/>
                <w:szCs w:val="22"/>
              </w:rPr>
            </w:pPr>
          </w:p>
          <w:p w14:paraId="0DF67FAF" w14:textId="77777777" w:rsidR="00FC389D" w:rsidRPr="002767BD" w:rsidRDefault="00FC389D" w:rsidP="00FC389D">
            <w:pPr>
              <w:ind w:left="308"/>
              <w:rPr>
                <w:rFonts w:ascii="Verdana" w:hAnsi="Verdana"/>
                <w:i/>
                <w:iCs/>
                <w:sz w:val="22"/>
                <w:szCs w:val="22"/>
              </w:rPr>
            </w:pPr>
            <w:r w:rsidRPr="002767BD">
              <w:rPr>
                <w:rFonts w:ascii="Verdana" w:hAnsi="Verdana"/>
                <w:i/>
                <w:iCs/>
                <w:sz w:val="22"/>
                <w:szCs w:val="22"/>
                <w:lang w:eastAsia="es-CO"/>
              </w:rPr>
              <w:t>“(…)</w:t>
            </w:r>
          </w:p>
          <w:p w14:paraId="448D0662" w14:textId="77777777" w:rsidR="00FC389D" w:rsidRPr="002767BD" w:rsidRDefault="00FC389D" w:rsidP="00FC389D">
            <w:pPr>
              <w:widowControl w:val="0"/>
              <w:numPr>
                <w:ilvl w:val="0"/>
                <w:numId w:val="6"/>
              </w:numPr>
              <w:pBdr>
                <w:top w:val="nil"/>
                <w:left w:val="nil"/>
                <w:bottom w:val="nil"/>
                <w:right w:val="nil"/>
                <w:between w:val="nil"/>
              </w:pBdr>
              <w:autoSpaceDE w:val="0"/>
              <w:autoSpaceDN w:val="0"/>
              <w:jc w:val="both"/>
              <w:rPr>
                <w:rFonts w:ascii="Verdana" w:hAnsi="Verdana"/>
                <w:i/>
                <w:iCs/>
                <w:sz w:val="22"/>
                <w:szCs w:val="22"/>
              </w:rPr>
            </w:pPr>
            <w:r w:rsidRPr="002767BD">
              <w:rPr>
                <w:rFonts w:ascii="Verdana" w:hAnsi="Verdana"/>
                <w:i/>
                <w:iCs/>
                <w:sz w:val="22"/>
                <w:szCs w:val="22"/>
              </w:rPr>
              <w:t>ORDEN DE TRABAJO Mantenimiento preventivo 5365 - 1 – 5, Contrato 361 de 2025; “Serial 16957, Modelo BIFASICA, Marca @SPECTRONIC, Capacidad 10KVA. Mantenimiento revisión limpieza de ups. Se recomienda cambio de brek de riel entrada UPS de 63 amperios.”</w:t>
            </w:r>
          </w:p>
          <w:p w14:paraId="713AC513" w14:textId="77777777" w:rsidR="00FC389D" w:rsidRPr="002767BD" w:rsidRDefault="00FC389D" w:rsidP="00FC389D">
            <w:pPr>
              <w:pBdr>
                <w:top w:val="nil"/>
                <w:left w:val="nil"/>
                <w:bottom w:val="nil"/>
                <w:right w:val="nil"/>
                <w:between w:val="nil"/>
              </w:pBdr>
              <w:ind w:left="720"/>
              <w:jc w:val="both"/>
              <w:rPr>
                <w:rFonts w:ascii="Verdana" w:hAnsi="Verdana"/>
                <w:i/>
                <w:iCs/>
                <w:sz w:val="22"/>
                <w:szCs w:val="22"/>
              </w:rPr>
            </w:pPr>
          </w:p>
          <w:p w14:paraId="76A7642F" w14:textId="77777777" w:rsidR="00FC389D" w:rsidRPr="002767BD" w:rsidRDefault="00FC389D" w:rsidP="00FC389D">
            <w:pPr>
              <w:pBdr>
                <w:top w:val="nil"/>
                <w:left w:val="nil"/>
                <w:bottom w:val="nil"/>
                <w:right w:val="nil"/>
                <w:between w:val="nil"/>
              </w:pBdr>
              <w:ind w:left="720"/>
              <w:jc w:val="both"/>
              <w:rPr>
                <w:rFonts w:ascii="Verdana" w:hAnsi="Verdana"/>
                <w:sz w:val="22"/>
                <w:szCs w:val="22"/>
              </w:rPr>
            </w:pPr>
            <w:r w:rsidRPr="002767BD">
              <w:rPr>
                <w:rFonts w:ascii="Verdana" w:hAnsi="Verdana"/>
                <w:sz w:val="22"/>
                <w:szCs w:val="22"/>
              </w:rPr>
              <w:t>De acuerdo con el Mantenimiento preventivo 5365 - 1 – 5, y una vez revisada la UPS de 10KVA, se evidencia cambio de brek de riel entrada UPS de 63 amperios, en ese sentido, se recomienda realizar el cambio de esta UPS, adicional a lo anterior, tener en cuenta que esta UPS corresponde a un modelo obsoleto en el mercado, lo que dificulta la consecución de los repuestos.</w:t>
            </w:r>
          </w:p>
          <w:p w14:paraId="0EBB49B3" w14:textId="77777777" w:rsidR="00FC389D" w:rsidRPr="002767BD" w:rsidRDefault="00FC389D" w:rsidP="00FC389D">
            <w:pPr>
              <w:ind w:left="308"/>
              <w:jc w:val="both"/>
              <w:rPr>
                <w:rFonts w:ascii="Verdana" w:hAnsi="Verdana"/>
                <w:i/>
                <w:iCs/>
                <w:sz w:val="22"/>
                <w:szCs w:val="22"/>
                <w:lang w:eastAsia="es-CO"/>
              </w:rPr>
            </w:pPr>
            <w:r w:rsidRPr="002767BD">
              <w:rPr>
                <w:rFonts w:ascii="Verdana" w:hAnsi="Verdana"/>
                <w:i/>
                <w:iCs/>
                <w:sz w:val="22"/>
                <w:szCs w:val="22"/>
                <w:lang w:eastAsia="es-CO"/>
              </w:rPr>
              <w:t>(…)”</w:t>
            </w:r>
          </w:p>
          <w:p w14:paraId="42071DC9" w14:textId="77777777" w:rsidR="00FC389D" w:rsidRPr="002767BD" w:rsidRDefault="00FC389D" w:rsidP="00FC389D">
            <w:pPr>
              <w:rPr>
                <w:rFonts w:ascii="Verdana" w:hAnsi="Verdana"/>
                <w:i/>
                <w:iCs/>
                <w:sz w:val="22"/>
                <w:szCs w:val="22"/>
                <w:lang w:eastAsia="es-CO"/>
              </w:rPr>
            </w:pPr>
          </w:p>
          <w:p w14:paraId="260E85FB"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lastRenderedPageBreak/>
              <w:t>Por lo anterior, atendiendo la recomendación y teniendo en cuenta la necesidad de contar con estos equipos, se hace necesario adquirir nuevas UPS para remplazar las existentes identificadas con placas de inventario No. 16957 para el Área Operativa No. 7 – Pasto.</w:t>
            </w:r>
          </w:p>
          <w:p w14:paraId="1636BF7C" w14:textId="77777777" w:rsidR="00FC389D" w:rsidRPr="002767BD" w:rsidRDefault="00FC389D" w:rsidP="00FC389D">
            <w:pPr>
              <w:jc w:val="both"/>
              <w:rPr>
                <w:rFonts w:ascii="Verdana" w:hAnsi="Verdana" w:cs="Calibri"/>
                <w:sz w:val="22"/>
                <w:szCs w:val="22"/>
              </w:rPr>
            </w:pPr>
          </w:p>
          <w:p w14:paraId="4D5CAE98"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De igual manera, las Áreas Operativas No. 1 – Medellin, No. 2 – Barranquilla, No. 5 – Santa Marta y No. 9 – Cali, Sede Laboratorio de Calidad Ambiental del IDEAM en Bogotá D.C. y Oficinas de Meteorología Aeronáutica del IDEAM, correspondientes al Aeropuerto Ernesto Cortissoz en Barranquilla – Atlántico, Aeropuerto Alfredo Vasquez Cobo en Leticia - Amazonas y Aeropuerto San Luis en Ipiales - Nariño, remitieron correos electrónicos con la necesidad de adquirir UPS para el soporte de los equipos de cómputo que se manejan en dichas oficinas, los cuales permiten el reporte de los datos meteorológicos y misionales de la entidad, se adjuntan los correos electrónicos mencionados:</w:t>
            </w:r>
          </w:p>
          <w:p w14:paraId="77A2E00C" w14:textId="77777777" w:rsidR="00FC389D" w:rsidRPr="002767BD" w:rsidRDefault="00FC389D" w:rsidP="00FC389D">
            <w:pPr>
              <w:jc w:val="both"/>
              <w:rPr>
                <w:rFonts w:ascii="Verdana" w:hAnsi="Verdana" w:cs="Calibri"/>
                <w:sz w:val="22"/>
                <w:szCs w:val="22"/>
              </w:rPr>
            </w:pPr>
          </w:p>
          <w:p w14:paraId="3E7A1C9A" w14:textId="77777777" w:rsidR="00FC389D" w:rsidRPr="002767BD" w:rsidRDefault="00FC389D" w:rsidP="00FC389D">
            <w:pPr>
              <w:jc w:val="both"/>
              <w:rPr>
                <w:rFonts w:ascii="Verdana" w:hAnsi="Verdana" w:cs="Calibri"/>
                <w:i/>
                <w:sz w:val="22"/>
                <w:szCs w:val="22"/>
              </w:rPr>
            </w:pPr>
            <w:r w:rsidRPr="002767BD">
              <w:rPr>
                <w:rFonts w:ascii="Verdana" w:hAnsi="Verdana" w:cs="Calibri"/>
                <w:i/>
                <w:sz w:val="22"/>
                <w:szCs w:val="22"/>
              </w:rPr>
              <w:t>“(…)</w:t>
            </w:r>
          </w:p>
          <w:p w14:paraId="6DA81DAE" w14:textId="77777777" w:rsidR="00FC389D" w:rsidRPr="002767BD" w:rsidRDefault="00FC389D" w:rsidP="00FC389D">
            <w:pPr>
              <w:widowControl w:val="0"/>
              <w:numPr>
                <w:ilvl w:val="0"/>
                <w:numId w:val="8"/>
              </w:numPr>
              <w:autoSpaceDE w:val="0"/>
              <w:autoSpaceDN w:val="0"/>
              <w:jc w:val="both"/>
              <w:rPr>
                <w:rFonts w:ascii="Verdana" w:eastAsia="Arial Narrow" w:hAnsi="Verdana" w:cs="Arial Narrow"/>
                <w:b/>
                <w:bCs/>
                <w:i/>
                <w:sz w:val="22"/>
                <w:szCs w:val="22"/>
              </w:rPr>
            </w:pPr>
            <w:r w:rsidRPr="002767BD">
              <w:rPr>
                <w:rFonts w:ascii="Verdana" w:eastAsia="Arial Narrow" w:hAnsi="Verdana" w:cs="Arial Narrow"/>
                <w:b/>
                <w:bCs/>
                <w:i/>
                <w:sz w:val="22"/>
                <w:szCs w:val="22"/>
              </w:rPr>
              <w:t>Área Operativa No. 01 - Medellín, Antioquia - Medellín Av. Circunvalar 4 # 71-56.</w:t>
            </w:r>
          </w:p>
          <w:p w14:paraId="65877EF7" w14:textId="77777777" w:rsidR="00FC389D" w:rsidRPr="002767BD" w:rsidRDefault="00FC389D" w:rsidP="00FC389D">
            <w:pPr>
              <w:ind w:left="720"/>
              <w:jc w:val="both"/>
              <w:rPr>
                <w:rFonts w:ascii="Verdana" w:eastAsia="Arial Narrow" w:hAnsi="Verdana" w:cs="Arial Narrow"/>
                <w:b/>
                <w:bCs/>
                <w:i/>
                <w:sz w:val="22"/>
                <w:szCs w:val="22"/>
              </w:rPr>
            </w:pPr>
          </w:p>
          <w:p w14:paraId="1A1EB328" w14:textId="77777777" w:rsidR="00FC389D" w:rsidRPr="002767BD" w:rsidRDefault="00FC389D" w:rsidP="00FC389D">
            <w:pPr>
              <w:ind w:left="720"/>
              <w:jc w:val="center"/>
              <w:rPr>
                <w:rFonts w:ascii="Verdana" w:hAnsi="Verdana" w:cs="Calibri"/>
                <w:i/>
                <w:sz w:val="22"/>
                <w:szCs w:val="22"/>
              </w:rPr>
            </w:pPr>
            <w:r w:rsidRPr="002767BD">
              <w:rPr>
                <w:rFonts w:ascii="Verdana" w:hAnsi="Verdana" w:cs="Calibri"/>
                <w:i/>
                <w:noProof/>
                <w:sz w:val="22"/>
                <w:szCs w:val="22"/>
              </w:rPr>
              <w:drawing>
                <wp:inline distT="0" distB="0" distL="0" distR="0" wp14:anchorId="737E25D6" wp14:editId="497E777B">
                  <wp:extent cx="3959860" cy="1442357"/>
                  <wp:effectExtent l="0" t="0" r="2540" b="5715"/>
                  <wp:docPr id="8438681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68181" name=""/>
                          <pic:cNvPicPr/>
                        </pic:nvPicPr>
                        <pic:blipFill>
                          <a:blip r:embed="rId28"/>
                          <a:stretch>
                            <a:fillRect/>
                          </a:stretch>
                        </pic:blipFill>
                        <pic:spPr>
                          <a:xfrm>
                            <a:off x="0" y="0"/>
                            <a:ext cx="3963169" cy="1443562"/>
                          </a:xfrm>
                          <a:prstGeom prst="rect">
                            <a:avLst/>
                          </a:prstGeom>
                        </pic:spPr>
                      </pic:pic>
                    </a:graphicData>
                  </a:graphic>
                </wp:inline>
              </w:drawing>
            </w:r>
          </w:p>
          <w:p w14:paraId="26CBCED0" w14:textId="77777777" w:rsidR="00FC389D" w:rsidRPr="002767BD" w:rsidRDefault="00FC389D" w:rsidP="00FC389D">
            <w:pPr>
              <w:jc w:val="both"/>
              <w:rPr>
                <w:rFonts w:ascii="Verdana" w:hAnsi="Verdana" w:cs="Calibri"/>
                <w:i/>
                <w:sz w:val="22"/>
                <w:szCs w:val="22"/>
              </w:rPr>
            </w:pPr>
          </w:p>
          <w:p w14:paraId="73C9CDC3" w14:textId="77777777" w:rsidR="00FC389D" w:rsidRPr="002767BD" w:rsidRDefault="00FC389D" w:rsidP="00FC389D">
            <w:pPr>
              <w:widowControl w:val="0"/>
              <w:numPr>
                <w:ilvl w:val="0"/>
                <w:numId w:val="8"/>
              </w:numPr>
              <w:autoSpaceDE w:val="0"/>
              <w:autoSpaceDN w:val="0"/>
              <w:jc w:val="both"/>
              <w:rPr>
                <w:rFonts w:ascii="Verdana" w:hAnsi="Verdana" w:cs="Calibri"/>
                <w:b/>
                <w:i/>
                <w:sz w:val="22"/>
                <w:szCs w:val="22"/>
              </w:rPr>
            </w:pPr>
            <w:r w:rsidRPr="002767BD">
              <w:rPr>
                <w:rFonts w:ascii="Verdana" w:hAnsi="Verdana" w:cs="Calibri"/>
                <w:b/>
                <w:i/>
                <w:sz w:val="22"/>
                <w:szCs w:val="22"/>
              </w:rPr>
              <w:t>Área Operativa No. 02 - Barranquilla, Atlántico - Barranquilla Calle 68 # 54 -82.</w:t>
            </w:r>
          </w:p>
          <w:p w14:paraId="1FE7A7A1" w14:textId="77777777" w:rsidR="00FC389D" w:rsidRPr="002767BD" w:rsidRDefault="00FC389D" w:rsidP="00FC389D">
            <w:pPr>
              <w:ind w:left="720"/>
              <w:jc w:val="both"/>
              <w:rPr>
                <w:rFonts w:ascii="Verdana" w:hAnsi="Verdana" w:cs="Calibri"/>
                <w:b/>
                <w:i/>
                <w:sz w:val="22"/>
                <w:szCs w:val="22"/>
              </w:rPr>
            </w:pPr>
          </w:p>
          <w:p w14:paraId="151693A6"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drawing>
                <wp:inline distT="0" distB="0" distL="0" distR="0" wp14:anchorId="13BA8387" wp14:editId="75547D59">
                  <wp:extent cx="3957354" cy="1714500"/>
                  <wp:effectExtent l="0" t="0" r="5080" b="0"/>
                  <wp:docPr id="7841185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18583" name=""/>
                          <pic:cNvPicPr/>
                        </pic:nvPicPr>
                        <pic:blipFill>
                          <a:blip r:embed="rId29"/>
                          <a:stretch>
                            <a:fillRect/>
                          </a:stretch>
                        </pic:blipFill>
                        <pic:spPr>
                          <a:xfrm>
                            <a:off x="0" y="0"/>
                            <a:ext cx="3975454" cy="1722342"/>
                          </a:xfrm>
                          <a:prstGeom prst="rect">
                            <a:avLst/>
                          </a:prstGeom>
                        </pic:spPr>
                      </pic:pic>
                    </a:graphicData>
                  </a:graphic>
                </wp:inline>
              </w:drawing>
            </w:r>
          </w:p>
          <w:p w14:paraId="1E2AF7B6" w14:textId="77777777" w:rsidR="00FC389D" w:rsidRPr="002767BD" w:rsidRDefault="00FC389D" w:rsidP="00FC389D">
            <w:pPr>
              <w:ind w:left="567" w:right="567"/>
              <w:jc w:val="both"/>
              <w:rPr>
                <w:rFonts w:ascii="Verdana" w:hAnsi="Verdana" w:cs="Calibri"/>
                <w:i/>
                <w:iCs/>
                <w:sz w:val="22"/>
                <w:szCs w:val="22"/>
              </w:rPr>
            </w:pPr>
            <w:r w:rsidRPr="002767BD">
              <w:rPr>
                <w:rFonts w:ascii="Verdana" w:hAnsi="Verdana" w:cs="Calibri"/>
                <w:i/>
                <w:iCs/>
                <w:sz w:val="22"/>
                <w:szCs w:val="22"/>
              </w:rPr>
              <w:t>“(…) Justificación: Se requiere una UPS de 10KVA. (…)”</w:t>
            </w:r>
          </w:p>
          <w:p w14:paraId="716DC1A1" w14:textId="77777777" w:rsidR="00FC389D" w:rsidRPr="002767BD" w:rsidRDefault="00FC389D" w:rsidP="00FC389D">
            <w:pPr>
              <w:ind w:left="720"/>
              <w:jc w:val="center"/>
              <w:rPr>
                <w:rFonts w:ascii="Verdana" w:hAnsi="Verdana" w:cs="Calibri"/>
                <w:b/>
                <w:i/>
                <w:sz w:val="22"/>
                <w:szCs w:val="22"/>
              </w:rPr>
            </w:pPr>
          </w:p>
          <w:p w14:paraId="1AAA2664" w14:textId="77777777" w:rsidR="00FC389D" w:rsidRPr="002767BD" w:rsidRDefault="00FC389D" w:rsidP="00FC389D">
            <w:pPr>
              <w:widowControl w:val="0"/>
              <w:numPr>
                <w:ilvl w:val="0"/>
                <w:numId w:val="8"/>
              </w:numPr>
              <w:autoSpaceDE w:val="0"/>
              <w:autoSpaceDN w:val="0"/>
              <w:jc w:val="both"/>
              <w:rPr>
                <w:rFonts w:ascii="Verdana" w:hAnsi="Verdana" w:cs="Calibri"/>
                <w:sz w:val="22"/>
                <w:szCs w:val="22"/>
              </w:rPr>
            </w:pPr>
            <w:r w:rsidRPr="002767BD">
              <w:rPr>
                <w:rFonts w:ascii="Verdana" w:hAnsi="Verdana" w:cs="Calibri"/>
                <w:b/>
                <w:i/>
                <w:sz w:val="22"/>
                <w:szCs w:val="22"/>
              </w:rPr>
              <w:t>Área Operativa No. 05 - Santa Marta, Magdalena - Santa Marta Calle 24A # 2 - 54</w:t>
            </w:r>
            <w:r w:rsidRPr="002767BD">
              <w:rPr>
                <w:rFonts w:ascii="Verdana" w:hAnsi="Verdana" w:cs="Calibri"/>
                <w:i/>
                <w:sz w:val="22"/>
                <w:szCs w:val="22"/>
              </w:rPr>
              <w:t>.</w:t>
            </w:r>
          </w:p>
          <w:p w14:paraId="0C8F8932" w14:textId="77777777" w:rsidR="00FC389D" w:rsidRPr="002767BD" w:rsidRDefault="00FC389D" w:rsidP="00FC389D">
            <w:pPr>
              <w:ind w:left="720"/>
              <w:jc w:val="both"/>
              <w:rPr>
                <w:rFonts w:ascii="Verdana" w:hAnsi="Verdana" w:cs="Calibri"/>
                <w:sz w:val="22"/>
                <w:szCs w:val="22"/>
              </w:rPr>
            </w:pPr>
          </w:p>
          <w:p w14:paraId="798F05D9" w14:textId="77777777" w:rsidR="00FC389D" w:rsidRPr="002767BD" w:rsidRDefault="00FC389D" w:rsidP="00FC389D">
            <w:pPr>
              <w:ind w:left="720"/>
              <w:jc w:val="center"/>
              <w:rPr>
                <w:rFonts w:ascii="Verdana" w:hAnsi="Verdana" w:cs="Calibri"/>
                <w:sz w:val="22"/>
                <w:szCs w:val="22"/>
              </w:rPr>
            </w:pPr>
            <w:r w:rsidRPr="002767BD">
              <w:rPr>
                <w:rFonts w:ascii="Verdana" w:hAnsi="Verdana" w:cs="Calibri"/>
                <w:noProof/>
                <w:sz w:val="22"/>
                <w:szCs w:val="22"/>
              </w:rPr>
              <w:lastRenderedPageBreak/>
              <w:drawing>
                <wp:inline distT="0" distB="0" distL="0" distR="0" wp14:anchorId="4559BF16" wp14:editId="1F047D4B">
                  <wp:extent cx="3957339" cy="2198914"/>
                  <wp:effectExtent l="0" t="0" r="5080" b="0"/>
                  <wp:docPr id="1762656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656288" name=""/>
                          <pic:cNvPicPr/>
                        </pic:nvPicPr>
                        <pic:blipFill>
                          <a:blip r:embed="rId30"/>
                          <a:stretch>
                            <a:fillRect/>
                          </a:stretch>
                        </pic:blipFill>
                        <pic:spPr>
                          <a:xfrm>
                            <a:off x="0" y="0"/>
                            <a:ext cx="3975533" cy="2209024"/>
                          </a:xfrm>
                          <a:prstGeom prst="rect">
                            <a:avLst/>
                          </a:prstGeom>
                        </pic:spPr>
                      </pic:pic>
                    </a:graphicData>
                  </a:graphic>
                </wp:inline>
              </w:drawing>
            </w:r>
          </w:p>
          <w:p w14:paraId="7EE048FE" w14:textId="77777777" w:rsidR="00FC389D" w:rsidRPr="002767BD" w:rsidRDefault="00FC389D" w:rsidP="00FC389D">
            <w:pPr>
              <w:ind w:left="720"/>
              <w:jc w:val="center"/>
              <w:rPr>
                <w:rFonts w:ascii="Verdana" w:hAnsi="Verdana" w:cs="Calibri"/>
                <w:sz w:val="22"/>
                <w:szCs w:val="22"/>
              </w:rPr>
            </w:pPr>
            <w:r w:rsidRPr="002767BD">
              <w:rPr>
                <w:rFonts w:ascii="Verdana" w:hAnsi="Verdana" w:cs="Calibri"/>
                <w:noProof/>
                <w:sz w:val="22"/>
                <w:szCs w:val="22"/>
              </w:rPr>
              <w:drawing>
                <wp:inline distT="0" distB="0" distL="0" distR="0" wp14:anchorId="0A4778F8" wp14:editId="72F889F2">
                  <wp:extent cx="3951804" cy="876300"/>
                  <wp:effectExtent l="0" t="0" r="0" b="0"/>
                  <wp:docPr id="1411760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60420" name=""/>
                          <pic:cNvPicPr/>
                        </pic:nvPicPr>
                        <pic:blipFill>
                          <a:blip r:embed="rId31"/>
                          <a:stretch>
                            <a:fillRect/>
                          </a:stretch>
                        </pic:blipFill>
                        <pic:spPr>
                          <a:xfrm>
                            <a:off x="0" y="0"/>
                            <a:ext cx="3995915" cy="886082"/>
                          </a:xfrm>
                          <a:prstGeom prst="rect">
                            <a:avLst/>
                          </a:prstGeom>
                        </pic:spPr>
                      </pic:pic>
                    </a:graphicData>
                  </a:graphic>
                </wp:inline>
              </w:drawing>
            </w:r>
          </w:p>
          <w:p w14:paraId="7D5D3F84" w14:textId="77777777" w:rsidR="00FC389D" w:rsidRPr="002767BD" w:rsidRDefault="00FC389D" w:rsidP="00FC389D">
            <w:pPr>
              <w:ind w:left="720"/>
              <w:jc w:val="both"/>
              <w:rPr>
                <w:rFonts w:ascii="Verdana" w:hAnsi="Verdana" w:cs="Calibri"/>
                <w:sz w:val="22"/>
                <w:szCs w:val="22"/>
              </w:rPr>
            </w:pPr>
          </w:p>
          <w:p w14:paraId="7D5AA5E8"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Área Operativa No. 07 - Pasto, Nariño - Pasto Carrera 36 # 18 - 148.</w:t>
            </w:r>
          </w:p>
          <w:p w14:paraId="199BB855" w14:textId="77777777" w:rsidR="00FC389D" w:rsidRPr="002767BD" w:rsidRDefault="00FC389D" w:rsidP="00FC389D">
            <w:pPr>
              <w:ind w:left="720"/>
              <w:rPr>
                <w:rFonts w:ascii="Verdana" w:hAnsi="Verdana" w:cs="Calibri"/>
                <w:b/>
                <w:i/>
                <w:sz w:val="22"/>
                <w:szCs w:val="22"/>
              </w:rPr>
            </w:pPr>
          </w:p>
          <w:p w14:paraId="05FB62E2"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drawing>
                <wp:inline distT="0" distB="0" distL="0" distR="0" wp14:anchorId="43D11089" wp14:editId="467428EB">
                  <wp:extent cx="3959225" cy="2824842"/>
                  <wp:effectExtent l="0" t="0" r="3175" b="0"/>
                  <wp:docPr id="14945262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26235" name=""/>
                          <pic:cNvPicPr/>
                        </pic:nvPicPr>
                        <pic:blipFill rotWithShape="1">
                          <a:blip r:embed="rId32"/>
                          <a:srcRect b="1453"/>
                          <a:stretch>
                            <a:fillRect/>
                          </a:stretch>
                        </pic:blipFill>
                        <pic:spPr bwMode="auto">
                          <a:xfrm>
                            <a:off x="0" y="0"/>
                            <a:ext cx="3966454" cy="2830000"/>
                          </a:xfrm>
                          <a:prstGeom prst="rect">
                            <a:avLst/>
                          </a:prstGeom>
                          <a:ln>
                            <a:noFill/>
                          </a:ln>
                          <a:extLst>
                            <a:ext uri="{53640926-AAD7-44D8-BBD7-CCE9431645EC}">
                              <a14:shadowObscured xmlns:a14="http://schemas.microsoft.com/office/drawing/2010/main"/>
                            </a:ext>
                          </a:extLst>
                        </pic:spPr>
                      </pic:pic>
                    </a:graphicData>
                  </a:graphic>
                </wp:inline>
              </w:drawing>
            </w:r>
          </w:p>
          <w:p w14:paraId="180D2EF4" w14:textId="77777777" w:rsidR="00FC389D" w:rsidRPr="002767BD" w:rsidRDefault="00FC389D" w:rsidP="00FC389D">
            <w:pPr>
              <w:ind w:left="720"/>
              <w:rPr>
                <w:rFonts w:ascii="Verdana" w:hAnsi="Verdana" w:cs="Calibri"/>
                <w:b/>
                <w:i/>
                <w:sz w:val="22"/>
                <w:szCs w:val="22"/>
              </w:rPr>
            </w:pPr>
          </w:p>
          <w:p w14:paraId="4CCEF89E"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Área Operativa 09 - Cali, Valle del Cauca - Cali Calle 48N # 3N-104</w:t>
            </w:r>
          </w:p>
          <w:p w14:paraId="3B24A528" w14:textId="77777777" w:rsidR="00FC389D" w:rsidRPr="002767BD" w:rsidRDefault="00FC389D" w:rsidP="00FC389D">
            <w:pPr>
              <w:ind w:left="720"/>
              <w:rPr>
                <w:rFonts w:ascii="Verdana" w:hAnsi="Verdana" w:cs="Calibri"/>
                <w:b/>
                <w:i/>
                <w:sz w:val="22"/>
                <w:szCs w:val="22"/>
              </w:rPr>
            </w:pPr>
          </w:p>
          <w:p w14:paraId="07E0CE9E"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lastRenderedPageBreak/>
              <w:drawing>
                <wp:inline distT="0" distB="0" distL="0" distR="0" wp14:anchorId="71528E58" wp14:editId="072BB10C">
                  <wp:extent cx="3959600" cy="2797629"/>
                  <wp:effectExtent l="0" t="0" r="3175" b="3175"/>
                  <wp:docPr id="20157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534" name=""/>
                          <pic:cNvPicPr/>
                        </pic:nvPicPr>
                        <pic:blipFill>
                          <a:blip r:embed="rId33"/>
                          <a:stretch>
                            <a:fillRect/>
                          </a:stretch>
                        </pic:blipFill>
                        <pic:spPr>
                          <a:xfrm>
                            <a:off x="0" y="0"/>
                            <a:ext cx="3970888" cy="2805604"/>
                          </a:xfrm>
                          <a:prstGeom prst="rect">
                            <a:avLst/>
                          </a:prstGeom>
                        </pic:spPr>
                      </pic:pic>
                    </a:graphicData>
                  </a:graphic>
                </wp:inline>
              </w:drawing>
            </w:r>
          </w:p>
          <w:p w14:paraId="56634A21" w14:textId="77777777" w:rsidR="00FC389D" w:rsidRPr="002767BD" w:rsidRDefault="00FC389D" w:rsidP="00FC389D">
            <w:pPr>
              <w:ind w:left="720"/>
              <w:rPr>
                <w:rFonts w:ascii="Verdana" w:hAnsi="Verdana" w:cs="Calibri"/>
                <w:b/>
                <w:i/>
                <w:sz w:val="22"/>
                <w:szCs w:val="22"/>
              </w:rPr>
            </w:pPr>
          </w:p>
          <w:p w14:paraId="3A1FBFD0"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Sede Laboratorio de Calidad Ambiental del IDEAM - Bogotá D.C. Calle 12 # 42 b 44.</w:t>
            </w:r>
          </w:p>
          <w:p w14:paraId="6F0E50A6" w14:textId="77777777" w:rsidR="00FC389D" w:rsidRPr="002767BD" w:rsidRDefault="00FC389D" w:rsidP="00FC389D">
            <w:pPr>
              <w:ind w:left="720"/>
              <w:rPr>
                <w:rFonts w:ascii="Verdana" w:hAnsi="Verdana" w:cs="Calibri"/>
                <w:b/>
                <w:i/>
                <w:sz w:val="22"/>
                <w:szCs w:val="22"/>
              </w:rPr>
            </w:pPr>
          </w:p>
          <w:p w14:paraId="1338D217"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drawing>
                <wp:inline distT="0" distB="0" distL="0" distR="0" wp14:anchorId="3233BC34" wp14:editId="05C7DC21">
                  <wp:extent cx="3959860" cy="2694214"/>
                  <wp:effectExtent l="0" t="0" r="2540" b="0"/>
                  <wp:docPr id="6436978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97841" name=""/>
                          <pic:cNvPicPr/>
                        </pic:nvPicPr>
                        <pic:blipFill>
                          <a:blip r:embed="rId34"/>
                          <a:stretch>
                            <a:fillRect/>
                          </a:stretch>
                        </pic:blipFill>
                        <pic:spPr>
                          <a:xfrm>
                            <a:off x="0" y="0"/>
                            <a:ext cx="3963550" cy="2696725"/>
                          </a:xfrm>
                          <a:prstGeom prst="rect">
                            <a:avLst/>
                          </a:prstGeom>
                        </pic:spPr>
                      </pic:pic>
                    </a:graphicData>
                  </a:graphic>
                </wp:inline>
              </w:drawing>
            </w:r>
          </w:p>
          <w:p w14:paraId="05E0717C" w14:textId="77777777" w:rsidR="00FC389D" w:rsidRPr="002767BD" w:rsidRDefault="00FC389D" w:rsidP="00FC389D">
            <w:pPr>
              <w:ind w:left="720"/>
              <w:rPr>
                <w:rFonts w:ascii="Verdana" w:hAnsi="Verdana" w:cs="Calibri"/>
                <w:b/>
                <w:i/>
                <w:sz w:val="22"/>
                <w:szCs w:val="22"/>
              </w:rPr>
            </w:pPr>
          </w:p>
          <w:p w14:paraId="0E6E4D35"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Oficina Meteorología Aeronáutica IDEAM - Aeropuerto Ernesto Cortissoz, Barranquilla – Atlántico</w:t>
            </w:r>
          </w:p>
          <w:p w14:paraId="3894B5B5" w14:textId="77777777" w:rsidR="00FC389D" w:rsidRPr="002767BD" w:rsidRDefault="00FC389D" w:rsidP="00FC389D">
            <w:pPr>
              <w:ind w:left="720"/>
              <w:jc w:val="both"/>
              <w:rPr>
                <w:rFonts w:ascii="Verdana" w:hAnsi="Verdana" w:cs="Calibri"/>
                <w:b/>
                <w:i/>
                <w:sz w:val="22"/>
                <w:szCs w:val="22"/>
              </w:rPr>
            </w:pPr>
          </w:p>
          <w:p w14:paraId="3C0BB739"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lastRenderedPageBreak/>
              <w:drawing>
                <wp:inline distT="0" distB="0" distL="0" distR="0" wp14:anchorId="5F548B2B" wp14:editId="496BDEC4">
                  <wp:extent cx="3959522" cy="2204357"/>
                  <wp:effectExtent l="0" t="0" r="3175" b="5715"/>
                  <wp:docPr id="1567742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42252" name=""/>
                          <pic:cNvPicPr/>
                        </pic:nvPicPr>
                        <pic:blipFill>
                          <a:blip r:embed="rId35"/>
                          <a:stretch>
                            <a:fillRect/>
                          </a:stretch>
                        </pic:blipFill>
                        <pic:spPr>
                          <a:xfrm>
                            <a:off x="0" y="0"/>
                            <a:ext cx="3968542" cy="2209379"/>
                          </a:xfrm>
                          <a:prstGeom prst="rect">
                            <a:avLst/>
                          </a:prstGeom>
                        </pic:spPr>
                      </pic:pic>
                    </a:graphicData>
                  </a:graphic>
                </wp:inline>
              </w:drawing>
            </w:r>
          </w:p>
          <w:p w14:paraId="2880D0B6" w14:textId="77777777" w:rsidR="00FC389D" w:rsidRPr="002767BD" w:rsidRDefault="00FC389D" w:rsidP="00FC389D">
            <w:pPr>
              <w:ind w:left="720"/>
              <w:jc w:val="center"/>
              <w:rPr>
                <w:rFonts w:ascii="Verdana" w:hAnsi="Verdana" w:cs="Calibri"/>
                <w:b/>
                <w:i/>
                <w:sz w:val="22"/>
                <w:szCs w:val="22"/>
              </w:rPr>
            </w:pPr>
            <w:r w:rsidRPr="002767BD">
              <w:rPr>
                <w:rFonts w:ascii="Verdana" w:hAnsi="Verdana"/>
                <w:noProof/>
                <w:sz w:val="22"/>
                <w:szCs w:val="22"/>
              </w:rPr>
              <w:drawing>
                <wp:inline distT="0" distB="0" distL="0" distR="0" wp14:anchorId="4A4DDF7E" wp14:editId="2883B9E5">
                  <wp:extent cx="3960000" cy="507210"/>
                  <wp:effectExtent l="0" t="0" r="2540" b="7620"/>
                  <wp:docPr id="1745600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60000" cy="507210"/>
                          </a:xfrm>
                          <a:prstGeom prst="rect">
                            <a:avLst/>
                          </a:prstGeom>
                          <a:noFill/>
                          <a:ln>
                            <a:noFill/>
                          </a:ln>
                        </pic:spPr>
                      </pic:pic>
                    </a:graphicData>
                  </a:graphic>
                </wp:inline>
              </w:drawing>
            </w:r>
          </w:p>
          <w:p w14:paraId="70D3A923" w14:textId="77777777" w:rsidR="00FC389D" w:rsidRPr="002767BD" w:rsidRDefault="00FC389D" w:rsidP="00FC389D">
            <w:pPr>
              <w:ind w:left="720"/>
              <w:jc w:val="both"/>
              <w:rPr>
                <w:rFonts w:ascii="Verdana" w:hAnsi="Verdana" w:cs="Calibri"/>
                <w:b/>
                <w:i/>
                <w:sz w:val="22"/>
                <w:szCs w:val="22"/>
              </w:rPr>
            </w:pPr>
          </w:p>
          <w:p w14:paraId="030C8773"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Oficina Meteorología Aeronáutica IDEAM - Aeropuerto Alfredo Vasquez Cobo, Leticia – Amazonas</w:t>
            </w:r>
          </w:p>
          <w:p w14:paraId="12B4F144" w14:textId="77777777" w:rsidR="00FC389D" w:rsidRPr="002767BD" w:rsidRDefault="00FC389D" w:rsidP="00FC389D">
            <w:pPr>
              <w:ind w:left="720"/>
              <w:jc w:val="both"/>
              <w:rPr>
                <w:rFonts w:ascii="Verdana" w:hAnsi="Verdana" w:cs="Calibri"/>
                <w:b/>
                <w:i/>
                <w:sz w:val="22"/>
                <w:szCs w:val="22"/>
              </w:rPr>
            </w:pPr>
          </w:p>
          <w:p w14:paraId="429870CF"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drawing>
                <wp:inline distT="0" distB="0" distL="0" distR="0" wp14:anchorId="607F46DA" wp14:editId="0DCE1009">
                  <wp:extent cx="3958915" cy="2226128"/>
                  <wp:effectExtent l="0" t="0" r="3810" b="3175"/>
                  <wp:docPr id="11355238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23836" name=""/>
                          <pic:cNvPicPr/>
                        </pic:nvPicPr>
                        <pic:blipFill>
                          <a:blip r:embed="rId37"/>
                          <a:stretch>
                            <a:fillRect/>
                          </a:stretch>
                        </pic:blipFill>
                        <pic:spPr>
                          <a:xfrm>
                            <a:off x="0" y="0"/>
                            <a:ext cx="3969630" cy="2232153"/>
                          </a:xfrm>
                          <a:prstGeom prst="rect">
                            <a:avLst/>
                          </a:prstGeom>
                        </pic:spPr>
                      </pic:pic>
                    </a:graphicData>
                  </a:graphic>
                </wp:inline>
              </w:drawing>
            </w:r>
          </w:p>
          <w:p w14:paraId="6D2C7B08" w14:textId="77777777" w:rsidR="00FC389D" w:rsidRPr="002767BD" w:rsidRDefault="00FC389D" w:rsidP="00FC389D">
            <w:pPr>
              <w:ind w:left="720"/>
              <w:jc w:val="center"/>
              <w:rPr>
                <w:rFonts w:ascii="Verdana" w:hAnsi="Verdana" w:cs="Calibri"/>
                <w:b/>
                <w:i/>
                <w:sz w:val="22"/>
                <w:szCs w:val="22"/>
              </w:rPr>
            </w:pPr>
            <w:r w:rsidRPr="002767BD">
              <w:rPr>
                <w:rFonts w:ascii="Verdana" w:hAnsi="Verdana"/>
                <w:noProof/>
                <w:sz w:val="22"/>
                <w:szCs w:val="22"/>
              </w:rPr>
              <w:drawing>
                <wp:inline distT="0" distB="0" distL="0" distR="0" wp14:anchorId="3549DFE5" wp14:editId="6E1F17A0">
                  <wp:extent cx="3960000" cy="788147"/>
                  <wp:effectExtent l="0" t="0" r="2540" b="0"/>
                  <wp:docPr id="953166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60000" cy="788147"/>
                          </a:xfrm>
                          <a:prstGeom prst="rect">
                            <a:avLst/>
                          </a:prstGeom>
                          <a:noFill/>
                          <a:ln>
                            <a:noFill/>
                          </a:ln>
                        </pic:spPr>
                      </pic:pic>
                    </a:graphicData>
                  </a:graphic>
                </wp:inline>
              </w:drawing>
            </w:r>
          </w:p>
          <w:p w14:paraId="5E78C6D5" w14:textId="77777777" w:rsidR="00FC389D" w:rsidRPr="002767BD" w:rsidRDefault="00FC389D" w:rsidP="00FC389D">
            <w:pPr>
              <w:ind w:left="720"/>
              <w:jc w:val="both"/>
              <w:rPr>
                <w:rFonts w:ascii="Verdana" w:hAnsi="Verdana" w:cs="Calibri"/>
                <w:b/>
                <w:i/>
                <w:sz w:val="22"/>
                <w:szCs w:val="22"/>
              </w:rPr>
            </w:pPr>
          </w:p>
          <w:p w14:paraId="5A70CCFE" w14:textId="77777777" w:rsidR="00FC389D" w:rsidRPr="002767BD" w:rsidRDefault="00FC389D" w:rsidP="00FC389D">
            <w:pPr>
              <w:widowControl w:val="0"/>
              <w:numPr>
                <w:ilvl w:val="0"/>
                <w:numId w:val="9"/>
              </w:numPr>
              <w:autoSpaceDE w:val="0"/>
              <w:autoSpaceDN w:val="0"/>
              <w:jc w:val="both"/>
              <w:rPr>
                <w:rFonts w:ascii="Verdana" w:hAnsi="Verdana" w:cs="Calibri"/>
                <w:b/>
                <w:i/>
                <w:sz w:val="22"/>
                <w:szCs w:val="22"/>
              </w:rPr>
            </w:pPr>
            <w:r w:rsidRPr="002767BD">
              <w:rPr>
                <w:rFonts w:ascii="Verdana" w:hAnsi="Verdana" w:cs="Calibri"/>
                <w:b/>
                <w:i/>
                <w:sz w:val="22"/>
                <w:szCs w:val="22"/>
              </w:rPr>
              <w:t>Oficina Meteorología Aeronáutica IDEAM - Aeropuerto San Luis, Ipiales – Nariño</w:t>
            </w:r>
          </w:p>
          <w:p w14:paraId="34751087" w14:textId="77777777" w:rsidR="00FC389D" w:rsidRPr="002767BD" w:rsidRDefault="00FC389D" w:rsidP="00FC389D">
            <w:pPr>
              <w:ind w:left="720"/>
              <w:jc w:val="both"/>
              <w:rPr>
                <w:rFonts w:ascii="Verdana" w:hAnsi="Verdana" w:cs="Calibri"/>
                <w:b/>
                <w:i/>
                <w:sz w:val="22"/>
                <w:szCs w:val="22"/>
              </w:rPr>
            </w:pPr>
          </w:p>
          <w:p w14:paraId="0A07E63C"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lastRenderedPageBreak/>
              <w:drawing>
                <wp:inline distT="0" distB="0" distL="0" distR="0" wp14:anchorId="39DA413F" wp14:editId="0505EBED">
                  <wp:extent cx="3959565" cy="3026229"/>
                  <wp:effectExtent l="0" t="0" r="3175" b="3175"/>
                  <wp:docPr id="527059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59576" name=""/>
                          <pic:cNvPicPr/>
                        </pic:nvPicPr>
                        <pic:blipFill>
                          <a:blip r:embed="rId39"/>
                          <a:stretch>
                            <a:fillRect/>
                          </a:stretch>
                        </pic:blipFill>
                        <pic:spPr>
                          <a:xfrm>
                            <a:off x="0" y="0"/>
                            <a:ext cx="3966422" cy="3031470"/>
                          </a:xfrm>
                          <a:prstGeom prst="rect">
                            <a:avLst/>
                          </a:prstGeom>
                        </pic:spPr>
                      </pic:pic>
                    </a:graphicData>
                  </a:graphic>
                </wp:inline>
              </w:drawing>
            </w:r>
          </w:p>
          <w:p w14:paraId="6C184171" w14:textId="77777777" w:rsidR="00FC389D" w:rsidRPr="002767BD" w:rsidRDefault="00FC389D" w:rsidP="00FC389D">
            <w:pPr>
              <w:ind w:left="720"/>
              <w:jc w:val="center"/>
              <w:rPr>
                <w:rFonts w:ascii="Verdana" w:hAnsi="Verdana" w:cs="Calibri"/>
                <w:b/>
                <w:i/>
                <w:sz w:val="22"/>
                <w:szCs w:val="22"/>
              </w:rPr>
            </w:pPr>
            <w:r w:rsidRPr="002767BD">
              <w:rPr>
                <w:rFonts w:ascii="Verdana" w:hAnsi="Verdana" w:cs="Calibri"/>
                <w:b/>
                <w:i/>
                <w:noProof/>
                <w:sz w:val="22"/>
                <w:szCs w:val="22"/>
              </w:rPr>
              <w:drawing>
                <wp:inline distT="0" distB="0" distL="0" distR="0" wp14:anchorId="4F389500" wp14:editId="48B8F9CA">
                  <wp:extent cx="3949404" cy="342900"/>
                  <wp:effectExtent l="0" t="0" r="0" b="0"/>
                  <wp:docPr id="20997570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62873" cy="344069"/>
                          </a:xfrm>
                          <a:prstGeom prst="rect">
                            <a:avLst/>
                          </a:prstGeom>
                          <a:noFill/>
                        </pic:spPr>
                      </pic:pic>
                    </a:graphicData>
                  </a:graphic>
                </wp:inline>
              </w:drawing>
            </w:r>
          </w:p>
          <w:p w14:paraId="79938E59" w14:textId="77777777" w:rsidR="00FC389D" w:rsidRPr="002767BD" w:rsidRDefault="00FC389D" w:rsidP="00FC389D">
            <w:pPr>
              <w:jc w:val="both"/>
              <w:rPr>
                <w:rFonts w:ascii="Verdana" w:hAnsi="Verdana" w:cs="Calibri"/>
                <w:i/>
                <w:sz w:val="22"/>
                <w:szCs w:val="22"/>
              </w:rPr>
            </w:pPr>
            <w:r w:rsidRPr="002767BD">
              <w:rPr>
                <w:rFonts w:ascii="Verdana" w:hAnsi="Verdana" w:cs="Calibri"/>
                <w:i/>
                <w:sz w:val="22"/>
                <w:szCs w:val="22"/>
              </w:rPr>
              <w:t>(…)”</w:t>
            </w:r>
          </w:p>
          <w:p w14:paraId="2CC8E7BE" w14:textId="77777777" w:rsidR="00FC389D" w:rsidRPr="002767BD" w:rsidRDefault="00FC389D" w:rsidP="00FC389D">
            <w:pPr>
              <w:jc w:val="both"/>
              <w:rPr>
                <w:rFonts w:ascii="Verdana" w:hAnsi="Verdana" w:cs="Calibri"/>
                <w:sz w:val="22"/>
                <w:szCs w:val="22"/>
              </w:rPr>
            </w:pPr>
          </w:p>
          <w:p w14:paraId="326F1DCB"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De acuerdo con lo anterior se tiene la siguiente necesidad inicial:</w:t>
            </w:r>
          </w:p>
          <w:p w14:paraId="6BD6D04E" w14:textId="77777777" w:rsidR="00FC389D" w:rsidRPr="002767BD" w:rsidRDefault="00FC389D" w:rsidP="00FC389D">
            <w:pPr>
              <w:jc w:val="both"/>
              <w:rPr>
                <w:rFonts w:ascii="Verdana" w:hAnsi="Verdana" w:cs="Calibri"/>
                <w:sz w:val="22"/>
                <w:szCs w:val="22"/>
              </w:rPr>
            </w:pPr>
          </w:p>
          <w:tbl>
            <w:tblPr>
              <w:tblW w:w="5000" w:type="pct"/>
              <w:shd w:val="clear" w:color="auto" w:fill="D9D9D9" w:themeFill="background1" w:themeFillShade="D9"/>
              <w:tblCellMar>
                <w:left w:w="70" w:type="dxa"/>
                <w:right w:w="70" w:type="dxa"/>
              </w:tblCellMar>
              <w:tblLook w:val="04A0" w:firstRow="1" w:lastRow="0" w:firstColumn="1" w:lastColumn="0" w:noHBand="0" w:noVBand="1"/>
            </w:tblPr>
            <w:tblGrid>
              <w:gridCol w:w="711"/>
              <w:gridCol w:w="3212"/>
              <w:gridCol w:w="1884"/>
              <w:gridCol w:w="3433"/>
              <w:gridCol w:w="1156"/>
            </w:tblGrid>
            <w:tr w:rsidR="00FC389D" w:rsidRPr="002767BD" w14:paraId="2D132FD1" w14:textId="77777777" w:rsidTr="00B82061">
              <w:trPr>
                <w:trHeight w:val="20"/>
              </w:trPr>
              <w:tc>
                <w:tcPr>
                  <w:tcW w:w="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023F31"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ITEM</w:t>
                  </w:r>
                </w:p>
              </w:tc>
              <w:tc>
                <w:tcPr>
                  <w:tcW w:w="15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3F0236"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DESCRIPCIÓN DEL BIEN Y/O SERVICIO</w:t>
                  </w:r>
                </w:p>
              </w:tc>
              <w:tc>
                <w:tcPr>
                  <w:tcW w:w="90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448910"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CIUDAD</w:t>
                  </w:r>
                </w:p>
              </w:tc>
              <w:tc>
                <w:tcPr>
                  <w:tcW w:w="16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4B1489"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DIRECCION DE INSTALACIÓN</w:t>
                  </w:r>
                </w:p>
              </w:tc>
              <w:tc>
                <w:tcPr>
                  <w:tcW w:w="55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5FB0EB"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CANT.</w:t>
                  </w:r>
                </w:p>
              </w:tc>
            </w:tr>
            <w:tr w:rsidR="00FC389D" w:rsidRPr="002767BD" w14:paraId="01892981"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541E35EC"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c>
                <w:tcPr>
                  <w:tcW w:w="1545" w:type="pct"/>
                  <w:tcBorders>
                    <w:top w:val="nil"/>
                    <w:left w:val="nil"/>
                    <w:bottom w:val="single" w:sz="4" w:space="0" w:color="auto"/>
                    <w:right w:val="single" w:sz="4" w:space="0" w:color="auto"/>
                  </w:tcBorders>
                  <w:vAlign w:val="center"/>
                  <w:hideMark/>
                </w:tcPr>
                <w:p w14:paraId="26078623"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15 kVA, 120V, 60 Hz, con baterías internas.</w:t>
                  </w:r>
                </w:p>
              </w:tc>
              <w:tc>
                <w:tcPr>
                  <w:tcW w:w="906" w:type="pct"/>
                  <w:tcBorders>
                    <w:top w:val="nil"/>
                    <w:left w:val="nil"/>
                    <w:bottom w:val="single" w:sz="4" w:space="0" w:color="auto"/>
                    <w:right w:val="single" w:sz="4" w:space="0" w:color="auto"/>
                  </w:tcBorders>
                  <w:vAlign w:val="center"/>
                  <w:hideMark/>
                </w:tcPr>
                <w:p w14:paraId="09B1B9AB"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MEDELLÍN</w:t>
                  </w:r>
                </w:p>
              </w:tc>
              <w:tc>
                <w:tcPr>
                  <w:tcW w:w="1651" w:type="pct"/>
                  <w:tcBorders>
                    <w:top w:val="nil"/>
                    <w:left w:val="nil"/>
                    <w:bottom w:val="single" w:sz="4" w:space="0" w:color="auto"/>
                    <w:right w:val="single" w:sz="4" w:space="0" w:color="auto"/>
                  </w:tcBorders>
                  <w:vAlign w:val="center"/>
                  <w:hideMark/>
                </w:tcPr>
                <w:p w14:paraId="022C9D82"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01 - Medellín, Antioquia - Medellín Av. Circunvalar 4 # 71-56</w:t>
                  </w:r>
                </w:p>
              </w:tc>
              <w:tc>
                <w:tcPr>
                  <w:tcW w:w="556" w:type="pct"/>
                  <w:tcBorders>
                    <w:top w:val="nil"/>
                    <w:left w:val="nil"/>
                    <w:bottom w:val="single" w:sz="4" w:space="0" w:color="auto"/>
                    <w:right w:val="single" w:sz="4" w:space="0" w:color="auto"/>
                  </w:tcBorders>
                  <w:vAlign w:val="center"/>
                  <w:hideMark/>
                </w:tcPr>
                <w:p w14:paraId="04A3232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657B95A6"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0609EE28"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2</w:t>
                  </w:r>
                </w:p>
              </w:tc>
              <w:tc>
                <w:tcPr>
                  <w:tcW w:w="1545" w:type="pct"/>
                  <w:tcBorders>
                    <w:top w:val="nil"/>
                    <w:left w:val="nil"/>
                    <w:bottom w:val="single" w:sz="4" w:space="0" w:color="auto"/>
                    <w:right w:val="single" w:sz="4" w:space="0" w:color="auto"/>
                  </w:tcBorders>
                  <w:vAlign w:val="center"/>
                  <w:hideMark/>
                </w:tcPr>
                <w:p w14:paraId="460236DF"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906" w:type="pct"/>
                  <w:tcBorders>
                    <w:top w:val="nil"/>
                    <w:left w:val="nil"/>
                    <w:bottom w:val="single" w:sz="4" w:space="0" w:color="auto"/>
                    <w:right w:val="single" w:sz="4" w:space="0" w:color="auto"/>
                  </w:tcBorders>
                  <w:vAlign w:val="center"/>
                  <w:hideMark/>
                </w:tcPr>
                <w:p w14:paraId="5DFFEC3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BARRANQUILLA</w:t>
                  </w:r>
                </w:p>
              </w:tc>
              <w:tc>
                <w:tcPr>
                  <w:tcW w:w="1651" w:type="pct"/>
                  <w:tcBorders>
                    <w:top w:val="nil"/>
                    <w:left w:val="nil"/>
                    <w:bottom w:val="single" w:sz="4" w:space="0" w:color="auto"/>
                    <w:right w:val="single" w:sz="4" w:space="0" w:color="auto"/>
                  </w:tcBorders>
                  <w:vAlign w:val="center"/>
                  <w:hideMark/>
                </w:tcPr>
                <w:p w14:paraId="3E16CCA8"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02 - Barranquilla, Atlántico - Barranquilla Calle 68 # 54 -82</w:t>
                  </w:r>
                </w:p>
              </w:tc>
              <w:tc>
                <w:tcPr>
                  <w:tcW w:w="556" w:type="pct"/>
                  <w:tcBorders>
                    <w:top w:val="nil"/>
                    <w:left w:val="nil"/>
                    <w:bottom w:val="single" w:sz="4" w:space="0" w:color="auto"/>
                    <w:right w:val="single" w:sz="4" w:space="0" w:color="auto"/>
                  </w:tcBorders>
                  <w:vAlign w:val="center"/>
                  <w:hideMark/>
                </w:tcPr>
                <w:p w14:paraId="0BB62379"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03A14216"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5128E017"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3</w:t>
                  </w:r>
                </w:p>
              </w:tc>
              <w:tc>
                <w:tcPr>
                  <w:tcW w:w="1545" w:type="pct"/>
                  <w:tcBorders>
                    <w:top w:val="nil"/>
                    <w:left w:val="nil"/>
                    <w:bottom w:val="single" w:sz="4" w:space="0" w:color="auto"/>
                    <w:right w:val="single" w:sz="4" w:space="0" w:color="auto"/>
                  </w:tcBorders>
                  <w:vAlign w:val="center"/>
                  <w:hideMark/>
                </w:tcPr>
                <w:p w14:paraId="2829A394"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20 kVA, 120V, 60 Hz, con baterías internas.</w:t>
                  </w:r>
                </w:p>
              </w:tc>
              <w:tc>
                <w:tcPr>
                  <w:tcW w:w="906" w:type="pct"/>
                  <w:tcBorders>
                    <w:top w:val="nil"/>
                    <w:left w:val="nil"/>
                    <w:bottom w:val="single" w:sz="4" w:space="0" w:color="auto"/>
                    <w:right w:val="single" w:sz="4" w:space="0" w:color="auto"/>
                  </w:tcBorders>
                  <w:vAlign w:val="center"/>
                  <w:hideMark/>
                </w:tcPr>
                <w:p w14:paraId="60753AB5"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SANTA MARTA</w:t>
                  </w:r>
                </w:p>
              </w:tc>
              <w:tc>
                <w:tcPr>
                  <w:tcW w:w="1651" w:type="pct"/>
                  <w:tcBorders>
                    <w:top w:val="nil"/>
                    <w:left w:val="nil"/>
                    <w:bottom w:val="single" w:sz="4" w:space="0" w:color="auto"/>
                    <w:right w:val="single" w:sz="4" w:space="0" w:color="auto"/>
                  </w:tcBorders>
                  <w:vAlign w:val="center"/>
                  <w:hideMark/>
                </w:tcPr>
                <w:p w14:paraId="0C5A18B5"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05 - Santa Marta, Magdalena - Santa Marta Calle 24A # 2 - 54</w:t>
                  </w:r>
                </w:p>
              </w:tc>
              <w:tc>
                <w:tcPr>
                  <w:tcW w:w="556" w:type="pct"/>
                  <w:tcBorders>
                    <w:top w:val="nil"/>
                    <w:left w:val="nil"/>
                    <w:bottom w:val="single" w:sz="4" w:space="0" w:color="auto"/>
                    <w:right w:val="single" w:sz="4" w:space="0" w:color="auto"/>
                  </w:tcBorders>
                  <w:vAlign w:val="center"/>
                  <w:hideMark/>
                </w:tcPr>
                <w:p w14:paraId="7772A14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3213CF88"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5C71090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4</w:t>
                  </w:r>
                </w:p>
              </w:tc>
              <w:tc>
                <w:tcPr>
                  <w:tcW w:w="1545" w:type="pct"/>
                  <w:tcBorders>
                    <w:top w:val="nil"/>
                    <w:left w:val="nil"/>
                    <w:bottom w:val="single" w:sz="4" w:space="0" w:color="auto"/>
                    <w:right w:val="single" w:sz="4" w:space="0" w:color="auto"/>
                  </w:tcBorders>
                  <w:vAlign w:val="center"/>
                  <w:hideMark/>
                </w:tcPr>
                <w:p w14:paraId="7775275D"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906" w:type="pct"/>
                  <w:tcBorders>
                    <w:top w:val="nil"/>
                    <w:left w:val="nil"/>
                    <w:bottom w:val="single" w:sz="4" w:space="0" w:color="auto"/>
                    <w:right w:val="single" w:sz="4" w:space="0" w:color="auto"/>
                  </w:tcBorders>
                  <w:vAlign w:val="center"/>
                  <w:hideMark/>
                </w:tcPr>
                <w:p w14:paraId="64740D59"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PASTO</w:t>
                  </w:r>
                </w:p>
              </w:tc>
              <w:tc>
                <w:tcPr>
                  <w:tcW w:w="1651" w:type="pct"/>
                  <w:tcBorders>
                    <w:top w:val="nil"/>
                    <w:left w:val="nil"/>
                    <w:bottom w:val="single" w:sz="4" w:space="0" w:color="auto"/>
                    <w:right w:val="single" w:sz="4" w:space="0" w:color="auto"/>
                  </w:tcBorders>
                  <w:vAlign w:val="center"/>
                  <w:hideMark/>
                </w:tcPr>
                <w:p w14:paraId="53310532"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No. 07 - Pasto, Nariño - Pasto Carrera 36 # 18 - 148</w:t>
                  </w:r>
                </w:p>
              </w:tc>
              <w:tc>
                <w:tcPr>
                  <w:tcW w:w="556" w:type="pct"/>
                  <w:tcBorders>
                    <w:top w:val="nil"/>
                    <w:left w:val="nil"/>
                    <w:bottom w:val="single" w:sz="4" w:space="0" w:color="auto"/>
                    <w:right w:val="single" w:sz="4" w:space="0" w:color="auto"/>
                  </w:tcBorders>
                  <w:vAlign w:val="center"/>
                  <w:hideMark/>
                </w:tcPr>
                <w:p w14:paraId="1AA11E4A"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008E417D"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3D0D554B"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5</w:t>
                  </w:r>
                </w:p>
              </w:tc>
              <w:tc>
                <w:tcPr>
                  <w:tcW w:w="1545" w:type="pct"/>
                  <w:tcBorders>
                    <w:top w:val="nil"/>
                    <w:left w:val="nil"/>
                    <w:bottom w:val="single" w:sz="4" w:space="0" w:color="auto"/>
                    <w:right w:val="single" w:sz="4" w:space="0" w:color="auto"/>
                  </w:tcBorders>
                  <w:vAlign w:val="center"/>
                  <w:hideMark/>
                </w:tcPr>
                <w:p w14:paraId="438E03A0"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906" w:type="pct"/>
                  <w:tcBorders>
                    <w:top w:val="nil"/>
                    <w:left w:val="nil"/>
                    <w:bottom w:val="single" w:sz="4" w:space="0" w:color="auto"/>
                    <w:right w:val="single" w:sz="4" w:space="0" w:color="auto"/>
                  </w:tcBorders>
                  <w:vAlign w:val="center"/>
                  <w:hideMark/>
                </w:tcPr>
                <w:p w14:paraId="3A2DE1C0"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CALI</w:t>
                  </w:r>
                </w:p>
              </w:tc>
              <w:tc>
                <w:tcPr>
                  <w:tcW w:w="1651" w:type="pct"/>
                  <w:tcBorders>
                    <w:top w:val="nil"/>
                    <w:left w:val="nil"/>
                    <w:bottom w:val="single" w:sz="4" w:space="0" w:color="auto"/>
                    <w:right w:val="single" w:sz="4" w:space="0" w:color="auto"/>
                  </w:tcBorders>
                  <w:vAlign w:val="center"/>
                  <w:hideMark/>
                </w:tcPr>
                <w:p w14:paraId="0D3A4750"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Área Operativa 09 - Cali, Valle del Cauca - Cali Calle 48N # 3N-104</w:t>
                  </w:r>
                </w:p>
              </w:tc>
              <w:tc>
                <w:tcPr>
                  <w:tcW w:w="556" w:type="pct"/>
                  <w:tcBorders>
                    <w:top w:val="nil"/>
                    <w:left w:val="nil"/>
                    <w:bottom w:val="single" w:sz="4" w:space="0" w:color="auto"/>
                    <w:right w:val="single" w:sz="4" w:space="0" w:color="auto"/>
                  </w:tcBorders>
                  <w:vAlign w:val="center"/>
                  <w:hideMark/>
                </w:tcPr>
                <w:p w14:paraId="0FCE8342"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6F83083B"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6C7308F6"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6</w:t>
                  </w:r>
                </w:p>
              </w:tc>
              <w:tc>
                <w:tcPr>
                  <w:tcW w:w="1545" w:type="pct"/>
                  <w:tcBorders>
                    <w:top w:val="nil"/>
                    <w:left w:val="nil"/>
                    <w:bottom w:val="single" w:sz="4" w:space="0" w:color="auto"/>
                    <w:right w:val="single" w:sz="4" w:space="0" w:color="auto"/>
                  </w:tcBorders>
                  <w:vAlign w:val="center"/>
                  <w:hideMark/>
                </w:tcPr>
                <w:p w14:paraId="142BBA2F"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6C9262FB"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BOGOTÁ D.C.</w:t>
                  </w:r>
                </w:p>
              </w:tc>
              <w:tc>
                <w:tcPr>
                  <w:tcW w:w="1651" w:type="pct"/>
                  <w:tcBorders>
                    <w:top w:val="nil"/>
                    <w:left w:val="nil"/>
                    <w:bottom w:val="single" w:sz="4" w:space="0" w:color="auto"/>
                    <w:right w:val="single" w:sz="4" w:space="0" w:color="auto"/>
                  </w:tcBorders>
                  <w:vAlign w:val="center"/>
                  <w:hideMark/>
                </w:tcPr>
                <w:p w14:paraId="46EC2315"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Sede Laboratorio de Calidad Ambiental del IDEAM - Bogotá D.C. Calle 12 # 42 b 44</w:t>
                  </w:r>
                </w:p>
              </w:tc>
              <w:tc>
                <w:tcPr>
                  <w:tcW w:w="556" w:type="pct"/>
                  <w:tcBorders>
                    <w:top w:val="nil"/>
                    <w:left w:val="nil"/>
                    <w:bottom w:val="single" w:sz="4" w:space="0" w:color="auto"/>
                    <w:right w:val="single" w:sz="4" w:space="0" w:color="auto"/>
                  </w:tcBorders>
                  <w:vAlign w:val="center"/>
                  <w:hideMark/>
                </w:tcPr>
                <w:p w14:paraId="6C0AA5AE"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r w:rsidR="00FC389D" w:rsidRPr="002767BD" w14:paraId="3F65EF4F"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10DFC1B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7</w:t>
                  </w:r>
                </w:p>
              </w:tc>
              <w:tc>
                <w:tcPr>
                  <w:tcW w:w="1545" w:type="pct"/>
                  <w:tcBorders>
                    <w:top w:val="nil"/>
                    <w:left w:val="nil"/>
                    <w:bottom w:val="single" w:sz="4" w:space="0" w:color="auto"/>
                    <w:right w:val="single" w:sz="4" w:space="0" w:color="auto"/>
                  </w:tcBorders>
                  <w:vAlign w:val="center"/>
                  <w:hideMark/>
                </w:tcPr>
                <w:p w14:paraId="73181E56"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7F50CFA9"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BARRANQUILLA</w:t>
                  </w:r>
                </w:p>
              </w:tc>
              <w:tc>
                <w:tcPr>
                  <w:tcW w:w="1651" w:type="pct"/>
                  <w:tcBorders>
                    <w:top w:val="nil"/>
                    <w:left w:val="nil"/>
                    <w:bottom w:val="single" w:sz="4" w:space="0" w:color="auto"/>
                    <w:right w:val="single" w:sz="4" w:space="0" w:color="auto"/>
                  </w:tcBorders>
                  <w:vAlign w:val="center"/>
                  <w:hideMark/>
                </w:tcPr>
                <w:p w14:paraId="5A3B8180"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Oficina Meteorología Aeronáutica IDEAM - Aeropuerto Ernesto Cortissoz, Barranquilla - Atlantico</w:t>
                  </w:r>
                </w:p>
              </w:tc>
              <w:tc>
                <w:tcPr>
                  <w:tcW w:w="556" w:type="pct"/>
                  <w:tcBorders>
                    <w:top w:val="nil"/>
                    <w:left w:val="nil"/>
                    <w:bottom w:val="single" w:sz="4" w:space="0" w:color="auto"/>
                    <w:right w:val="single" w:sz="4" w:space="0" w:color="auto"/>
                  </w:tcBorders>
                  <w:vAlign w:val="center"/>
                  <w:hideMark/>
                </w:tcPr>
                <w:p w14:paraId="37E3F620"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2</w:t>
                  </w:r>
                </w:p>
              </w:tc>
            </w:tr>
            <w:tr w:rsidR="00FC389D" w:rsidRPr="002767BD" w14:paraId="79E58F35"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449A80B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8</w:t>
                  </w:r>
                </w:p>
              </w:tc>
              <w:tc>
                <w:tcPr>
                  <w:tcW w:w="1545" w:type="pct"/>
                  <w:tcBorders>
                    <w:top w:val="nil"/>
                    <w:left w:val="nil"/>
                    <w:bottom w:val="single" w:sz="4" w:space="0" w:color="auto"/>
                    <w:right w:val="single" w:sz="4" w:space="0" w:color="auto"/>
                  </w:tcBorders>
                  <w:vAlign w:val="center"/>
                  <w:hideMark/>
                </w:tcPr>
                <w:p w14:paraId="7647DBB7"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3DC4FE6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LETICIA</w:t>
                  </w:r>
                </w:p>
              </w:tc>
              <w:tc>
                <w:tcPr>
                  <w:tcW w:w="1651" w:type="pct"/>
                  <w:tcBorders>
                    <w:top w:val="nil"/>
                    <w:left w:val="nil"/>
                    <w:bottom w:val="single" w:sz="4" w:space="0" w:color="auto"/>
                    <w:right w:val="single" w:sz="4" w:space="0" w:color="auto"/>
                  </w:tcBorders>
                  <w:vAlign w:val="center"/>
                  <w:hideMark/>
                </w:tcPr>
                <w:p w14:paraId="495FB5AA"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Oficina Meteorología Aeronáutica IDEAM - Aeropuerto Alfredo Vasquez Cobo, Leticia - Amazonas</w:t>
                  </w:r>
                </w:p>
              </w:tc>
              <w:tc>
                <w:tcPr>
                  <w:tcW w:w="556" w:type="pct"/>
                  <w:tcBorders>
                    <w:top w:val="nil"/>
                    <w:left w:val="nil"/>
                    <w:bottom w:val="single" w:sz="4" w:space="0" w:color="auto"/>
                    <w:right w:val="single" w:sz="4" w:space="0" w:color="auto"/>
                  </w:tcBorders>
                  <w:vAlign w:val="center"/>
                  <w:hideMark/>
                </w:tcPr>
                <w:p w14:paraId="77C92035"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2</w:t>
                  </w:r>
                </w:p>
              </w:tc>
            </w:tr>
            <w:tr w:rsidR="00FC389D" w:rsidRPr="002767BD" w14:paraId="4D1B3284" w14:textId="77777777" w:rsidTr="00B82061">
              <w:trPr>
                <w:trHeight w:val="20"/>
              </w:trPr>
              <w:tc>
                <w:tcPr>
                  <w:tcW w:w="342" w:type="pct"/>
                  <w:tcBorders>
                    <w:top w:val="nil"/>
                    <w:left w:val="single" w:sz="4" w:space="0" w:color="auto"/>
                    <w:bottom w:val="single" w:sz="4" w:space="0" w:color="auto"/>
                    <w:right w:val="single" w:sz="4" w:space="0" w:color="auto"/>
                  </w:tcBorders>
                  <w:vAlign w:val="center"/>
                  <w:hideMark/>
                </w:tcPr>
                <w:p w14:paraId="76B3CB2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lastRenderedPageBreak/>
                    <w:t>9</w:t>
                  </w:r>
                </w:p>
              </w:tc>
              <w:tc>
                <w:tcPr>
                  <w:tcW w:w="1545" w:type="pct"/>
                  <w:tcBorders>
                    <w:top w:val="nil"/>
                    <w:left w:val="nil"/>
                    <w:bottom w:val="single" w:sz="4" w:space="0" w:color="auto"/>
                    <w:right w:val="single" w:sz="4" w:space="0" w:color="auto"/>
                  </w:tcBorders>
                  <w:vAlign w:val="center"/>
                  <w:hideMark/>
                </w:tcPr>
                <w:p w14:paraId="6A8499F6"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906" w:type="pct"/>
                  <w:tcBorders>
                    <w:top w:val="nil"/>
                    <w:left w:val="nil"/>
                    <w:bottom w:val="single" w:sz="4" w:space="0" w:color="auto"/>
                    <w:right w:val="single" w:sz="4" w:space="0" w:color="auto"/>
                  </w:tcBorders>
                  <w:vAlign w:val="center"/>
                  <w:hideMark/>
                </w:tcPr>
                <w:p w14:paraId="7C135EA3"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IPIALES</w:t>
                  </w:r>
                </w:p>
              </w:tc>
              <w:tc>
                <w:tcPr>
                  <w:tcW w:w="1651" w:type="pct"/>
                  <w:tcBorders>
                    <w:top w:val="nil"/>
                    <w:left w:val="nil"/>
                    <w:bottom w:val="single" w:sz="4" w:space="0" w:color="auto"/>
                    <w:right w:val="single" w:sz="4" w:space="0" w:color="auto"/>
                  </w:tcBorders>
                  <w:vAlign w:val="center"/>
                  <w:hideMark/>
                </w:tcPr>
                <w:p w14:paraId="0E227F1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Oficina Meteorología Aeronáutica IDEAM - Aeropuerto San Luis, Ipiales - Nariño</w:t>
                  </w:r>
                </w:p>
              </w:tc>
              <w:tc>
                <w:tcPr>
                  <w:tcW w:w="556" w:type="pct"/>
                  <w:tcBorders>
                    <w:top w:val="nil"/>
                    <w:left w:val="nil"/>
                    <w:bottom w:val="single" w:sz="4" w:space="0" w:color="auto"/>
                    <w:right w:val="single" w:sz="4" w:space="0" w:color="auto"/>
                  </w:tcBorders>
                  <w:vAlign w:val="center"/>
                  <w:hideMark/>
                </w:tcPr>
                <w:p w14:paraId="5C734497"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bl>
          <w:p w14:paraId="276DCDBE" w14:textId="77777777" w:rsidR="00FC389D" w:rsidRPr="002767BD" w:rsidRDefault="00FC389D" w:rsidP="00FC389D">
            <w:pPr>
              <w:jc w:val="both"/>
              <w:rPr>
                <w:rFonts w:ascii="Verdana" w:hAnsi="Verdana" w:cs="Calibri"/>
                <w:sz w:val="22"/>
                <w:szCs w:val="22"/>
              </w:rPr>
            </w:pPr>
          </w:p>
          <w:p w14:paraId="3A7AB90E"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No obstante, teniendo en cuenta la asignación presupuestal para la presente vigencia y de conformidad con el estudio de mercado adelantado, el Grupo de Servicios Administrativos prioriza las siguientes cantidades finales:</w:t>
            </w:r>
          </w:p>
          <w:p w14:paraId="111A2F6C" w14:textId="77777777" w:rsidR="00FC389D" w:rsidRPr="002767BD" w:rsidRDefault="00FC389D" w:rsidP="00FC389D">
            <w:pPr>
              <w:jc w:val="both"/>
              <w:rPr>
                <w:rFonts w:ascii="Verdana" w:hAnsi="Verdana" w:cs="Calibri"/>
                <w:sz w:val="22"/>
                <w:szCs w:val="22"/>
              </w:rPr>
            </w:pPr>
          </w:p>
          <w:tbl>
            <w:tblPr>
              <w:tblW w:w="5000" w:type="pct"/>
              <w:tblCellMar>
                <w:left w:w="70" w:type="dxa"/>
                <w:right w:w="70" w:type="dxa"/>
              </w:tblCellMar>
              <w:tblLook w:val="04A0" w:firstRow="1" w:lastRow="0" w:firstColumn="1" w:lastColumn="0" w:noHBand="0" w:noVBand="1"/>
            </w:tblPr>
            <w:tblGrid>
              <w:gridCol w:w="655"/>
              <w:gridCol w:w="3681"/>
              <w:gridCol w:w="1568"/>
              <w:gridCol w:w="3270"/>
              <w:gridCol w:w="1222"/>
            </w:tblGrid>
            <w:tr w:rsidR="00FC389D" w:rsidRPr="002767BD" w14:paraId="460D8DD6" w14:textId="77777777" w:rsidTr="00B82061">
              <w:trPr>
                <w:trHeight w:val="20"/>
              </w:trPr>
              <w:tc>
                <w:tcPr>
                  <w:tcW w:w="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9F3D7"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ITEM</w:t>
                  </w:r>
                </w:p>
              </w:tc>
              <w:tc>
                <w:tcPr>
                  <w:tcW w:w="18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12C3C06"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DESCRIPCIÓN DEL BIEN Y/O SERVICIO</w:t>
                  </w:r>
                </w:p>
              </w:tc>
              <w:tc>
                <w:tcPr>
                  <w:tcW w:w="6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077F81"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CIUDAD</w:t>
                  </w:r>
                </w:p>
              </w:tc>
              <w:tc>
                <w:tcPr>
                  <w:tcW w:w="161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B36316"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DIRECCION DE INSTALACIÓN</w:t>
                  </w:r>
                </w:p>
              </w:tc>
              <w:tc>
                <w:tcPr>
                  <w:tcW w:w="61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ED1A0E" w14:textId="77777777" w:rsidR="00FC389D" w:rsidRPr="002767BD" w:rsidRDefault="00FC389D" w:rsidP="00FC389D">
                  <w:pPr>
                    <w:jc w:val="center"/>
                    <w:rPr>
                      <w:rFonts w:ascii="Verdana" w:hAnsi="Verdana" w:cs="Calibri"/>
                      <w:b/>
                      <w:bCs/>
                      <w:sz w:val="18"/>
                      <w:szCs w:val="18"/>
                      <w:lang w:eastAsia="es-CO"/>
                    </w:rPr>
                  </w:pPr>
                  <w:r w:rsidRPr="002767BD">
                    <w:rPr>
                      <w:rFonts w:ascii="Verdana" w:hAnsi="Verdana" w:cs="Calibri"/>
                      <w:b/>
                      <w:bCs/>
                      <w:sz w:val="18"/>
                      <w:szCs w:val="18"/>
                      <w:lang w:eastAsia="es-CO"/>
                    </w:rPr>
                    <w:t>CANTIDAD FINAL</w:t>
                  </w:r>
                </w:p>
              </w:tc>
            </w:tr>
            <w:tr w:rsidR="00FC389D" w:rsidRPr="002767BD" w14:paraId="7AF14A5E"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1107233C"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c>
                <w:tcPr>
                  <w:tcW w:w="1812" w:type="pct"/>
                  <w:tcBorders>
                    <w:top w:val="single" w:sz="4" w:space="0" w:color="auto"/>
                    <w:left w:val="nil"/>
                    <w:bottom w:val="single" w:sz="4" w:space="0" w:color="auto"/>
                    <w:right w:val="single" w:sz="4" w:space="0" w:color="auto"/>
                  </w:tcBorders>
                  <w:vAlign w:val="center"/>
                  <w:hideMark/>
                </w:tcPr>
                <w:p w14:paraId="59DF7C21"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651" w:type="pct"/>
                  <w:tcBorders>
                    <w:top w:val="nil"/>
                    <w:left w:val="nil"/>
                    <w:bottom w:val="single" w:sz="4" w:space="0" w:color="auto"/>
                    <w:right w:val="single" w:sz="4" w:space="0" w:color="auto"/>
                  </w:tcBorders>
                  <w:vAlign w:val="center"/>
                  <w:hideMark/>
                </w:tcPr>
                <w:p w14:paraId="6DA9D4D4"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BARRANQUILLA</w:t>
                  </w:r>
                </w:p>
              </w:tc>
              <w:tc>
                <w:tcPr>
                  <w:tcW w:w="1614" w:type="pct"/>
                  <w:tcBorders>
                    <w:top w:val="nil"/>
                    <w:left w:val="nil"/>
                    <w:bottom w:val="single" w:sz="4" w:space="0" w:color="auto"/>
                    <w:right w:val="single" w:sz="4" w:space="0" w:color="auto"/>
                  </w:tcBorders>
                  <w:vAlign w:val="center"/>
                  <w:hideMark/>
                </w:tcPr>
                <w:p w14:paraId="2756B6DD"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Área Operativa 02 - Barranquilla, Atlántico - Barranquilla Calle 68 # 54 -82</w:t>
                  </w:r>
                </w:p>
              </w:tc>
              <w:tc>
                <w:tcPr>
                  <w:tcW w:w="610" w:type="pct"/>
                  <w:tcBorders>
                    <w:top w:val="nil"/>
                    <w:left w:val="nil"/>
                    <w:bottom w:val="single" w:sz="4" w:space="0" w:color="auto"/>
                    <w:right w:val="single" w:sz="4" w:space="0" w:color="auto"/>
                  </w:tcBorders>
                  <w:vAlign w:val="center"/>
                  <w:hideMark/>
                </w:tcPr>
                <w:p w14:paraId="44B1FADA"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6DB6D563"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15BEFBCD"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2</w:t>
                  </w:r>
                </w:p>
              </w:tc>
              <w:tc>
                <w:tcPr>
                  <w:tcW w:w="1812" w:type="pct"/>
                  <w:tcBorders>
                    <w:top w:val="single" w:sz="4" w:space="0" w:color="auto"/>
                    <w:left w:val="nil"/>
                    <w:bottom w:val="single" w:sz="4" w:space="0" w:color="auto"/>
                    <w:right w:val="single" w:sz="4" w:space="0" w:color="auto"/>
                  </w:tcBorders>
                  <w:vAlign w:val="center"/>
                  <w:hideMark/>
                </w:tcPr>
                <w:p w14:paraId="5ACEA07E"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651" w:type="pct"/>
                  <w:tcBorders>
                    <w:top w:val="nil"/>
                    <w:left w:val="nil"/>
                    <w:bottom w:val="single" w:sz="4" w:space="0" w:color="auto"/>
                    <w:right w:val="single" w:sz="4" w:space="0" w:color="auto"/>
                  </w:tcBorders>
                  <w:vAlign w:val="center"/>
                  <w:hideMark/>
                </w:tcPr>
                <w:p w14:paraId="43EFE461"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PASTO</w:t>
                  </w:r>
                </w:p>
              </w:tc>
              <w:tc>
                <w:tcPr>
                  <w:tcW w:w="1614" w:type="pct"/>
                  <w:tcBorders>
                    <w:top w:val="nil"/>
                    <w:left w:val="nil"/>
                    <w:bottom w:val="single" w:sz="4" w:space="0" w:color="auto"/>
                    <w:right w:val="single" w:sz="4" w:space="0" w:color="auto"/>
                  </w:tcBorders>
                  <w:vAlign w:val="center"/>
                  <w:hideMark/>
                </w:tcPr>
                <w:p w14:paraId="65193893"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Área Operativa 07 - Pasto, Nariño - Pasto Carrera 36 # 18 - 148</w:t>
                  </w:r>
                </w:p>
              </w:tc>
              <w:tc>
                <w:tcPr>
                  <w:tcW w:w="610" w:type="pct"/>
                  <w:tcBorders>
                    <w:top w:val="nil"/>
                    <w:left w:val="nil"/>
                    <w:bottom w:val="single" w:sz="4" w:space="0" w:color="auto"/>
                    <w:right w:val="single" w:sz="4" w:space="0" w:color="auto"/>
                  </w:tcBorders>
                  <w:vAlign w:val="center"/>
                  <w:hideMark/>
                </w:tcPr>
                <w:p w14:paraId="139C495B"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42953BF6"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1A25330C"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3</w:t>
                  </w:r>
                </w:p>
              </w:tc>
              <w:tc>
                <w:tcPr>
                  <w:tcW w:w="1812" w:type="pct"/>
                  <w:tcBorders>
                    <w:top w:val="single" w:sz="4" w:space="0" w:color="auto"/>
                    <w:left w:val="nil"/>
                    <w:bottom w:val="single" w:sz="4" w:space="0" w:color="auto"/>
                    <w:right w:val="single" w:sz="4" w:space="0" w:color="auto"/>
                  </w:tcBorders>
                  <w:vAlign w:val="center"/>
                  <w:hideMark/>
                </w:tcPr>
                <w:p w14:paraId="20242568"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10 kVA, 120V, 60 Hz, con baterías internas.</w:t>
                  </w:r>
                </w:p>
              </w:tc>
              <w:tc>
                <w:tcPr>
                  <w:tcW w:w="651" w:type="pct"/>
                  <w:tcBorders>
                    <w:top w:val="nil"/>
                    <w:left w:val="nil"/>
                    <w:bottom w:val="single" w:sz="4" w:space="0" w:color="auto"/>
                    <w:right w:val="single" w:sz="4" w:space="0" w:color="auto"/>
                  </w:tcBorders>
                  <w:vAlign w:val="center"/>
                  <w:hideMark/>
                </w:tcPr>
                <w:p w14:paraId="25BBDCA7"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CALI</w:t>
                  </w:r>
                </w:p>
              </w:tc>
              <w:tc>
                <w:tcPr>
                  <w:tcW w:w="1614" w:type="pct"/>
                  <w:tcBorders>
                    <w:top w:val="nil"/>
                    <w:left w:val="nil"/>
                    <w:bottom w:val="single" w:sz="4" w:space="0" w:color="auto"/>
                    <w:right w:val="single" w:sz="4" w:space="0" w:color="auto"/>
                  </w:tcBorders>
                  <w:vAlign w:val="center"/>
                  <w:hideMark/>
                </w:tcPr>
                <w:p w14:paraId="330CAC4A"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Área Operativa 09 - Cali, Valle del Cauca - Cali Calle 48N # 3N-104</w:t>
                  </w:r>
                </w:p>
              </w:tc>
              <w:tc>
                <w:tcPr>
                  <w:tcW w:w="610" w:type="pct"/>
                  <w:tcBorders>
                    <w:top w:val="nil"/>
                    <w:left w:val="nil"/>
                    <w:bottom w:val="single" w:sz="4" w:space="0" w:color="auto"/>
                    <w:right w:val="single" w:sz="4" w:space="0" w:color="auto"/>
                  </w:tcBorders>
                  <w:vAlign w:val="center"/>
                  <w:hideMark/>
                </w:tcPr>
                <w:p w14:paraId="083A6083"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44196552"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722A12F2"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4</w:t>
                  </w:r>
                </w:p>
              </w:tc>
              <w:tc>
                <w:tcPr>
                  <w:tcW w:w="1812" w:type="pct"/>
                  <w:tcBorders>
                    <w:top w:val="single" w:sz="4" w:space="0" w:color="auto"/>
                    <w:left w:val="nil"/>
                    <w:bottom w:val="single" w:sz="4" w:space="0" w:color="auto"/>
                    <w:right w:val="single" w:sz="4" w:space="0" w:color="auto"/>
                  </w:tcBorders>
                  <w:vAlign w:val="center"/>
                  <w:hideMark/>
                </w:tcPr>
                <w:p w14:paraId="5325D229"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651" w:type="pct"/>
                  <w:tcBorders>
                    <w:top w:val="nil"/>
                    <w:left w:val="nil"/>
                    <w:bottom w:val="single" w:sz="4" w:space="0" w:color="auto"/>
                    <w:right w:val="single" w:sz="4" w:space="0" w:color="auto"/>
                  </w:tcBorders>
                  <w:vAlign w:val="center"/>
                  <w:hideMark/>
                </w:tcPr>
                <w:p w14:paraId="6CFC5FA9"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BOGOTÁ D.C.</w:t>
                  </w:r>
                </w:p>
              </w:tc>
              <w:tc>
                <w:tcPr>
                  <w:tcW w:w="1614" w:type="pct"/>
                  <w:tcBorders>
                    <w:top w:val="nil"/>
                    <w:left w:val="nil"/>
                    <w:bottom w:val="single" w:sz="4" w:space="0" w:color="auto"/>
                    <w:right w:val="single" w:sz="4" w:space="0" w:color="auto"/>
                  </w:tcBorders>
                  <w:vAlign w:val="center"/>
                  <w:hideMark/>
                </w:tcPr>
                <w:p w14:paraId="28EEBE66"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Sede Laboratorio de Calidad Ambiental del IDEAM - Bogotá D.C. Calle 12 # 42 b 44</w:t>
                  </w:r>
                </w:p>
              </w:tc>
              <w:tc>
                <w:tcPr>
                  <w:tcW w:w="610" w:type="pct"/>
                  <w:tcBorders>
                    <w:top w:val="nil"/>
                    <w:left w:val="nil"/>
                    <w:bottom w:val="single" w:sz="4" w:space="0" w:color="auto"/>
                    <w:right w:val="single" w:sz="4" w:space="0" w:color="auto"/>
                  </w:tcBorders>
                  <w:vAlign w:val="center"/>
                  <w:hideMark/>
                </w:tcPr>
                <w:p w14:paraId="6A0B0706"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164BE1F3"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1D50C319"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5</w:t>
                  </w:r>
                </w:p>
              </w:tc>
              <w:tc>
                <w:tcPr>
                  <w:tcW w:w="1812" w:type="pct"/>
                  <w:tcBorders>
                    <w:top w:val="single" w:sz="4" w:space="0" w:color="auto"/>
                    <w:left w:val="nil"/>
                    <w:bottom w:val="single" w:sz="4" w:space="0" w:color="auto"/>
                    <w:right w:val="single" w:sz="4" w:space="0" w:color="auto"/>
                  </w:tcBorders>
                  <w:vAlign w:val="center"/>
                  <w:hideMark/>
                </w:tcPr>
                <w:p w14:paraId="3E59546C"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651" w:type="pct"/>
                  <w:tcBorders>
                    <w:top w:val="nil"/>
                    <w:left w:val="nil"/>
                    <w:bottom w:val="single" w:sz="4" w:space="0" w:color="auto"/>
                    <w:right w:val="single" w:sz="4" w:space="0" w:color="auto"/>
                  </w:tcBorders>
                  <w:vAlign w:val="center"/>
                  <w:hideMark/>
                </w:tcPr>
                <w:p w14:paraId="040891DF"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BARRANQUILLA</w:t>
                  </w:r>
                </w:p>
              </w:tc>
              <w:tc>
                <w:tcPr>
                  <w:tcW w:w="1614" w:type="pct"/>
                  <w:tcBorders>
                    <w:top w:val="nil"/>
                    <w:left w:val="nil"/>
                    <w:bottom w:val="single" w:sz="4" w:space="0" w:color="auto"/>
                    <w:right w:val="single" w:sz="4" w:space="0" w:color="auto"/>
                  </w:tcBorders>
                  <w:vAlign w:val="center"/>
                  <w:hideMark/>
                </w:tcPr>
                <w:p w14:paraId="57D0DB4C"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Oficina Meteorología Aeronáutica IDEAM - Aeropuerto Ernesto Cortissoz, Barranquilla - Atlantico</w:t>
                  </w:r>
                </w:p>
              </w:tc>
              <w:tc>
                <w:tcPr>
                  <w:tcW w:w="610" w:type="pct"/>
                  <w:tcBorders>
                    <w:top w:val="nil"/>
                    <w:left w:val="nil"/>
                    <w:bottom w:val="single" w:sz="4" w:space="0" w:color="auto"/>
                    <w:right w:val="single" w:sz="4" w:space="0" w:color="auto"/>
                  </w:tcBorders>
                  <w:vAlign w:val="center"/>
                  <w:hideMark/>
                </w:tcPr>
                <w:p w14:paraId="0279D0CC"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404133DD"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7827F7D3"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6</w:t>
                  </w:r>
                </w:p>
              </w:tc>
              <w:tc>
                <w:tcPr>
                  <w:tcW w:w="1812" w:type="pct"/>
                  <w:tcBorders>
                    <w:top w:val="single" w:sz="4" w:space="0" w:color="auto"/>
                    <w:left w:val="nil"/>
                    <w:bottom w:val="single" w:sz="4" w:space="0" w:color="auto"/>
                    <w:right w:val="single" w:sz="4" w:space="0" w:color="auto"/>
                  </w:tcBorders>
                  <w:vAlign w:val="center"/>
                  <w:hideMark/>
                </w:tcPr>
                <w:p w14:paraId="305B549C"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651" w:type="pct"/>
                  <w:tcBorders>
                    <w:top w:val="nil"/>
                    <w:left w:val="nil"/>
                    <w:bottom w:val="single" w:sz="4" w:space="0" w:color="auto"/>
                    <w:right w:val="single" w:sz="4" w:space="0" w:color="auto"/>
                  </w:tcBorders>
                  <w:vAlign w:val="center"/>
                  <w:hideMark/>
                </w:tcPr>
                <w:p w14:paraId="3AC9C15C"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LETICIA</w:t>
                  </w:r>
                </w:p>
              </w:tc>
              <w:tc>
                <w:tcPr>
                  <w:tcW w:w="1614" w:type="pct"/>
                  <w:tcBorders>
                    <w:top w:val="nil"/>
                    <w:left w:val="nil"/>
                    <w:bottom w:val="single" w:sz="4" w:space="0" w:color="auto"/>
                    <w:right w:val="single" w:sz="4" w:space="0" w:color="auto"/>
                  </w:tcBorders>
                  <w:vAlign w:val="center"/>
                  <w:hideMark/>
                </w:tcPr>
                <w:p w14:paraId="690BB458"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Oficina Meteorología Aeronáutica IDEAM - Aeropuerto Alfredo Vasquez Cobo, Leticia - Amazonas</w:t>
                  </w:r>
                </w:p>
              </w:tc>
              <w:tc>
                <w:tcPr>
                  <w:tcW w:w="610" w:type="pct"/>
                  <w:tcBorders>
                    <w:top w:val="nil"/>
                    <w:left w:val="nil"/>
                    <w:bottom w:val="single" w:sz="4" w:space="0" w:color="auto"/>
                    <w:right w:val="single" w:sz="4" w:space="0" w:color="auto"/>
                  </w:tcBorders>
                  <w:vAlign w:val="center"/>
                  <w:hideMark/>
                </w:tcPr>
                <w:p w14:paraId="01129094"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1</w:t>
                  </w:r>
                </w:p>
              </w:tc>
            </w:tr>
            <w:tr w:rsidR="00FC389D" w:rsidRPr="002767BD" w14:paraId="31631409" w14:textId="77777777" w:rsidTr="00B82061">
              <w:trPr>
                <w:trHeight w:val="20"/>
              </w:trPr>
              <w:tc>
                <w:tcPr>
                  <w:tcW w:w="313" w:type="pct"/>
                  <w:tcBorders>
                    <w:top w:val="nil"/>
                    <w:left w:val="single" w:sz="4" w:space="0" w:color="auto"/>
                    <w:bottom w:val="single" w:sz="4" w:space="0" w:color="auto"/>
                    <w:right w:val="single" w:sz="4" w:space="0" w:color="auto"/>
                  </w:tcBorders>
                  <w:vAlign w:val="center"/>
                  <w:hideMark/>
                </w:tcPr>
                <w:p w14:paraId="206F84AC"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7</w:t>
                  </w:r>
                </w:p>
              </w:tc>
              <w:tc>
                <w:tcPr>
                  <w:tcW w:w="1812" w:type="pct"/>
                  <w:tcBorders>
                    <w:top w:val="single" w:sz="4" w:space="0" w:color="auto"/>
                    <w:left w:val="nil"/>
                    <w:bottom w:val="single" w:sz="4" w:space="0" w:color="auto"/>
                    <w:right w:val="single" w:sz="4" w:space="0" w:color="auto"/>
                  </w:tcBorders>
                  <w:vAlign w:val="center"/>
                  <w:hideMark/>
                </w:tcPr>
                <w:p w14:paraId="71418230" w14:textId="77777777" w:rsidR="00FC389D" w:rsidRPr="002767BD" w:rsidRDefault="00FC389D" w:rsidP="00FC389D">
                  <w:pPr>
                    <w:rPr>
                      <w:rFonts w:ascii="Verdana" w:hAnsi="Verdana" w:cs="Calibri"/>
                      <w:sz w:val="18"/>
                      <w:szCs w:val="18"/>
                      <w:lang w:eastAsia="es-CO"/>
                    </w:rPr>
                  </w:pPr>
                  <w:r w:rsidRPr="002767BD">
                    <w:rPr>
                      <w:rFonts w:ascii="Verdana" w:hAnsi="Verdana" w:cs="Calibri"/>
                      <w:sz w:val="18"/>
                      <w:szCs w:val="18"/>
                      <w:lang w:eastAsia="es-CO"/>
                    </w:rPr>
                    <w:t>Suministro e instalación UPS On-Line de 3 kVA, 120V, 60 Hz, con baterías internas.</w:t>
                  </w:r>
                </w:p>
              </w:tc>
              <w:tc>
                <w:tcPr>
                  <w:tcW w:w="651" w:type="pct"/>
                  <w:tcBorders>
                    <w:top w:val="nil"/>
                    <w:left w:val="nil"/>
                    <w:bottom w:val="single" w:sz="4" w:space="0" w:color="auto"/>
                    <w:right w:val="single" w:sz="4" w:space="0" w:color="auto"/>
                  </w:tcBorders>
                  <w:vAlign w:val="center"/>
                  <w:hideMark/>
                </w:tcPr>
                <w:p w14:paraId="792C651E"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IPIALES</w:t>
                  </w:r>
                </w:p>
              </w:tc>
              <w:tc>
                <w:tcPr>
                  <w:tcW w:w="1614" w:type="pct"/>
                  <w:tcBorders>
                    <w:top w:val="nil"/>
                    <w:left w:val="nil"/>
                    <w:bottom w:val="single" w:sz="4" w:space="0" w:color="auto"/>
                    <w:right w:val="single" w:sz="4" w:space="0" w:color="auto"/>
                  </w:tcBorders>
                  <w:vAlign w:val="center"/>
                  <w:hideMark/>
                </w:tcPr>
                <w:p w14:paraId="37302F81" w14:textId="77777777" w:rsidR="00FC389D" w:rsidRPr="002767BD" w:rsidRDefault="00FC389D" w:rsidP="00FC389D">
                  <w:pPr>
                    <w:jc w:val="center"/>
                    <w:rPr>
                      <w:rFonts w:ascii="Verdana" w:hAnsi="Verdana" w:cs="Calibri"/>
                      <w:color w:val="000000"/>
                      <w:sz w:val="18"/>
                      <w:szCs w:val="18"/>
                      <w:lang w:eastAsia="es-CO"/>
                    </w:rPr>
                  </w:pPr>
                  <w:r w:rsidRPr="002767BD">
                    <w:rPr>
                      <w:rFonts w:ascii="Verdana" w:hAnsi="Verdana" w:cs="Calibri"/>
                      <w:color w:val="000000"/>
                      <w:sz w:val="18"/>
                      <w:szCs w:val="18"/>
                      <w:lang w:eastAsia="es-CO"/>
                    </w:rPr>
                    <w:t>Oficina Meteorología Aeronáutica IDEAM - Aeropuerto San Luis, Ipiales - Nariño</w:t>
                  </w:r>
                </w:p>
              </w:tc>
              <w:tc>
                <w:tcPr>
                  <w:tcW w:w="610" w:type="pct"/>
                  <w:tcBorders>
                    <w:top w:val="nil"/>
                    <w:left w:val="nil"/>
                    <w:bottom w:val="single" w:sz="4" w:space="0" w:color="auto"/>
                    <w:right w:val="single" w:sz="4" w:space="0" w:color="auto"/>
                  </w:tcBorders>
                  <w:vAlign w:val="center"/>
                  <w:hideMark/>
                </w:tcPr>
                <w:p w14:paraId="4E9B283A" w14:textId="77777777" w:rsidR="00FC389D" w:rsidRPr="002767BD" w:rsidRDefault="00FC389D" w:rsidP="00FC389D">
                  <w:pPr>
                    <w:jc w:val="center"/>
                    <w:rPr>
                      <w:rFonts w:ascii="Verdana" w:hAnsi="Verdana" w:cs="Calibri"/>
                      <w:sz w:val="18"/>
                      <w:szCs w:val="18"/>
                      <w:lang w:eastAsia="es-CO"/>
                    </w:rPr>
                  </w:pPr>
                  <w:r w:rsidRPr="002767BD">
                    <w:rPr>
                      <w:rFonts w:ascii="Verdana" w:hAnsi="Verdana" w:cs="Calibri"/>
                      <w:sz w:val="18"/>
                      <w:szCs w:val="18"/>
                      <w:lang w:eastAsia="es-CO"/>
                    </w:rPr>
                    <w:t>1</w:t>
                  </w:r>
                </w:p>
              </w:tc>
            </w:tr>
          </w:tbl>
          <w:p w14:paraId="41046460" w14:textId="77777777" w:rsidR="00FC389D" w:rsidRPr="002767BD" w:rsidRDefault="00FC389D" w:rsidP="00FC389D">
            <w:pPr>
              <w:jc w:val="both"/>
              <w:rPr>
                <w:rFonts w:ascii="Verdana" w:hAnsi="Verdana" w:cs="Calibri"/>
                <w:sz w:val="22"/>
                <w:szCs w:val="22"/>
              </w:rPr>
            </w:pPr>
          </w:p>
          <w:p w14:paraId="608B9F2C" w14:textId="77777777" w:rsidR="00FC389D" w:rsidRPr="002767BD" w:rsidRDefault="00FC389D" w:rsidP="00FC389D">
            <w:pPr>
              <w:tabs>
                <w:tab w:val="left" w:pos="4284"/>
              </w:tabs>
              <w:jc w:val="both"/>
              <w:rPr>
                <w:rFonts w:ascii="Verdana" w:hAnsi="Verdana" w:cs="Calibri"/>
                <w:sz w:val="22"/>
                <w:szCs w:val="22"/>
              </w:rPr>
            </w:pPr>
            <w:r w:rsidRPr="002767BD">
              <w:rPr>
                <w:rFonts w:ascii="Verdana" w:hAnsi="Verdana" w:cs="Calibri"/>
                <w:sz w:val="22"/>
                <w:szCs w:val="22"/>
              </w:rPr>
              <w:t>De acuerdo con la certificación emitida por el Grupo de Manejo y Control de Almacén e Inventarios Orfeo No. 20262060094783 a la fecha no se encuentran en el almacén existencias de UPS 3KVA ON LINE, 120V, 60Hz, con baterías internas; UPS On-Line de 10 kVA, 120V, 60 Hz, con baterías internas, UPS On-Line de 15 kVA, 120V, 60 Hz, con baterías internas y UPS On-Line de 20 kVA, 120V, 60 Hz, con baterías internas.</w:t>
            </w:r>
          </w:p>
          <w:p w14:paraId="67665531" w14:textId="77777777" w:rsidR="00FC389D" w:rsidRPr="002767BD" w:rsidRDefault="00FC389D" w:rsidP="00FC389D">
            <w:pPr>
              <w:jc w:val="both"/>
              <w:rPr>
                <w:rFonts w:ascii="Verdana" w:hAnsi="Verdana" w:cs="Calibri"/>
                <w:sz w:val="22"/>
                <w:szCs w:val="22"/>
              </w:rPr>
            </w:pPr>
          </w:p>
          <w:p w14:paraId="5BDF1C74"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En consecuencia, de acuerdo a las solicitudes vía correo electrónico por parte de las áreas operativas, oficinas de aeropuertos, y demás dependencias, adjuntos al presente documento, así como los informes del contratista de la vigencia 2025, emitido sobre el estado y recomendación de las UPS ubicadas en el Área Operativa No. 7 – Pasto, así como la verificación y priorización realizada por el Grupo de Servicios Administrativos, se requiere la adquisición de los siguientes elementos:</w:t>
            </w:r>
          </w:p>
          <w:p w14:paraId="19537E50" w14:textId="77777777" w:rsidR="00FC389D" w:rsidRPr="002767BD" w:rsidRDefault="00FC389D" w:rsidP="00FC389D">
            <w:pPr>
              <w:jc w:val="both"/>
              <w:rPr>
                <w:rFonts w:ascii="Verdana" w:hAnsi="Verdana" w:cs="Calibri"/>
                <w:sz w:val="22"/>
                <w:szCs w:val="22"/>
              </w:rPr>
            </w:pPr>
          </w:p>
          <w:tbl>
            <w:tblPr>
              <w:tblW w:w="5000" w:type="pct"/>
              <w:tblCellMar>
                <w:left w:w="70" w:type="dxa"/>
                <w:right w:w="70" w:type="dxa"/>
              </w:tblCellMar>
              <w:tblLook w:val="04A0" w:firstRow="1" w:lastRow="0" w:firstColumn="1" w:lastColumn="0" w:noHBand="0" w:noVBand="1"/>
            </w:tblPr>
            <w:tblGrid>
              <w:gridCol w:w="611"/>
              <w:gridCol w:w="3044"/>
              <w:gridCol w:w="705"/>
              <w:gridCol w:w="1950"/>
              <w:gridCol w:w="4086"/>
            </w:tblGrid>
            <w:tr w:rsidR="00FC389D" w:rsidRPr="002767BD" w14:paraId="3902CDC9" w14:textId="77777777" w:rsidTr="00B82061">
              <w:trPr>
                <w:trHeight w:val="255"/>
              </w:trPr>
              <w:tc>
                <w:tcPr>
                  <w:tcW w:w="294" w:type="pct"/>
                  <w:tcBorders>
                    <w:top w:val="single" w:sz="4" w:space="0" w:color="auto"/>
                    <w:left w:val="single" w:sz="4" w:space="0" w:color="auto"/>
                    <w:bottom w:val="single" w:sz="4" w:space="0" w:color="auto"/>
                    <w:right w:val="single" w:sz="4" w:space="0" w:color="auto"/>
                  </w:tcBorders>
                  <w:shd w:val="clear" w:color="000000" w:fill="D9D9D9"/>
                  <w:vAlign w:val="center"/>
                </w:tcPr>
                <w:p w14:paraId="33217351" w14:textId="77777777" w:rsidR="00FC389D" w:rsidRPr="002767BD" w:rsidRDefault="00FC389D" w:rsidP="00FC389D">
                  <w:pPr>
                    <w:ind w:left="-59"/>
                    <w:jc w:val="center"/>
                    <w:rPr>
                      <w:rFonts w:ascii="Verdana" w:eastAsia="Arial Narrow" w:hAnsi="Verdana" w:cs="Arial Narrow"/>
                      <w:b/>
                      <w:bCs/>
                      <w:sz w:val="18"/>
                      <w:szCs w:val="18"/>
                    </w:rPr>
                  </w:pPr>
                  <w:r w:rsidRPr="002767BD">
                    <w:rPr>
                      <w:rFonts w:ascii="Verdana" w:eastAsia="Arial Narrow" w:hAnsi="Verdana" w:cs="Arial Narrow"/>
                      <w:b/>
                      <w:bCs/>
                      <w:sz w:val="18"/>
                      <w:szCs w:val="18"/>
                    </w:rPr>
                    <w:t>ITEM</w:t>
                  </w:r>
                </w:p>
              </w:tc>
              <w:tc>
                <w:tcPr>
                  <w:tcW w:w="1464"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51C35E" w14:textId="77777777" w:rsidR="00FC389D" w:rsidRPr="002767BD" w:rsidRDefault="00FC389D" w:rsidP="00FC389D">
                  <w:pPr>
                    <w:ind w:left="45"/>
                    <w:jc w:val="center"/>
                    <w:rPr>
                      <w:rFonts w:ascii="Verdana" w:eastAsia="Arial Narrow" w:hAnsi="Verdana" w:cs="Arial Narrow"/>
                      <w:b/>
                      <w:bCs/>
                      <w:sz w:val="18"/>
                      <w:szCs w:val="18"/>
                    </w:rPr>
                  </w:pPr>
                  <w:r w:rsidRPr="002767BD">
                    <w:rPr>
                      <w:rFonts w:ascii="Verdana" w:eastAsia="Arial Narrow" w:hAnsi="Verdana" w:cs="Arial Narrow"/>
                      <w:b/>
                      <w:bCs/>
                      <w:sz w:val="18"/>
                      <w:szCs w:val="18"/>
                    </w:rPr>
                    <w:t>DESCRIPCIÓN</w:t>
                  </w:r>
                </w:p>
              </w:tc>
              <w:tc>
                <w:tcPr>
                  <w:tcW w:w="339" w:type="pct"/>
                  <w:tcBorders>
                    <w:top w:val="single" w:sz="4" w:space="0" w:color="auto"/>
                    <w:left w:val="nil"/>
                    <w:bottom w:val="single" w:sz="4" w:space="0" w:color="auto"/>
                    <w:right w:val="single" w:sz="4" w:space="0" w:color="auto"/>
                  </w:tcBorders>
                  <w:shd w:val="clear" w:color="000000" w:fill="D9D9D9"/>
                  <w:vAlign w:val="center"/>
                  <w:hideMark/>
                </w:tcPr>
                <w:p w14:paraId="4CC0B7ED" w14:textId="77777777" w:rsidR="00FC389D" w:rsidRPr="002767BD" w:rsidRDefault="00FC389D" w:rsidP="00FC389D">
                  <w:pPr>
                    <w:ind w:left="-74"/>
                    <w:jc w:val="center"/>
                    <w:rPr>
                      <w:rFonts w:ascii="Verdana" w:eastAsia="Arial Narrow" w:hAnsi="Verdana" w:cs="Arial Narrow"/>
                      <w:b/>
                      <w:bCs/>
                      <w:sz w:val="18"/>
                      <w:szCs w:val="18"/>
                    </w:rPr>
                  </w:pPr>
                  <w:r w:rsidRPr="002767BD">
                    <w:rPr>
                      <w:rFonts w:ascii="Verdana" w:eastAsia="Arial Narrow" w:hAnsi="Verdana" w:cs="Arial Narrow"/>
                      <w:b/>
                      <w:bCs/>
                      <w:sz w:val="18"/>
                      <w:szCs w:val="18"/>
                    </w:rPr>
                    <w:t>CANT</w:t>
                  </w:r>
                </w:p>
              </w:tc>
              <w:tc>
                <w:tcPr>
                  <w:tcW w:w="938" w:type="pct"/>
                  <w:tcBorders>
                    <w:top w:val="single" w:sz="4" w:space="0" w:color="auto"/>
                    <w:left w:val="nil"/>
                    <w:bottom w:val="single" w:sz="4" w:space="0" w:color="auto"/>
                    <w:right w:val="single" w:sz="4" w:space="0" w:color="auto"/>
                  </w:tcBorders>
                  <w:shd w:val="clear" w:color="000000" w:fill="D9D9D9"/>
                  <w:vAlign w:val="center"/>
                  <w:hideMark/>
                </w:tcPr>
                <w:p w14:paraId="185CE394" w14:textId="77777777" w:rsidR="00FC389D" w:rsidRPr="002767BD" w:rsidRDefault="00FC389D" w:rsidP="00FC389D">
                  <w:pPr>
                    <w:ind w:left="45"/>
                    <w:jc w:val="center"/>
                    <w:rPr>
                      <w:rFonts w:ascii="Verdana" w:eastAsia="Arial Narrow" w:hAnsi="Verdana" w:cs="Arial Narrow"/>
                      <w:b/>
                      <w:bCs/>
                      <w:sz w:val="18"/>
                      <w:szCs w:val="18"/>
                    </w:rPr>
                  </w:pPr>
                  <w:r w:rsidRPr="002767BD">
                    <w:rPr>
                      <w:rFonts w:ascii="Verdana" w:eastAsia="Arial Narrow" w:hAnsi="Verdana" w:cs="Arial Narrow"/>
                      <w:b/>
                      <w:bCs/>
                      <w:sz w:val="18"/>
                      <w:szCs w:val="18"/>
                    </w:rPr>
                    <w:t>CIUDAD</w:t>
                  </w:r>
                </w:p>
              </w:tc>
              <w:tc>
                <w:tcPr>
                  <w:tcW w:w="1965" w:type="pct"/>
                  <w:tcBorders>
                    <w:top w:val="single" w:sz="4" w:space="0" w:color="auto"/>
                    <w:left w:val="nil"/>
                    <w:bottom w:val="single" w:sz="4" w:space="0" w:color="auto"/>
                    <w:right w:val="single" w:sz="4" w:space="0" w:color="auto"/>
                  </w:tcBorders>
                  <w:shd w:val="clear" w:color="000000" w:fill="D9D9D9"/>
                  <w:vAlign w:val="center"/>
                  <w:hideMark/>
                </w:tcPr>
                <w:p w14:paraId="3E936E7F" w14:textId="77777777" w:rsidR="00FC389D" w:rsidRPr="002767BD" w:rsidRDefault="00FC389D" w:rsidP="00FC389D">
                  <w:pPr>
                    <w:ind w:left="45"/>
                    <w:jc w:val="center"/>
                    <w:rPr>
                      <w:rFonts w:ascii="Verdana" w:eastAsia="Arial Narrow" w:hAnsi="Verdana" w:cs="Arial Narrow"/>
                      <w:b/>
                      <w:bCs/>
                      <w:sz w:val="18"/>
                      <w:szCs w:val="18"/>
                    </w:rPr>
                  </w:pPr>
                  <w:r w:rsidRPr="002767BD">
                    <w:rPr>
                      <w:rFonts w:ascii="Verdana" w:eastAsia="Arial Narrow" w:hAnsi="Verdana" w:cs="Arial Narrow"/>
                      <w:b/>
                      <w:bCs/>
                      <w:sz w:val="18"/>
                      <w:szCs w:val="18"/>
                    </w:rPr>
                    <w:t>DIRECCIÓN</w:t>
                  </w:r>
                </w:p>
              </w:tc>
            </w:tr>
            <w:tr w:rsidR="00FC389D" w:rsidRPr="002767BD" w14:paraId="16712AA8" w14:textId="77777777" w:rsidTr="00B82061">
              <w:trPr>
                <w:trHeight w:val="273"/>
              </w:trPr>
              <w:tc>
                <w:tcPr>
                  <w:tcW w:w="294" w:type="pct"/>
                  <w:tcBorders>
                    <w:top w:val="nil"/>
                    <w:left w:val="single" w:sz="4" w:space="0" w:color="auto"/>
                    <w:bottom w:val="single" w:sz="4" w:space="0" w:color="auto"/>
                    <w:right w:val="single" w:sz="4" w:space="0" w:color="auto"/>
                  </w:tcBorders>
                  <w:shd w:val="clear" w:color="000000" w:fill="FFFFFF"/>
                  <w:vAlign w:val="center"/>
                </w:tcPr>
                <w:p w14:paraId="3B9D7515"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1464" w:type="pct"/>
                  <w:tcBorders>
                    <w:top w:val="nil"/>
                    <w:left w:val="single" w:sz="4" w:space="0" w:color="auto"/>
                    <w:bottom w:val="single" w:sz="4" w:space="0" w:color="auto"/>
                    <w:right w:val="single" w:sz="4" w:space="0" w:color="auto"/>
                  </w:tcBorders>
                  <w:shd w:val="clear" w:color="000000" w:fill="FFFFFF"/>
                  <w:vAlign w:val="center"/>
                </w:tcPr>
                <w:p w14:paraId="22A17109"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10 kVA, 120V, 60 Hz, con baterías internas.</w:t>
                  </w:r>
                </w:p>
              </w:tc>
              <w:tc>
                <w:tcPr>
                  <w:tcW w:w="339" w:type="pct"/>
                  <w:tcBorders>
                    <w:top w:val="nil"/>
                    <w:left w:val="nil"/>
                    <w:bottom w:val="single" w:sz="4" w:space="0" w:color="auto"/>
                    <w:right w:val="single" w:sz="4" w:space="0" w:color="auto"/>
                  </w:tcBorders>
                  <w:shd w:val="clear" w:color="000000" w:fill="FFFFFF"/>
                  <w:noWrap/>
                  <w:vAlign w:val="center"/>
                </w:tcPr>
                <w:p w14:paraId="267A27E9"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nil"/>
                    <w:left w:val="nil"/>
                    <w:bottom w:val="single" w:sz="4" w:space="0" w:color="auto"/>
                    <w:right w:val="single" w:sz="4" w:space="0" w:color="auto"/>
                  </w:tcBorders>
                  <w:shd w:val="clear" w:color="000000" w:fill="FFFFFF"/>
                  <w:vAlign w:val="center"/>
                </w:tcPr>
                <w:p w14:paraId="3759CD9E"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BARRANQUILLA</w:t>
                  </w:r>
                </w:p>
              </w:tc>
              <w:tc>
                <w:tcPr>
                  <w:tcW w:w="1965" w:type="pct"/>
                  <w:tcBorders>
                    <w:top w:val="nil"/>
                    <w:left w:val="nil"/>
                    <w:bottom w:val="single" w:sz="4" w:space="0" w:color="auto"/>
                    <w:right w:val="single" w:sz="4" w:space="0" w:color="auto"/>
                  </w:tcBorders>
                  <w:shd w:val="clear" w:color="000000" w:fill="FFFFFF"/>
                  <w:vAlign w:val="center"/>
                </w:tcPr>
                <w:p w14:paraId="0B31F42D"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Área Operativa 02 - Barranquilla, Atlántico - Barranquilla Calle 68 # 54 -82</w:t>
                  </w:r>
                </w:p>
              </w:tc>
            </w:tr>
            <w:tr w:rsidR="00FC389D" w:rsidRPr="002767BD" w14:paraId="61C144CA" w14:textId="77777777" w:rsidTr="00B82061">
              <w:trPr>
                <w:trHeight w:val="369"/>
              </w:trPr>
              <w:tc>
                <w:tcPr>
                  <w:tcW w:w="294" w:type="pct"/>
                  <w:tcBorders>
                    <w:top w:val="nil"/>
                    <w:left w:val="single" w:sz="4" w:space="0" w:color="auto"/>
                    <w:bottom w:val="single" w:sz="4" w:space="0" w:color="auto"/>
                    <w:right w:val="single" w:sz="4" w:space="0" w:color="auto"/>
                  </w:tcBorders>
                  <w:shd w:val="clear" w:color="000000" w:fill="FFFFFF"/>
                  <w:vAlign w:val="center"/>
                </w:tcPr>
                <w:p w14:paraId="0E7E2D60"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lastRenderedPageBreak/>
                    <w:t>2</w:t>
                  </w:r>
                </w:p>
              </w:tc>
              <w:tc>
                <w:tcPr>
                  <w:tcW w:w="1464" w:type="pct"/>
                  <w:tcBorders>
                    <w:top w:val="nil"/>
                    <w:left w:val="single" w:sz="4" w:space="0" w:color="auto"/>
                    <w:bottom w:val="single" w:sz="4" w:space="0" w:color="auto"/>
                    <w:right w:val="single" w:sz="4" w:space="0" w:color="auto"/>
                  </w:tcBorders>
                  <w:shd w:val="clear" w:color="000000" w:fill="FFFFFF"/>
                  <w:vAlign w:val="center"/>
                </w:tcPr>
                <w:p w14:paraId="199F7426"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10 kVA, 120V, 60 Hz, con baterías internas.</w:t>
                  </w:r>
                </w:p>
              </w:tc>
              <w:tc>
                <w:tcPr>
                  <w:tcW w:w="339" w:type="pct"/>
                  <w:tcBorders>
                    <w:top w:val="nil"/>
                    <w:left w:val="nil"/>
                    <w:bottom w:val="single" w:sz="4" w:space="0" w:color="auto"/>
                    <w:right w:val="single" w:sz="4" w:space="0" w:color="auto"/>
                  </w:tcBorders>
                  <w:shd w:val="clear" w:color="000000" w:fill="FFFFFF"/>
                  <w:noWrap/>
                  <w:vAlign w:val="center"/>
                </w:tcPr>
                <w:p w14:paraId="15379918"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nil"/>
                    <w:left w:val="nil"/>
                    <w:bottom w:val="single" w:sz="4" w:space="0" w:color="auto"/>
                    <w:right w:val="single" w:sz="4" w:space="0" w:color="auto"/>
                  </w:tcBorders>
                  <w:shd w:val="clear" w:color="000000" w:fill="FFFFFF"/>
                  <w:vAlign w:val="center"/>
                </w:tcPr>
                <w:p w14:paraId="10F8E58B"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PASTO</w:t>
                  </w:r>
                </w:p>
              </w:tc>
              <w:tc>
                <w:tcPr>
                  <w:tcW w:w="1965" w:type="pct"/>
                  <w:tcBorders>
                    <w:top w:val="nil"/>
                    <w:left w:val="nil"/>
                    <w:bottom w:val="single" w:sz="4" w:space="0" w:color="auto"/>
                    <w:right w:val="single" w:sz="4" w:space="0" w:color="auto"/>
                  </w:tcBorders>
                  <w:shd w:val="clear" w:color="000000" w:fill="FFFFFF"/>
                  <w:vAlign w:val="center"/>
                </w:tcPr>
                <w:p w14:paraId="378AC556"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Área Operativa 07 - Pasto, Nariño - Pasto Carrera 36 # 18 - 148</w:t>
                  </w:r>
                </w:p>
              </w:tc>
            </w:tr>
            <w:tr w:rsidR="00FC389D" w:rsidRPr="002767BD" w14:paraId="7600BC25" w14:textId="77777777" w:rsidTr="00B82061">
              <w:trPr>
                <w:trHeight w:val="319"/>
              </w:trPr>
              <w:tc>
                <w:tcPr>
                  <w:tcW w:w="294" w:type="pct"/>
                  <w:tcBorders>
                    <w:top w:val="single" w:sz="4" w:space="0" w:color="auto"/>
                    <w:left w:val="single" w:sz="4" w:space="0" w:color="auto"/>
                    <w:bottom w:val="single" w:sz="4" w:space="0" w:color="auto"/>
                    <w:right w:val="single" w:sz="4" w:space="0" w:color="auto"/>
                  </w:tcBorders>
                  <w:shd w:val="clear" w:color="000000" w:fill="FFFFFF"/>
                  <w:vAlign w:val="center"/>
                </w:tcPr>
                <w:p w14:paraId="4E78DD56"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3</w:t>
                  </w:r>
                </w:p>
              </w:tc>
              <w:tc>
                <w:tcPr>
                  <w:tcW w:w="1464" w:type="pct"/>
                  <w:tcBorders>
                    <w:top w:val="single" w:sz="4" w:space="0" w:color="auto"/>
                    <w:left w:val="single" w:sz="4" w:space="0" w:color="auto"/>
                    <w:bottom w:val="single" w:sz="4" w:space="0" w:color="auto"/>
                    <w:right w:val="single" w:sz="4" w:space="0" w:color="auto"/>
                  </w:tcBorders>
                  <w:shd w:val="clear" w:color="000000" w:fill="FFFFFF"/>
                  <w:vAlign w:val="center"/>
                </w:tcPr>
                <w:p w14:paraId="0DD011EC"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10 kVA, 120V, 60 Hz, con baterías internas.</w:t>
                  </w:r>
                </w:p>
              </w:tc>
              <w:tc>
                <w:tcPr>
                  <w:tcW w:w="339" w:type="pct"/>
                  <w:tcBorders>
                    <w:top w:val="single" w:sz="4" w:space="0" w:color="auto"/>
                    <w:left w:val="nil"/>
                    <w:bottom w:val="single" w:sz="4" w:space="0" w:color="auto"/>
                    <w:right w:val="single" w:sz="4" w:space="0" w:color="auto"/>
                  </w:tcBorders>
                  <w:shd w:val="clear" w:color="000000" w:fill="FFFFFF"/>
                  <w:noWrap/>
                  <w:vAlign w:val="center"/>
                </w:tcPr>
                <w:p w14:paraId="024C50DF"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single" w:sz="4" w:space="0" w:color="auto"/>
                    <w:left w:val="nil"/>
                    <w:bottom w:val="single" w:sz="4" w:space="0" w:color="auto"/>
                    <w:right w:val="single" w:sz="4" w:space="0" w:color="auto"/>
                  </w:tcBorders>
                  <w:shd w:val="clear" w:color="000000" w:fill="FFFFFF"/>
                  <w:vAlign w:val="center"/>
                </w:tcPr>
                <w:p w14:paraId="44C72F16"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CALI</w:t>
                  </w:r>
                </w:p>
              </w:tc>
              <w:tc>
                <w:tcPr>
                  <w:tcW w:w="1965" w:type="pct"/>
                  <w:tcBorders>
                    <w:top w:val="single" w:sz="4" w:space="0" w:color="auto"/>
                    <w:left w:val="nil"/>
                    <w:bottom w:val="single" w:sz="4" w:space="0" w:color="auto"/>
                    <w:right w:val="single" w:sz="4" w:space="0" w:color="auto"/>
                  </w:tcBorders>
                  <w:shd w:val="clear" w:color="000000" w:fill="FFFFFF"/>
                  <w:vAlign w:val="center"/>
                </w:tcPr>
                <w:p w14:paraId="2866420D"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Área Operativa 09 - Cali, Valle del Cauca - Cali Calle 48N # 3N-104</w:t>
                  </w:r>
                </w:p>
              </w:tc>
            </w:tr>
            <w:tr w:rsidR="00FC389D" w:rsidRPr="002767BD" w14:paraId="6E67EE34" w14:textId="77777777" w:rsidTr="00B82061">
              <w:trPr>
                <w:trHeight w:val="197"/>
              </w:trPr>
              <w:tc>
                <w:tcPr>
                  <w:tcW w:w="294" w:type="pct"/>
                  <w:tcBorders>
                    <w:top w:val="single" w:sz="4" w:space="0" w:color="auto"/>
                    <w:left w:val="single" w:sz="4" w:space="0" w:color="auto"/>
                    <w:bottom w:val="single" w:sz="4" w:space="0" w:color="auto"/>
                    <w:right w:val="single" w:sz="4" w:space="0" w:color="auto"/>
                  </w:tcBorders>
                  <w:shd w:val="clear" w:color="000000" w:fill="FFFFFF"/>
                  <w:vAlign w:val="center"/>
                </w:tcPr>
                <w:p w14:paraId="153EC5F7"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4</w:t>
                  </w:r>
                </w:p>
              </w:tc>
              <w:tc>
                <w:tcPr>
                  <w:tcW w:w="1464" w:type="pct"/>
                  <w:tcBorders>
                    <w:top w:val="single" w:sz="4" w:space="0" w:color="auto"/>
                    <w:left w:val="single" w:sz="4" w:space="0" w:color="auto"/>
                    <w:bottom w:val="single" w:sz="4" w:space="0" w:color="auto"/>
                    <w:right w:val="single" w:sz="4" w:space="0" w:color="auto"/>
                  </w:tcBorders>
                  <w:shd w:val="clear" w:color="000000" w:fill="FFFFFF"/>
                  <w:vAlign w:val="center"/>
                </w:tcPr>
                <w:p w14:paraId="243D4536"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3 kVA, 120V, 60 Hz, con baterías internas.</w:t>
                  </w:r>
                </w:p>
              </w:tc>
              <w:tc>
                <w:tcPr>
                  <w:tcW w:w="339" w:type="pct"/>
                  <w:tcBorders>
                    <w:top w:val="single" w:sz="4" w:space="0" w:color="auto"/>
                    <w:left w:val="nil"/>
                    <w:bottom w:val="single" w:sz="4" w:space="0" w:color="auto"/>
                    <w:right w:val="single" w:sz="4" w:space="0" w:color="auto"/>
                  </w:tcBorders>
                  <w:shd w:val="clear" w:color="000000" w:fill="FFFFFF"/>
                  <w:noWrap/>
                  <w:vAlign w:val="center"/>
                </w:tcPr>
                <w:p w14:paraId="5D94F019"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single" w:sz="4" w:space="0" w:color="auto"/>
                    <w:left w:val="nil"/>
                    <w:bottom w:val="single" w:sz="4" w:space="0" w:color="auto"/>
                    <w:right w:val="single" w:sz="4" w:space="0" w:color="auto"/>
                  </w:tcBorders>
                  <w:shd w:val="clear" w:color="000000" w:fill="FFFFFF"/>
                  <w:vAlign w:val="center"/>
                </w:tcPr>
                <w:p w14:paraId="35CBD3DD"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BOGOTÁ D.C.</w:t>
                  </w:r>
                </w:p>
              </w:tc>
              <w:tc>
                <w:tcPr>
                  <w:tcW w:w="1965" w:type="pct"/>
                  <w:tcBorders>
                    <w:top w:val="single" w:sz="4" w:space="0" w:color="auto"/>
                    <w:left w:val="nil"/>
                    <w:bottom w:val="single" w:sz="4" w:space="0" w:color="auto"/>
                    <w:right w:val="single" w:sz="4" w:space="0" w:color="auto"/>
                  </w:tcBorders>
                  <w:shd w:val="clear" w:color="000000" w:fill="FFFFFF"/>
                  <w:vAlign w:val="center"/>
                </w:tcPr>
                <w:p w14:paraId="678B8486"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Sede Laboratorio de Calidad Ambiental del IDEAM - Bogotá D.C. Calle 12 # 42 b 44</w:t>
                  </w:r>
                </w:p>
              </w:tc>
            </w:tr>
            <w:tr w:rsidR="00FC389D" w:rsidRPr="002767BD" w14:paraId="1503FE12" w14:textId="77777777" w:rsidTr="00B82061">
              <w:trPr>
                <w:trHeight w:val="197"/>
              </w:trPr>
              <w:tc>
                <w:tcPr>
                  <w:tcW w:w="294" w:type="pct"/>
                  <w:tcBorders>
                    <w:top w:val="single" w:sz="4" w:space="0" w:color="auto"/>
                    <w:left w:val="single" w:sz="4" w:space="0" w:color="auto"/>
                    <w:bottom w:val="single" w:sz="4" w:space="0" w:color="auto"/>
                    <w:right w:val="single" w:sz="4" w:space="0" w:color="auto"/>
                  </w:tcBorders>
                  <w:shd w:val="clear" w:color="000000" w:fill="FFFFFF"/>
                  <w:vAlign w:val="center"/>
                </w:tcPr>
                <w:p w14:paraId="242A45D1"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5</w:t>
                  </w:r>
                </w:p>
              </w:tc>
              <w:tc>
                <w:tcPr>
                  <w:tcW w:w="1464" w:type="pct"/>
                  <w:tcBorders>
                    <w:top w:val="single" w:sz="4" w:space="0" w:color="auto"/>
                    <w:left w:val="single" w:sz="4" w:space="0" w:color="auto"/>
                    <w:bottom w:val="single" w:sz="4" w:space="0" w:color="auto"/>
                    <w:right w:val="single" w:sz="4" w:space="0" w:color="auto"/>
                  </w:tcBorders>
                  <w:shd w:val="clear" w:color="000000" w:fill="FFFFFF"/>
                  <w:vAlign w:val="center"/>
                </w:tcPr>
                <w:p w14:paraId="04C51F66"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3 kVA, 120V, 60 Hz, con baterías internas.</w:t>
                  </w:r>
                </w:p>
              </w:tc>
              <w:tc>
                <w:tcPr>
                  <w:tcW w:w="339" w:type="pct"/>
                  <w:tcBorders>
                    <w:top w:val="single" w:sz="4" w:space="0" w:color="auto"/>
                    <w:left w:val="nil"/>
                    <w:bottom w:val="single" w:sz="4" w:space="0" w:color="auto"/>
                    <w:right w:val="single" w:sz="4" w:space="0" w:color="auto"/>
                  </w:tcBorders>
                  <w:shd w:val="clear" w:color="000000" w:fill="FFFFFF"/>
                  <w:noWrap/>
                  <w:vAlign w:val="center"/>
                </w:tcPr>
                <w:p w14:paraId="19522F93"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single" w:sz="4" w:space="0" w:color="auto"/>
                    <w:left w:val="nil"/>
                    <w:bottom w:val="single" w:sz="4" w:space="0" w:color="auto"/>
                    <w:right w:val="single" w:sz="4" w:space="0" w:color="auto"/>
                  </w:tcBorders>
                  <w:shd w:val="clear" w:color="000000" w:fill="FFFFFF"/>
                  <w:vAlign w:val="center"/>
                </w:tcPr>
                <w:p w14:paraId="00F7D1A1"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BARRANQUILLA</w:t>
                  </w:r>
                </w:p>
              </w:tc>
              <w:tc>
                <w:tcPr>
                  <w:tcW w:w="1965" w:type="pct"/>
                  <w:tcBorders>
                    <w:top w:val="single" w:sz="4" w:space="0" w:color="auto"/>
                    <w:left w:val="nil"/>
                    <w:bottom w:val="single" w:sz="4" w:space="0" w:color="auto"/>
                    <w:right w:val="single" w:sz="4" w:space="0" w:color="auto"/>
                  </w:tcBorders>
                  <w:shd w:val="clear" w:color="000000" w:fill="FFFFFF"/>
                  <w:vAlign w:val="center"/>
                </w:tcPr>
                <w:p w14:paraId="3E31BBF2"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Oficina Meteorología Aeronáutica IDEAM - Aeropuerto Ernesto Cortissoz, Barranquilla - Atlántico</w:t>
                  </w:r>
                </w:p>
              </w:tc>
            </w:tr>
            <w:tr w:rsidR="00FC389D" w:rsidRPr="002767BD" w14:paraId="7914F580" w14:textId="77777777" w:rsidTr="00B82061">
              <w:trPr>
                <w:trHeight w:val="197"/>
              </w:trPr>
              <w:tc>
                <w:tcPr>
                  <w:tcW w:w="294" w:type="pct"/>
                  <w:tcBorders>
                    <w:top w:val="single" w:sz="4" w:space="0" w:color="auto"/>
                    <w:left w:val="single" w:sz="4" w:space="0" w:color="auto"/>
                    <w:bottom w:val="single" w:sz="4" w:space="0" w:color="auto"/>
                    <w:right w:val="single" w:sz="4" w:space="0" w:color="auto"/>
                  </w:tcBorders>
                  <w:shd w:val="clear" w:color="000000" w:fill="FFFFFF"/>
                  <w:vAlign w:val="center"/>
                </w:tcPr>
                <w:p w14:paraId="5536BE99"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6</w:t>
                  </w:r>
                </w:p>
              </w:tc>
              <w:tc>
                <w:tcPr>
                  <w:tcW w:w="1464" w:type="pct"/>
                  <w:tcBorders>
                    <w:top w:val="single" w:sz="4" w:space="0" w:color="auto"/>
                    <w:left w:val="single" w:sz="4" w:space="0" w:color="auto"/>
                    <w:bottom w:val="single" w:sz="4" w:space="0" w:color="auto"/>
                    <w:right w:val="single" w:sz="4" w:space="0" w:color="auto"/>
                  </w:tcBorders>
                  <w:shd w:val="clear" w:color="000000" w:fill="FFFFFF"/>
                  <w:vAlign w:val="center"/>
                </w:tcPr>
                <w:p w14:paraId="303AC70E"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3 kVA, 120V, 60 Hz, con baterías internas.</w:t>
                  </w:r>
                </w:p>
              </w:tc>
              <w:tc>
                <w:tcPr>
                  <w:tcW w:w="339" w:type="pct"/>
                  <w:tcBorders>
                    <w:top w:val="single" w:sz="4" w:space="0" w:color="auto"/>
                    <w:left w:val="nil"/>
                    <w:bottom w:val="single" w:sz="4" w:space="0" w:color="auto"/>
                    <w:right w:val="single" w:sz="4" w:space="0" w:color="auto"/>
                  </w:tcBorders>
                  <w:shd w:val="clear" w:color="000000" w:fill="FFFFFF"/>
                  <w:noWrap/>
                  <w:vAlign w:val="center"/>
                </w:tcPr>
                <w:p w14:paraId="59F324E6"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single" w:sz="4" w:space="0" w:color="auto"/>
                    <w:left w:val="nil"/>
                    <w:bottom w:val="single" w:sz="4" w:space="0" w:color="auto"/>
                    <w:right w:val="single" w:sz="4" w:space="0" w:color="auto"/>
                  </w:tcBorders>
                  <w:shd w:val="clear" w:color="000000" w:fill="FFFFFF"/>
                  <w:vAlign w:val="center"/>
                </w:tcPr>
                <w:p w14:paraId="5FDB69F6"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hAnsi="Verdana" w:cs="Calibri"/>
                      <w:sz w:val="18"/>
                      <w:szCs w:val="18"/>
                    </w:rPr>
                    <w:t>LETICIA</w:t>
                  </w:r>
                </w:p>
              </w:tc>
              <w:tc>
                <w:tcPr>
                  <w:tcW w:w="1965" w:type="pct"/>
                  <w:tcBorders>
                    <w:top w:val="single" w:sz="4" w:space="0" w:color="auto"/>
                    <w:left w:val="nil"/>
                    <w:bottom w:val="single" w:sz="4" w:space="0" w:color="auto"/>
                    <w:right w:val="single" w:sz="4" w:space="0" w:color="auto"/>
                  </w:tcBorders>
                  <w:shd w:val="clear" w:color="000000" w:fill="FFFFFF"/>
                  <w:vAlign w:val="center"/>
                </w:tcPr>
                <w:p w14:paraId="7F7CFD79"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color w:val="000000"/>
                      <w:sz w:val="18"/>
                      <w:szCs w:val="18"/>
                    </w:rPr>
                    <w:t>Oficina Meteorología Aeronáutica IDEAM - Aeropuerto Alfredo Vasquez Cobo, Leticia - Amazonas</w:t>
                  </w:r>
                </w:p>
              </w:tc>
            </w:tr>
            <w:tr w:rsidR="00FC389D" w:rsidRPr="002767BD" w14:paraId="353FDFCB" w14:textId="77777777" w:rsidTr="00B82061">
              <w:trPr>
                <w:trHeight w:val="283"/>
              </w:trPr>
              <w:tc>
                <w:tcPr>
                  <w:tcW w:w="294" w:type="pct"/>
                  <w:tcBorders>
                    <w:top w:val="single" w:sz="4" w:space="0" w:color="auto"/>
                    <w:left w:val="single" w:sz="4" w:space="0" w:color="auto"/>
                    <w:bottom w:val="single" w:sz="4" w:space="0" w:color="auto"/>
                    <w:right w:val="single" w:sz="4" w:space="0" w:color="auto"/>
                  </w:tcBorders>
                  <w:shd w:val="clear" w:color="000000" w:fill="FFFFFF"/>
                  <w:vAlign w:val="center"/>
                </w:tcPr>
                <w:p w14:paraId="341B3B18" w14:textId="77777777" w:rsidR="00FC389D" w:rsidRPr="002767BD" w:rsidRDefault="00FC389D" w:rsidP="00FC389D">
                  <w:pPr>
                    <w:ind w:left="45"/>
                    <w:jc w:val="center"/>
                    <w:rPr>
                      <w:rFonts w:ascii="Verdana" w:eastAsia="Arial Narrow" w:hAnsi="Verdana" w:cs="Arial Narrow"/>
                      <w:sz w:val="18"/>
                      <w:szCs w:val="18"/>
                    </w:rPr>
                  </w:pPr>
                  <w:r w:rsidRPr="002767BD">
                    <w:rPr>
                      <w:rFonts w:ascii="Verdana" w:eastAsia="Arial Narrow" w:hAnsi="Verdana" w:cs="Arial Narrow"/>
                      <w:sz w:val="18"/>
                      <w:szCs w:val="18"/>
                    </w:rPr>
                    <w:t>7</w:t>
                  </w:r>
                </w:p>
              </w:tc>
              <w:tc>
                <w:tcPr>
                  <w:tcW w:w="1464" w:type="pct"/>
                  <w:tcBorders>
                    <w:top w:val="single" w:sz="4" w:space="0" w:color="auto"/>
                    <w:left w:val="single" w:sz="4" w:space="0" w:color="auto"/>
                    <w:bottom w:val="single" w:sz="4" w:space="0" w:color="auto"/>
                    <w:right w:val="single" w:sz="4" w:space="0" w:color="auto"/>
                  </w:tcBorders>
                  <w:shd w:val="clear" w:color="000000" w:fill="FFFFFF"/>
                  <w:vAlign w:val="center"/>
                </w:tcPr>
                <w:p w14:paraId="13B6CA7C" w14:textId="77777777" w:rsidR="00FC389D" w:rsidRPr="002767BD" w:rsidRDefault="00FC389D" w:rsidP="00FC389D">
                  <w:pPr>
                    <w:ind w:left="45"/>
                    <w:jc w:val="both"/>
                    <w:rPr>
                      <w:rFonts w:ascii="Verdana" w:eastAsia="Arial Narrow" w:hAnsi="Verdana" w:cs="Arial Narrow"/>
                      <w:sz w:val="18"/>
                      <w:szCs w:val="18"/>
                    </w:rPr>
                  </w:pPr>
                  <w:r w:rsidRPr="002767BD">
                    <w:rPr>
                      <w:rFonts w:ascii="Verdana" w:hAnsi="Verdana" w:cs="Calibri"/>
                      <w:sz w:val="18"/>
                      <w:szCs w:val="18"/>
                    </w:rPr>
                    <w:t>Suministro e instalación UPS On-Line de 3 kVA, 120V, 60 Hz, con baterías internas.</w:t>
                  </w:r>
                </w:p>
              </w:tc>
              <w:tc>
                <w:tcPr>
                  <w:tcW w:w="339" w:type="pct"/>
                  <w:tcBorders>
                    <w:top w:val="single" w:sz="4" w:space="0" w:color="auto"/>
                    <w:left w:val="nil"/>
                    <w:bottom w:val="single" w:sz="4" w:space="0" w:color="auto"/>
                    <w:right w:val="single" w:sz="4" w:space="0" w:color="auto"/>
                  </w:tcBorders>
                  <w:shd w:val="clear" w:color="000000" w:fill="FFFFFF"/>
                  <w:noWrap/>
                  <w:vAlign w:val="center"/>
                </w:tcPr>
                <w:p w14:paraId="6682A474" w14:textId="77777777" w:rsidR="00FC389D" w:rsidRPr="002767BD" w:rsidRDefault="00FC389D" w:rsidP="00FC389D">
                  <w:pPr>
                    <w:ind w:left="-41"/>
                    <w:jc w:val="center"/>
                    <w:rPr>
                      <w:rFonts w:ascii="Verdana" w:eastAsia="Arial Narrow" w:hAnsi="Verdana" w:cs="Arial Narrow"/>
                      <w:sz w:val="18"/>
                      <w:szCs w:val="18"/>
                    </w:rPr>
                  </w:pPr>
                  <w:r w:rsidRPr="002767BD">
                    <w:rPr>
                      <w:rFonts w:ascii="Verdana" w:eastAsia="Arial Narrow" w:hAnsi="Verdana" w:cs="Arial Narrow"/>
                      <w:sz w:val="18"/>
                      <w:szCs w:val="18"/>
                    </w:rPr>
                    <w:t>1</w:t>
                  </w:r>
                </w:p>
              </w:tc>
              <w:tc>
                <w:tcPr>
                  <w:tcW w:w="938" w:type="pct"/>
                  <w:tcBorders>
                    <w:top w:val="single" w:sz="4" w:space="0" w:color="auto"/>
                    <w:left w:val="nil"/>
                    <w:bottom w:val="single" w:sz="4" w:space="0" w:color="auto"/>
                    <w:right w:val="single" w:sz="4" w:space="0" w:color="auto"/>
                  </w:tcBorders>
                  <w:shd w:val="clear" w:color="000000" w:fill="FFFFFF"/>
                  <w:vAlign w:val="center"/>
                </w:tcPr>
                <w:p w14:paraId="3CEBD2D4" w14:textId="77777777" w:rsidR="00FC389D" w:rsidRPr="002767BD" w:rsidRDefault="00FC389D" w:rsidP="00FC389D">
                  <w:pPr>
                    <w:ind w:left="45"/>
                    <w:jc w:val="center"/>
                    <w:rPr>
                      <w:rFonts w:ascii="Verdana" w:hAnsi="Verdana" w:cs="Arial"/>
                      <w:bCs/>
                      <w:color w:val="000000"/>
                      <w:sz w:val="18"/>
                      <w:szCs w:val="18"/>
                    </w:rPr>
                  </w:pPr>
                  <w:r w:rsidRPr="002767BD">
                    <w:rPr>
                      <w:rFonts w:ascii="Verdana" w:hAnsi="Verdana" w:cs="Calibri"/>
                      <w:sz w:val="18"/>
                      <w:szCs w:val="18"/>
                    </w:rPr>
                    <w:t>IPIALES</w:t>
                  </w:r>
                </w:p>
              </w:tc>
              <w:tc>
                <w:tcPr>
                  <w:tcW w:w="1965" w:type="pct"/>
                  <w:tcBorders>
                    <w:top w:val="single" w:sz="4" w:space="0" w:color="auto"/>
                    <w:left w:val="nil"/>
                    <w:bottom w:val="single" w:sz="4" w:space="0" w:color="auto"/>
                    <w:right w:val="single" w:sz="4" w:space="0" w:color="auto"/>
                  </w:tcBorders>
                  <w:shd w:val="clear" w:color="000000" w:fill="FFFFFF"/>
                  <w:vAlign w:val="center"/>
                </w:tcPr>
                <w:p w14:paraId="3E03DCF1" w14:textId="77777777" w:rsidR="00FC389D" w:rsidRPr="002767BD" w:rsidRDefault="00FC389D" w:rsidP="00FC389D">
                  <w:pPr>
                    <w:ind w:left="45"/>
                    <w:jc w:val="both"/>
                    <w:rPr>
                      <w:rFonts w:ascii="Verdana" w:hAnsi="Verdana" w:cs="Arial"/>
                      <w:bCs/>
                      <w:color w:val="000000"/>
                      <w:sz w:val="18"/>
                      <w:szCs w:val="18"/>
                    </w:rPr>
                  </w:pPr>
                  <w:r w:rsidRPr="002767BD">
                    <w:rPr>
                      <w:rFonts w:ascii="Verdana" w:hAnsi="Verdana" w:cs="Calibri"/>
                      <w:color w:val="000000"/>
                      <w:sz w:val="18"/>
                      <w:szCs w:val="18"/>
                    </w:rPr>
                    <w:t>Oficina Meteorología Aeronáutica IDEAM - Aeropuerto San Luis, Ipiales - Nariño</w:t>
                  </w:r>
                </w:p>
              </w:tc>
            </w:tr>
          </w:tbl>
          <w:p w14:paraId="6E794B35" w14:textId="77777777" w:rsidR="00FC389D" w:rsidRPr="002767BD" w:rsidRDefault="00FC389D" w:rsidP="00FC389D">
            <w:pPr>
              <w:jc w:val="both"/>
              <w:rPr>
                <w:rFonts w:ascii="Verdana" w:hAnsi="Verdana" w:cs="Calibri"/>
                <w:sz w:val="22"/>
                <w:szCs w:val="22"/>
              </w:rPr>
            </w:pPr>
          </w:p>
          <w:p w14:paraId="3E470FA3"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Cabe señalar, que el RETIE (Reglamento Técnico de Instalaciones Eléctricas), es de obligatorio cumplimiento en Colombia el cual fue expedido por el Ministerio de Minas y Energía, mediante la Resolución 90708 del 30 de agosto de 2013. De esta forma se busca garantizar que el contratista ejecute el contrato, de manera segura y ajustada a la norma indicada, procurando evitar así la ocurrencia de accidentes o daños a las personas o bienes.</w:t>
            </w:r>
          </w:p>
          <w:p w14:paraId="472FC2E5" w14:textId="77777777" w:rsidR="00FC389D" w:rsidRPr="002767BD" w:rsidRDefault="00FC389D" w:rsidP="00FC389D">
            <w:pPr>
              <w:jc w:val="both"/>
              <w:rPr>
                <w:rFonts w:ascii="Verdana" w:hAnsi="Verdana" w:cs="Calibri"/>
                <w:sz w:val="22"/>
                <w:szCs w:val="22"/>
              </w:rPr>
            </w:pPr>
          </w:p>
          <w:p w14:paraId="0E54AD80" w14:textId="77777777" w:rsidR="00FC389D" w:rsidRPr="002767BD" w:rsidRDefault="00FC389D" w:rsidP="00FC389D">
            <w:pPr>
              <w:jc w:val="both"/>
              <w:rPr>
                <w:rFonts w:ascii="Verdana" w:hAnsi="Verdana" w:cs="Calibri"/>
                <w:sz w:val="22"/>
                <w:szCs w:val="22"/>
              </w:rPr>
            </w:pPr>
            <w:r w:rsidRPr="002767BD">
              <w:rPr>
                <w:rFonts w:ascii="Verdana" w:hAnsi="Verdana" w:cs="Calibri"/>
                <w:sz w:val="22"/>
                <w:szCs w:val="22"/>
              </w:rPr>
              <w:t>La instalación de las UPS, requieren un personal idóneo y calificado que cuente con la experiencia para la instalación de la misma dada la complejidad que implica ya que estos elementos protegen de sobrecargas de voltaje a los equipos de cómputo y de comunicaciones, en consecuencia, contienen un componente eléctrico, electrónico y tecnológico alto que insta a quien instale estos equipos cuenten con la experticia e idoneidad.</w:t>
            </w:r>
          </w:p>
          <w:p w14:paraId="6190C6F6" w14:textId="77777777" w:rsidR="00FC389D" w:rsidRPr="002767BD" w:rsidRDefault="00FC389D" w:rsidP="00FC389D">
            <w:pPr>
              <w:jc w:val="both"/>
              <w:rPr>
                <w:rFonts w:ascii="Verdana" w:hAnsi="Verdana" w:cs="Calibri"/>
                <w:sz w:val="22"/>
                <w:szCs w:val="22"/>
              </w:rPr>
            </w:pPr>
          </w:p>
          <w:p w14:paraId="0A2DC5CE" w14:textId="77777777" w:rsidR="00FC389D" w:rsidRPr="002767BD" w:rsidRDefault="00FC389D" w:rsidP="00FC389D">
            <w:pPr>
              <w:jc w:val="both"/>
              <w:rPr>
                <w:rFonts w:ascii="Verdana" w:hAnsi="Verdana" w:cs="Calibri"/>
                <w:sz w:val="22"/>
                <w:szCs w:val="22"/>
                <w:lang w:eastAsia="es-CO"/>
              </w:rPr>
            </w:pPr>
            <w:r w:rsidRPr="002767BD">
              <w:rPr>
                <w:rFonts w:ascii="Verdana" w:hAnsi="Verdana" w:cs="Calibri"/>
                <w:sz w:val="22"/>
                <w:szCs w:val="22"/>
              </w:rPr>
              <w:t xml:space="preserve">El IDEAM </w:t>
            </w:r>
            <w:r w:rsidRPr="002767BD">
              <w:rPr>
                <w:rFonts w:ascii="Verdana" w:hAnsi="Verdana" w:cs="Calibri"/>
                <w:sz w:val="22"/>
                <w:szCs w:val="22"/>
                <w:lang w:eastAsia="es-CO"/>
              </w:rPr>
              <w:t>evaluará las propuestas bajo los principios de prevalencia del interés general, legalidad, planeación, igualdad, transparencia, economía, responsabilidad, selección objetiva, celeridad, moralidad, eficiencia, imparcialidad, publicidad, contradicción, eficiencia, equilibrio y conmutatividad.</w:t>
            </w:r>
          </w:p>
          <w:p w14:paraId="190A1BAC" w14:textId="77777777" w:rsidR="00FC389D" w:rsidRPr="002767BD" w:rsidRDefault="00FC389D" w:rsidP="00FC389D">
            <w:pPr>
              <w:jc w:val="both"/>
              <w:rPr>
                <w:rFonts w:ascii="Verdana" w:hAnsi="Verdana" w:cs="Calibri"/>
                <w:sz w:val="22"/>
                <w:szCs w:val="22"/>
              </w:rPr>
            </w:pPr>
          </w:p>
          <w:p w14:paraId="3891B142" w14:textId="33D452ED" w:rsidR="00E60AB4" w:rsidRDefault="00FC389D" w:rsidP="00FC389D">
            <w:pPr>
              <w:tabs>
                <w:tab w:val="left" w:pos="360"/>
              </w:tabs>
              <w:jc w:val="both"/>
              <w:rPr>
                <w:rFonts w:ascii="Verdana" w:hAnsi="Verdana" w:cs="Arial Narrow"/>
              </w:rPr>
            </w:pPr>
            <w:r w:rsidRPr="00D95433">
              <w:rPr>
                <w:rFonts w:ascii="Verdana" w:hAnsi="Verdana" w:cs="Calibri"/>
                <w:sz w:val="22"/>
                <w:szCs w:val="22"/>
              </w:rPr>
              <w:t xml:space="preserve">Finalmente, el IDEAM fijó el presupuesto oficial para el presente proceso de contratación en la suma de </w:t>
            </w:r>
            <w:r w:rsidRPr="00D95433">
              <w:rPr>
                <w:rFonts w:ascii="Verdana" w:hAnsi="Verdana" w:cs="Calibri"/>
                <w:b/>
                <w:sz w:val="22"/>
                <w:szCs w:val="22"/>
              </w:rPr>
              <w:t>SETENTA Y UN MILLONES QUINIENTOS VEINTIDÓS MIL QUINIENTOS CINCUENTA Y CINCO PESOS ($ 71.522.555,00) M/CTE., INCLUIDO IVA</w:t>
            </w:r>
            <w:r w:rsidRPr="002767BD">
              <w:rPr>
                <w:rFonts w:ascii="Verdana" w:hAnsi="Verdana" w:cs="Calibri"/>
                <w:sz w:val="22"/>
                <w:szCs w:val="22"/>
              </w:rPr>
              <w:t>, así como todos los impuestos y costos a que haya lugar.</w:t>
            </w:r>
          </w:p>
          <w:p w14:paraId="22DEE8D3" w14:textId="4626529F" w:rsidR="00C605D2" w:rsidRPr="005E4BF2" w:rsidRDefault="00C605D2" w:rsidP="00E60AB4">
            <w:pPr>
              <w:jc w:val="both"/>
              <w:rPr>
                <w:rFonts w:ascii="Verdana" w:hAnsi="Verdana" w:cs="Arial"/>
              </w:rPr>
            </w:pPr>
          </w:p>
        </w:tc>
      </w:tr>
    </w:tbl>
    <w:p w14:paraId="3B1CDB0D" w14:textId="71BF8342" w:rsidR="00FD5B21" w:rsidRPr="005E4BF2" w:rsidRDefault="00B30FD1" w:rsidP="00EE30B7">
      <w:pPr>
        <w:rPr>
          <w:rFonts w:ascii="Verdana" w:hAnsi="Verdana" w:cs="Arial"/>
        </w:rPr>
      </w:pPr>
      <w:r w:rsidRPr="005E4BF2">
        <w:rPr>
          <w:rFonts w:ascii="Verdana" w:hAnsi="Verdana"/>
          <w:noProof/>
          <w:lang w:eastAsia="es-CO"/>
        </w:rPr>
        <w:lastRenderedPageBreak/>
        <w:drawing>
          <wp:inline distT="0" distB="0" distL="0" distR="0" wp14:anchorId="5B1B5C3B" wp14:editId="2A10249A">
            <wp:extent cx="1028700" cy="559191"/>
            <wp:effectExtent l="0" t="0" r="0" b="0"/>
            <wp:docPr id="199326489" name="Imagen 199326489" descr="Imagen que contiene tabla, co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abla, cocina&#10;&#10;Descripción generada automáticamente"/>
                    <pic:cNvPicPr/>
                  </pic:nvPicPr>
                  <pic:blipFill>
                    <a:blip r:embed="rId41"/>
                    <a:stretch>
                      <a:fillRect/>
                    </a:stretch>
                  </pic:blipFill>
                  <pic:spPr>
                    <a:xfrm>
                      <a:off x="0" y="0"/>
                      <a:ext cx="1114173" cy="605653"/>
                    </a:xfrm>
                    <a:prstGeom prst="rect">
                      <a:avLst/>
                    </a:prstGeom>
                  </pic:spPr>
                </pic:pic>
              </a:graphicData>
            </a:graphic>
          </wp:inline>
        </w:drawing>
      </w:r>
    </w:p>
    <w:p w14:paraId="5428E643" w14:textId="7C03BBAA" w:rsidR="005E485E" w:rsidRPr="005E4BF2" w:rsidRDefault="005E485E" w:rsidP="00EE30B7">
      <w:pPr>
        <w:rPr>
          <w:rFonts w:ascii="Verdana" w:hAnsi="Verdana" w:cs="Arial"/>
        </w:rPr>
      </w:pPr>
      <w:r w:rsidRPr="005E4BF2">
        <w:rPr>
          <w:rFonts w:ascii="Verdana" w:hAnsi="Verdana" w:cs="Arial"/>
          <w:b/>
        </w:rPr>
        <w:t>Elaboro:</w:t>
      </w:r>
      <w:r w:rsidRPr="005E4BF2">
        <w:rPr>
          <w:rFonts w:ascii="Verdana" w:hAnsi="Verdana" w:cs="Arial"/>
        </w:rPr>
        <w:t xml:space="preserve"> </w:t>
      </w:r>
      <w:r w:rsidRPr="009710EB">
        <w:rPr>
          <w:rFonts w:ascii="Verdana" w:hAnsi="Verdana" w:cs="Arial"/>
          <w:b/>
          <w:bCs/>
        </w:rPr>
        <w:t>WALTER STEVEN PERILLA NOVOA</w:t>
      </w:r>
    </w:p>
    <w:p w14:paraId="41DD5A9F" w14:textId="21EB6953" w:rsidR="005D73C1" w:rsidRPr="005E4BF2" w:rsidRDefault="005E485E" w:rsidP="00EE30B7">
      <w:pPr>
        <w:rPr>
          <w:rFonts w:ascii="Verdana" w:hAnsi="Verdana" w:cs="Arial"/>
        </w:rPr>
      </w:pPr>
      <w:r w:rsidRPr="005E4BF2">
        <w:rPr>
          <w:rFonts w:ascii="Verdana" w:hAnsi="Verdana" w:cs="Arial"/>
        </w:rPr>
        <w:t>Contratista Secretaria General.</w:t>
      </w:r>
    </w:p>
    <w:sectPr w:rsidR="005D73C1" w:rsidRPr="005E4BF2" w:rsidSect="00B106CA">
      <w:headerReference w:type="default" r:id="rId42"/>
      <w:headerReference w:type="first" r:id="rId43"/>
      <w:footerReference w:type="first" r:id="rId44"/>
      <w:type w:val="continuous"/>
      <w:pgSz w:w="12242" w:h="15842" w:code="1"/>
      <w:pgMar w:top="1985" w:right="476" w:bottom="567" w:left="1134" w:header="454" w:footer="227" w:gutter="0"/>
      <w:pgNumType w:start="1" w:chapStyle="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66A73" w14:textId="77777777" w:rsidR="00784B74" w:rsidRDefault="00784B74">
      <w:r>
        <w:separator/>
      </w:r>
    </w:p>
  </w:endnote>
  <w:endnote w:type="continuationSeparator" w:id="0">
    <w:p w14:paraId="34F267B1" w14:textId="77777777" w:rsidR="00784B74" w:rsidRDefault="00784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6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arrow">
    <w:charset w:val="00"/>
    <w:family w:val="swiss"/>
    <w:pitch w:val="variable"/>
    <w:sig w:usb0="00000007" w:usb1="00000000" w:usb2="00000000" w:usb3="00000000" w:csb0="00000093"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EF9BA" w14:textId="77777777" w:rsidR="00D3653E" w:rsidRDefault="00D3653E">
    <w:pPr>
      <w:pStyle w:val="Piedepgina"/>
      <w:rPr>
        <w:lang w:val="es-ES_tradnl"/>
      </w:rPr>
    </w:pPr>
  </w:p>
  <w:p w14:paraId="1E3F1A55" w14:textId="77777777" w:rsidR="00D3653E" w:rsidRDefault="00D3653E">
    <w:pPr>
      <w:pStyle w:val="Piedepgina"/>
      <w:rPr>
        <w:lang w:val="es-ES_tradnl"/>
      </w:rPr>
    </w:pPr>
  </w:p>
  <w:p w14:paraId="75E1F4DC" w14:textId="77777777" w:rsidR="00D3653E" w:rsidRDefault="00D3653E">
    <w:pPr>
      <w:pStyle w:val="Piedepgina"/>
      <w:rPr>
        <w:lang w:val="es-ES_tradnl"/>
      </w:rPr>
    </w:pPr>
  </w:p>
  <w:p w14:paraId="787B8EC9" w14:textId="77777777" w:rsidR="00D3653E" w:rsidRDefault="00D3653E">
    <w:pPr>
      <w:pStyle w:val="Piedepgina"/>
      <w:rPr>
        <w:rFonts w:ascii="Arial" w:hAnsi="Arial"/>
        <w:lang w:val="es-ES_tradnl"/>
      </w:rPr>
    </w:pPr>
    <w:r>
      <w:rPr>
        <w:rFonts w:ascii="Arial" w:hAnsi="Arial"/>
        <w:vanish/>
        <w:lang w:val="es-ES_tradnl"/>
      </w:rPr>
      <w:pgNum/>
    </w:r>
  </w:p>
  <w:p w14:paraId="3721A065" w14:textId="77777777" w:rsidR="00D3653E" w:rsidRDefault="00D3653E">
    <w:pPr>
      <w:pStyle w:val="Piedepgina"/>
      <w:ind w:left="212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6319" w14:textId="77777777" w:rsidR="00784B74" w:rsidRDefault="00784B74">
      <w:r>
        <w:separator/>
      </w:r>
    </w:p>
  </w:footnote>
  <w:footnote w:type="continuationSeparator" w:id="0">
    <w:p w14:paraId="4D10E446" w14:textId="77777777" w:rsidR="00784B74" w:rsidRDefault="00784B74">
      <w:r>
        <w:continuationSeparator/>
      </w:r>
    </w:p>
  </w:footnote>
  <w:footnote w:id="1">
    <w:p w14:paraId="3F400E2D" w14:textId="77777777" w:rsidR="00D3653E" w:rsidRDefault="00D3653E" w:rsidP="00194538">
      <w:pPr>
        <w:pStyle w:val="Textonotapie"/>
      </w:pPr>
      <w:r>
        <w:rPr>
          <w:rStyle w:val="Refdenotaalpie"/>
        </w:rPr>
        <w:footnoteRef/>
      </w:r>
      <w:r>
        <w:t xml:space="preserve"> </w:t>
      </w:r>
      <w:r w:rsidRPr="0081430B">
        <w:t xml:space="preserve">  http:// http://www.banrepcultural.org/blaavirtual/ayudadetareas/economia/sectores_economicos</w:t>
      </w:r>
    </w:p>
  </w:footnote>
  <w:footnote w:id="2">
    <w:p w14:paraId="6560F4B4" w14:textId="77777777" w:rsidR="00690B77" w:rsidRDefault="00690B77" w:rsidP="00690B77">
      <w:pPr>
        <w:pStyle w:val="Textonotapie"/>
      </w:pPr>
      <w:r>
        <w:rPr>
          <w:rStyle w:val="Refdenotaalpie"/>
        </w:rPr>
        <w:footnoteRef/>
      </w:r>
      <w:r>
        <w:t xml:space="preserve"> </w:t>
      </w:r>
      <w:r w:rsidRPr="0072652B">
        <w:t>https://www.caucaextremo.com/la-desaceleracion-economica-tambien-se-ha-sentido-en-las-pequenas-y-las-medianas-empresas-al-punto-que-ya-se-nota-una-caida-de-47-en-su-creacion/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92EC" w14:textId="77777777" w:rsidR="00D3653E" w:rsidRDefault="00D3653E"/>
  <w:tbl>
    <w:tblPr>
      <w:tblW w:w="10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5386"/>
      <w:gridCol w:w="2672"/>
    </w:tblGrid>
    <w:tr w:rsidR="00D3653E" w14:paraId="76C3A1B3" w14:textId="77777777" w:rsidTr="00506EE2">
      <w:trPr>
        <w:cantSplit/>
        <w:trHeight w:val="986"/>
      </w:trPr>
      <w:tc>
        <w:tcPr>
          <w:tcW w:w="2622" w:type="dxa"/>
          <w:vMerge w:val="restart"/>
          <w:tcBorders>
            <w:top w:val="single" w:sz="4" w:space="0" w:color="auto"/>
            <w:left w:val="single" w:sz="4" w:space="0" w:color="auto"/>
            <w:bottom w:val="single" w:sz="4" w:space="0" w:color="auto"/>
            <w:right w:val="single" w:sz="4" w:space="0" w:color="auto"/>
          </w:tcBorders>
        </w:tcPr>
        <w:p w14:paraId="0B3F1EFA" w14:textId="5CA92009" w:rsidR="00D3653E" w:rsidRDefault="00506EE2" w:rsidP="00506EE2">
          <w:pPr>
            <w:pStyle w:val="Encabezado"/>
            <w:jc w:val="center"/>
          </w:pPr>
          <w:r>
            <w:rPr>
              <w:noProof/>
            </w:rPr>
            <w:drawing>
              <wp:inline distT="0" distB="0" distL="0" distR="0" wp14:anchorId="5F3EEB29" wp14:editId="19557EF3">
                <wp:extent cx="1009650" cy="904875"/>
                <wp:effectExtent l="0" t="0" r="0" b="9525"/>
                <wp:docPr id="1742314063" name="image2.png">
                  <a:extLst xmlns:a="http://schemas.openxmlformats.org/drawingml/2006/main">
                    <a:ext uri="{FF2B5EF4-FFF2-40B4-BE49-F238E27FC236}">
                      <a16:creationId xmlns:a16="http://schemas.microsoft.com/office/drawing/2014/main" id="{ED278F4E-A633-4E59-AC94-0DD9F5F607A8}"/>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ED278F4E-A633-4E59-AC94-0DD9F5F607A8}"/>
                            </a:ext>
                          </a:extLst>
                        </pic:cNvPr>
                        <pic:cNvPicPr preferRelativeResize="0"/>
                      </pic:nvPicPr>
                      <pic:blipFill>
                        <a:blip r:embed="rId1" cstate="print"/>
                        <a:stretch>
                          <a:fillRect/>
                        </a:stretch>
                      </pic:blipFill>
                      <pic:spPr>
                        <a:xfrm>
                          <a:off x="0" y="0"/>
                          <a:ext cx="1010492" cy="905630"/>
                        </a:xfrm>
                        <a:prstGeom prst="rect">
                          <a:avLst/>
                        </a:prstGeom>
                        <a:noFill/>
                      </pic:spPr>
                    </pic:pic>
                  </a:graphicData>
                </a:graphic>
              </wp:inline>
            </w:drawing>
          </w:r>
        </w:p>
      </w:tc>
      <w:tc>
        <w:tcPr>
          <w:tcW w:w="5386" w:type="dxa"/>
          <w:tcBorders>
            <w:top w:val="single" w:sz="4" w:space="0" w:color="auto"/>
            <w:left w:val="single" w:sz="4" w:space="0" w:color="auto"/>
            <w:bottom w:val="single" w:sz="4" w:space="0" w:color="auto"/>
            <w:right w:val="single" w:sz="4" w:space="0" w:color="auto"/>
          </w:tcBorders>
          <w:vAlign w:val="center"/>
        </w:tcPr>
        <w:p w14:paraId="0F94019D" w14:textId="77777777" w:rsidR="00D3653E" w:rsidRDefault="00D3653E" w:rsidP="000D342D">
          <w:pPr>
            <w:pStyle w:val="Encabezado"/>
            <w:jc w:val="center"/>
            <w:rPr>
              <w:rFonts w:ascii="Arial" w:hAnsi="Arial"/>
              <w:b/>
              <w:sz w:val="22"/>
              <w:szCs w:val="22"/>
            </w:rPr>
          </w:pPr>
        </w:p>
        <w:p w14:paraId="3C0E9EA1" w14:textId="77777777" w:rsidR="00D3653E" w:rsidRDefault="00D3653E" w:rsidP="00741FFC">
          <w:pPr>
            <w:pStyle w:val="Encabezado"/>
            <w:jc w:val="center"/>
            <w:rPr>
              <w:rFonts w:ascii="Arial" w:hAnsi="Arial"/>
              <w:b/>
              <w:sz w:val="24"/>
              <w:szCs w:val="24"/>
            </w:rPr>
          </w:pPr>
          <w:r>
            <w:rPr>
              <w:rFonts w:ascii="Arial" w:hAnsi="Arial"/>
              <w:b/>
              <w:sz w:val="24"/>
              <w:szCs w:val="24"/>
            </w:rPr>
            <w:t>ANÁLISIS DEL SECTOR</w:t>
          </w:r>
        </w:p>
        <w:p w14:paraId="17E861FA" w14:textId="77777777" w:rsidR="00D3653E" w:rsidRPr="00C8305F" w:rsidRDefault="00D3653E" w:rsidP="00C8305F">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49038558" w14:textId="77777777" w:rsidR="00D3653E" w:rsidRDefault="00D3653E" w:rsidP="000D342D">
          <w:pPr>
            <w:jc w:val="center"/>
            <w:rPr>
              <w:rFonts w:ascii="Arial" w:hAnsi="Arial" w:cs="Arial"/>
            </w:rPr>
          </w:pPr>
        </w:p>
        <w:p w14:paraId="271F4C6C" w14:textId="77777777" w:rsidR="00D3653E" w:rsidRDefault="00D3653E" w:rsidP="00CA4C53">
          <w:pPr>
            <w:jc w:val="center"/>
            <w:rPr>
              <w:rFonts w:ascii="Arial" w:hAnsi="Arial"/>
              <w:b/>
              <w:lang w:val="es-ES_tradnl"/>
            </w:rPr>
          </w:pPr>
        </w:p>
      </w:tc>
    </w:tr>
    <w:tr w:rsidR="00D3653E" w14:paraId="4CF24902" w14:textId="77777777" w:rsidTr="00D12365">
      <w:trPr>
        <w:cantSplit/>
        <w:trHeight w:val="418"/>
      </w:trPr>
      <w:tc>
        <w:tcPr>
          <w:tcW w:w="2622" w:type="dxa"/>
          <w:vMerge/>
          <w:tcBorders>
            <w:top w:val="single" w:sz="4" w:space="0" w:color="auto"/>
            <w:left w:val="single" w:sz="4" w:space="0" w:color="auto"/>
            <w:bottom w:val="single" w:sz="4" w:space="0" w:color="auto"/>
            <w:right w:val="single" w:sz="4" w:space="0" w:color="auto"/>
          </w:tcBorders>
          <w:vAlign w:val="center"/>
        </w:tcPr>
        <w:p w14:paraId="4A1F4165" w14:textId="77777777" w:rsidR="00D3653E" w:rsidRDefault="00D3653E" w:rsidP="000D342D"/>
      </w:tc>
      <w:tc>
        <w:tcPr>
          <w:tcW w:w="5386" w:type="dxa"/>
          <w:tcBorders>
            <w:top w:val="single" w:sz="4" w:space="0" w:color="auto"/>
            <w:left w:val="single" w:sz="4" w:space="0" w:color="auto"/>
            <w:bottom w:val="single" w:sz="4" w:space="0" w:color="auto"/>
            <w:right w:val="single" w:sz="4" w:space="0" w:color="auto"/>
          </w:tcBorders>
          <w:vAlign w:val="center"/>
        </w:tcPr>
        <w:p w14:paraId="2C1C92CA" w14:textId="4994FEDF" w:rsidR="00D3653E" w:rsidRDefault="005E4BF2" w:rsidP="00744953">
          <w:pPr>
            <w:pStyle w:val="Encabezado"/>
            <w:jc w:val="center"/>
            <w:rPr>
              <w:rFonts w:ascii="Arial" w:hAnsi="Arial"/>
              <w:b/>
            </w:rPr>
          </w:pPr>
          <w:r>
            <w:rPr>
              <w:rFonts w:ascii="Arial" w:hAnsi="Arial"/>
              <w:b/>
            </w:rPr>
            <w:t>202</w:t>
          </w:r>
          <w:r w:rsidR="00506EE2">
            <w:rPr>
              <w:rFonts w:ascii="Arial" w:hAnsi="Arial"/>
              <w:b/>
            </w:rPr>
            <w:t>6</w:t>
          </w:r>
        </w:p>
        <w:p w14:paraId="5F3813B7" w14:textId="77777777" w:rsidR="00D3653E" w:rsidRDefault="00D3653E" w:rsidP="00744953">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05594680" w14:textId="233EC0DF" w:rsidR="00D3653E" w:rsidRDefault="00D3653E" w:rsidP="000D342D">
          <w:pPr>
            <w:pStyle w:val="Encabezado"/>
            <w:jc w:val="center"/>
            <w:rPr>
              <w:rFonts w:ascii="Arial" w:hAnsi="Arial"/>
              <w:b/>
            </w:rPr>
          </w:pPr>
          <w:r>
            <w:rPr>
              <w:rStyle w:val="Nmerodepgina"/>
              <w:rFonts w:ascii="Arial" w:hAnsi="Arial"/>
              <w:b/>
              <w:snapToGrid w:val="0"/>
            </w:rPr>
            <w:t xml:space="preserve">Página </w:t>
          </w:r>
          <w:r>
            <w:rPr>
              <w:rStyle w:val="Nmerodepgina"/>
              <w:rFonts w:ascii="Arial" w:hAnsi="Arial"/>
              <w:b/>
              <w:snapToGrid w:val="0"/>
            </w:rPr>
            <w:fldChar w:fldCharType="begin"/>
          </w:r>
          <w:r>
            <w:rPr>
              <w:rStyle w:val="Nmerodepgina"/>
              <w:rFonts w:ascii="Arial" w:hAnsi="Arial"/>
              <w:b/>
              <w:snapToGrid w:val="0"/>
            </w:rPr>
            <w:instrText xml:space="preserve"> PAGE </w:instrText>
          </w:r>
          <w:r>
            <w:rPr>
              <w:rStyle w:val="Nmerodepgina"/>
              <w:rFonts w:ascii="Arial" w:hAnsi="Arial"/>
              <w:b/>
              <w:snapToGrid w:val="0"/>
            </w:rPr>
            <w:fldChar w:fldCharType="separate"/>
          </w:r>
          <w:r w:rsidR="00354922">
            <w:rPr>
              <w:rStyle w:val="Nmerodepgina"/>
              <w:rFonts w:ascii="Arial" w:hAnsi="Arial"/>
              <w:b/>
              <w:noProof/>
              <w:snapToGrid w:val="0"/>
            </w:rPr>
            <w:t>19</w:t>
          </w:r>
          <w:r>
            <w:rPr>
              <w:rStyle w:val="Nmerodepgina"/>
              <w:rFonts w:ascii="Arial" w:hAnsi="Arial"/>
              <w:b/>
              <w:snapToGrid w:val="0"/>
            </w:rPr>
            <w:fldChar w:fldCharType="end"/>
          </w:r>
          <w:r>
            <w:rPr>
              <w:rStyle w:val="Nmerodepgina"/>
              <w:rFonts w:ascii="Arial" w:hAnsi="Arial"/>
              <w:b/>
              <w:snapToGrid w:val="0"/>
            </w:rPr>
            <w:t xml:space="preserve"> de </w:t>
          </w:r>
          <w:r>
            <w:rPr>
              <w:rStyle w:val="Nmerodepgina"/>
              <w:rFonts w:ascii="Arial" w:hAnsi="Arial"/>
              <w:b/>
              <w:snapToGrid w:val="0"/>
            </w:rPr>
            <w:fldChar w:fldCharType="begin"/>
          </w:r>
          <w:r>
            <w:rPr>
              <w:rStyle w:val="Nmerodepgina"/>
              <w:rFonts w:ascii="Arial" w:hAnsi="Arial"/>
              <w:b/>
              <w:snapToGrid w:val="0"/>
            </w:rPr>
            <w:instrText xml:space="preserve"> NUMPAGES </w:instrText>
          </w:r>
          <w:r>
            <w:rPr>
              <w:rStyle w:val="Nmerodepgina"/>
              <w:rFonts w:ascii="Arial" w:hAnsi="Arial"/>
              <w:b/>
              <w:snapToGrid w:val="0"/>
            </w:rPr>
            <w:fldChar w:fldCharType="separate"/>
          </w:r>
          <w:r w:rsidR="00354922">
            <w:rPr>
              <w:rStyle w:val="Nmerodepgina"/>
              <w:rFonts w:ascii="Arial" w:hAnsi="Arial"/>
              <w:b/>
              <w:noProof/>
              <w:snapToGrid w:val="0"/>
            </w:rPr>
            <w:t>20</w:t>
          </w:r>
          <w:r>
            <w:rPr>
              <w:rStyle w:val="Nmerodepgina"/>
              <w:rFonts w:ascii="Arial" w:hAnsi="Arial"/>
              <w:b/>
              <w:snapToGrid w:val="0"/>
            </w:rPr>
            <w:fldChar w:fldCharType="end"/>
          </w:r>
        </w:p>
      </w:tc>
    </w:tr>
  </w:tbl>
  <w:p w14:paraId="05E7A786" w14:textId="77777777" w:rsidR="00D3653E" w:rsidRDefault="00D3653E" w:rsidP="00AF2A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3118"/>
      <w:gridCol w:w="3402"/>
      <w:gridCol w:w="2977"/>
    </w:tblGrid>
    <w:tr w:rsidR="00D3653E" w14:paraId="6959E852" w14:textId="77777777">
      <w:trPr>
        <w:cantSplit/>
        <w:trHeight w:val="694"/>
      </w:trPr>
      <w:tc>
        <w:tcPr>
          <w:tcW w:w="4465" w:type="dxa"/>
          <w:vMerge w:val="restart"/>
        </w:tcPr>
        <w:p w14:paraId="32CFF0F0" w14:textId="77777777" w:rsidR="00D3653E" w:rsidRDefault="00000000">
          <w:pPr>
            <w:pStyle w:val="Encabezado"/>
          </w:pPr>
          <w:r>
            <w:rPr>
              <w:noProof/>
              <w:lang w:val="es-ES" w:eastAsia="es-ES"/>
            </w:rPr>
            <w:object w:dxaOrig="1440" w:dyaOrig="1440" w14:anchorId="7C2F9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78.5pt;margin-top:3.85pt;width:54pt;height:40.5pt;z-index:251657728;visibility:visible;mso-wrap-edited:f;mso-width-percent:0;mso-height-percent:0;mso-position-horizontal-relative:margin;mso-width-percent:0;mso-height-percent:0">
                <v:imagedata r:id="rId1" o:title=""/>
                <w10:wrap anchorx="margin"/>
              </v:shape>
              <o:OLEObject Type="Embed" ProgID="Word.Picture.8" ShapeID="_x0000_s1025" DrawAspect="Content" ObjectID="_1842785643" r:id="rId2"/>
            </w:object>
          </w:r>
        </w:p>
      </w:tc>
      <w:tc>
        <w:tcPr>
          <w:tcW w:w="6520" w:type="dxa"/>
          <w:gridSpan w:val="2"/>
          <w:vAlign w:val="center"/>
        </w:tcPr>
        <w:p w14:paraId="6E5AEF57" w14:textId="77777777" w:rsidR="00D3653E" w:rsidRDefault="00D3653E">
          <w:pPr>
            <w:pStyle w:val="Encabezado"/>
            <w:jc w:val="center"/>
            <w:rPr>
              <w:rFonts w:ascii="Arial" w:hAnsi="Arial"/>
              <w:b/>
              <w:sz w:val="22"/>
              <w:szCs w:val="22"/>
            </w:rPr>
          </w:pPr>
          <w:r>
            <w:rPr>
              <w:rFonts w:ascii="Arial" w:hAnsi="Arial"/>
              <w:b/>
              <w:sz w:val="22"/>
              <w:szCs w:val="22"/>
            </w:rPr>
            <w:t>SOLICITUD DE ELABORACIÓN O ACTUALIZACIÓN DE LOS DOCUMENTOS</w:t>
          </w:r>
        </w:p>
      </w:tc>
      <w:tc>
        <w:tcPr>
          <w:tcW w:w="2977" w:type="dxa"/>
          <w:vAlign w:val="center"/>
        </w:tcPr>
        <w:p w14:paraId="319CD9BD" w14:textId="77777777" w:rsidR="00D3653E" w:rsidRDefault="00D3653E">
          <w:pPr>
            <w:pStyle w:val="Encabezado"/>
            <w:jc w:val="center"/>
            <w:rPr>
              <w:rFonts w:ascii="Arial" w:hAnsi="Arial"/>
              <w:b/>
              <w:lang w:val="es-ES"/>
            </w:rPr>
          </w:pPr>
        </w:p>
      </w:tc>
    </w:tr>
    <w:tr w:rsidR="00D3653E" w14:paraId="7D9187F0" w14:textId="77777777">
      <w:trPr>
        <w:cantSplit/>
        <w:trHeight w:val="125"/>
      </w:trPr>
      <w:tc>
        <w:tcPr>
          <w:tcW w:w="4465" w:type="dxa"/>
          <w:vMerge/>
        </w:tcPr>
        <w:p w14:paraId="393288A0" w14:textId="77777777" w:rsidR="00D3653E" w:rsidRDefault="00D3653E">
          <w:pPr>
            <w:pStyle w:val="Encabezado"/>
            <w:rPr>
              <w:lang w:val="es-ES"/>
            </w:rPr>
          </w:pPr>
        </w:p>
      </w:tc>
      <w:tc>
        <w:tcPr>
          <w:tcW w:w="3118" w:type="dxa"/>
          <w:vAlign w:val="center"/>
        </w:tcPr>
        <w:p w14:paraId="62B03F1C" w14:textId="77777777" w:rsidR="00D3653E" w:rsidRDefault="00D3653E">
          <w:pPr>
            <w:pStyle w:val="Encabezado"/>
            <w:jc w:val="center"/>
            <w:rPr>
              <w:rFonts w:ascii="Arial" w:hAnsi="Arial"/>
              <w:b/>
            </w:rPr>
          </w:pPr>
          <w:r>
            <w:rPr>
              <w:rFonts w:ascii="Arial" w:hAnsi="Arial"/>
              <w:b/>
            </w:rPr>
            <w:t>VERSIÓN  02</w:t>
          </w:r>
        </w:p>
      </w:tc>
      <w:tc>
        <w:tcPr>
          <w:tcW w:w="3402" w:type="dxa"/>
          <w:vAlign w:val="center"/>
        </w:tcPr>
        <w:p w14:paraId="1E71FEF9" w14:textId="77777777" w:rsidR="00D3653E" w:rsidRDefault="00D3653E">
          <w:pPr>
            <w:pStyle w:val="Encabezado"/>
            <w:jc w:val="center"/>
            <w:rPr>
              <w:rFonts w:ascii="Arial" w:hAnsi="Arial"/>
              <w:b/>
            </w:rPr>
          </w:pPr>
          <w:r>
            <w:rPr>
              <w:rFonts w:ascii="Arial" w:hAnsi="Arial"/>
              <w:b/>
            </w:rPr>
            <w:t>21/02/2005</w:t>
          </w:r>
        </w:p>
      </w:tc>
      <w:tc>
        <w:tcPr>
          <w:tcW w:w="2977" w:type="dxa"/>
          <w:vAlign w:val="center"/>
        </w:tcPr>
        <w:p w14:paraId="164F5C38" w14:textId="77777777" w:rsidR="00D3653E" w:rsidRDefault="00D3653E">
          <w:pPr>
            <w:pStyle w:val="Encabezado"/>
            <w:jc w:val="center"/>
            <w:rPr>
              <w:rFonts w:ascii="Arial" w:hAnsi="Arial"/>
              <w:b/>
            </w:rPr>
          </w:pPr>
          <w:r>
            <w:rPr>
              <w:rStyle w:val="Nmerodepgina"/>
              <w:rFonts w:ascii="Arial" w:hAnsi="Arial"/>
              <w:b/>
              <w:snapToGrid w:val="0"/>
              <w:lang w:eastAsia="es-ES"/>
            </w:rPr>
            <w:t xml:space="preserve">Página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PAGE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w:t>
          </w:r>
          <w:r>
            <w:rPr>
              <w:rStyle w:val="Nmerodepgina"/>
              <w:rFonts w:ascii="Arial" w:hAnsi="Arial"/>
              <w:b/>
              <w:snapToGrid w:val="0"/>
              <w:lang w:eastAsia="es-ES"/>
            </w:rPr>
            <w:fldChar w:fldCharType="end"/>
          </w:r>
          <w:r>
            <w:rPr>
              <w:rStyle w:val="Nmerodepgina"/>
              <w:rFonts w:ascii="Arial" w:hAnsi="Arial"/>
              <w:b/>
              <w:snapToGrid w:val="0"/>
              <w:lang w:eastAsia="es-ES"/>
            </w:rPr>
            <w:t xml:space="preserve"> de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NUMPAGES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10</w:t>
          </w:r>
          <w:r>
            <w:rPr>
              <w:rStyle w:val="Nmerodepgina"/>
              <w:rFonts w:ascii="Arial" w:hAnsi="Arial"/>
              <w:b/>
              <w:snapToGrid w:val="0"/>
              <w:lang w:eastAsia="es-ES"/>
            </w:rPr>
            <w:fldChar w:fldCharType="end"/>
          </w:r>
        </w:p>
      </w:tc>
    </w:tr>
  </w:tbl>
  <w:p w14:paraId="5318F9D9" w14:textId="77777777" w:rsidR="00D3653E" w:rsidRDefault="00D365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889"/>
    <w:multiLevelType w:val="hybridMultilevel"/>
    <w:tmpl w:val="9D1A8A84"/>
    <w:lvl w:ilvl="0" w:tplc="F760BD3E">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EF4197"/>
    <w:multiLevelType w:val="hybridMultilevel"/>
    <w:tmpl w:val="DA48A2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1D9377B"/>
    <w:multiLevelType w:val="hybridMultilevel"/>
    <w:tmpl w:val="3266E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D96514"/>
    <w:multiLevelType w:val="hybridMultilevel"/>
    <w:tmpl w:val="2506D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1C5169F"/>
    <w:multiLevelType w:val="hybridMultilevel"/>
    <w:tmpl w:val="FFF61F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A1B050F"/>
    <w:multiLevelType w:val="multilevel"/>
    <w:tmpl w:val="9366488A"/>
    <w:lvl w:ilvl="0">
      <w:start w:val="2"/>
      <w:numFmt w:val="decimal"/>
      <w:pStyle w:val="Ttulo8"/>
      <w:lvlText w:val="%1"/>
      <w:lvlJc w:val="left"/>
      <w:pPr>
        <w:tabs>
          <w:tab w:val="num" w:pos="705"/>
        </w:tabs>
        <w:ind w:left="705" w:hanging="705"/>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72057071"/>
    <w:multiLevelType w:val="hybridMultilevel"/>
    <w:tmpl w:val="63262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73904FD"/>
    <w:multiLevelType w:val="hybridMultilevel"/>
    <w:tmpl w:val="35AC566E"/>
    <w:lvl w:ilvl="0" w:tplc="566E17F2">
      <w:start w:val="1"/>
      <w:numFmt w:val="decimal"/>
      <w:lvlText w:val="%1."/>
      <w:lvlJc w:val="left"/>
      <w:pPr>
        <w:ind w:left="582" w:hanging="360"/>
      </w:pPr>
      <w:rPr>
        <w:rFonts w:hint="default"/>
        <w:b/>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8" w15:restartNumberingAfterBreak="0">
    <w:nsid w:val="7F790FAC"/>
    <w:multiLevelType w:val="hybridMultilevel"/>
    <w:tmpl w:val="CE981A38"/>
    <w:lvl w:ilvl="0" w:tplc="B936DBD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9524263">
    <w:abstractNumId w:val="5"/>
  </w:num>
  <w:num w:numId="2" w16cid:durableId="1308582559">
    <w:abstractNumId w:val="7"/>
  </w:num>
  <w:num w:numId="3" w16cid:durableId="1903178039">
    <w:abstractNumId w:val="3"/>
  </w:num>
  <w:num w:numId="4" w16cid:durableId="1788617466">
    <w:abstractNumId w:val="1"/>
  </w:num>
  <w:num w:numId="5" w16cid:durableId="1365401043">
    <w:abstractNumId w:val="4"/>
  </w:num>
  <w:num w:numId="6" w16cid:durableId="1054475437">
    <w:abstractNumId w:val="6"/>
  </w:num>
  <w:num w:numId="7" w16cid:durableId="1728141497">
    <w:abstractNumId w:val="2"/>
  </w:num>
  <w:num w:numId="8" w16cid:durableId="1143809603">
    <w:abstractNumId w:val="0"/>
  </w:num>
  <w:num w:numId="9" w16cid:durableId="46932443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0C"/>
    <w:rsid w:val="00000A8C"/>
    <w:rsid w:val="000025AE"/>
    <w:rsid w:val="00003B97"/>
    <w:rsid w:val="00004505"/>
    <w:rsid w:val="00005061"/>
    <w:rsid w:val="0000565E"/>
    <w:rsid w:val="0000573F"/>
    <w:rsid w:val="00005D78"/>
    <w:rsid w:val="00006786"/>
    <w:rsid w:val="00010D99"/>
    <w:rsid w:val="00012205"/>
    <w:rsid w:val="0001315B"/>
    <w:rsid w:val="00015DB9"/>
    <w:rsid w:val="00017B9F"/>
    <w:rsid w:val="00022AE7"/>
    <w:rsid w:val="00022BD3"/>
    <w:rsid w:val="0002314F"/>
    <w:rsid w:val="00024153"/>
    <w:rsid w:val="00024323"/>
    <w:rsid w:val="00024A2B"/>
    <w:rsid w:val="0002548E"/>
    <w:rsid w:val="000262BA"/>
    <w:rsid w:val="000263CF"/>
    <w:rsid w:val="00026E37"/>
    <w:rsid w:val="00027373"/>
    <w:rsid w:val="00032346"/>
    <w:rsid w:val="00033E62"/>
    <w:rsid w:val="00034939"/>
    <w:rsid w:val="00035C85"/>
    <w:rsid w:val="000364C8"/>
    <w:rsid w:val="00036856"/>
    <w:rsid w:val="00037BAF"/>
    <w:rsid w:val="00040C81"/>
    <w:rsid w:val="00041E41"/>
    <w:rsid w:val="00042D9C"/>
    <w:rsid w:val="00044516"/>
    <w:rsid w:val="000465CE"/>
    <w:rsid w:val="000477D8"/>
    <w:rsid w:val="000500D2"/>
    <w:rsid w:val="00051A40"/>
    <w:rsid w:val="00053295"/>
    <w:rsid w:val="0005407F"/>
    <w:rsid w:val="00054DAF"/>
    <w:rsid w:val="0005546E"/>
    <w:rsid w:val="00055839"/>
    <w:rsid w:val="00057FF8"/>
    <w:rsid w:val="000605DB"/>
    <w:rsid w:val="00061C9D"/>
    <w:rsid w:val="00061E7E"/>
    <w:rsid w:val="00062C2C"/>
    <w:rsid w:val="00063614"/>
    <w:rsid w:val="0006373E"/>
    <w:rsid w:val="00063829"/>
    <w:rsid w:val="0006521F"/>
    <w:rsid w:val="00065AAE"/>
    <w:rsid w:val="000672CE"/>
    <w:rsid w:val="00067BB1"/>
    <w:rsid w:val="000717B9"/>
    <w:rsid w:val="00072FF7"/>
    <w:rsid w:val="00073DA2"/>
    <w:rsid w:val="00075473"/>
    <w:rsid w:val="0007596F"/>
    <w:rsid w:val="0007672A"/>
    <w:rsid w:val="0008090C"/>
    <w:rsid w:val="0008141C"/>
    <w:rsid w:val="00082E82"/>
    <w:rsid w:val="00083BD9"/>
    <w:rsid w:val="00084894"/>
    <w:rsid w:val="00084E16"/>
    <w:rsid w:val="00085593"/>
    <w:rsid w:val="00085DA7"/>
    <w:rsid w:val="00086010"/>
    <w:rsid w:val="00087457"/>
    <w:rsid w:val="00087627"/>
    <w:rsid w:val="000916BF"/>
    <w:rsid w:val="000919BF"/>
    <w:rsid w:val="00091BF4"/>
    <w:rsid w:val="0009363E"/>
    <w:rsid w:val="00095D59"/>
    <w:rsid w:val="00096F8F"/>
    <w:rsid w:val="00097268"/>
    <w:rsid w:val="000A00D8"/>
    <w:rsid w:val="000A0C77"/>
    <w:rsid w:val="000A16C0"/>
    <w:rsid w:val="000A178F"/>
    <w:rsid w:val="000A296C"/>
    <w:rsid w:val="000A32B0"/>
    <w:rsid w:val="000A36DB"/>
    <w:rsid w:val="000A5CC2"/>
    <w:rsid w:val="000B00D1"/>
    <w:rsid w:val="000B240C"/>
    <w:rsid w:val="000B36B4"/>
    <w:rsid w:val="000B3B21"/>
    <w:rsid w:val="000B4AB8"/>
    <w:rsid w:val="000B4BDA"/>
    <w:rsid w:val="000B5323"/>
    <w:rsid w:val="000B650D"/>
    <w:rsid w:val="000B763A"/>
    <w:rsid w:val="000C0E0E"/>
    <w:rsid w:val="000C2FA8"/>
    <w:rsid w:val="000C309C"/>
    <w:rsid w:val="000C354D"/>
    <w:rsid w:val="000C372E"/>
    <w:rsid w:val="000C48D0"/>
    <w:rsid w:val="000C7629"/>
    <w:rsid w:val="000C7A16"/>
    <w:rsid w:val="000D1861"/>
    <w:rsid w:val="000D1A86"/>
    <w:rsid w:val="000D1BDD"/>
    <w:rsid w:val="000D25C6"/>
    <w:rsid w:val="000D342D"/>
    <w:rsid w:val="000D3F4D"/>
    <w:rsid w:val="000D56E3"/>
    <w:rsid w:val="000D5ADE"/>
    <w:rsid w:val="000D5CC5"/>
    <w:rsid w:val="000E0106"/>
    <w:rsid w:val="000E0288"/>
    <w:rsid w:val="000E0422"/>
    <w:rsid w:val="000E0A0C"/>
    <w:rsid w:val="000E1056"/>
    <w:rsid w:val="000E1835"/>
    <w:rsid w:val="000E3874"/>
    <w:rsid w:val="000E3D5C"/>
    <w:rsid w:val="000E442B"/>
    <w:rsid w:val="000E52DE"/>
    <w:rsid w:val="000E5A3E"/>
    <w:rsid w:val="000E6328"/>
    <w:rsid w:val="000F04A5"/>
    <w:rsid w:val="000F0DDC"/>
    <w:rsid w:val="000F26FD"/>
    <w:rsid w:val="000F2D5F"/>
    <w:rsid w:val="000F2DD2"/>
    <w:rsid w:val="000F4867"/>
    <w:rsid w:val="000F6414"/>
    <w:rsid w:val="000F6FA0"/>
    <w:rsid w:val="000F78FE"/>
    <w:rsid w:val="000F7E9F"/>
    <w:rsid w:val="00101561"/>
    <w:rsid w:val="001015B0"/>
    <w:rsid w:val="0010164C"/>
    <w:rsid w:val="00101707"/>
    <w:rsid w:val="001018F1"/>
    <w:rsid w:val="001024DB"/>
    <w:rsid w:val="00102D8B"/>
    <w:rsid w:val="00104A62"/>
    <w:rsid w:val="00104B60"/>
    <w:rsid w:val="001050A8"/>
    <w:rsid w:val="0010602A"/>
    <w:rsid w:val="00113502"/>
    <w:rsid w:val="00113711"/>
    <w:rsid w:val="00114E4D"/>
    <w:rsid w:val="001153D2"/>
    <w:rsid w:val="001153EE"/>
    <w:rsid w:val="00115E4D"/>
    <w:rsid w:val="0011691C"/>
    <w:rsid w:val="00117D3F"/>
    <w:rsid w:val="00120590"/>
    <w:rsid w:val="00120A00"/>
    <w:rsid w:val="00122066"/>
    <w:rsid w:val="00122CBA"/>
    <w:rsid w:val="00122FE1"/>
    <w:rsid w:val="0012368B"/>
    <w:rsid w:val="0012430F"/>
    <w:rsid w:val="00125863"/>
    <w:rsid w:val="00127829"/>
    <w:rsid w:val="001278A5"/>
    <w:rsid w:val="001303D2"/>
    <w:rsid w:val="00130F9E"/>
    <w:rsid w:val="00132949"/>
    <w:rsid w:val="001343E3"/>
    <w:rsid w:val="00135B38"/>
    <w:rsid w:val="00136BCD"/>
    <w:rsid w:val="00136F2D"/>
    <w:rsid w:val="001374A9"/>
    <w:rsid w:val="00137D1A"/>
    <w:rsid w:val="00137E01"/>
    <w:rsid w:val="001414DA"/>
    <w:rsid w:val="0014468C"/>
    <w:rsid w:val="0014483D"/>
    <w:rsid w:val="0014485A"/>
    <w:rsid w:val="001451BA"/>
    <w:rsid w:val="00145426"/>
    <w:rsid w:val="001458CB"/>
    <w:rsid w:val="00145B24"/>
    <w:rsid w:val="001463FF"/>
    <w:rsid w:val="0014670C"/>
    <w:rsid w:val="00146F2D"/>
    <w:rsid w:val="00147904"/>
    <w:rsid w:val="001507C2"/>
    <w:rsid w:val="00150CA9"/>
    <w:rsid w:val="00151B3D"/>
    <w:rsid w:val="001533DE"/>
    <w:rsid w:val="001547CD"/>
    <w:rsid w:val="0015653D"/>
    <w:rsid w:val="0015679D"/>
    <w:rsid w:val="0015698D"/>
    <w:rsid w:val="00156C16"/>
    <w:rsid w:val="00157098"/>
    <w:rsid w:val="00157471"/>
    <w:rsid w:val="00157DC5"/>
    <w:rsid w:val="00161DC8"/>
    <w:rsid w:val="0016271C"/>
    <w:rsid w:val="00163118"/>
    <w:rsid w:val="00163B91"/>
    <w:rsid w:val="00165AB8"/>
    <w:rsid w:val="00165EA4"/>
    <w:rsid w:val="0016754F"/>
    <w:rsid w:val="001708A9"/>
    <w:rsid w:val="0017119A"/>
    <w:rsid w:val="0017453C"/>
    <w:rsid w:val="001748CF"/>
    <w:rsid w:val="001752EF"/>
    <w:rsid w:val="00175433"/>
    <w:rsid w:val="00177359"/>
    <w:rsid w:val="0017750C"/>
    <w:rsid w:val="001802BA"/>
    <w:rsid w:val="00181AED"/>
    <w:rsid w:val="00181B86"/>
    <w:rsid w:val="00182407"/>
    <w:rsid w:val="0018502F"/>
    <w:rsid w:val="00186459"/>
    <w:rsid w:val="001866A0"/>
    <w:rsid w:val="00187084"/>
    <w:rsid w:val="0018743E"/>
    <w:rsid w:val="00187784"/>
    <w:rsid w:val="00191860"/>
    <w:rsid w:val="00191EC3"/>
    <w:rsid w:val="00191FEF"/>
    <w:rsid w:val="00194538"/>
    <w:rsid w:val="001960D2"/>
    <w:rsid w:val="00197894"/>
    <w:rsid w:val="00197927"/>
    <w:rsid w:val="001A02B4"/>
    <w:rsid w:val="001A031D"/>
    <w:rsid w:val="001A060C"/>
    <w:rsid w:val="001A13B3"/>
    <w:rsid w:val="001A1CC0"/>
    <w:rsid w:val="001A1EB6"/>
    <w:rsid w:val="001A1FFD"/>
    <w:rsid w:val="001A2642"/>
    <w:rsid w:val="001A3421"/>
    <w:rsid w:val="001A3E7D"/>
    <w:rsid w:val="001A4920"/>
    <w:rsid w:val="001A533D"/>
    <w:rsid w:val="001A5AD2"/>
    <w:rsid w:val="001A73DA"/>
    <w:rsid w:val="001A7521"/>
    <w:rsid w:val="001A7971"/>
    <w:rsid w:val="001A7A51"/>
    <w:rsid w:val="001A7D66"/>
    <w:rsid w:val="001B004E"/>
    <w:rsid w:val="001B0584"/>
    <w:rsid w:val="001B185E"/>
    <w:rsid w:val="001B1C22"/>
    <w:rsid w:val="001B2ABD"/>
    <w:rsid w:val="001B32C0"/>
    <w:rsid w:val="001B36E0"/>
    <w:rsid w:val="001B374A"/>
    <w:rsid w:val="001B3810"/>
    <w:rsid w:val="001B472C"/>
    <w:rsid w:val="001B4847"/>
    <w:rsid w:val="001B51BF"/>
    <w:rsid w:val="001B71C3"/>
    <w:rsid w:val="001B7ACC"/>
    <w:rsid w:val="001C0B99"/>
    <w:rsid w:val="001C1E60"/>
    <w:rsid w:val="001C1FAE"/>
    <w:rsid w:val="001C23A1"/>
    <w:rsid w:val="001C2B28"/>
    <w:rsid w:val="001C2C1C"/>
    <w:rsid w:val="001C2E91"/>
    <w:rsid w:val="001C2E9F"/>
    <w:rsid w:val="001C374E"/>
    <w:rsid w:val="001C51FE"/>
    <w:rsid w:val="001C7387"/>
    <w:rsid w:val="001D00E3"/>
    <w:rsid w:val="001D0E7E"/>
    <w:rsid w:val="001D20C4"/>
    <w:rsid w:val="001D295C"/>
    <w:rsid w:val="001D30A9"/>
    <w:rsid w:val="001D3B38"/>
    <w:rsid w:val="001D4E60"/>
    <w:rsid w:val="001D5035"/>
    <w:rsid w:val="001D56ED"/>
    <w:rsid w:val="001D5797"/>
    <w:rsid w:val="001E0C97"/>
    <w:rsid w:val="001E1373"/>
    <w:rsid w:val="001E1749"/>
    <w:rsid w:val="001E3577"/>
    <w:rsid w:val="001E67C5"/>
    <w:rsid w:val="001E6BB2"/>
    <w:rsid w:val="001E6D09"/>
    <w:rsid w:val="001E6D0E"/>
    <w:rsid w:val="001F06B4"/>
    <w:rsid w:val="001F0F1E"/>
    <w:rsid w:val="001F127E"/>
    <w:rsid w:val="001F19E9"/>
    <w:rsid w:val="001F1FF1"/>
    <w:rsid w:val="001F24F1"/>
    <w:rsid w:val="001F2A83"/>
    <w:rsid w:val="001F311B"/>
    <w:rsid w:val="001F477F"/>
    <w:rsid w:val="001F6690"/>
    <w:rsid w:val="002005F7"/>
    <w:rsid w:val="00201E1E"/>
    <w:rsid w:val="002037A0"/>
    <w:rsid w:val="00203FFF"/>
    <w:rsid w:val="00204503"/>
    <w:rsid w:val="00205EEF"/>
    <w:rsid w:val="002114F9"/>
    <w:rsid w:val="00211D20"/>
    <w:rsid w:val="00211D6A"/>
    <w:rsid w:val="00211F67"/>
    <w:rsid w:val="002120F8"/>
    <w:rsid w:val="0021290A"/>
    <w:rsid w:val="00212A94"/>
    <w:rsid w:val="002132DC"/>
    <w:rsid w:val="002140A3"/>
    <w:rsid w:val="00214707"/>
    <w:rsid w:val="00214D50"/>
    <w:rsid w:val="00214DF6"/>
    <w:rsid w:val="002156A5"/>
    <w:rsid w:val="0022016B"/>
    <w:rsid w:val="00220E5A"/>
    <w:rsid w:val="00222D5C"/>
    <w:rsid w:val="002252D2"/>
    <w:rsid w:val="00225FE0"/>
    <w:rsid w:val="00226705"/>
    <w:rsid w:val="00227FA8"/>
    <w:rsid w:val="00230671"/>
    <w:rsid w:val="0023159A"/>
    <w:rsid w:val="002318A6"/>
    <w:rsid w:val="00231C87"/>
    <w:rsid w:val="00231D22"/>
    <w:rsid w:val="00232B78"/>
    <w:rsid w:val="00233087"/>
    <w:rsid w:val="00234608"/>
    <w:rsid w:val="0023472B"/>
    <w:rsid w:val="002376B1"/>
    <w:rsid w:val="00241020"/>
    <w:rsid w:val="00241410"/>
    <w:rsid w:val="00241514"/>
    <w:rsid w:val="002418AE"/>
    <w:rsid w:val="00242307"/>
    <w:rsid w:val="002429EB"/>
    <w:rsid w:val="00243288"/>
    <w:rsid w:val="00243EF7"/>
    <w:rsid w:val="002448C3"/>
    <w:rsid w:val="002464F4"/>
    <w:rsid w:val="00246873"/>
    <w:rsid w:val="002472CC"/>
    <w:rsid w:val="002509F3"/>
    <w:rsid w:val="00252631"/>
    <w:rsid w:val="0025283E"/>
    <w:rsid w:val="0025403D"/>
    <w:rsid w:val="00256671"/>
    <w:rsid w:val="00256A3C"/>
    <w:rsid w:val="00257F7A"/>
    <w:rsid w:val="00261AD2"/>
    <w:rsid w:val="002622A4"/>
    <w:rsid w:val="00263717"/>
    <w:rsid w:val="00263E94"/>
    <w:rsid w:val="00263F93"/>
    <w:rsid w:val="00263FA7"/>
    <w:rsid w:val="00264707"/>
    <w:rsid w:val="00264FC6"/>
    <w:rsid w:val="00266377"/>
    <w:rsid w:val="00266FE6"/>
    <w:rsid w:val="00267BED"/>
    <w:rsid w:val="00270E18"/>
    <w:rsid w:val="002710C1"/>
    <w:rsid w:val="002710C7"/>
    <w:rsid w:val="00271AB7"/>
    <w:rsid w:val="00272177"/>
    <w:rsid w:val="00272BC1"/>
    <w:rsid w:val="00274CFE"/>
    <w:rsid w:val="00276B67"/>
    <w:rsid w:val="00276F6B"/>
    <w:rsid w:val="00280736"/>
    <w:rsid w:val="00281CAC"/>
    <w:rsid w:val="002848D0"/>
    <w:rsid w:val="00284BE6"/>
    <w:rsid w:val="0028560D"/>
    <w:rsid w:val="00290005"/>
    <w:rsid w:val="00290359"/>
    <w:rsid w:val="00290B65"/>
    <w:rsid w:val="00290D8B"/>
    <w:rsid w:val="00291693"/>
    <w:rsid w:val="00291BF2"/>
    <w:rsid w:val="002920E9"/>
    <w:rsid w:val="00292741"/>
    <w:rsid w:val="00294E7F"/>
    <w:rsid w:val="00295729"/>
    <w:rsid w:val="00297E1C"/>
    <w:rsid w:val="002A15B1"/>
    <w:rsid w:val="002A18B8"/>
    <w:rsid w:val="002A199E"/>
    <w:rsid w:val="002A28D6"/>
    <w:rsid w:val="002A2907"/>
    <w:rsid w:val="002A3870"/>
    <w:rsid w:val="002A6052"/>
    <w:rsid w:val="002A798B"/>
    <w:rsid w:val="002B03A2"/>
    <w:rsid w:val="002B0590"/>
    <w:rsid w:val="002B07B5"/>
    <w:rsid w:val="002B0811"/>
    <w:rsid w:val="002B1A1A"/>
    <w:rsid w:val="002B1D08"/>
    <w:rsid w:val="002B20DF"/>
    <w:rsid w:val="002B369A"/>
    <w:rsid w:val="002B6196"/>
    <w:rsid w:val="002B679F"/>
    <w:rsid w:val="002B7A8B"/>
    <w:rsid w:val="002C0EDD"/>
    <w:rsid w:val="002C2B4F"/>
    <w:rsid w:val="002C2FDD"/>
    <w:rsid w:val="002C4205"/>
    <w:rsid w:val="002C45CA"/>
    <w:rsid w:val="002C59B9"/>
    <w:rsid w:val="002C67A6"/>
    <w:rsid w:val="002C6DF6"/>
    <w:rsid w:val="002C720A"/>
    <w:rsid w:val="002D1862"/>
    <w:rsid w:val="002D343C"/>
    <w:rsid w:val="002D5C8E"/>
    <w:rsid w:val="002D5ED0"/>
    <w:rsid w:val="002D67DC"/>
    <w:rsid w:val="002E07DE"/>
    <w:rsid w:val="002E2656"/>
    <w:rsid w:val="002E53BF"/>
    <w:rsid w:val="002E5B1C"/>
    <w:rsid w:val="002E6724"/>
    <w:rsid w:val="002E6816"/>
    <w:rsid w:val="002E6852"/>
    <w:rsid w:val="002F019F"/>
    <w:rsid w:val="002F08AF"/>
    <w:rsid w:val="002F1DCA"/>
    <w:rsid w:val="002F20F7"/>
    <w:rsid w:val="002F230A"/>
    <w:rsid w:val="002F2757"/>
    <w:rsid w:val="002F2CB2"/>
    <w:rsid w:val="002F5440"/>
    <w:rsid w:val="002F7820"/>
    <w:rsid w:val="00300CDB"/>
    <w:rsid w:val="00301FCB"/>
    <w:rsid w:val="003020BE"/>
    <w:rsid w:val="00302405"/>
    <w:rsid w:val="00302EF3"/>
    <w:rsid w:val="003031F4"/>
    <w:rsid w:val="003039E2"/>
    <w:rsid w:val="00304A82"/>
    <w:rsid w:val="00311005"/>
    <w:rsid w:val="003142C3"/>
    <w:rsid w:val="00316179"/>
    <w:rsid w:val="00316616"/>
    <w:rsid w:val="00316B7E"/>
    <w:rsid w:val="00322793"/>
    <w:rsid w:val="00322A2C"/>
    <w:rsid w:val="003233E1"/>
    <w:rsid w:val="00325F5C"/>
    <w:rsid w:val="00326ECE"/>
    <w:rsid w:val="0032735B"/>
    <w:rsid w:val="00331D4C"/>
    <w:rsid w:val="00331F03"/>
    <w:rsid w:val="0033317D"/>
    <w:rsid w:val="00334978"/>
    <w:rsid w:val="00334D5D"/>
    <w:rsid w:val="00335528"/>
    <w:rsid w:val="00336242"/>
    <w:rsid w:val="00336A71"/>
    <w:rsid w:val="003376D7"/>
    <w:rsid w:val="00340414"/>
    <w:rsid w:val="003408A8"/>
    <w:rsid w:val="003420FD"/>
    <w:rsid w:val="003432B5"/>
    <w:rsid w:val="00343340"/>
    <w:rsid w:val="00344B20"/>
    <w:rsid w:val="00345596"/>
    <w:rsid w:val="00345A50"/>
    <w:rsid w:val="00345EFA"/>
    <w:rsid w:val="00346BF6"/>
    <w:rsid w:val="00347714"/>
    <w:rsid w:val="0035261A"/>
    <w:rsid w:val="00352938"/>
    <w:rsid w:val="0035297A"/>
    <w:rsid w:val="00354242"/>
    <w:rsid w:val="00354466"/>
    <w:rsid w:val="00354507"/>
    <w:rsid w:val="0035461A"/>
    <w:rsid w:val="00354922"/>
    <w:rsid w:val="00355E31"/>
    <w:rsid w:val="00357CCF"/>
    <w:rsid w:val="00360D82"/>
    <w:rsid w:val="00361730"/>
    <w:rsid w:val="00362E0D"/>
    <w:rsid w:val="003661DF"/>
    <w:rsid w:val="0036656B"/>
    <w:rsid w:val="00366D80"/>
    <w:rsid w:val="0036796D"/>
    <w:rsid w:val="003700CC"/>
    <w:rsid w:val="00370547"/>
    <w:rsid w:val="003710BB"/>
    <w:rsid w:val="003736FD"/>
    <w:rsid w:val="00373B7D"/>
    <w:rsid w:val="00374400"/>
    <w:rsid w:val="00374488"/>
    <w:rsid w:val="003746F6"/>
    <w:rsid w:val="003747CF"/>
    <w:rsid w:val="0037506D"/>
    <w:rsid w:val="00377B7E"/>
    <w:rsid w:val="00380757"/>
    <w:rsid w:val="003823BB"/>
    <w:rsid w:val="003834D5"/>
    <w:rsid w:val="003842C2"/>
    <w:rsid w:val="003853C6"/>
    <w:rsid w:val="0038550B"/>
    <w:rsid w:val="00392F88"/>
    <w:rsid w:val="0039379C"/>
    <w:rsid w:val="003938BE"/>
    <w:rsid w:val="00395CDC"/>
    <w:rsid w:val="00397586"/>
    <w:rsid w:val="00397962"/>
    <w:rsid w:val="003A0FF8"/>
    <w:rsid w:val="003A22CC"/>
    <w:rsid w:val="003A2EA9"/>
    <w:rsid w:val="003A4209"/>
    <w:rsid w:val="003A5271"/>
    <w:rsid w:val="003A52F1"/>
    <w:rsid w:val="003A5988"/>
    <w:rsid w:val="003A5A9C"/>
    <w:rsid w:val="003A61D3"/>
    <w:rsid w:val="003A6576"/>
    <w:rsid w:val="003A66DC"/>
    <w:rsid w:val="003A6F7C"/>
    <w:rsid w:val="003A7F8C"/>
    <w:rsid w:val="003B09AD"/>
    <w:rsid w:val="003B0C43"/>
    <w:rsid w:val="003B2427"/>
    <w:rsid w:val="003B2987"/>
    <w:rsid w:val="003B2E3D"/>
    <w:rsid w:val="003B318D"/>
    <w:rsid w:val="003B353B"/>
    <w:rsid w:val="003B409A"/>
    <w:rsid w:val="003B4572"/>
    <w:rsid w:val="003B6D09"/>
    <w:rsid w:val="003C04CA"/>
    <w:rsid w:val="003C1107"/>
    <w:rsid w:val="003C13BE"/>
    <w:rsid w:val="003C1E81"/>
    <w:rsid w:val="003C2A50"/>
    <w:rsid w:val="003C2E9A"/>
    <w:rsid w:val="003C489E"/>
    <w:rsid w:val="003C576C"/>
    <w:rsid w:val="003C640D"/>
    <w:rsid w:val="003C675B"/>
    <w:rsid w:val="003C7405"/>
    <w:rsid w:val="003C7568"/>
    <w:rsid w:val="003C7598"/>
    <w:rsid w:val="003D0C16"/>
    <w:rsid w:val="003D0DE9"/>
    <w:rsid w:val="003D1354"/>
    <w:rsid w:val="003D14CC"/>
    <w:rsid w:val="003D1A64"/>
    <w:rsid w:val="003D2B2D"/>
    <w:rsid w:val="003D3810"/>
    <w:rsid w:val="003D3F63"/>
    <w:rsid w:val="003D5260"/>
    <w:rsid w:val="003D53E3"/>
    <w:rsid w:val="003D584C"/>
    <w:rsid w:val="003D68A4"/>
    <w:rsid w:val="003E213F"/>
    <w:rsid w:val="003E24C3"/>
    <w:rsid w:val="003E35F4"/>
    <w:rsid w:val="003E4C36"/>
    <w:rsid w:val="003E5056"/>
    <w:rsid w:val="003E517D"/>
    <w:rsid w:val="003E56AC"/>
    <w:rsid w:val="003E6131"/>
    <w:rsid w:val="003E65CA"/>
    <w:rsid w:val="003F0549"/>
    <w:rsid w:val="003F0C12"/>
    <w:rsid w:val="003F2ACA"/>
    <w:rsid w:val="003F4B3C"/>
    <w:rsid w:val="003F608B"/>
    <w:rsid w:val="003F6B26"/>
    <w:rsid w:val="004027CC"/>
    <w:rsid w:val="004029D6"/>
    <w:rsid w:val="00402ABE"/>
    <w:rsid w:val="00402AC5"/>
    <w:rsid w:val="00402ADE"/>
    <w:rsid w:val="00402D9A"/>
    <w:rsid w:val="00403831"/>
    <w:rsid w:val="004041A4"/>
    <w:rsid w:val="00404666"/>
    <w:rsid w:val="00405DB2"/>
    <w:rsid w:val="004060CD"/>
    <w:rsid w:val="00406239"/>
    <w:rsid w:val="0040759F"/>
    <w:rsid w:val="00407EFC"/>
    <w:rsid w:val="004103F4"/>
    <w:rsid w:val="004105EE"/>
    <w:rsid w:val="00413B1C"/>
    <w:rsid w:val="00413B5E"/>
    <w:rsid w:val="004144E9"/>
    <w:rsid w:val="00415BC9"/>
    <w:rsid w:val="00416096"/>
    <w:rsid w:val="0041647A"/>
    <w:rsid w:val="004169C4"/>
    <w:rsid w:val="0042033A"/>
    <w:rsid w:val="004203EE"/>
    <w:rsid w:val="00420CC6"/>
    <w:rsid w:val="004213E7"/>
    <w:rsid w:val="0042140B"/>
    <w:rsid w:val="00421477"/>
    <w:rsid w:val="0042250B"/>
    <w:rsid w:val="00422603"/>
    <w:rsid w:val="00422CD4"/>
    <w:rsid w:val="00422EE0"/>
    <w:rsid w:val="00424522"/>
    <w:rsid w:val="00425C24"/>
    <w:rsid w:val="00426458"/>
    <w:rsid w:val="00427131"/>
    <w:rsid w:val="00427394"/>
    <w:rsid w:val="00427BC8"/>
    <w:rsid w:val="00430E39"/>
    <w:rsid w:val="00433165"/>
    <w:rsid w:val="004335C3"/>
    <w:rsid w:val="0043379C"/>
    <w:rsid w:val="004359D2"/>
    <w:rsid w:val="00435E68"/>
    <w:rsid w:val="004365A9"/>
    <w:rsid w:val="004368F9"/>
    <w:rsid w:val="00436AF6"/>
    <w:rsid w:val="00436C98"/>
    <w:rsid w:val="004370FE"/>
    <w:rsid w:val="00440AA9"/>
    <w:rsid w:val="004418B8"/>
    <w:rsid w:val="00441EF6"/>
    <w:rsid w:val="0044313C"/>
    <w:rsid w:val="00443B9E"/>
    <w:rsid w:val="0044503C"/>
    <w:rsid w:val="00445ECE"/>
    <w:rsid w:val="004465B6"/>
    <w:rsid w:val="00446804"/>
    <w:rsid w:val="00446DEC"/>
    <w:rsid w:val="004471A1"/>
    <w:rsid w:val="00447986"/>
    <w:rsid w:val="00450FD2"/>
    <w:rsid w:val="004522CC"/>
    <w:rsid w:val="00453086"/>
    <w:rsid w:val="00453FFE"/>
    <w:rsid w:val="00454125"/>
    <w:rsid w:val="00454440"/>
    <w:rsid w:val="0045460A"/>
    <w:rsid w:val="004572E9"/>
    <w:rsid w:val="00457D41"/>
    <w:rsid w:val="00457F45"/>
    <w:rsid w:val="00460318"/>
    <w:rsid w:val="004609D0"/>
    <w:rsid w:val="00460C27"/>
    <w:rsid w:val="0046146E"/>
    <w:rsid w:val="00461C7F"/>
    <w:rsid w:val="0046259F"/>
    <w:rsid w:val="00462F2C"/>
    <w:rsid w:val="00462FF8"/>
    <w:rsid w:val="0046375C"/>
    <w:rsid w:val="00464B2C"/>
    <w:rsid w:val="004652E2"/>
    <w:rsid w:val="0046617B"/>
    <w:rsid w:val="00467CC3"/>
    <w:rsid w:val="00470FC7"/>
    <w:rsid w:val="004721F8"/>
    <w:rsid w:val="004736D8"/>
    <w:rsid w:val="00473DD3"/>
    <w:rsid w:val="00475381"/>
    <w:rsid w:val="00476639"/>
    <w:rsid w:val="00476726"/>
    <w:rsid w:val="00477B65"/>
    <w:rsid w:val="00480AFE"/>
    <w:rsid w:val="00480D80"/>
    <w:rsid w:val="00481316"/>
    <w:rsid w:val="00481F55"/>
    <w:rsid w:val="004838B7"/>
    <w:rsid w:val="00483B8E"/>
    <w:rsid w:val="004841FA"/>
    <w:rsid w:val="00484DC8"/>
    <w:rsid w:val="0048546A"/>
    <w:rsid w:val="00485C1A"/>
    <w:rsid w:val="0048782C"/>
    <w:rsid w:val="00490C5B"/>
    <w:rsid w:val="004935A0"/>
    <w:rsid w:val="00493877"/>
    <w:rsid w:val="00495B28"/>
    <w:rsid w:val="00496016"/>
    <w:rsid w:val="004972C4"/>
    <w:rsid w:val="004974F5"/>
    <w:rsid w:val="004A10A3"/>
    <w:rsid w:val="004A1165"/>
    <w:rsid w:val="004A1A12"/>
    <w:rsid w:val="004A2546"/>
    <w:rsid w:val="004A2755"/>
    <w:rsid w:val="004A2E1C"/>
    <w:rsid w:val="004A3378"/>
    <w:rsid w:val="004A39B3"/>
    <w:rsid w:val="004A4A4C"/>
    <w:rsid w:val="004A50CE"/>
    <w:rsid w:val="004A565B"/>
    <w:rsid w:val="004A5B2A"/>
    <w:rsid w:val="004A6559"/>
    <w:rsid w:val="004A71B0"/>
    <w:rsid w:val="004A75B4"/>
    <w:rsid w:val="004A771B"/>
    <w:rsid w:val="004B1963"/>
    <w:rsid w:val="004B19E0"/>
    <w:rsid w:val="004B32DA"/>
    <w:rsid w:val="004B438B"/>
    <w:rsid w:val="004B4E7F"/>
    <w:rsid w:val="004B4F05"/>
    <w:rsid w:val="004B5123"/>
    <w:rsid w:val="004B512D"/>
    <w:rsid w:val="004C0E27"/>
    <w:rsid w:val="004C101E"/>
    <w:rsid w:val="004C1DC1"/>
    <w:rsid w:val="004C305D"/>
    <w:rsid w:val="004C3D68"/>
    <w:rsid w:val="004C3DA0"/>
    <w:rsid w:val="004C47C4"/>
    <w:rsid w:val="004C4924"/>
    <w:rsid w:val="004C49FF"/>
    <w:rsid w:val="004C50D3"/>
    <w:rsid w:val="004C51C1"/>
    <w:rsid w:val="004C5D78"/>
    <w:rsid w:val="004C605A"/>
    <w:rsid w:val="004C723B"/>
    <w:rsid w:val="004D072D"/>
    <w:rsid w:val="004D1509"/>
    <w:rsid w:val="004D1915"/>
    <w:rsid w:val="004D3576"/>
    <w:rsid w:val="004D374A"/>
    <w:rsid w:val="004D4D20"/>
    <w:rsid w:val="004D5A62"/>
    <w:rsid w:val="004D6CD2"/>
    <w:rsid w:val="004D7800"/>
    <w:rsid w:val="004E1473"/>
    <w:rsid w:val="004E184E"/>
    <w:rsid w:val="004E2288"/>
    <w:rsid w:val="004E33F0"/>
    <w:rsid w:val="004E4BE8"/>
    <w:rsid w:val="004E5A73"/>
    <w:rsid w:val="004E5C7E"/>
    <w:rsid w:val="004E5E4E"/>
    <w:rsid w:val="004E7120"/>
    <w:rsid w:val="004E7D9D"/>
    <w:rsid w:val="004F0014"/>
    <w:rsid w:val="004F0584"/>
    <w:rsid w:val="004F0627"/>
    <w:rsid w:val="004F128E"/>
    <w:rsid w:val="004F1563"/>
    <w:rsid w:val="004F1AD1"/>
    <w:rsid w:val="004F24F2"/>
    <w:rsid w:val="004F2922"/>
    <w:rsid w:val="004F36DB"/>
    <w:rsid w:val="004F568B"/>
    <w:rsid w:val="004F60BE"/>
    <w:rsid w:val="004F6366"/>
    <w:rsid w:val="0050034B"/>
    <w:rsid w:val="0050064D"/>
    <w:rsid w:val="00506CB7"/>
    <w:rsid w:val="00506EE2"/>
    <w:rsid w:val="005070AA"/>
    <w:rsid w:val="0050759A"/>
    <w:rsid w:val="00507FE0"/>
    <w:rsid w:val="00510A58"/>
    <w:rsid w:val="005112D6"/>
    <w:rsid w:val="0051337B"/>
    <w:rsid w:val="00515FC4"/>
    <w:rsid w:val="005163DE"/>
    <w:rsid w:val="0051695F"/>
    <w:rsid w:val="00517462"/>
    <w:rsid w:val="0051770B"/>
    <w:rsid w:val="00517E0D"/>
    <w:rsid w:val="0052009F"/>
    <w:rsid w:val="00520224"/>
    <w:rsid w:val="005210A1"/>
    <w:rsid w:val="0052135F"/>
    <w:rsid w:val="00522F95"/>
    <w:rsid w:val="00523153"/>
    <w:rsid w:val="005245CE"/>
    <w:rsid w:val="00525614"/>
    <w:rsid w:val="005260C2"/>
    <w:rsid w:val="005261C0"/>
    <w:rsid w:val="005278B0"/>
    <w:rsid w:val="00527B60"/>
    <w:rsid w:val="00530E43"/>
    <w:rsid w:val="00530EBD"/>
    <w:rsid w:val="0053185A"/>
    <w:rsid w:val="00533C01"/>
    <w:rsid w:val="00533E21"/>
    <w:rsid w:val="0053487B"/>
    <w:rsid w:val="00534BAD"/>
    <w:rsid w:val="00535245"/>
    <w:rsid w:val="00536C50"/>
    <w:rsid w:val="00536CDD"/>
    <w:rsid w:val="005377CB"/>
    <w:rsid w:val="00537B7B"/>
    <w:rsid w:val="005417EF"/>
    <w:rsid w:val="00541B7B"/>
    <w:rsid w:val="005423B5"/>
    <w:rsid w:val="00542ACF"/>
    <w:rsid w:val="005438BD"/>
    <w:rsid w:val="00544490"/>
    <w:rsid w:val="005444C7"/>
    <w:rsid w:val="00551F84"/>
    <w:rsid w:val="0055222F"/>
    <w:rsid w:val="005523A4"/>
    <w:rsid w:val="00553C26"/>
    <w:rsid w:val="00554F3E"/>
    <w:rsid w:val="00555128"/>
    <w:rsid w:val="00555AA9"/>
    <w:rsid w:val="005566C0"/>
    <w:rsid w:val="00561170"/>
    <w:rsid w:val="0056127C"/>
    <w:rsid w:val="00562571"/>
    <w:rsid w:val="005628DF"/>
    <w:rsid w:val="00563145"/>
    <w:rsid w:val="00563712"/>
    <w:rsid w:val="005644E5"/>
    <w:rsid w:val="00564A5E"/>
    <w:rsid w:val="005671FF"/>
    <w:rsid w:val="00567AA2"/>
    <w:rsid w:val="00572217"/>
    <w:rsid w:val="00573868"/>
    <w:rsid w:val="005743AF"/>
    <w:rsid w:val="00574656"/>
    <w:rsid w:val="00576892"/>
    <w:rsid w:val="0057755D"/>
    <w:rsid w:val="00580AF5"/>
    <w:rsid w:val="00581403"/>
    <w:rsid w:val="00581B97"/>
    <w:rsid w:val="00582546"/>
    <w:rsid w:val="00582A0F"/>
    <w:rsid w:val="00582ACF"/>
    <w:rsid w:val="00582FBF"/>
    <w:rsid w:val="00586116"/>
    <w:rsid w:val="00587181"/>
    <w:rsid w:val="00587F8A"/>
    <w:rsid w:val="00587FE9"/>
    <w:rsid w:val="005918FF"/>
    <w:rsid w:val="0059218B"/>
    <w:rsid w:val="0059315C"/>
    <w:rsid w:val="00593A7E"/>
    <w:rsid w:val="00593DC3"/>
    <w:rsid w:val="0059604F"/>
    <w:rsid w:val="0059691D"/>
    <w:rsid w:val="00597215"/>
    <w:rsid w:val="00597661"/>
    <w:rsid w:val="005A07DF"/>
    <w:rsid w:val="005A1AEE"/>
    <w:rsid w:val="005A396E"/>
    <w:rsid w:val="005A43F3"/>
    <w:rsid w:val="005A46C0"/>
    <w:rsid w:val="005A59AA"/>
    <w:rsid w:val="005A6F28"/>
    <w:rsid w:val="005A6F8C"/>
    <w:rsid w:val="005A71C0"/>
    <w:rsid w:val="005A75DF"/>
    <w:rsid w:val="005A776E"/>
    <w:rsid w:val="005B06BA"/>
    <w:rsid w:val="005B3CA8"/>
    <w:rsid w:val="005B408D"/>
    <w:rsid w:val="005B476B"/>
    <w:rsid w:val="005B4893"/>
    <w:rsid w:val="005B608E"/>
    <w:rsid w:val="005C00FC"/>
    <w:rsid w:val="005C09D0"/>
    <w:rsid w:val="005C12A8"/>
    <w:rsid w:val="005C18B9"/>
    <w:rsid w:val="005C276B"/>
    <w:rsid w:val="005C3706"/>
    <w:rsid w:val="005C48DF"/>
    <w:rsid w:val="005C555D"/>
    <w:rsid w:val="005C58AA"/>
    <w:rsid w:val="005C58BF"/>
    <w:rsid w:val="005C7466"/>
    <w:rsid w:val="005C7B21"/>
    <w:rsid w:val="005D0063"/>
    <w:rsid w:val="005D29F0"/>
    <w:rsid w:val="005D2B38"/>
    <w:rsid w:val="005D422F"/>
    <w:rsid w:val="005D5A51"/>
    <w:rsid w:val="005D73C1"/>
    <w:rsid w:val="005D780B"/>
    <w:rsid w:val="005D7917"/>
    <w:rsid w:val="005E0EFA"/>
    <w:rsid w:val="005E1456"/>
    <w:rsid w:val="005E2134"/>
    <w:rsid w:val="005E2AE7"/>
    <w:rsid w:val="005E2C73"/>
    <w:rsid w:val="005E33F2"/>
    <w:rsid w:val="005E3DD7"/>
    <w:rsid w:val="005E485E"/>
    <w:rsid w:val="005E4BF2"/>
    <w:rsid w:val="005E50BA"/>
    <w:rsid w:val="005E5597"/>
    <w:rsid w:val="005E57E4"/>
    <w:rsid w:val="005E6DF7"/>
    <w:rsid w:val="005E6E01"/>
    <w:rsid w:val="005E7794"/>
    <w:rsid w:val="005E7AC8"/>
    <w:rsid w:val="005E7CB7"/>
    <w:rsid w:val="005F1FF7"/>
    <w:rsid w:val="005F25ED"/>
    <w:rsid w:val="005F41AA"/>
    <w:rsid w:val="005F44F3"/>
    <w:rsid w:val="005F4685"/>
    <w:rsid w:val="005F4E19"/>
    <w:rsid w:val="005F5860"/>
    <w:rsid w:val="005F66F5"/>
    <w:rsid w:val="005F7B87"/>
    <w:rsid w:val="00600BC7"/>
    <w:rsid w:val="006049BC"/>
    <w:rsid w:val="00604FBB"/>
    <w:rsid w:val="0060544A"/>
    <w:rsid w:val="0060694A"/>
    <w:rsid w:val="00607067"/>
    <w:rsid w:val="00611A94"/>
    <w:rsid w:val="00612B5C"/>
    <w:rsid w:val="006135C2"/>
    <w:rsid w:val="006154EE"/>
    <w:rsid w:val="00615F8C"/>
    <w:rsid w:val="0061663A"/>
    <w:rsid w:val="006177F5"/>
    <w:rsid w:val="00617C12"/>
    <w:rsid w:val="0062060F"/>
    <w:rsid w:val="00621821"/>
    <w:rsid w:val="006219FB"/>
    <w:rsid w:val="00622140"/>
    <w:rsid w:val="00623592"/>
    <w:rsid w:val="00623AB3"/>
    <w:rsid w:val="00623FA6"/>
    <w:rsid w:val="00624525"/>
    <w:rsid w:val="00624645"/>
    <w:rsid w:val="006253B1"/>
    <w:rsid w:val="006267DA"/>
    <w:rsid w:val="00626980"/>
    <w:rsid w:val="00627924"/>
    <w:rsid w:val="00627EA4"/>
    <w:rsid w:val="00630320"/>
    <w:rsid w:val="00630CCD"/>
    <w:rsid w:val="006316D8"/>
    <w:rsid w:val="0063486B"/>
    <w:rsid w:val="00635290"/>
    <w:rsid w:val="00635612"/>
    <w:rsid w:val="00635C25"/>
    <w:rsid w:val="006360FD"/>
    <w:rsid w:val="006370B3"/>
    <w:rsid w:val="0063774B"/>
    <w:rsid w:val="006408A7"/>
    <w:rsid w:val="006408D4"/>
    <w:rsid w:val="00640B4F"/>
    <w:rsid w:val="0064299B"/>
    <w:rsid w:val="00642BCF"/>
    <w:rsid w:val="006445DF"/>
    <w:rsid w:val="006445EF"/>
    <w:rsid w:val="00644A24"/>
    <w:rsid w:val="00645942"/>
    <w:rsid w:val="00646672"/>
    <w:rsid w:val="0064743F"/>
    <w:rsid w:val="006502BE"/>
    <w:rsid w:val="00650499"/>
    <w:rsid w:val="006504C3"/>
    <w:rsid w:val="00651697"/>
    <w:rsid w:val="00652509"/>
    <w:rsid w:val="0065438A"/>
    <w:rsid w:val="00654E8A"/>
    <w:rsid w:val="006552FB"/>
    <w:rsid w:val="00655A89"/>
    <w:rsid w:val="0065663C"/>
    <w:rsid w:val="00656B1B"/>
    <w:rsid w:val="006572CB"/>
    <w:rsid w:val="006575A7"/>
    <w:rsid w:val="00660E4D"/>
    <w:rsid w:val="006623F8"/>
    <w:rsid w:val="00662A27"/>
    <w:rsid w:val="00663D0E"/>
    <w:rsid w:val="00664392"/>
    <w:rsid w:val="00664D1A"/>
    <w:rsid w:val="0066552C"/>
    <w:rsid w:val="006675A8"/>
    <w:rsid w:val="0067112F"/>
    <w:rsid w:val="0067163D"/>
    <w:rsid w:val="00671815"/>
    <w:rsid w:val="00671F36"/>
    <w:rsid w:val="00672139"/>
    <w:rsid w:val="00672588"/>
    <w:rsid w:val="00673104"/>
    <w:rsid w:val="00673757"/>
    <w:rsid w:val="006746FC"/>
    <w:rsid w:val="00674892"/>
    <w:rsid w:val="00674CF7"/>
    <w:rsid w:val="006753D9"/>
    <w:rsid w:val="006765C6"/>
    <w:rsid w:val="0067726E"/>
    <w:rsid w:val="006806D9"/>
    <w:rsid w:val="00681BFC"/>
    <w:rsid w:val="00683270"/>
    <w:rsid w:val="00683272"/>
    <w:rsid w:val="00685C35"/>
    <w:rsid w:val="006869EA"/>
    <w:rsid w:val="00690B77"/>
    <w:rsid w:val="006910F7"/>
    <w:rsid w:val="00691CC3"/>
    <w:rsid w:val="00692A05"/>
    <w:rsid w:val="006931B9"/>
    <w:rsid w:val="00693614"/>
    <w:rsid w:val="00693ECA"/>
    <w:rsid w:val="00697538"/>
    <w:rsid w:val="006A1807"/>
    <w:rsid w:val="006A32D2"/>
    <w:rsid w:val="006A399C"/>
    <w:rsid w:val="006A3C95"/>
    <w:rsid w:val="006A3EF9"/>
    <w:rsid w:val="006A4490"/>
    <w:rsid w:val="006A4603"/>
    <w:rsid w:val="006A5A04"/>
    <w:rsid w:val="006A6862"/>
    <w:rsid w:val="006A7A21"/>
    <w:rsid w:val="006B2184"/>
    <w:rsid w:val="006B3CBB"/>
    <w:rsid w:val="006B5A87"/>
    <w:rsid w:val="006B5AD8"/>
    <w:rsid w:val="006B5D9C"/>
    <w:rsid w:val="006B6E0A"/>
    <w:rsid w:val="006B77D0"/>
    <w:rsid w:val="006B7988"/>
    <w:rsid w:val="006C0987"/>
    <w:rsid w:val="006C3025"/>
    <w:rsid w:val="006C4FE7"/>
    <w:rsid w:val="006C5014"/>
    <w:rsid w:val="006C5201"/>
    <w:rsid w:val="006C6B00"/>
    <w:rsid w:val="006C72B3"/>
    <w:rsid w:val="006D14C6"/>
    <w:rsid w:val="006D261E"/>
    <w:rsid w:val="006D2D3C"/>
    <w:rsid w:val="006D31EF"/>
    <w:rsid w:val="006D38B9"/>
    <w:rsid w:val="006D3ACA"/>
    <w:rsid w:val="006D5DA9"/>
    <w:rsid w:val="006D602E"/>
    <w:rsid w:val="006E0273"/>
    <w:rsid w:val="006E2ADA"/>
    <w:rsid w:val="006E3BB3"/>
    <w:rsid w:val="006E4702"/>
    <w:rsid w:val="006E5123"/>
    <w:rsid w:val="006E537F"/>
    <w:rsid w:val="006E5AD3"/>
    <w:rsid w:val="006E6E75"/>
    <w:rsid w:val="006E742E"/>
    <w:rsid w:val="006F00D2"/>
    <w:rsid w:val="006F1F6F"/>
    <w:rsid w:val="006F2D95"/>
    <w:rsid w:val="006F65D7"/>
    <w:rsid w:val="007002D1"/>
    <w:rsid w:val="007024B9"/>
    <w:rsid w:val="007045E0"/>
    <w:rsid w:val="0070554C"/>
    <w:rsid w:val="007068BD"/>
    <w:rsid w:val="00706D7A"/>
    <w:rsid w:val="00710D40"/>
    <w:rsid w:val="00710D9C"/>
    <w:rsid w:val="00711745"/>
    <w:rsid w:val="00711B41"/>
    <w:rsid w:val="00711CD1"/>
    <w:rsid w:val="00713B80"/>
    <w:rsid w:val="00714E85"/>
    <w:rsid w:val="00716788"/>
    <w:rsid w:val="007172DB"/>
    <w:rsid w:val="00720CD8"/>
    <w:rsid w:val="0072172D"/>
    <w:rsid w:val="0072344A"/>
    <w:rsid w:val="0072396F"/>
    <w:rsid w:val="00723EF5"/>
    <w:rsid w:val="007243BB"/>
    <w:rsid w:val="00724E61"/>
    <w:rsid w:val="00725583"/>
    <w:rsid w:val="00725999"/>
    <w:rsid w:val="0072630F"/>
    <w:rsid w:val="00726EF0"/>
    <w:rsid w:val="00727F26"/>
    <w:rsid w:val="00730E93"/>
    <w:rsid w:val="0073117E"/>
    <w:rsid w:val="007315D4"/>
    <w:rsid w:val="007319E1"/>
    <w:rsid w:val="0073210E"/>
    <w:rsid w:val="007328F7"/>
    <w:rsid w:val="00733147"/>
    <w:rsid w:val="00733505"/>
    <w:rsid w:val="007343E8"/>
    <w:rsid w:val="0073648E"/>
    <w:rsid w:val="00737D69"/>
    <w:rsid w:val="00740C7E"/>
    <w:rsid w:val="007411C5"/>
    <w:rsid w:val="007413FB"/>
    <w:rsid w:val="00741D5F"/>
    <w:rsid w:val="00741FFC"/>
    <w:rsid w:val="00742475"/>
    <w:rsid w:val="00742850"/>
    <w:rsid w:val="00742B33"/>
    <w:rsid w:val="00742DF8"/>
    <w:rsid w:val="007445E6"/>
    <w:rsid w:val="00744953"/>
    <w:rsid w:val="00746AA3"/>
    <w:rsid w:val="00747100"/>
    <w:rsid w:val="00747CA6"/>
    <w:rsid w:val="00750A7E"/>
    <w:rsid w:val="00751B7A"/>
    <w:rsid w:val="007544E3"/>
    <w:rsid w:val="0075534C"/>
    <w:rsid w:val="007556EE"/>
    <w:rsid w:val="0075573E"/>
    <w:rsid w:val="00755991"/>
    <w:rsid w:val="00755A05"/>
    <w:rsid w:val="007567A7"/>
    <w:rsid w:val="007567C5"/>
    <w:rsid w:val="00764814"/>
    <w:rsid w:val="00764E7B"/>
    <w:rsid w:val="00765D49"/>
    <w:rsid w:val="00766082"/>
    <w:rsid w:val="00770BCC"/>
    <w:rsid w:val="00771165"/>
    <w:rsid w:val="007718D7"/>
    <w:rsid w:val="00775905"/>
    <w:rsid w:val="00775B38"/>
    <w:rsid w:val="00776D8E"/>
    <w:rsid w:val="00777354"/>
    <w:rsid w:val="0078047A"/>
    <w:rsid w:val="0078090B"/>
    <w:rsid w:val="0078145A"/>
    <w:rsid w:val="00782CE4"/>
    <w:rsid w:val="007832A8"/>
    <w:rsid w:val="00783AD1"/>
    <w:rsid w:val="00784B74"/>
    <w:rsid w:val="00785FCF"/>
    <w:rsid w:val="007866FD"/>
    <w:rsid w:val="00790FC8"/>
    <w:rsid w:val="0079139A"/>
    <w:rsid w:val="00792649"/>
    <w:rsid w:val="00793343"/>
    <w:rsid w:val="007939A1"/>
    <w:rsid w:val="00795D4F"/>
    <w:rsid w:val="007961D1"/>
    <w:rsid w:val="007967D9"/>
    <w:rsid w:val="00796B50"/>
    <w:rsid w:val="00797D29"/>
    <w:rsid w:val="007A0017"/>
    <w:rsid w:val="007A02E7"/>
    <w:rsid w:val="007A076C"/>
    <w:rsid w:val="007A11F5"/>
    <w:rsid w:val="007A3066"/>
    <w:rsid w:val="007A59FC"/>
    <w:rsid w:val="007A6B3A"/>
    <w:rsid w:val="007A6E78"/>
    <w:rsid w:val="007A6E88"/>
    <w:rsid w:val="007A730C"/>
    <w:rsid w:val="007A7336"/>
    <w:rsid w:val="007B29F0"/>
    <w:rsid w:val="007B2C4D"/>
    <w:rsid w:val="007B3A0D"/>
    <w:rsid w:val="007B4E34"/>
    <w:rsid w:val="007B5C1C"/>
    <w:rsid w:val="007B6FBD"/>
    <w:rsid w:val="007B71D7"/>
    <w:rsid w:val="007B7449"/>
    <w:rsid w:val="007B7C45"/>
    <w:rsid w:val="007C0312"/>
    <w:rsid w:val="007C4486"/>
    <w:rsid w:val="007C6259"/>
    <w:rsid w:val="007C67BF"/>
    <w:rsid w:val="007C706E"/>
    <w:rsid w:val="007C75DE"/>
    <w:rsid w:val="007C76AD"/>
    <w:rsid w:val="007C77D4"/>
    <w:rsid w:val="007D061D"/>
    <w:rsid w:val="007D26D7"/>
    <w:rsid w:val="007D291F"/>
    <w:rsid w:val="007D37F8"/>
    <w:rsid w:val="007D3C71"/>
    <w:rsid w:val="007D4D5C"/>
    <w:rsid w:val="007D643F"/>
    <w:rsid w:val="007E1600"/>
    <w:rsid w:val="007E1740"/>
    <w:rsid w:val="007E395A"/>
    <w:rsid w:val="007E4449"/>
    <w:rsid w:val="007E4FA5"/>
    <w:rsid w:val="007E57BE"/>
    <w:rsid w:val="007E6EE2"/>
    <w:rsid w:val="007E7AC1"/>
    <w:rsid w:val="007F1C88"/>
    <w:rsid w:val="007F4FC6"/>
    <w:rsid w:val="007F5038"/>
    <w:rsid w:val="007F591F"/>
    <w:rsid w:val="007F6B01"/>
    <w:rsid w:val="007F6DAD"/>
    <w:rsid w:val="007F7D0F"/>
    <w:rsid w:val="008017A8"/>
    <w:rsid w:val="00803B2D"/>
    <w:rsid w:val="00803BFA"/>
    <w:rsid w:val="00804B35"/>
    <w:rsid w:val="008061F0"/>
    <w:rsid w:val="00810BD6"/>
    <w:rsid w:val="00810D9D"/>
    <w:rsid w:val="00811C78"/>
    <w:rsid w:val="00811E02"/>
    <w:rsid w:val="008125AD"/>
    <w:rsid w:val="008134B8"/>
    <w:rsid w:val="00814BB1"/>
    <w:rsid w:val="00815A6D"/>
    <w:rsid w:val="00815ED4"/>
    <w:rsid w:val="0081655D"/>
    <w:rsid w:val="008172BD"/>
    <w:rsid w:val="008174EA"/>
    <w:rsid w:val="008179A4"/>
    <w:rsid w:val="008215EB"/>
    <w:rsid w:val="008218FB"/>
    <w:rsid w:val="00821CA0"/>
    <w:rsid w:val="008221B3"/>
    <w:rsid w:val="008222E4"/>
    <w:rsid w:val="00823EF6"/>
    <w:rsid w:val="00824584"/>
    <w:rsid w:val="0082580C"/>
    <w:rsid w:val="008258AB"/>
    <w:rsid w:val="00826940"/>
    <w:rsid w:val="00826AD6"/>
    <w:rsid w:val="0082779B"/>
    <w:rsid w:val="00827E83"/>
    <w:rsid w:val="00830170"/>
    <w:rsid w:val="008303DE"/>
    <w:rsid w:val="00831116"/>
    <w:rsid w:val="00831BB0"/>
    <w:rsid w:val="00832000"/>
    <w:rsid w:val="0083375B"/>
    <w:rsid w:val="00834416"/>
    <w:rsid w:val="0083489E"/>
    <w:rsid w:val="00834C1A"/>
    <w:rsid w:val="00835339"/>
    <w:rsid w:val="00835FCC"/>
    <w:rsid w:val="00836092"/>
    <w:rsid w:val="008367BA"/>
    <w:rsid w:val="008372B3"/>
    <w:rsid w:val="00837734"/>
    <w:rsid w:val="008408DD"/>
    <w:rsid w:val="00841080"/>
    <w:rsid w:val="00841453"/>
    <w:rsid w:val="00841AB9"/>
    <w:rsid w:val="0084455F"/>
    <w:rsid w:val="008453EC"/>
    <w:rsid w:val="00845926"/>
    <w:rsid w:val="0084679A"/>
    <w:rsid w:val="00850317"/>
    <w:rsid w:val="00850E2D"/>
    <w:rsid w:val="00851098"/>
    <w:rsid w:val="008512C3"/>
    <w:rsid w:val="00851B0D"/>
    <w:rsid w:val="00851EBD"/>
    <w:rsid w:val="008536FB"/>
    <w:rsid w:val="00853CE7"/>
    <w:rsid w:val="008549AD"/>
    <w:rsid w:val="00854FC1"/>
    <w:rsid w:val="00855F00"/>
    <w:rsid w:val="0085698D"/>
    <w:rsid w:val="0085740E"/>
    <w:rsid w:val="00857642"/>
    <w:rsid w:val="008602BA"/>
    <w:rsid w:val="00860CEF"/>
    <w:rsid w:val="00861C29"/>
    <w:rsid w:val="0086287D"/>
    <w:rsid w:val="00862A3A"/>
    <w:rsid w:val="0086467A"/>
    <w:rsid w:val="008657F0"/>
    <w:rsid w:val="008658FE"/>
    <w:rsid w:val="0086722D"/>
    <w:rsid w:val="008676B8"/>
    <w:rsid w:val="00870852"/>
    <w:rsid w:val="00873C98"/>
    <w:rsid w:val="00874242"/>
    <w:rsid w:val="0087452C"/>
    <w:rsid w:val="00874D70"/>
    <w:rsid w:val="00875192"/>
    <w:rsid w:val="00875DBE"/>
    <w:rsid w:val="00875EAC"/>
    <w:rsid w:val="00876054"/>
    <w:rsid w:val="00876494"/>
    <w:rsid w:val="008805DB"/>
    <w:rsid w:val="00880F0F"/>
    <w:rsid w:val="008825C2"/>
    <w:rsid w:val="008835B0"/>
    <w:rsid w:val="00883FE1"/>
    <w:rsid w:val="00884295"/>
    <w:rsid w:val="00886F9B"/>
    <w:rsid w:val="0089054D"/>
    <w:rsid w:val="00890D6A"/>
    <w:rsid w:val="00890E39"/>
    <w:rsid w:val="0089280D"/>
    <w:rsid w:val="008954BC"/>
    <w:rsid w:val="0089587B"/>
    <w:rsid w:val="008962C0"/>
    <w:rsid w:val="0089630C"/>
    <w:rsid w:val="0089698C"/>
    <w:rsid w:val="0089749B"/>
    <w:rsid w:val="00897706"/>
    <w:rsid w:val="008A123D"/>
    <w:rsid w:val="008A2A3D"/>
    <w:rsid w:val="008A4636"/>
    <w:rsid w:val="008A4A1A"/>
    <w:rsid w:val="008A572C"/>
    <w:rsid w:val="008A5B71"/>
    <w:rsid w:val="008A6AE2"/>
    <w:rsid w:val="008A6D47"/>
    <w:rsid w:val="008A7674"/>
    <w:rsid w:val="008B0923"/>
    <w:rsid w:val="008B0C58"/>
    <w:rsid w:val="008B1052"/>
    <w:rsid w:val="008B13F4"/>
    <w:rsid w:val="008B19B0"/>
    <w:rsid w:val="008B3BD9"/>
    <w:rsid w:val="008B4883"/>
    <w:rsid w:val="008B5FD7"/>
    <w:rsid w:val="008B6BBA"/>
    <w:rsid w:val="008B7409"/>
    <w:rsid w:val="008C13FB"/>
    <w:rsid w:val="008C17E3"/>
    <w:rsid w:val="008C206F"/>
    <w:rsid w:val="008C2BCA"/>
    <w:rsid w:val="008C2E2C"/>
    <w:rsid w:val="008C2F7C"/>
    <w:rsid w:val="008C52FC"/>
    <w:rsid w:val="008C62F3"/>
    <w:rsid w:val="008C6A04"/>
    <w:rsid w:val="008C7B00"/>
    <w:rsid w:val="008D1998"/>
    <w:rsid w:val="008D1AFE"/>
    <w:rsid w:val="008D4125"/>
    <w:rsid w:val="008D4D75"/>
    <w:rsid w:val="008D66D6"/>
    <w:rsid w:val="008D77F7"/>
    <w:rsid w:val="008D7EEF"/>
    <w:rsid w:val="008E06F7"/>
    <w:rsid w:val="008E0ECB"/>
    <w:rsid w:val="008E1BDF"/>
    <w:rsid w:val="008E2653"/>
    <w:rsid w:val="008E2F62"/>
    <w:rsid w:val="008E387B"/>
    <w:rsid w:val="008E683F"/>
    <w:rsid w:val="008E7E49"/>
    <w:rsid w:val="008F032E"/>
    <w:rsid w:val="008F1014"/>
    <w:rsid w:val="008F3CF4"/>
    <w:rsid w:val="008F6C37"/>
    <w:rsid w:val="009030BC"/>
    <w:rsid w:val="009035EA"/>
    <w:rsid w:val="009037AE"/>
    <w:rsid w:val="009042C3"/>
    <w:rsid w:val="0090492B"/>
    <w:rsid w:val="00904CF0"/>
    <w:rsid w:val="00906266"/>
    <w:rsid w:val="009106F9"/>
    <w:rsid w:val="00912DB0"/>
    <w:rsid w:val="00917447"/>
    <w:rsid w:val="009174F9"/>
    <w:rsid w:val="0092133D"/>
    <w:rsid w:val="0092260C"/>
    <w:rsid w:val="00923761"/>
    <w:rsid w:val="00923E54"/>
    <w:rsid w:val="009246FF"/>
    <w:rsid w:val="009259F5"/>
    <w:rsid w:val="00925BE8"/>
    <w:rsid w:val="00925EA1"/>
    <w:rsid w:val="0092797A"/>
    <w:rsid w:val="00927A1E"/>
    <w:rsid w:val="00927A82"/>
    <w:rsid w:val="00930893"/>
    <w:rsid w:val="0093113A"/>
    <w:rsid w:val="00931EB1"/>
    <w:rsid w:val="009330E8"/>
    <w:rsid w:val="00933442"/>
    <w:rsid w:val="00933DAB"/>
    <w:rsid w:val="00933E9D"/>
    <w:rsid w:val="009350DA"/>
    <w:rsid w:val="00935975"/>
    <w:rsid w:val="009373AF"/>
    <w:rsid w:val="00940CE2"/>
    <w:rsid w:val="009411A1"/>
    <w:rsid w:val="00941210"/>
    <w:rsid w:val="00941313"/>
    <w:rsid w:val="00942047"/>
    <w:rsid w:val="00943314"/>
    <w:rsid w:val="009434F0"/>
    <w:rsid w:val="00943FD2"/>
    <w:rsid w:val="00944A76"/>
    <w:rsid w:val="00944FD8"/>
    <w:rsid w:val="00945ADF"/>
    <w:rsid w:val="00946A1A"/>
    <w:rsid w:val="0095016B"/>
    <w:rsid w:val="0095016D"/>
    <w:rsid w:val="009506DE"/>
    <w:rsid w:val="009522DC"/>
    <w:rsid w:val="009529B8"/>
    <w:rsid w:val="00954D36"/>
    <w:rsid w:val="00955BFF"/>
    <w:rsid w:val="00955E08"/>
    <w:rsid w:val="00956205"/>
    <w:rsid w:val="00957379"/>
    <w:rsid w:val="009618F5"/>
    <w:rsid w:val="009625BB"/>
    <w:rsid w:val="00963AB7"/>
    <w:rsid w:val="009647BB"/>
    <w:rsid w:val="00964B31"/>
    <w:rsid w:val="00965A0A"/>
    <w:rsid w:val="0096684C"/>
    <w:rsid w:val="00967A7D"/>
    <w:rsid w:val="0097004D"/>
    <w:rsid w:val="00970428"/>
    <w:rsid w:val="009710EB"/>
    <w:rsid w:val="009715A3"/>
    <w:rsid w:val="00973BBF"/>
    <w:rsid w:val="00973C39"/>
    <w:rsid w:val="00975094"/>
    <w:rsid w:val="00976197"/>
    <w:rsid w:val="009761CE"/>
    <w:rsid w:val="00981369"/>
    <w:rsid w:val="00981CFF"/>
    <w:rsid w:val="0098266E"/>
    <w:rsid w:val="00982690"/>
    <w:rsid w:val="0098493D"/>
    <w:rsid w:val="00984AA0"/>
    <w:rsid w:val="00985348"/>
    <w:rsid w:val="0098563F"/>
    <w:rsid w:val="00985793"/>
    <w:rsid w:val="0098603E"/>
    <w:rsid w:val="00986AF3"/>
    <w:rsid w:val="00986D1B"/>
    <w:rsid w:val="00987C2F"/>
    <w:rsid w:val="0099024A"/>
    <w:rsid w:val="0099389D"/>
    <w:rsid w:val="00993B4A"/>
    <w:rsid w:val="0099430B"/>
    <w:rsid w:val="00994DDC"/>
    <w:rsid w:val="0099511A"/>
    <w:rsid w:val="00995A18"/>
    <w:rsid w:val="009A0977"/>
    <w:rsid w:val="009A113D"/>
    <w:rsid w:val="009A13FF"/>
    <w:rsid w:val="009A27B9"/>
    <w:rsid w:val="009A34D8"/>
    <w:rsid w:val="009A3C48"/>
    <w:rsid w:val="009A4717"/>
    <w:rsid w:val="009A5BFE"/>
    <w:rsid w:val="009A5E4A"/>
    <w:rsid w:val="009A6E6D"/>
    <w:rsid w:val="009A6E9E"/>
    <w:rsid w:val="009A7A13"/>
    <w:rsid w:val="009B0630"/>
    <w:rsid w:val="009B0CD7"/>
    <w:rsid w:val="009B2217"/>
    <w:rsid w:val="009B22F3"/>
    <w:rsid w:val="009B3435"/>
    <w:rsid w:val="009B3FF8"/>
    <w:rsid w:val="009B471A"/>
    <w:rsid w:val="009B5057"/>
    <w:rsid w:val="009B6829"/>
    <w:rsid w:val="009B6C0B"/>
    <w:rsid w:val="009B6E7C"/>
    <w:rsid w:val="009B78C2"/>
    <w:rsid w:val="009C2640"/>
    <w:rsid w:val="009C2901"/>
    <w:rsid w:val="009C5BA4"/>
    <w:rsid w:val="009C6005"/>
    <w:rsid w:val="009C6556"/>
    <w:rsid w:val="009C660C"/>
    <w:rsid w:val="009C66CD"/>
    <w:rsid w:val="009C6765"/>
    <w:rsid w:val="009C78AE"/>
    <w:rsid w:val="009C7C7B"/>
    <w:rsid w:val="009D1ACC"/>
    <w:rsid w:val="009D2907"/>
    <w:rsid w:val="009D3F18"/>
    <w:rsid w:val="009D41A8"/>
    <w:rsid w:val="009D4671"/>
    <w:rsid w:val="009D5861"/>
    <w:rsid w:val="009D7C27"/>
    <w:rsid w:val="009E0E8F"/>
    <w:rsid w:val="009E194B"/>
    <w:rsid w:val="009E2651"/>
    <w:rsid w:val="009E3B84"/>
    <w:rsid w:val="009E6255"/>
    <w:rsid w:val="009F2A7C"/>
    <w:rsid w:val="009F6EA8"/>
    <w:rsid w:val="009F7CA6"/>
    <w:rsid w:val="00A01510"/>
    <w:rsid w:val="00A01848"/>
    <w:rsid w:val="00A02259"/>
    <w:rsid w:val="00A025DE"/>
    <w:rsid w:val="00A029E3"/>
    <w:rsid w:val="00A02BE3"/>
    <w:rsid w:val="00A03579"/>
    <w:rsid w:val="00A05ADA"/>
    <w:rsid w:val="00A07CA9"/>
    <w:rsid w:val="00A103B8"/>
    <w:rsid w:val="00A1141E"/>
    <w:rsid w:val="00A12134"/>
    <w:rsid w:val="00A13A8E"/>
    <w:rsid w:val="00A145A0"/>
    <w:rsid w:val="00A16523"/>
    <w:rsid w:val="00A16FAB"/>
    <w:rsid w:val="00A171C2"/>
    <w:rsid w:val="00A2099D"/>
    <w:rsid w:val="00A219AE"/>
    <w:rsid w:val="00A22DD0"/>
    <w:rsid w:val="00A234B3"/>
    <w:rsid w:val="00A24F3E"/>
    <w:rsid w:val="00A25C41"/>
    <w:rsid w:val="00A2633F"/>
    <w:rsid w:val="00A2796A"/>
    <w:rsid w:val="00A34236"/>
    <w:rsid w:val="00A34E8B"/>
    <w:rsid w:val="00A356F1"/>
    <w:rsid w:val="00A35E4C"/>
    <w:rsid w:val="00A35E7F"/>
    <w:rsid w:val="00A35FCC"/>
    <w:rsid w:val="00A36B7C"/>
    <w:rsid w:val="00A36E7A"/>
    <w:rsid w:val="00A36FE6"/>
    <w:rsid w:val="00A40554"/>
    <w:rsid w:val="00A40C97"/>
    <w:rsid w:val="00A40F8A"/>
    <w:rsid w:val="00A419FA"/>
    <w:rsid w:val="00A41F47"/>
    <w:rsid w:val="00A42392"/>
    <w:rsid w:val="00A4295F"/>
    <w:rsid w:val="00A43179"/>
    <w:rsid w:val="00A45889"/>
    <w:rsid w:val="00A45A3A"/>
    <w:rsid w:val="00A51658"/>
    <w:rsid w:val="00A51804"/>
    <w:rsid w:val="00A51A3A"/>
    <w:rsid w:val="00A52CB8"/>
    <w:rsid w:val="00A55497"/>
    <w:rsid w:val="00A55FB0"/>
    <w:rsid w:val="00A60022"/>
    <w:rsid w:val="00A60D3E"/>
    <w:rsid w:val="00A61517"/>
    <w:rsid w:val="00A6205A"/>
    <w:rsid w:val="00A62558"/>
    <w:rsid w:val="00A634F7"/>
    <w:rsid w:val="00A63633"/>
    <w:rsid w:val="00A65362"/>
    <w:rsid w:val="00A67A16"/>
    <w:rsid w:val="00A71647"/>
    <w:rsid w:val="00A72255"/>
    <w:rsid w:val="00A72349"/>
    <w:rsid w:val="00A73130"/>
    <w:rsid w:val="00A7349A"/>
    <w:rsid w:val="00A73ADC"/>
    <w:rsid w:val="00A74826"/>
    <w:rsid w:val="00A74B0D"/>
    <w:rsid w:val="00A74C43"/>
    <w:rsid w:val="00A7548A"/>
    <w:rsid w:val="00A75CF5"/>
    <w:rsid w:val="00A75CFB"/>
    <w:rsid w:val="00A76113"/>
    <w:rsid w:val="00A76447"/>
    <w:rsid w:val="00A76512"/>
    <w:rsid w:val="00A77649"/>
    <w:rsid w:val="00A77A3F"/>
    <w:rsid w:val="00A804EE"/>
    <w:rsid w:val="00A80E51"/>
    <w:rsid w:val="00A832BD"/>
    <w:rsid w:val="00A83FDD"/>
    <w:rsid w:val="00A856D9"/>
    <w:rsid w:val="00A85A5E"/>
    <w:rsid w:val="00A87E30"/>
    <w:rsid w:val="00A91AFC"/>
    <w:rsid w:val="00A940B0"/>
    <w:rsid w:val="00A94551"/>
    <w:rsid w:val="00A94DA7"/>
    <w:rsid w:val="00A95787"/>
    <w:rsid w:val="00A95B2C"/>
    <w:rsid w:val="00A95F89"/>
    <w:rsid w:val="00A95FAF"/>
    <w:rsid w:val="00A96158"/>
    <w:rsid w:val="00A9662D"/>
    <w:rsid w:val="00A97CE1"/>
    <w:rsid w:val="00AA0F44"/>
    <w:rsid w:val="00AA10CE"/>
    <w:rsid w:val="00AA1429"/>
    <w:rsid w:val="00AA1F05"/>
    <w:rsid w:val="00AA294F"/>
    <w:rsid w:val="00AA33B1"/>
    <w:rsid w:val="00AA4C92"/>
    <w:rsid w:val="00AA5101"/>
    <w:rsid w:val="00AA549E"/>
    <w:rsid w:val="00AA7694"/>
    <w:rsid w:val="00AA77BD"/>
    <w:rsid w:val="00AB019D"/>
    <w:rsid w:val="00AB0739"/>
    <w:rsid w:val="00AB175E"/>
    <w:rsid w:val="00AB24BA"/>
    <w:rsid w:val="00AB39A8"/>
    <w:rsid w:val="00AB72B5"/>
    <w:rsid w:val="00AC0378"/>
    <w:rsid w:val="00AC0ABD"/>
    <w:rsid w:val="00AC0DCE"/>
    <w:rsid w:val="00AC1C6B"/>
    <w:rsid w:val="00AC370F"/>
    <w:rsid w:val="00AC50E7"/>
    <w:rsid w:val="00AC6EDD"/>
    <w:rsid w:val="00AD0CFC"/>
    <w:rsid w:val="00AD0D5D"/>
    <w:rsid w:val="00AD0F3C"/>
    <w:rsid w:val="00AD0F8E"/>
    <w:rsid w:val="00AD1DC2"/>
    <w:rsid w:val="00AD336B"/>
    <w:rsid w:val="00AD3B5D"/>
    <w:rsid w:val="00AD4E0A"/>
    <w:rsid w:val="00AD4FDA"/>
    <w:rsid w:val="00AD559C"/>
    <w:rsid w:val="00AD65E2"/>
    <w:rsid w:val="00AD6D14"/>
    <w:rsid w:val="00AE13FF"/>
    <w:rsid w:val="00AE1BDB"/>
    <w:rsid w:val="00AE1F91"/>
    <w:rsid w:val="00AE20F6"/>
    <w:rsid w:val="00AE21D7"/>
    <w:rsid w:val="00AE2708"/>
    <w:rsid w:val="00AE33DE"/>
    <w:rsid w:val="00AE4B00"/>
    <w:rsid w:val="00AE4D21"/>
    <w:rsid w:val="00AE4E42"/>
    <w:rsid w:val="00AE564B"/>
    <w:rsid w:val="00AE56D4"/>
    <w:rsid w:val="00AE6C29"/>
    <w:rsid w:val="00AE6EEA"/>
    <w:rsid w:val="00AE7319"/>
    <w:rsid w:val="00AE7485"/>
    <w:rsid w:val="00AE7E5A"/>
    <w:rsid w:val="00AF01C1"/>
    <w:rsid w:val="00AF0234"/>
    <w:rsid w:val="00AF1C8B"/>
    <w:rsid w:val="00AF24FA"/>
    <w:rsid w:val="00AF2A7E"/>
    <w:rsid w:val="00AF388F"/>
    <w:rsid w:val="00AF39E7"/>
    <w:rsid w:val="00AF4890"/>
    <w:rsid w:val="00AF4E20"/>
    <w:rsid w:val="00AF70E0"/>
    <w:rsid w:val="00B00F40"/>
    <w:rsid w:val="00B013DF"/>
    <w:rsid w:val="00B014CD"/>
    <w:rsid w:val="00B01845"/>
    <w:rsid w:val="00B01A6D"/>
    <w:rsid w:val="00B02975"/>
    <w:rsid w:val="00B02F83"/>
    <w:rsid w:val="00B0353A"/>
    <w:rsid w:val="00B04692"/>
    <w:rsid w:val="00B071C4"/>
    <w:rsid w:val="00B073CD"/>
    <w:rsid w:val="00B106CA"/>
    <w:rsid w:val="00B11BD6"/>
    <w:rsid w:val="00B128F6"/>
    <w:rsid w:val="00B13353"/>
    <w:rsid w:val="00B1348A"/>
    <w:rsid w:val="00B13D65"/>
    <w:rsid w:val="00B14810"/>
    <w:rsid w:val="00B14FD6"/>
    <w:rsid w:val="00B16580"/>
    <w:rsid w:val="00B16786"/>
    <w:rsid w:val="00B16ED3"/>
    <w:rsid w:val="00B17C92"/>
    <w:rsid w:val="00B204D2"/>
    <w:rsid w:val="00B20D99"/>
    <w:rsid w:val="00B21CA7"/>
    <w:rsid w:val="00B22C15"/>
    <w:rsid w:val="00B22D08"/>
    <w:rsid w:val="00B231F5"/>
    <w:rsid w:val="00B23327"/>
    <w:rsid w:val="00B23840"/>
    <w:rsid w:val="00B23AC7"/>
    <w:rsid w:val="00B254A9"/>
    <w:rsid w:val="00B25A6A"/>
    <w:rsid w:val="00B27848"/>
    <w:rsid w:val="00B27940"/>
    <w:rsid w:val="00B30FD1"/>
    <w:rsid w:val="00B313D7"/>
    <w:rsid w:val="00B3205A"/>
    <w:rsid w:val="00B3212C"/>
    <w:rsid w:val="00B32D2D"/>
    <w:rsid w:val="00B32EE8"/>
    <w:rsid w:val="00B345BD"/>
    <w:rsid w:val="00B34685"/>
    <w:rsid w:val="00B34819"/>
    <w:rsid w:val="00B3485E"/>
    <w:rsid w:val="00B34C55"/>
    <w:rsid w:val="00B35138"/>
    <w:rsid w:val="00B3533C"/>
    <w:rsid w:val="00B35D15"/>
    <w:rsid w:val="00B36553"/>
    <w:rsid w:val="00B41857"/>
    <w:rsid w:val="00B43110"/>
    <w:rsid w:val="00B43686"/>
    <w:rsid w:val="00B43D0F"/>
    <w:rsid w:val="00B454EC"/>
    <w:rsid w:val="00B45A7A"/>
    <w:rsid w:val="00B46967"/>
    <w:rsid w:val="00B505FC"/>
    <w:rsid w:val="00B51581"/>
    <w:rsid w:val="00B53484"/>
    <w:rsid w:val="00B5488E"/>
    <w:rsid w:val="00B5570A"/>
    <w:rsid w:val="00B57488"/>
    <w:rsid w:val="00B57DE0"/>
    <w:rsid w:val="00B611ED"/>
    <w:rsid w:val="00B6170A"/>
    <w:rsid w:val="00B627A6"/>
    <w:rsid w:val="00B629A5"/>
    <w:rsid w:val="00B634C1"/>
    <w:rsid w:val="00B63B6C"/>
    <w:rsid w:val="00B6570A"/>
    <w:rsid w:val="00B6582A"/>
    <w:rsid w:val="00B65F5D"/>
    <w:rsid w:val="00B661C1"/>
    <w:rsid w:val="00B714EE"/>
    <w:rsid w:val="00B71E02"/>
    <w:rsid w:val="00B7356F"/>
    <w:rsid w:val="00B74B90"/>
    <w:rsid w:val="00B74D1F"/>
    <w:rsid w:val="00B75DCC"/>
    <w:rsid w:val="00B768D5"/>
    <w:rsid w:val="00B76AB2"/>
    <w:rsid w:val="00B77071"/>
    <w:rsid w:val="00B800E3"/>
    <w:rsid w:val="00B802EC"/>
    <w:rsid w:val="00B812A6"/>
    <w:rsid w:val="00B818EF"/>
    <w:rsid w:val="00B81F4E"/>
    <w:rsid w:val="00B82DAA"/>
    <w:rsid w:val="00B83E55"/>
    <w:rsid w:val="00B841E8"/>
    <w:rsid w:val="00B842E5"/>
    <w:rsid w:val="00B84F7A"/>
    <w:rsid w:val="00B87199"/>
    <w:rsid w:val="00B902B8"/>
    <w:rsid w:val="00B90B71"/>
    <w:rsid w:val="00B92B7E"/>
    <w:rsid w:val="00B9307C"/>
    <w:rsid w:val="00B93647"/>
    <w:rsid w:val="00B94394"/>
    <w:rsid w:val="00B94A12"/>
    <w:rsid w:val="00B94A60"/>
    <w:rsid w:val="00B95087"/>
    <w:rsid w:val="00B9624B"/>
    <w:rsid w:val="00BA047F"/>
    <w:rsid w:val="00BA0CE9"/>
    <w:rsid w:val="00BA16E8"/>
    <w:rsid w:val="00BA1DB5"/>
    <w:rsid w:val="00BA2450"/>
    <w:rsid w:val="00BA3B05"/>
    <w:rsid w:val="00BA4664"/>
    <w:rsid w:val="00BA4796"/>
    <w:rsid w:val="00BA4A84"/>
    <w:rsid w:val="00BA5971"/>
    <w:rsid w:val="00BA6076"/>
    <w:rsid w:val="00BA6135"/>
    <w:rsid w:val="00BA6221"/>
    <w:rsid w:val="00BA666E"/>
    <w:rsid w:val="00BA6DEA"/>
    <w:rsid w:val="00BA77A9"/>
    <w:rsid w:val="00BB0905"/>
    <w:rsid w:val="00BB0BF0"/>
    <w:rsid w:val="00BB1236"/>
    <w:rsid w:val="00BB131D"/>
    <w:rsid w:val="00BB369D"/>
    <w:rsid w:val="00BB51C6"/>
    <w:rsid w:val="00BB51CC"/>
    <w:rsid w:val="00BB5EF7"/>
    <w:rsid w:val="00BB5F86"/>
    <w:rsid w:val="00BB6508"/>
    <w:rsid w:val="00BB6644"/>
    <w:rsid w:val="00BB667F"/>
    <w:rsid w:val="00BB74D1"/>
    <w:rsid w:val="00BB7EAA"/>
    <w:rsid w:val="00BC0D90"/>
    <w:rsid w:val="00BC1128"/>
    <w:rsid w:val="00BC30B6"/>
    <w:rsid w:val="00BC3B5A"/>
    <w:rsid w:val="00BC46C1"/>
    <w:rsid w:val="00BC46CC"/>
    <w:rsid w:val="00BC4F7D"/>
    <w:rsid w:val="00BC5A9C"/>
    <w:rsid w:val="00BC5BA5"/>
    <w:rsid w:val="00BC5DF2"/>
    <w:rsid w:val="00BC6D69"/>
    <w:rsid w:val="00BC773B"/>
    <w:rsid w:val="00BC7BDC"/>
    <w:rsid w:val="00BD132F"/>
    <w:rsid w:val="00BD2993"/>
    <w:rsid w:val="00BD29C3"/>
    <w:rsid w:val="00BD2A84"/>
    <w:rsid w:val="00BD2FE7"/>
    <w:rsid w:val="00BD4A60"/>
    <w:rsid w:val="00BD4BCC"/>
    <w:rsid w:val="00BD66DC"/>
    <w:rsid w:val="00BD6AC4"/>
    <w:rsid w:val="00BE03EE"/>
    <w:rsid w:val="00BE11FE"/>
    <w:rsid w:val="00BE15CA"/>
    <w:rsid w:val="00BE2526"/>
    <w:rsid w:val="00BE2D12"/>
    <w:rsid w:val="00BE369B"/>
    <w:rsid w:val="00BE4222"/>
    <w:rsid w:val="00BE4A19"/>
    <w:rsid w:val="00BE62DF"/>
    <w:rsid w:val="00BE775F"/>
    <w:rsid w:val="00BE7DDE"/>
    <w:rsid w:val="00BE7F20"/>
    <w:rsid w:val="00BF04C3"/>
    <w:rsid w:val="00BF0810"/>
    <w:rsid w:val="00BF296C"/>
    <w:rsid w:val="00BF3BD1"/>
    <w:rsid w:val="00BF41FC"/>
    <w:rsid w:val="00BF4B54"/>
    <w:rsid w:val="00BF4B8B"/>
    <w:rsid w:val="00BF52B5"/>
    <w:rsid w:val="00BF5DD0"/>
    <w:rsid w:val="00BF6CC1"/>
    <w:rsid w:val="00BF72D0"/>
    <w:rsid w:val="00C00F88"/>
    <w:rsid w:val="00C013C4"/>
    <w:rsid w:val="00C01D9D"/>
    <w:rsid w:val="00C02443"/>
    <w:rsid w:val="00C025FF"/>
    <w:rsid w:val="00C04022"/>
    <w:rsid w:val="00C04132"/>
    <w:rsid w:val="00C0417D"/>
    <w:rsid w:val="00C041AA"/>
    <w:rsid w:val="00C046E8"/>
    <w:rsid w:val="00C047E2"/>
    <w:rsid w:val="00C05386"/>
    <w:rsid w:val="00C06678"/>
    <w:rsid w:val="00C07893"/>
    <w:rsid w:val="00C07AC4"/>
    <w:rsid w:val="00C10610"/>
    <w:rsid w:val="00C10D6B"/>
    <w:rsid w:val="00C1158B"/>
    <w:rsid w:val="00C1218F"/>
    <w:rsid w:val="00C12193"/>
    <w:rsid w:val="00C1220E"/>
    <w:rsid w:val="00C1278D"/>
    <w:rsid w:val="00C12950"/>
    <w:rsid w:val="00C13697"/>
    <w:rsid w:val="00C13BA7"/>
    <w:rsid w:val="00C14C54"/>
    <w:rsid w:val="00C17959"/>
    <w:rsid w:val="00C17E51"/>
    <w:rsid w:val="00C217FF"/>
    <w:rsid w:val="00C21960"/>
    <w:rsid w:val="00C240B5"/>
    <w:rsid w:val="00C24E78"/>
    <w:rsid w:val="00C2509F"/>
    <w:rsid w:val="00C25734"/>
    <w:rsid w:val="00C27D70"/>
    <w:rsid w:val="00C30628"/>
    <w:rsid w:val="00C30E02"/>
    <w:rsid w:val="00C3126E"/>
    <w:rsid w:val="00C31582"/>
    <w:rsid w:val="00C31850"/>
    <w:rsid w:val="00C32CA9"/>
    <w:rsid w:val="00C34310"/>
    <w:rsid w:val="00C373E3"/>
    <w:rsid w:val="00C37F32"/>
    <w:rsid w:val="00C400A4"/>
    <w:rsid w:val="00C412C4"/>
    <w:rsid w:val="00C43233"/>
    <w:rsid w:val="00C437CE"/>
    <w:rsid w:val="00C43876"/>
    <w:rsid w:val="00C43D6F"/>
    <w:rsid w:val="00C45BEB"/>
    <w:rsid w:val="00C478B7"/>
    <w:rsid w:val="00C51D62"/>
    <w:rsid w:val="00C51FC4"/>
    <w:rsid w:val="00C5281C"/>
    <w:rsid w:val="00C52A93"/>
    <w:rsid w:val="00C53639"/>
    <w:rsid w:val="00C53851"/>
    <w:rsid w:val="00C53904"/>
    <w:rsid w:val="00C5402D"/>
    <w:rsid w:val="00C55A7A"/>
    <w:rsid w:val="00C56A92"/>
    <w:rsid w:val="00C603F8"/>
    <w:rsid w:val="00C605D2"/>
    <w:rsid w:val="00C6158B"/>
    <w:rsid w:val="00C62A78"/>
    <w:rsid w:val="00C62BDC"/>
    <w:rsid w:val="00C63778"/>
    <w:rsid w:val="00C637CC"/>
    <w:rsid w:val="00C648F6"/>
    <w:rsid w:val="00C64A96"/>
    <w:rsid w:val="00C64CCE"/>
    <w:rsid w:val="00C64F6D"/>
    <w:rsid w:val="00C65345"/>
    <w:rsid w:val="00C65886"/>
    <w:rsid w:val="00C66338"/>
    <w:rsid w:val="00C66F51"/>
    <w:rsid w:val="00C712DC"/>
    <w:rsid w:val="00C74564"/>
    <w:rsid w:val="00C754C3"/>
    <w:rsid w:val="00C75DB6"/>
    <w:rsid w:val="00C75FB5"/>
    <w:rsid w:val="00C76921"/>
    <w:rsid w:val="00C76D69"/>
    <w:rsid w:val="00C779FB"/>
    <w:rsid w:val="00C803C1"/>
    <w:rsid w:val="00C8068D"/>
    <w:rsid w:val="00C80888"/>
    <w:rsid w:val="00C815CC"/>
    <w:rsid w:val="00C8195D"/>
    <w:rsid w:val="00C82AF7"/>
    <w:rsid w:val="00C8305F"/>
    <w:rsid w:val="00C8322F"/>
    <w:rsid w:val="00C84073"/>
    <w:rsid w:val="00C8556D"/>
    <w:rsid w:val="00C873B3"/>
    <w:rsid w:val="00C90629"/>
    <w:rsid w:val="00C9070B"/>
    <w:rsid w:val="00C91E9A"/>
    <w:rsid w:val="00C94B4C"/>
    <w:rsid w:val="00C95007"/>
    <w:rsid w:val="00C956EE"/>
    <w:rsid w:val="00C96F5E"/>
    <w:rsid w:val="00C977EE"/>
    <w:rsid w:val="00C97FDF"/>
    <w:rsid w:val="00CA00D4"/>
    <w:rsid w:val="00CA09EA"/>
    <w:rsid w:val="00CA0B23"/>
    <w:rsid w:val="00CA1220"/>
    <w:rsid w:val="00CA1A55"/>
    <w:rsid w:val="00CA3595"/>
    <w:rsid w:val="00CA3617"/>
    <w:rsid w:val="00CA4B5F"/>
    <w:rsid w:val="00CA4C53"/>
    <w:rsid w:val="00CA59E7"/>
    <w:rsid w:val="00CA5F1F"/>
    <w:rsid w:val="00CA613D"/>
    <w:rsid w:val="00CA61DB"/>
    <w:rsid w:val="00CA6E1B"/>
    <w:rsid w:val="00CA6FF1"/>
    <w:rsid w:val="00CB05F7"/>
    <w:rsid w:val="00CB1517"/>
    <w:rsid w:val="00CB1854"/>
    <w:rsid w:val="00CB2164"/>
    <w:rsid w:val="00CB248D"/>
    <w:rsid w:val="00CB2802"/>
    <w:rsid w:val="00CB2B7F"/>
    <w:rsid w:val="00CB5300"/>
    <w:rsid w:val="00CB6036"/>
    <w:rsid w:val="00CB7015"/>
    <w:rsid w:val="00CC11E5"/>
    <w:rsid w:val="00CC3267"/>
    <w:rsid w:val="00CC449E"/>
    <w:rsid w:val="00CC7216"/>
    <w:rsid w:val="00CD24E0"/>
    <w:rsid w:val="00CD2837"/>
    <w:rsid w:val="00CD2CBE"/>
    <w:rsid w:val="00CD2F12"/>
    <w:rsid w:val="00CD34D7"/>
    <w:rsid w:val="00CD3A93"/>
    <w:rsid w:val="00CD3C4B"/>
    <w:rsid w:val="00CD5AE4"/>
    <w:rsid w:val="00CD5FC6"/>
    <w:rsid w:val="00CD6466"/>
    <w:rsid w:val="00CD6EFF"/>
    <w:rsid w:val="00CD7A98"/>
    <w:rsid w:val="00CD7BC2"/>
    <w:rsid w:val="00CD7C8A"/>
    <w:rsid w:val="00CE0521"/>
    <w:rsid w:val="00CE38D8"/>
    <w:rsid w:val="00CE449A"/>
    <w:rsid w:val="00CE4C26"/>
    <w:rsid w:val="00CE5E11"/>
    <w:rsid w:val="00CF0858"/>
    <w:rsid w:val="00CF1B38"/>
    <w:rsid w:val="00CF3E38"/>
    <w:rsid w:val="00CF46AF"/>
    <w:rsid w:val="00CF50D2"/>
    <w:rsid w:val="00CF5D7E"/>
    <w:rsid w:val="00CF68D6"/>
    <w:rsid w:val="00CF6FF5"/>
    <w:rsid w:val="00D001CF"/>
    <w:rsid w:val="00D00FF6"/>
    <w:rsid w:val="00D015AA"/>
    <w:rsid w:val="00D02999"/>
    <w:rsid w:val="00D02C0D"/>
    <w:rsid w:val="00D03EAD"/>
    <w:rsid w:val="00D0469B"/>
    <w:rsid w:val="00D0480F"/>
    <w:rsid w:val="00D04D18"/>
    <w:rsid w:val="00D0544A"/>
    <w:rsid w:val="00D10800"/>
    <w:rsid w:val="00D109CD"/>
    <w:rsid w:val="00D1163F"/>
    <w:rsid w:val="00D11DDE"/>
    <w:rsid w:val="00D12365"/>
    <w:rsid w:val="00D12CE5"/>
    <w:rsid w:val="00D132C0"/>
    <w:rsid w:val="00D15156"/>
    <w:rsid w:val="00D159D0"/>
    <w:rsid w:val="00D16155"/>
    <w:rsid w:val="00D1737F"/>
    <w:rsid w:val="00D20DAC"/>
    <w:rsid w:val="00D2194F"/>
    <w:rsid w:val="00D21B34"/>
    <w:rsid w:val="00D2210C"/>
    <w:rsid w:val="00D2327C"/>
    <w:rsid w:val="00D24271"/>
    <w:rsid w:val="00D25B88"/>
    <w:rsid w:val="00D25F78"/>
    <w:rsid w:val="00D27094"/>
    <w:rsid w:val="00D27A2A"/>
    <w:rsid w:val="00D30EC4"/>
    <w:rsid w:val="00D31AC5"/>
    <w:rsid w:val="00D32091"/>
    <w:rsid w:val="00D338DF"/>
    <w:rsid w:val="00D3402A"/>
    <w:rsid w:val="00D3650E"/>
    <w:rsid w:val="00D3653E"/>
    <w:rsid w:val="00D37616"/>
    <w:rsid w:val="00D379EB"/>
    <w:rsid w:val="00D40901"/>
    <w:rsid w:val="00D40F0E"/>
    <w:rsid w:val="00D41361"/>
    <w:rsid w:val="00D4391E"/>
    <w:rsid w:val="00D44597"/>
    <w:rsid w:val="00D46B94"/>
    <w:rsid w:val="00D50159"/>
    <w:rsid w:val="00D50557"/>
    <w:rsid w:val="00D517FE"/>
    <w:rsid w:val="00D51E09"/>
    <w:rsid w:val="00D53117"/>
    <w:rsid w:val="00D539B5"/>
    <w:rsid w:val="00D539EE"/>
    <w:rsid w:val="00D53CA4"/>
    <w:rsid w:val="00D53E77"/>
    <w:rsid w:val="00D53E99"/>
    <w:rsid w:val="00D540A3"/>
    <w:rsid w:val="00D5528A"/>
    <w:rsid w:val="00D55A56"/>
    <w:rsid w:val="00D55F10"/>
    <w:rsid w:val="00D561A9"/>
    <w:rsid w:val="00D56AA4"/>
    <w:rsid w:val="00D57F8A"/>
    <w:rsid w:val="00D601CC"/>
    <w:rsid w:val="00D606DE"/>
    <w:rsid w:val="00D61502"/>
    <w:rsid w:val="00D63026"/>
    <w:rsid w:val="00D64246"/>
    <w:rsid w:val="00D64367"/>
    <w:rsid w:val="00D64FEF"/>
    <w:rsid w:val="00D6666E"/>
    <w:rsid w:val="00D67D1F"/>
    <w:rsid w:val="00D71C1E"/>
    <w:rsid w:val="00D71D1F"/>
    <w:rsid w:val="00D72314"/>
    <w:rsid w:val="00D72A16"/>
    <w:rsid w:val="00D73057"/>
    <w:rsid w:val="00D73824"/>
    <w:rsid w:val="00D738C8"/>
    <w:rsid w:val="00D75499"/>
    <w:rsid w:val="00D75FDF"/>
    <w:rsid w:val="00D76218"/>
    <w:rsid w:val="00D76447"/>
    <w:rsid w:val="00D767B3"/>
    <w:rsid w:val="00D768D3"/>
    <w:rsid w:val="00D80529"/>
    <w:rsid w:val="00D8068B"/>
    <w:rsid w:val="00D81AEF"/>
    <w:rsid w:val="00D82462"/>
    <w:rsid w:val="00D82570"/>
    <w:rsid w:val="00D82670"/>
    <w:rsid w:val="00D83133"/>
    <w:rsid w:val="00D83756"/>
    <w:rsid w:val="00D83A2E"/>
    <w:rsid w:val="00D83A82"/>
    <w:rsid w:val="00D85C36"/>
    <w:rsid w:val="00D86F68"/>
    <w:rsid w:val="00D903B5"/>
    <w:rsid w:val="00D91C28"/>
    <w:rsid w:val="00D929F8"/>
    <w:rsid w:val="00D92AA9"/>
    <w:rsid w:val="00D92D83"/>
    <w:rsid w:val="00D94095"/>
    <w:rsid w:val="00D94F38"/>
    <w:rsid w:val="00D960C8"/>
    <w:rsid w:val="00D968D3"/>
    <w:rsid w:val="00D979A0"/>
    <w:rsid w:val="00DA0242"/>
    <w:rsid w:val="00DA0C16"/>
    <w:rsid w:val="00DA3CC9"/>
    <w:rsid w:val="00DA40AD"/>
    <w:rsid w:val="00DA4362"/>
    <w:rsid w:val="00DA56F8"/>
    <w:rsid w:val="00DA5ECF"/>
    <w:rsid w:val="00DA7E17"/>
    <w:rsid w:val="00DB08BD"/>
    <w:rsid w:val="00DB0F78"/>
    <w:rsid w:val="00DB2AEC"/>
    <w:rsid w:val="00DB3C0F"/>
    <w:rsid w:val="00DB4515"/>
    <w:rsid w:val="00DB5A81"/>
    <w:rsid w:val="00DB74AC"/>
    <w:rsid w:val="00DB79E0"/>
    <w:rsid w:val="00DB7B29"/>
    <w:rsid w:val="00DC0198"/>
    <w:rsid w:val="00DC0ADC"/>
    <w:rsid w:val="00DC0F7A"/>
    <w:rsid w:val="00DC18E4"/>
    <w:rsid w:val="00DC1A0C"/>
    <w:rsid w:val="00DC1C9E"/>
    <w:rsid w:val="00DC20DE"/>
    <w:rsid w:val="00DC2811"/>
    <w:rsid w:val="00DC4D56"/>
    <w:rsid w:val="00DC6BE2"/>
    <w:rsid w:val="00DC6F60"/>
    <w:rsid w:val="00DC7E63"/>
    <w:rsid w:val="00DD0140"/>
    <w:rsid w:val="00DD0615"/>
    <w:rsid w:val="00DD07A8"/>
    <w:rsid w:val="00DD0D7D"/>
    <w:rsid w:val="00DD267C"/>
    <w:rsid w:val="00DD26EF"/>
    <w:rsid w:val="00DD2D04"/>
    <w:rsid w:val="00DD5F63"/>
    <w:rsid w:val="00DD6479"/>
    <w:rsid w:val="00DD75B0"/>
    <w:rsid w:val="00DE14AC"/>
    <w:rsid w:val="00DE1ED9"/>
    <w:rsid w:val="00DE362F"/>
    <w:rsid w:val="00DE4860"/>
    <w:rsid w:val="00DE4F7C"/>
    <w:rsid w:val="00DE55D6"/>
    <w:rsid w:val="00DE577A"/>
    <w:rsid w:val="00DE599E"/>
    <w:rsid w:val="00DE6611"/>
    <w:rsid w:val="00DF04F3"/>
    <w:rsid w:val="00DF0A25"/>
    <w:rsid w:val="00DF0EDF"/>
    <w:rsid w:val="00DF10F5"/>
    <w:rsid w:val="00DF38D9"/>
    <w:rsid w:val="00DF437C"/>
    <w:rsid w:val="00DF485F"/>
    <w:rsid w:val="00DF5012"/>
    <w:rsid w:val="00DF6568"/>
    <w:rsid w:val="00DF78AD"/>
    <w:rsid w:val="00DF78C9"/>
    <w:rsid w:val="00DF79BC"/>
    <w:rsid w:val="00E00E11"/>
    <w:rsid w:val="00E01D52"/>
    <w:rsid w:val="00E02235"/>
    <w:rsid w:val="00E03029"/>
    <w:rsid w:val="00E03E50"/>
    <w:rsid w:val="00E04199"/>
    <w:rsid w:val="00E05157"/>
    <w:rsid w:val="00E05C7C"/>
    <w:rsid w:val="00E05DE8"/>
    <w:rsid w:val="00E0600A"/>
    <w:rsid w:val="00E061AB"/>
    <w:rsid w:val="00E0663E"/>
    <w:rsid w:val="00E0726C"/>
    <w:rsid w:val="00E07464"/>
    <w:rsid w:val="00E10245"/>
    <w:rsid w:val="00E10C71"/>
    <w:rsid w:val="00E11410"/>
    <w:rsid w:val="00E1199A"/>
    <w:rsid w:val="00E120B1"/>
    <w:rsid w:val="00E12985"/>
    <w:rsid w:val="00E149E6"/>
    <w:rsid w:val="00E1544B"/>
    <w:rsid w:val="00E160DC"/>
    <w:rsid w:val="00E16271"/>
    <w:rsid w:val="00E1641F"/>
    <w:rsid w:val="00E17103"/>
    <w:rsid w:val="00E17C5F"/>
    <w:rsid w:val="00E21EF8"/>
    <w:rsid w:val="00E229F5"/>
    <w:rsid w:val="00E22FB1"/>
    <w:rsid w:val="00E24B19"/>
    <w:rsid w:val="00E2561D"/>
    <w:rsid w:val="00E25B6E"/>
    <w:rsid w:val="00E264A2"/>
    <w:rsid w:val="00E26C76"/>
    <w:rsid w:val="00E27C1D"/>
    <w:rsid w:val="00E3045E"/>
    <w:rsid w:val="00E3071F"/>
    <w:rsid w:val="00E312D9"/>
    <w:rsid w:val="00E316BE"/>
    <w:rsid w:val="00E31952"/>
    <w:rsid w:val="00E32114"/>
    <w:rsid w:val="00E32B0B"/>
    <w:rsid w:val="00E33086"/>
    <w:rsid w:val="00E347F7"/>
    <w:rsid w:val="00E34FDB"/>
    <w:rsid w:val="00E402C9"/>
    <w:rsid w:val="00E40984"/>
    <w:rsid w:val="00E41B4E"/>
    <w:rsid w:val="00E42231"/>
    <w:rsid w:val="00E429F3"/>
    <w:rsid w:val="00E43104"/>
    <w:rsid w:val="00E4331B"/>
    <w:rsid w:val="00E460E9"/>
    <w:rsid w:val="00E47694"/>
    <w:rsid w:val="00E47A47"/>
    <w:rsid w:val="00E47B5D"/>
    <w:rsid w:val="00E5059A"/>
    <w:rsid w:val="00E50A03"/>
    <w:rsid w:val="00E510B0"/>
    <w:rsid w:val="00E51F95"/>
    <w:rsid w:val="00E554EE"/>
    <w:rsid w:val="00E563B9"/>
    <w:rsid w:val="00E56C22"/>
    <w:rsid w:val="00E57200"/>
    <w:rsid w:val="00E60A5C"/>
    <w:rsid w:val="00E60AB4"/>
    <w:rsid w:val="00E60DBB"/>
    <w:rsid w:val="00E61554"/>
    <w:rsid w:val="00E629C1"/>
    <w:rsid w:val="00E6324F"/>
    <w:rsid w:val="00E65F77"/>
    <w:rsid w:val="00E66DBD"/>
    <w:rsid w:val="00E66EE1"/>
    <w:rsid w:val="00E67593"/>
    <w:rsid w:val="00E70ACD"/>
    <w:rsid w:val="00E70E28"/>
    <w:rsid w:val="00E72F3C"/>
    <w:rsid w:val="00E734FE"/>
    <w:rsid w:val="00E7413F"/>
    <w:rsid w:val="00E743D1"/>
    <w:rsid w:val="00E74EFF"/>
    <w:rsid w:val="00E758DF"/>
    <w:rsid w:val="00E774D8"/>
    <w:rsid w:val="00E7799B"/>
    <w:rsid w:val="00E77EC0"/>
    <w:rsid w:val="00E813D8"/>
    <w:rsid w:val="00E82584"/>
    <w:rsid w:val="00E8270A"/>
    <w:rsid w:val="00E8328E"/>
    <w:rsid w:val="00E845F4"/>
    <w:rsid w:val="00E84A06"/>
    <w:rsid w:val="00E850A3"/>
    <w:rsid w:val="00E8590E"/>
    <w:rsid w:val="00E869AC"/>
    <w:rsid w:val="00E90922"/>
    <w:rsid w:val="00E90F85"/>
    <w:rsid w:val="00E91436"/>
    <w:rsid w:val="00E93E7D"/>
    <w:rsid w:val="00E94275"/>
    <w:rsid w:val="00E95F22"/>
    <w:rsid w:val="00E96118"/>
    <w:rsid w:val="00E96728"/>
    <w:rsid w:val="00E97F4F"/>
    <w:rsid w:val="00EA041A"/>
    <w:rsid w:val="00EA2130"/>
    <w:rsid w:val="00EA2569"/>
    <w:rsid w:val="00EA4475"/>
    <w:rsid w:val="00EA4F04"/>
    <w:rsid w:val="00EA5FAE"/>
    <w:rsid w:val="00EA73F5"/>
    <w:rsid w:val="00EA7B3B"/>
    <w:rsid w:val="00EA7C36"/>
    <w:rsid w:val="00EB0929"/>
    <w:rsid w:val="00EB0CFA"/>
    <w:rsid w:val="00EB27E5"/>
    <w:rsid w:val="00EB335F"/>
    <w:rsid w:val="00EB3A8F"/>
    <w:rsid w:val="00EB40B9"/>
    <w:rsid w:val="00EB447D"/>
    <w:rsid w:val="00EB4573"/>
    <w:rsid w:val="00EB4E42"/>
    <w:rsid w:val="00EB5B40"/>
    <w:rsid w:val="00EB67D0"/>
    <w:rsid w:val="00EB6A49"/>
    <w:rsid w:val="00EB724F"/>
    <w:rsid w:val="00EB7924"/>
    <w:rsid w:val="00EC196D"/>
    <w:rsid w:val="00EC1A1C"/>
    <w:rsid w:val="00EC21D8"/>
    <w:rsid w:val="00EC237C"/>
    <w:rsid w:val="00EC2EEE"/>
    <w:rsid w:val="00EC3411"/>
    <w:rsid w:val="00EC37CB"/>
    <w:rsid w:val="00EC3A27"/>
    <w:rsid w:val="00EC5091"/>
    <w:rsid w:val="00EC5C05"/>
    <w:rsid w:val="00EC60DD"/>
    <w:rsid w:val="00EC68BE"/>
    <w:rsid w:val="00EC6F2B"/>
    <w:rsid w:val="00EC7031"/>
    <w:rsid w:val="00EC753C"/>
    <w:rsid w:val="00EC75BD"/>
    <w:rsid w:val="00ED04AF"/>
    <w:rsid w:val="00ED0527"/>
    <w:rsid w:val="00ED1989"/>
    <w:rsid w:val="00ED2A49"/>
    <w:rsid w:val="00ED2A52"/>
    <w:rsid w:val="00ED2EFB"/>
    <w:rsid w:val="00ED571A"/>
    <w:rsid w:val="00ED604B"/>
    <w:rsid w:val="00ED7F6F"/>
    <w:rsid w:val="00EE0E09"/>
    <w:rsid w:val="00EE1628"/>
    <w:rsid w:val="00EE30B7"/>
    <w:rsid w:val="00EE3165"/>
    <w:rsid w:val="00EE6243"/>
    <w:rsid w:val="00EE7184"/>
    <w:rsid w:val="00EF1743"/>
    <w:rsid w:val="00EF2741"/>
    <w:rsid w:val="00EF2F15"/>
    <w:rsid w:val="00EF3979"/>
    <w:rsid w:val="00EF4038"/>
    <w:rsid w:val="00EF54C0"/>
    <w:rsid w:val="00EF5870"/>
    <w:rsid w:val="00EF62FA"/>
    <w:rsid w:val="00EF7358"/>
    <w:rsid w:val="00F00005"/>
    <w:rsid w:val="00F00CAC"/>
    <w:rsid w:val="00F012A1"/>
    <w:rsid w:val="00F01412"/>
    <w:rsid w:val="00F01E47"/>
    <w:rsid w:val="00F025C5"/>
    <w:rsid w:val="00F03D37"/>
    <w:rsid w:val="00F03E00"/>
    <w:rsid w:val="00F06AC1"/>
    <w:rsid w:val="00F07637"/>
    <w:rsid w:val="00F10591"/>
    <w:rsid w:val="00F112BA"/>
    <w:rsid w:val="00F123DA"/>
    <w:rsid w:val="00F15826"/>
    <w:rsid w:val="00F16224"/>
    <w:rsid w:val="00F16888"/>
    <w:rsid w:val="00F16B89"/>
    <w:rsid w:val="00F16F97"/>
    <w:rsid w:val="00F17C5F"/>
    <w:rsid w:val="00F20516"/>
    <w:rsid w:val="00F209FA"/>
    <w:rsid w:val="00F20C87"/>
    <w:rsid w:val="00F20E10"/>
    <w:rsid w:val="00F229CE"/>
    <w:rsid w:val="00F2499D"/>
    <w:rsid w:val="00F26216"/>
    <w:rsid w:val="00F276DE"/>
    <w:rsid w:val="00F3190C"/>
    <w:rsid w:val="00F31DA4"/>
    <w:rsid w:val="00F31F32"/>
    <w:rsid w:val="00F34666"/>
    <w:rsid w:val="00F35328"/>
    <w:rsid w:val="00F35DBB"/>
    <w:rsid w:val="00F36262"/>
    <w:rsid w:val="00F36CF5"/>
    <w:rsid w:val="00F37A22"/>
    <w:rsid w:val="00F37A92"/>
    <w:rsid w:val="00F407B1"/>
    <w:rsid w:val="00F41AD2"/>
    <w:rsid w:val="00F41C59"/>
    <w:rsid w:val="00F428FA"/>
    <w:rsid w:val="00F42DE7"/>
    <w:rsid w:val="00F439CA"/>
    <w:rsid w:val="00F43AB7"/>
    <w:rsid w:val="00F45E2A"/>
    <w:rsid w:val="00F46239"/>
    <w:rsid w:val="00F47136"/>
    <w:rsid w:val="00F47FAD"/>
    <w:rsid w:val="00F50C2C"/>
    <w:rsid w:val="00F51C8F"/>
    <w:rsid w:val="00F52107"/>
    <w:rsid w:val="00F54216"/>
    <w:rsid w:val="00F5421F"/>
    <w:rsid w:val="00F54C1A"/>
    <w:rsid w:val="00F55F78"/>
    <w:rsid w:val="00F60255"/>
    <w:rsid w:val="00F60E2B"/>
    <w:rsid w:val="00F61EF9"/>
    <w:rsid w:val="00F63E54"/>
    <w:rsid w:val="00F65DBC"/>
    <w:rsid w:val="00F66AE3"/>
    <w:rsid w:val="00F66EC3"/>
    <w:rsid w:val="00F701A5"/>
    <w:rsid w:val="00F70A53"/>
    <w:rsid w:val="00F70BF5"/>
    <w:rsid w:val="00F73768"/>
    <w:rsid w:val="00F76B27"/>
    <w:rsid w:val="00F775DF"/>
    <w:rsid w:val="00F80185"/>
    <w:rsid w:val="00F8065A"/>
    <w:rsid w:val="00F80903"/>
    <w:rsid w:val="00F8098E"/>
    <w:rsid w:val="00F8099D"/>
    <w:rsid w:val="00F80A34"/>
    <w:rsid w:val="00F80E92"/>
    <w:rsid w:val="00F818AF"/>
    <w:rsid w:val="00F820CB"/>
    <w:rsid w:val="00F8219E"/>
    <w:rsid w:val="00F82442"/>
    <w:rsid w:val="00F82850"/>
    <w:rsid w:val="00F85D41"/>
    <w:rsid w:val="00F85DB0"/>
    <w:rsid w:val="00F867D0"/>
    <w:rsid w:val="00F90A37"/>
    <w:rsid w:val="00F90AD8"/>
    <w:rsid w:val="00F92DB4"/>
    <w:rsid w:val="00F93DC2"/>
    <w:rsid w:val="00F9404D"/>
    <w:rsid w:val="00F945AD"/>
    <w:rsid w:val="00F960ED"/>
    <w:rsid w:val="00FA107C"/>
    <w:rsid w:val="00FA1BFB"/>
    <w:rsid w:val="00FA5AB9"/>
    <w:rsid w:val="00FA5E3B"/>
    <w:rsid w:val="00FA5EC8"/>
    <w:rsid w:val="00FA60F8"/>
    <w:rsid w:val="00FA7B1F"/>
    <w:rsid w:val="00FB1517"/>
    <w:rsid w:val="00FB2B63"/>
    <w:rsid w:val="00FB4F19"/>
    <w:rsid w:val="00FB614F"/>
    <w:rsid w:val="00FB6783"/>
    <w:rsid w:val="00FC0D08"/>
    <w:rsid w:val="00FC125D"/>
    <w:rsid w:val="00FC17FF"/>
    <w:rsid w:val="00FC2156"/>
    <w:rsid w:val="00FC2DCC"/>
    <w:rsid w:val="00FC389D"/>
    <w:rsid w:val="00FC3943"/>
    <w:rsid w:val="00FC3FDB"/>
    <w:rsid w:val="00FC565E"/>
    <w:rsid w:val="00FC6578"/>
    <w:rsid w:val="00FC660A"/>
    <w:rsid w:val="00FC70CF"/>
    <w:rsid w:val="00FD1CC1"/>
    <w:rsid w:val="00FD31A2"/>
    <w:rsid w:val="00FD324F"/>
    <w:rsid w:val="00FD3F81"/>
    <w:rsid w:val="00FD5B21"/>
    <w:rsid w:val="00FE00EA"/>
    <w:rsid w:val="00FE06B9"/>
    <w:rsid w:val="00FE1101"/>
    <w:rsid w:val="00FE1DEE"/>
    <w:rsid w:val="00FE201F"/>
    <w:rsid w:val="00FE271D"/>
    <w:rsid w:val="00FE2904"/>
    <w:rsid w:val="00FE3FC6"/>
    <w:rsid w:val="00FE43AE"/>
    <w:rsid w:val="00FE6000"/>
    <w:rsid w:val="00FE763F"/>
    <w:rsid w:val="00FF1E0B"/>
    <w:rsid w:val="00FF2BC0"/>
    <w:rsid w:val="00FF3885"/>
    <w:rsid w:val="00FF38EE"/>
    <w:rsid w:val="00FF39E8"/>
    <w:rsid w:val="00FF3DAA"/>
    <w:rsid w:val="00FF5A9C"/>
    <w:rsid w:val="00FF5ADF"/>
    <w:rsid w:val="00FF6009"/>
    <w:rsid w:val="00FF7E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CBC7"/>
  <w15:docId w15:val="{12002B94-A0AA-40B7-9983-5B251356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5328"/>
    <w:rPr>
      <w:lang w:val="es-CO" w:eastAsia="es-MX"/>
    </w:rPr>
  </w:style>
  <w:style w:type="paragraph" w:styleId="Ttulo1">
    <w:name w:val="heading 1"/>
    <w:basedOn w:val="Normal"/>
    <w:next w:val="Normal"/>
    <w:link w:val="Ttulo1Car"/>
    <w:qFormat/>
    <w:rsid w:val="00F35328"/>
    <w:pPr>
      <w:keepNext/>
      <w:outlineLvl w:val="0"/>
    </w:pPr>
    <w:rPr>
      <w:rFonts w:ascii="Arial" w:hAnsi="Arial"/>
      <w:b/>
      <w:sz w:val="24"/>
      <w:lang w:val="es-ES_tradnl"/>
    </w:rPr>
  </w:style>
  <w:style w:type="paragraph" w:styleId="Ttulo2">
    <w:name w:val="heading 2"/>
    <w:basedOn w:val="Normal"/>
    <w:next w:val="Normal"/>
    <w:link w:val="Ttulo2Car"/>
    <w:qFormat/>
    <w:rsid w:val="00F35328"/>
    <w:pPr>
      <w:keepNext/>
      <w:jc w:val="center"/>
      <w:outlineLvl w:val="1"/>
    </w:pPr>
    <w:rPr>
      <w:rFonts w:ascii="Arial" w:hAnsi="Arial"/>
      <w:b/>
      <w:sz w:val="24"/>
      <w:lang w:val="es-ES_tradnl"/>
    </w:rPr>
  </w:style>
  <w:style w:type="paragraph" w:styleId="Ttulo3">
    <w:name w:val="heading 3"/>
    <w:basedOn w:val="Normal"/>
    <w:next w:val="Normal"/>
    <w:link w:val="Ttulo3Car"/>
    <w:qFormat/>
    <w:rsid w:val="00F35328"/>
    <w:pPr>
      <w:keepNext/>
      <w:outlineLvl w:val="2"/>
    </w:pPr>
    <w:rPr>
      <w:rFonts w:ascii="Arial" w:hAnsi="Arial"/>
      <w:b/>
      <w:sz w:val="28"/>
      <w:lang w:val="es-ES_tradnl"/>
    </w:rPr>
  </w:style>
  <w:style w:type="paragraph" w:styleId="Ttulo4">
    <w:name w:val="heading 4"/>
    <w:basedOn w:val="Normal"/>
    <w:next w:val="Normal"/>
    <w:link w:val="Ttulo4Car"/>
    <w:qFormat/>
    <w:rsid w:val="00F35328"/>
    <w:pPr>
      <w:keepNext/>
      <w:jc w:val="center"/>
      <w:outlineLvl w:val="3"/>
    </w:pPr>
    <w:rPr>
      <w:rFonts w:ascii="Arial" w:hAnsi="Arial"/>
      <w:b/>
      <w:lang w:val="es-ES_tradnl"/>
    </w:rPr>
  </w:style>
  <w:style w:type="paragraph" w:styleId="Ttulo5">
    <w:name w:val="heading 5"/>
    <w:basedOn w:val="Normal"/>
    <w:next w:val="Normal"/>
    <w:link w:val="Ttulo5Car"/>
    <w:qFormat/>
    <w:rsid w:val="00F35328"/>
    <w:pPr>
      <w:keepNext/>
      <w:jc w:val="both"/>
      <w:outlineLvl w:val="4"/>
    </w:pPr>
    <w:rPr>
      <w:b/>
      <w:sz w:val="24"/>
    </w:rPr>
  </w:style>
  <w:style w:type="paragraph" w:styleId="Ttulo6">
    <w:name w:val="heading 6"/>
    <w:basedOn w:val="Normal"/>
    <w:next w:val="Normal"/>
    <w:link w:val="Ttulo6Car"/>
    <w:qFormat/>
    <w:rsid w:val="00F35328"/>
    <w:pPr>
      <w:keepNext/>
      <w:jc w:val="both"/>
      <w:outlineLvl w:val="5"/>
    </w:pPr>
    <w:rPr>
      <w:rFonts w:ascii="Arial" w:hAnsi="Arial"/>
      <w:sz w:val="24"/>
    </w:rPr>
  </w:style>
  <w:style w:type="paragraph" w:styleId="Ttulo7">
    <w:name w:val="heading 7"/>
    <w:basedOn w:val="Normal"/>
    <w:next w:val="Normal"/>
    <w:link w:val="Ttulo7Car"/>
    <w:qFormat/>
    <w:rsid w:val="00F35328"/>
    <w:pPr>
      <w:keepNext/>
      <w:ind w:left="705"/>
      <w:jc w:val="center"/>
      <w:outlineLvl w:val="6"/>
    </w:pPr>
    <w:rPr>
      <w:rFonts w:ascii="Arial" w:hAnsi="Arial"/>
      <w:b/>
      <w:sz w:val="24"/>
      <w:lang w:val="es-ES_tradnl"/>
    </w:rPr>
  </w:style>
  <w:style w:type="paragraph" w:styleId="Ttulo8">
    <w:name w:val="heading 8"/>
    <w:basedOn w:val="Normal"/>
    <w:next w:val="Normal"/>
    <w:link w:val="Ttulo8Car"/>
    <w:qFormat/>
    <w:rsid w:val="00F35328"/>
    <w:pPr>
      <w:keepNext/>
      <w:numPr>
        <w:numId w:val="1"/>
      </w:numPr>
      <w:outlineLvl w:val="7"/>
    </w:pPr>
    <w:rPr>
      <w:rFonts w:ascii="Arial" w:hAnsi="Arial"/>
      <w:b/>
      <w:sz w:val="24"/>
      <w:lang w:val="es-ES_tradnl"/>
    </w:rPr>
  </w:style>
  <w:style w:type="paragraph" w:styleId="Ttulo9">
    <w:name w:val="heading 9"/>
    <w:basedOn w:val="Normal"/>
    <w:next w:val="Normal"/>
    <w:link w:val="Ttulo9Car"/>
    <w:qFormat/>
    <w:rsid w:val="00F35328"/>
    <w:pPr>
      <w:keepNext/>
      <w:outlineLvl w:val="8"/>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35328"/>
    <w:pPr>
      <w:tabs>
        <w:tab w:val="center" w:pos="4252"/>
        <w:tab w:val="right" w:pos="8504"/>
      </w:tabs>
    </w:pPr>
  </w:style>
  <w:style w:type="paragraph" w:styleId="Piedepgina">
    <w:name w:val="footer"/>
    <w:basedOn w:val="Normal"/>
    <w:link w:val="PiedepginaCar"/>
    <w:rsid w:val="00F35328"/>
    <w:pPr>
      <w:tabs>
        <w:tab w:val="center" w:pos="4252"/>
        <w:tab w:val="right" w:pos="8504"/>
      </w:tabs>
    </w:pPr>
  </w:style>
  <w:style w:type="character" w:styleId="Nmerodepgina">
    <w:name w:val="page number"/>
    <w:basedOn w:val="Fuentedeprrafopredeter"/>
    <w:rsid w:val="00F35328"/>
  </w:style>
  <w:style w:type="paragraph" w:styleId="Textoindependiente">
    <w:name w:val="Body Text"/>
    <w:basedOn w:val="Normal"/>
    <w:link w:val="TextoindependienteCar"/>
    <w:rsid w:val="00F35328"/>
    <w:rPr>
      <w:rFonts w:ascii="Arial" w:hAnsi="Arial"/>
      <w:b/>
      <w:sz w:val="28"/>
      <w:lang w:val="es-ES_tradnl"/>
    </w:rPr>
  </w:style>
  <w:style w:type="paragraph" w:styleId="Textodeglobo">
    <w:name w:val="Balloon Text"/>
    <w:basedOn w:val="Normal"/>
    <w:link w:val="TextodegloboCar"/>
    <w:semiHidden/>
    <w:rsid w:val="00F35328"/>
    <w:rPr>
      <w:rFonts w:ascii="Arial" w:hAnsi="Arial" w:cs="Arial"/>
      <w:sz w:val="16"/>
      <w:szCs w:val="16"/>
    </w:rPr>
  </w:style>
  <w:style w:type="paragraph" w:styleId="Textoindependiente2">
    <w:name w:val="Body Text 2"/>
    <w:basedOn w:val="Normal"/>
    <w:link w:val="Textoindependiente2Car"/>
    <w:rsid w:val="00F35328"/>
    <w:pPr>
      <w:jc w:val="both"/>
    </w:pPr>
    <w:rPr>
      <w:rFonts w:ascii="Arial" w:hAnsi="Arial"/>
      <w:sz w:val="24"/>
      <w:lang w:val="es-ES_tradnl"/>
    </w:rPr>
  </w:style>
  <w:style w:type="paragraph" w:styleId="Mapadeldocumento">
    <w:name w:val="Document Map"/>
    <w:basedOn w:val="Normal"/>
    <w:link w:val="MapadeldocumentoCar"/>
    <w:semiHidden/>
    <w:rsid w:val="00F35328"/>
    <w:pPr>
      <w:shd w:val="clear" w:color="auto" w:fill="000080"/>
    </w:pPr>
    <w:rPr>
      <w:rFonts w:ascii="Tahoma" w:hAnsi="Tahoma"/>
    </w:rPr>
  </w:style>
  <w:style w:type="paragraph" w:styleId="Textoindependiente3">
    <w:name w:val="Body Text 3"/>
    <w:basedOn w:val="Normal"/>
    <w:link w:val="Textoindependiente3Car"/>
    <w:rsid w:val="00F35328"/>
    <w:rPr>
      <w:rFonts w:ascii="Arial" w:hAnsi="Arial"/>
      <w:sz w:val="24"/>
      <w:lang w:val="es-ES_tradnl"/>
    </w:rPr>
  </w:style>
  <w:style w:type="paragraph" w:styleId="Textonotaalfinal">
    <w:name w:val="endnote text"/>
    <w:basedOn w:val="Normal"/>
    <w:link w:val="TextonotaalfinalCar"/>
    <w:rsid w:val="00485C1A"/>
  </w:style>
  <w:style w:type="character" w:customStyle="1" w:styleId="TextonotaalfinalCar">
    <w:name w:val="Texto nota al final Car"/>
    <w:link w:val="Textonotaalfinal"/>
    <w:rsid w:val="00485C1A"/>
    <w:rPr>
      <w:lang w:val="es-CO" w:eastAsia="es-MX"/>
    </w:rPr>
  </w:style>
  <w:style w:type="character" w:styleId="Refdenotaalfinal">
    <w:name w:val="endnote reference"/>
    <w:rsid w:val="00485C1A"/>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D57F8A"/>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D57F8A"/>
    <w:rPr>
      <w:lang w:val="es-CO"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D57F8A"/>
    <w:rPr>
      <w:vertAlign w:val="superscript"/>
    </w:rPr>
  </w:style>
  <w:style w:type="table" w:styleId="Tablaconcuadrcula">
    <w:name w:val="Table Grid"/>
    <w:basedOn w:val="Tablanormal"/>
    <w:uiPriority w:val="39"/>
    <w:qFormat/>
    <w:rsid w:val="005C7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34"/>
    <w:qFormat/>
    <w:rsid w:val="00DC7E63"/>
    <w:pPr>
      <w:ind w:left="708"/>
    </w:pPr>
  </w:style>
  <w:style w:type="character" w:styleId="Refdecomentario">
    <w:name w:val="annotation reference"/>
    <w:uiPriority w:val="99"/>
    <w:semiHidden/>
    <w:rsid w:val="00DA3CC9"/>
    <w:rPr>
      <w:sz w:val="16"/>
      <w:szCs w:val="16"/>
    </w:rPr>
  </w:style>
  <w:style w:type="paragraph" w:styleId="Textocomentario">
    <w:name w:val="annotation text"/>
    <w:basedOn w:val="Normal"/>
    <w:link w:val="TextocomentarioCar"/>
    <w:uiPriority w:val="99"/>
    <w:rsid w:val="00DA3CC9"/>
  </w:style>
  <w:style w:type="paragraph" w:styleId="Asuntodelcomentario">
    <w:name w:val="annotation subject"/>
    <w:basedOn w:val="Textocomentario"/>
    <w:next w:val="Textocomentario"/>
    <w:link w:val="AsuntodelcomentarioCar"/>
    <w:semiHidden/>
    <w:rsid w:val="00DA3CC9"/>
    <w:rPr>
      <w:b/>
      <w:bCs/>
    </w:rPr>
  </w:style>
  <w:style w:type="paragraph" w:customStyle="1" w:styleId="EstiloJustificado">
    <w:name w:val="Estilo Justificado"/>
    <w:basedOn w:val="Normal"/>
    <w:rsid w:val="0050034B"/>
    <w:pPr>
      <w:jc w:val="both"/>
    </w:pPr>
    <w:rPr>
      <w:sz w:val="24"/>
      <w:lang w:val="es-ES" w:eastAsia="zh-CN"/>
    </w:rPr>
  </w:style>
  <w:style w:type="paragraph" w:styleId="Revisin">
    <w:name w:val="Revision"/>
    <w:hidden/>
    <w:uiPriority w:val="99"/>
    <w:semiHidden/>
    <w:rsid w:val="00271AB7"/>
    <w:rPr>
      <w:lang w:val="es-CO" w:eastAsia="es-MX"/>
    </w:rPr>
  </w:style>
  <w:style w:type="paragraph" w:styleId="Ttulo">
    <w:name w:val="Title"/>
    <w:basedOn w:val="Normal"/>
    <w:link w:val="TtuloCar"/>
    <w:qFormat/>
    <w:rsid w:val="00151B3D"/>
    <w:pPr>
      <w:jc w:val="center"/>
    </w:pPr>
    <w:rPr>
      <w:rFonts w:ascii="Arial" w:hAnsi="Arial"/>
      <w:b/>
      <w:snapToGrid w:val="0"/>
      <w:lang w:eastAsia="es-ES"/>
    </w:rPr>
  </w:style>
  <w:style w:type="paragraph" w:styleId="Sangra3detindependiente">
    <w:name w:val="Body Text Indent 3"/>
    <w:basedOn w:val="Normal"/>
    <w:link w:val="Sangra3detindependienteCar"/>
    <w:rsid w:val="00F82442"/>
    <w:pPr>
      <w:spacing w:after="120"/>
      <w:ind w:left="283"/>
    </w:pPr>
    <w:rPr>
      <w:sz w:val="16"/>
      <w:szCs w:val="16"/>
    </w:rPr>
  </w:style>
  <w:style w:type="character" w:customStyle="1" w:styleId="Sangra3detindependienteCar">
    <w:name w:val="Sangría 3 de t. independiente Car"/>
    <w:link w:val="Sangra3detindependiente"/>
    <w:rsid w:val="00D73824"/>
    <w:rPr>
      <w:sz w:val="16"/>
      <w:szCs w:val="16"/>
      <w:lang w:eastAsia="es-MX"/>
    </w:rPr>
  </w:style>
  <w:style w:type="paragraph" w:customStyle="1" w:styleId="toa">
    <w:name w:val="toa"/>
    <w:basedOn w:val="Normal"/>
    <w:rsid w:val="0000573F"/>
    <w:pPr>
      <w:tabs>
        <w:tab w:val="left" w:pos="9000"/>
        <w:tab w:val="right" w:pos="9360"/>
      </w:tabs>
      <w:suppressAutoHyphens/>
    </w:pPr>
    <w:rPr>
      <w:sz w:val="22"/>
      <w:lang w:val="en-US" w:eastAsia="es-ES"/>
    </w:rPr>
  </w:style>
  <w:style w:type="paragraph" w:customStyle="1" w:styleId="Textoindependiente21">
    <w:name w:val="Texto independiente 21"/>
    <w:basedOn w:val="Normal"/>
    <w:rsid w:val="00CA61DB"/>
    <w:pPr>
      <w:tabs>
        <w:tab w:val="left" w:pos="1440"/>
        <w:tab w:val="right" w:pos="7560"/>
        <w:tab w:val="right" w:pos="9000"/>
      </w:tabs>
      <w:overflowPunct w:val="0"/>
      <w:autoSpaceDE w:val="0"/>
      <w:autoSpaceDN w:val="0"/>
      <w:adjustRightInd w:val="0"/>
      <w:ind w:left="360"/>
      <w:textAlignment w:val="baseline"/>
    </w:pPr>
    <w:rPr>
      <w:sz w:val="24"/>
      <w:lang w:eastAsia="es-ES"/>
    </w:rPr>
  </w:style>
  <w:style w:type="paragraph" w:customStyle="1" w:styleId="BodyText31">
    <w:name w:val="Body Text 31"/>
    <w:basedOn w:val="Normal"/>
    <w:rsid w:val="00CA61DB"/>
    <w:pPr>
      <w:widowControl w:val="0"/>
      <w:overflowPunct w:val="0"/>
      <w:autoSpaceDE w:val="0"/>
      <w:autoSpaceDN w:val="0"/>
      <w:adjustRightInd w:val="0"/>
      <w:jc w:val="both"/>
      <w:textAlignment w:val="baseline"/>
    </w:pPr>
    <w:rPr>
      <w:rFonts w:ascii="Arial" w:hAnsi="Arial"/>
      <w:lang w:eastAsia="es-ES"/>
    </w:rPr>
  </w:style>
  <w:style w:type="paragraph" w:customStyle="1" w:styleId="BodyText2Car">
    <w:name w:val="Body Text 2 Car"/>
    <w:basedOn w:val="Normal"/>
    <w:rsid w:val="00CA61DB"/>
    <w:pPr>
      <w:widowControl w:val="0"/>
      <w:ind w:left="851"/>
      <w:jc w:val="both"/>
    </w:pPr>
    <w:rPr>
      <w:rFonts w:ascii="Arial" w:hAnsi="Arial"/>
      <w:sz w:val="22"/>
      <w:lang w:val="es-ES" w:eastAsia="es-ES"/>
    </w:rPr>
  </w:style>
  <w:style w:type="paragraph" w:customStyle="1" w:styleId="Textoindependiente31">
    <w:name w:val="Texto independiente 31"/>
    <w:basedOn w:val="Normal"/>
    <w:rsid w:val="00CD6EFF"/>
    <w:pPr>
      <w:overflowPunct w:val="0"/>
      <w:autoSpaceDE w:val="0"/>
      <w:autoSpaceDN w:val="0"/>
      <w:adjustRightInd w:val="0"/>
      <w:jc w:val="both"/>
      <w:textAlignment w:val="baseline"/>
    </w:pPr>
    <w:rPr>
      <w:rFonts w:ascii="Arial" w:hAnsi="Arial"/>
      <w:sz w:val="22"/>
      <w:u w:val="single"/>
      <w:lang w:val="es-ES" w:eastAsia="es-ES"/>
    </w:rPr>
  </w:style>
  <w:style w:type="paragraph" w:customStyle="1" w:styleId="MARITZA3">
    <w:name w:val="MARITZA3"/>
    <w:rsid w:val="00181B86"/>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MARITZA4">
    <w:name w:val="MARITZA4"/>
    <w:basedOn w:val="MARITZA3"/>
    <w:rsid w:val="00874242"/>
    <w:pPr>
      <w:jc w:val="center"/>
    </w:pPr>
    <w:rPr>
      <w:b/>
      <w:bCs/>
    </w:rPr>
  </w:style>
  <w:style w:type="paragraph" w:customStyle="1" w:styleId="Car">
    <w:name w:val="Car"/>
    <w:basedOn w:val="Normal"/>
    <w:rsid w:val="009C66CD"/>
    <w:pPr>
      <w:spacing w:after="160" w:line="240" w:lineRule="exact"/>
    </w:pPr>
    <w:rPr>
      <w:rFonts w:ascii="Verdana" w:hAnsi="Verdana"/>
      <w:lang w:val="en-US" w:eastAsia="en-US"/>
    </w:rPr>
  </w:style>
  <w:style w:type="character" w:styleId="Hipervnculo">
    <w:name w:val="Hyperlink"/>
    <w:uiPriority w:val="99"/>
    <w:rsid w:val="005C276B"/>
    <w:rPr>
      <w:strike w:val="0"/>
      <w:dstrike w:val="0"/>
      <w:color w:val="0A75AF"/>
      <w:u w:val="none"/>
      <w:effect w:val="none"/>
    </w:rPr>
  </w:style>
  <w:style w:type="paragraph" w:styleId="Sangra2detindependiente">
    <w:name w:val="Body Text Indent 2"/>
    <w:basedOn w:val="Normal"/>
    <w:link w:val="Sangra2detindependienteCar"/>
    <w:rsid w:val="0012430F"/>
    <w:pPr>
      <w:overflowPunct w:val="0"/>
      <w:autoSpaceDE w:val="0"/>
      <w:autoSpaceDN w:val="0"/>
      <w:adjustRightInd w:val="0"/>
      <w:spacing w:after="120" w:line="480" w:lineRule="auto"/>
      <w:ind w:left="283"/>
      <w:textAlignment w:val="baseline"/>
    </w:pPr>
    <w:rPr>
      <w:sz w:val="24"/>
      <w:lang w:eastAsia="es-ES"/>
    </w:rPr>
  </w:style>
  <w:style w:type="paragraph" w:styleId="Continuarlista">
    <w:name w:val="List Continue"/>
    <w:basedOn w:val="Normal"/>
    <w:rsid w:val="009A5E4A"/>
    <w:pPr>
      <w:spacing w:after="120"/>
      <w:ind w:left="283"/>
    </w:pPr>
    <w:rPr>
      <w:sz w:val="24"/>
      <w:lang w:val="es-ES_tradnl" w:eastAsia="es-ES"/>
    </w:rPr>
  </w:style>
  <w:style w:type="paragraph" w:styleId="Listaconvietas">
    <w:name w:val="List Bullet"/>
    <w:basedOn w:val="Normal"/>
    <w:autoRedefine/>
    <w:rsid w:val="009A5E4A"/>
    <w:pPr>
      <w:jc w:val="both"/>
    </w:pPr>
    <w:rPr>
      <w:b/>
      <w:bCs/>
      <w:sz w:val="24"/>
      <w:szCs w:val="24"/>
      <w:lang w:val="es-ES_tradnl" w:eastAsia="es-ES"/>
    </w:rPr>
  </w:style>
  <w:style w:type="paragraph" w:customStyle="1" w:styleId="BodyText28">
    <w:name w:val="Body Text 28"/>
    <w:basedOn w:val="Normal"/>
    <w:rsid w:val="001F0F1E"/>
    <w:pPr>
      <w:widowControl w:val="0"/>
      <w:overflowPunct w:val="0"/>
      <w:autoSpaceDE w:val="0"/>
      <w:autoSpaceDN w:val="0"/>
      <w:adjustRightInd w:val="0"/>
      <w:jc w:val="both"/>
      <w:textAlignment w:val="baseline"/>
    </w:pPr>
    <w:rPr>
      <w:rFonts w:ascii="Arial" w:hAnsi="Arial"/>
      <w:sz w:val="22"/>
      <w:lang w:eastAsia="es-ES"/>
    </w:rPr>
  </w:style>
  <w:style w:type="paragraph" w:customStyle="1" w:styleId="Normal0">
    <w:name w:val=".Normal"/>
    <w:rsid w:val="001F0F1E"/>
    <w:pPr>
      <w:spacing w:line="286" w:lineRule="auto"/>
      <w:jc w:val="both"/>
    </w:pPr>
    <w:rPr>
      <w:rFonts w:ascii="Graphite Light" w:hAnsi="Graphite Light"/>
      <w:color w:val="000000"/>
      <w:sz w:val="24"/>
    </w:rPr>
  </w:style>
  <w:style w:type="paragraph" w:customStyle="1" w:styleId="Default">
    <w:name w:val="Default"/>
    <w:link w:val="DefaultCar"/>
    <w:qFormat/>
    <w:rsid w:val="00751B7A"/>
    <w:pPr>
      <w:autoSpaceDE w:val="0"/>
      <w:autoSpaceDN w:val="0"/>
      <w:adjustRightInd w:val="0"/>
    </w:pPr>
    <w:rPr>
      <w:rFonts w:ascii="Arial" w:hAnsi="Arial" w:cs="Arial"/>
      <w:color w:val="000000"/>
      <w:sz w:val="24"/>
      <w:szCs w:val="24"/>
      <w:lang w:val="es-CO" w:eastAsia="es-CO"/>
    </w:rPr>
  </w:style>
  <w:style w:type="paragraph" w:customStyle="1" w:styleId="Textopredeterminado">
    <w:name w:val="Texto predeterminado"/>
    <w:basedOn w:val="Normal"/>
    <w:rsid w:val="00627EA4"/>
    <w:pPr>
      <w:suppressAutoHyphens/>
    </w:pPr>
    <w:rPr>
      <w:sz w:val="24"/>
      <w:szCs w:val="24"/>
      <w:lang w:val="es-ES" w:eastAsia="ar-SA"/>
    </w:rPr>
  </w:style>
  <w:style w:type="paragraph" w:styleId="Sinespaciado">
    <w:name w:val="No Spacing"/>
    <w:uiPriority w:val="1"/>
    <w:qFormat/>
    <w:rsid w:val="00627EA4"/>
    <w:rPr>
      <w:sz w:val="24"/>
      <w:szCs w:val="24"/>
    </w:rPr>
  </w:style>
  <w:style w:type="character" w:customStyle="1" w:styleId="InitialStyle">
    <w:name w:val="InitialStyle"/>
    <w:rsid w:val="0015653D"/>
    <w:rPr>
      <w:rFonts w:ascii="Courier New" w:hAnsi="Courier New"/>
      <w:color w:val="auto"/>
      <w:spacing w:val="0"/>
      <w:sz w:val="28"/>
    </w:rPr>
  </w:style>
  <w:style w:type="paragraph" w:customStyle="1" w:styleId="Textoindependiente210">
    <w:name w:val="Texto independiente 21"/>
    <w:basedOn w:val="Normal"/>
    <w:rsid w:val="00AD4E0A"/>
    <w:pPr>
      <w:suppressAutoHyphens/>
      <w:jc w:val="both"/>
    </w:pPr>
    <w:rPr>
      <w:rFonts w:ascii="Comic Sans MS" w:hAnsi="Comic Sans MS"/>
      <w:sz w:val="22"/>
      <w:lang w:val="es-MX" w:eastAsia="ar-SA"/>
    </w:rPr>
  </w:style>
  <w:style w:type="character" w:customStyle="1" w:styleId="A9">
    <w:name w:val="A9"/>
    <w:rsid w:val="00AB019D"/>
    <w:rPr>
      <w:color w:val="000000"/>
      <w:sz w:val="19"/>
    </w:rPr>
  </w:style>
  <w:style w:type="paragraph" w:customStyle="1" w:styleId="Pa6">
    <w:name w:val="Pa6"/>
    <w:basedOn w:val="Normal"/>
    <w:next w:val="Normal"/>
    <w:uiPriority w:val="99"/>
    <w:rsid w:val="00D338DF"/>
    <w:pPr>
      <w:autoSpaceDE w:val="0"/>
      <w:autoSpaceDN w:val="0"/>
      <w:adjustRightInd w:val="0"/>
      <w:spacing w:line="151" w:lineRule="atLeast"/>
    </w:pPr>
    <w:rPr>
      <w:rFonts w:ascii="EMQHWT+MetaBoldLF-Roman" w:eastAsiaTheme="minorHAnsi" w:hAnsi="EMQHWT+MetaBoldLF-Roman" w:cstheme="minorBidi"/>
      <w:sz w:val="24"/>
      <w:szCs w:val="24"/>
      <w:lang w:val="es-ES" w:eastAsia="en-US"/>
    </w:rPr>
  </w:style>
  <w:style w:type="paragraph" w:customStyle="1" w:styleId="ListParagraph1">
    <w:name w:val="List Paragraph1"/>
    <w:basedOn w:val="Normal"/>
    <w:uiPriority w:val="99"/>
    <w:rsid w:val="006316D8"/>
    <w:pPr>
      <w:ind w:left="708"/>
    </w:pPr>
  </w:style>
  <w:style w:type="character" w:customStyle="1" w:styleId="apple-converted-space">
    <w:name w:val="apple-converted-space"/>
    <w:basedOn w:val="Fuentedeprrafopredeter"/>
    <w:rsid w:val="00A75CFB"/>
  </w:style>
  <w:style w:type="character" w:customStyle="1" w:styleId="object">
    <w:name w:val="object"/>
    <w:basedOn w:val="Fuentedeprrafopredeter"/>
    <w:rsid w:val="00276F6B"/>
    <w:rPr>
      <w:rFonts w:cs="Times New Roman"/>
    </w:rPr>
  </w:style>
  <w:style w:type="character" w:customStyle="1" w:styleId="Ttulo1Car">
    <w:name w:val="Título 1 Car"/>
    <w:basedOn w:val="Fuentedeprrafopredeter"/>
    <w:link w:val="Ttulo1"/>
    <w:rsid w:val="001024DB"/>
    <w:rPr>
      <w:rFonts w:ascii="Arial" w:hAnsi="Arial"/>
      <w:b/>
      <w:sz w:val="24"/>
      <w:lang w:val="es-ES_tradnl" w:eastAsia="es-MX"/>
    </w:rPr>
  </w:style>
  <w:style w:type="character" w:customStyle="1" w:styleId="Ttulo2Car">
    <w:name w:val="Título 2 Car"/>
    <w:basedOn w:val="Fuentedeprrafopredeter"/>
    <w:link w:val="Ttulo2"/>
    <w:rsid w:val="001024DB"/>
    <w:rPr>
      <w:rFonts w:ascii="Arial" w:hAnsi="Arial"/>
      <w:b/>
      <w:sz w:val="24"/>
      <w:lang w:val="es-ES_tradnl" w:eastAsia="es-MX"/>
    </w:rPr>
  </w:style>
  <w:style w:type="character" w:customStyle="1" w:styleId="Ttulo3Car">
    <w:name w:val="Título 3 Car"/>
    <w:basedOn w:val="Fuentedeprrafopredeter"/>
    <w:link w:val="Ttulo3"/>
    <w:rsid w:val="001024DB"/>
    <w:rPr>
      <w:rFonts w:ascii="Arial" w:hAnsi="Arial"/>
      <w:b/>
      <w:sz w:val="28"/>
      <w:lang w:val="es-ES_tradnl" w:eastAsia="es-MX"/>
    </w:rPr>
  </w:style>
  <w:style w:type="character" w:customStyle="1" w:styleId="Ttulo4Car">
    <w:name w:val="Título 4 Car"/>
    <w:basedOn w:val="Fuentedeprrafopredeter"/>
    <w:link w:val="Ttulo4"/>
    <w:rsid w:val="001024DB"/>
    <w:rPr>
      <w:rFonts w:ascii="Arial" w:hAnsi="Arial"/>
      <w:b/>
      <w:lang w:val="es-ES_tradnl" w:eastAsia="es-MX"/>
    </w:rPr>
  </w:style>
  <w:style w:type="character" w:customStyle="1" w:styleId="Ttulo5Car">
    <w:name w:val="Título 5 Car"/>
    <w:basedOn w:val="Fuentedeprrafopredeter"/>
    <w:link w:val="Ttulo5"/>
    <w:rsid w:val="001024DB"/>
    <w:rPr>
      <w:b/>
      <w:sz w:val="24"/>
      <w:lang w:val="es-CO" w:eastAsia="es-MX"/>
    </w:rPr>
  </w:style>
  <w:style w:type="character" w:customStyle="1" w:styleId="Ttulo6Car">
    <w:name w:val="Título 6 Car"/>
    <w:basedOn w:val="Fuentedeprrafopredeter"/>
    <w:link w:val="Ttulo6"/>
    <w:rsid w:val="001024DB"/>
    <w:rPr>
      <w:rFonts w:ascii="Arial" w:hAnsi="Arial"/>
      <w:sz w:val="24"/>
      <w:lang w:val="es-CO" w:eastAsia="es-MX"/>
    </w:rPr>
  </w:style>
  <w:style w:type="character" w:customStyle="1" w:styleId="Ttulo7Car">
    <w:name w:val="Título 7 Car"/>
    <w:basedOn w:val="Fuentedeprrafopredeter"/>
    <w:link w:val="Ttulo7"/>
    <w:rsid w:val="001024DB"/>
    <w:rPr>
      <w:rFonts w:ascii="Arial" w:hAnsi="Arial"/>
      <w:b/>
      <w:sz w:val="24"/>
      <w:lang w:val="es-ES_tradnl" w:eastAsia="es-MX"/>
    </w:rPr>
  </w:style>
  <w:style w:type="character" w:customStyle="1" w:styleId="Ttulo8Car">
    <w:name w:val="Título 8 Car"/>
    <w:basedOn w:val="Fuentedeprrafopredeter"/>
    <w:link w:val="Ttulo8"/>
    <w:rsid w:val="001024DB"/>
    <w:rPr>
      <w:rFonts w:ascii="Arial" w:hAnsi="Arial"/>
      <w:b/>
      <w:sz w:val="24"/>
      <w:lang w:val="es-ES_tradnl" w:eastAsia="es-MX"/>
    </w:rPr>
  </w:style>
  <w:style w:type="character" w:customStyle="1" w:styleId="Ttulo9Car">
    <w:name w:val="Título 9 Car"/>
    <w:basedOn w:val="Fuentedeprrafopredeter"/>
    <w:link w:val="Ttulo9"/>
    <w:rsid w:val="001024DB"/>
    <w:rPr>
      <w:rFonts w:ascii="Arial" w:hAnsi="Arial"/>
      <w:b/>
      <w:lang w:val="es-ES_tradnl" w:eastAsia="es-MX"/>
    </w:rPr>
  </w:style>
  <w:style w:type="character" w:customStyle="1" w:styleId="EncabezadoCar">
    <w:name w:val="Encabezado Car"/>
    <w:basedOn w:val="Fuentedeprrafopredeter"/>
    <w:link w:val="Encabezado"/>
    <w:rsid w:val="001024DB"/>
    <w:rPr>
      <w:lang w:val="es-CO" w:eastAsia="es-MX"/>
    </w:rPr>
  </w:style>
  <w:style w:type="character" w:customStyle="1" w:styleId="PiedepginaCar">
    <w:name w:val="Pie de página Car"/>
    <w:basedOn w:val="Fuentedeprrafopredeter"/>
    <w:link w:val="Piedepgina"/>
    <w:rsid w:val="001024DB"/>
    <w:rPr>
      <w:lang w:val="es-CO" w:eastAsia="es-MX"/>
    </w:rPr>
  </w:style>
  <w:style w:type="character" w:customStyle="1" w:styleId="TextoindependienteCar">
    <w:name w:val="Texto independiente Car"/>
    <w:basedOn w:val="Fuentedeprrafopredeter"/>
    <w:link w:val="Textoindependiente"/>
    <w:rsid w:val="001024DB"/>
    <w:rPr>
      <w:rFonts w:ascii="Arial" w:hAnsi="Arial"/>
      <w:b/>
      <w:sz w:val="28"/>
      <w:lang w:val="es-ES_tradnl" w:eastAsia="es-MX"/>
    </w:rPr>
  </w:style>
  <w:style w:type="character" w:customStyle="1" w:styleId="TextodegloboCar">
    <w:name w:val="Texto de globo Car"/>
    <w:basedOn w:val="Fuentedeprrafopredeter"/>
    <w:link w:val="Textodeglobo"/>
    <w:semiHidden/>
    <w:rsid w:val="001024DB"/>
    <w:rPr>
      <w:rFonts w:ascii="Arial" w:hAnsi="Arial" w:cs="Arial"/>
      <w:sz w:val="16"/>
      <w:szCs w:val="16"/>
      <w:lang w:val="es-CO" w:eastAsia="es-MX"/>
    </w:rPr>
  </w:style>
  <w:style w:type="character" w:customStyle="1" w:styleId="Textoindependiente2Car">
    <w:name w:val="Texto independiente 2 Car"/>
    <w:basedOn w:val="Fuentedeprrafopredeter"/>
    <w:link w:val="Textoindependiente2"/>
    <w:rsid w:val="001024DB"/>
    <w:rPr>
      <w:rFonts w:ascii="Arial" w:hAnsi="Arial"/>
      <w:sz w:val="24"/>
      <w:lang w:val="es-ES_tradnl" w:eastAsia="es-MX"/>
    </w:rPr>
  </w:style>
  <w:style w:type="character" w:customStyle="1" w:styleId="MapadeldocumentoCar">
    <w:name w:val="Mapa del documento Car"/>
    <w:basedOn w:val="Fuentedeprrafopredeter"/>
    <w:link w:val="Mapadeldocumento"/>
    <w:semiHidden/>
    <w:rsid w:val="001024DB"/>
    <w:rPr>
      <w:rFonts w:ascii="Tahoma" w:hAnsi="Tahoma"/>
      <w:shd w:val="clear" w:color="auto" w:fill="000080"/>
      <w:lang w:val="es-CO" w:eastAsia="es-MX"/>
    </w:rPr>
  </w:style>
  <w:style w:type="character" w:customStyle="1" w:styleId="Textoindependiente3Car">
    <w:name w:val="Texto independiente 3 Car"/>
    <w:basedOn w:val="Fuentedeprrafopredeter"/>
    <w:link w:val="Textoindependiente3"/>
    <w:rsid w:val="001024DB"/>
    <w:rPr>
      <w:rFonts w:ascii="Arial" w:hAnsi="Arial"/>
      <w:sz w:val="24"/>
      <w:lang w:val="es-ES_tradnl" w:eastAsia="es-MX"/>
    </w:rPr>
  </w:style>
  <w:style w:type="character" w:customStyle="1" w:styleId="TextocomentarioCar">
    <w:name w:val="Texto comentario Car"/>
    <w:basedOn w:val="Fuentedeprrafopredeter"/>
    <w:link w:val="Textocomentario"/>
    <w:uiPriority w:val="99"/>
    <w:rsid w:val="001024DB"/>
    <w:rPr>
      <w:lang w:val="es-CO" w:eastAsia="es-MX"/>
    </w:rPr>
  </w:style>
  <w:style w:type="character" w:customStyle="1" w:styleId="AsuntodelcomentarioCar">
    <w:name w:val="Asunto del comentario Car"/>
    <w:basedOn w:val="TextocomentarioCar"/>
    <w:link w:val="Asuntodelcomentario"/>
    <w:semiHidden/>
    <w:rsid w:val="001024DB"/>
    <w:rPr>
      <w:b/>
      <w:bCs/>
      <w:lang w:val="es-CO" w:eastAsia="es-MX"/>
    </w:rPr>
  </w:style>
  <w:style w:type="character" w:customStyle="1" w:styleId="TtuloCar">
    <w:name w:val="Título Car"/>
    <w:basedOn w:val="Fuentedeprrafopredeter"/>
    <w:link w:val="Ttulo"/>
    <w:rsid w:val="001024DB"/>
    <w:rPr>
      <w:rFonts w:ascii="Arial" w:hAnsi="Arial"/>
      <w:b/>
      <w:snapToGrid w:val="0"/>
      <w:lang w:val="es-CO"/>
    </w:rPr>
  </w:style>
  <w:style w:type="character" w:customStyle="1" w:styleId="Sangra2detindependienteCar">
    <w:name w:val="Sangría 2 de t. independiente Car"/>
    <w:basedOn w:val="Fuentedeprrafopredeter"/>
    <w:link w:val="Sangra2detindependiente"/>
    <w:rsid w:val="001024DB"/>
    <w:rPr>
      <w:sz w:val="24"/>
      <w:lang w:val="es-CO"/>
    </w:rPr>
  </w:style>
  <w:style w:type="paragraph" w:customStyle="1" w:styleId="CM14">
    <w:name w:val="CM14"/>
    <w:basedOn w:val="Default"/>
    <w:next w:val="Default"/>
    <w:uiPriority w:val="99"/>
    <w:rsid w:val="001E0C97"/>
    <w:rPr>
      <w:color w:val="auto"/>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94538"/>
    <w:rPr>
      <w:lang w:val="es-CO" w:eastAsia="es-MX"/>
    </w:rPr>
  </w:style>
  <w:style w:type="character" w:styleId="Fuerte">
    <w:name w:val="Strong"/>
    <w:uiPriority w:val="22"/>
    <w:qFormat/>
    <w:rsid w:val="00BF52B5"/>
    <w:rPr>
      <w:b/>
      <w:bCs/>
    </w:rPr>
  </w:style>
  <w:style w:type="paragraph" w:styleId="NormalWeb">
    <w:name w:val="Normal (Web)"/>
    <w:basedOn w:val="Normal"/>
    <w:uiPriority w:val="99"/>
    <w:unhideWhenUsed/>
    <w:rsid w:val="00AE56D4"/>
    <w:pPr>
      <w:spacing w:before="100" w:beforeAutospacing="1" w:after="100" w:afterAutospacing="1"/>
    </w:pPr>
    <w:rPr>
      <w:sz w:val="24"/>
      <w:szCs w:val="24"/>
    </w:rPr>
  </w:style>
  <w:style w:type="paragraph" w:customStyle="1" w:styleId="TableParagraph">
    <w:name w:val="Table Paragraph"/>
    <w:basedOn w:val="Normal"/>
    <w:uiPriority w:val="1"/>
    <w:qFormat/>
    <w:rsid w:val="00C605D2"/>
    <w:pPr>
      <w:widowControl w:val="0"/>
      <w:autoSpaceDE w:val="0"/>
      <w:autoSpaceDN w:val="0"/>
    </w:pPr>
    <w:rPr>
      <w:rFonts w:ascii="Arial Narrow" w:eastAsia="Arial Narrow" w:hAnsi="Arial Narrow"/>
      <w:sz w:val="22"/>
      <w:szCs w:val="22"/>
      <w:lang w:val="gl" w:eastAsia="gl"/>
    </w:rPr>
  </w:style>
  <w:style w:type="character" w:customStyle="1" w:styleId="DefaultCar">
    <w:name w:val="Default Car"/>
    <w:link w:val="Default"/>
    <w:locked/>
    <w:rsid w:val="00C605D2"/>
    <w:rPr>
      <w:rFonts w:ascii="Arial" w:hAnsi="Arial" w:cs="Arial"/>
      <w:color w:val="000000"/>
      <w:sz w:val="24"/>
      <w:szCs w:val="24"/>
      <w:lang w:val="es-CO" w:eastAsia="es-CO"/>
    </w:rPr>
  </w:style>
  <w:style w:type="paragraph" w:customStyle="1" w:styleId="Normal1">
    <w:name w:val="Normal1"/>
    <w:uiPriority w:val="99"/>
    <w:rsid w:val="0011691C"/>
    <w:rPr>
      <w:color w:val="000000"/>
      <w:lang w:val="es-CO" w:eastAsia="es-CO"/>
    </w:rPr>
  </w:style>
  <w:style w:type="paragraph" w:customStyle="1" w:styleId="cuerpotexto">
    <w:name w:val="cuerpotexto"/>
    <w:basedOn w:val="Normal"/>
    <w:rsid w:val="00FF3DAA"/>
    <w:pPr>
      <w:spacing w:before="100" w:beforeAutospacing="1" w:after="100" w:afterAutospacing="1"/>
    </w:pPr>
    <w:rPr>
      <w:rFonts w:eastAsia="SimSu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3341">
      <w:bodyDiv w:val="1"/>
      <w:marLeft w:val="0"/>
      <w:marRight w:val="0"/>
      <w:marTop w:val="0"/>
      <w:marBottom w:val="0"/>
      <w:divBdr>
        <w:top w:val="none" w:sz="0" w:space="0" w:color="auto"/>
        <w:left w:val="none" w:sz="0" w:space="0" w:color="auto"/>
        <w:bottom w:val="none" w:sz="0" w:space="0" w:color="auto"/>
        <w:right w:val="none" w:sz="0" w:space="0" w:color="auto"/>
      </w:divBdr>
    </w:div>
    <w:div w:id="66458856">
      <w:bodyDiv w:val="1"/>
      <w:marLeft w:val="0"/>
      <w:marRight w:val="0"/>
      <w:marTop w:val="0"/>
      <w:marBottom w:val="0"/>
      <w:divBdr>
        <w:top w:val="none" w:sz="0" w:space="0" w:color="auto"/>
        <w:left w:val="none" w:sz="0" w:space="0" w:color="auto"/>
        <w:bottom w:val="none" w:sz="0" w:space="0" w:color="auto"/>
        <w:right w:val="none" w:sz="0" w:space="0" w:color="auto"/>
      </w:divBdr>
    </w:div>
    <w:div w:id="75904881">
      <w:bodyDiv w:val="1"/>
      <w:marLeft w:val="0"/>
      <w:marRight w:val="0"/>
      <w:marTop w:val="0"/>
      <w:marBottom w:val="0"/>
      <w:divBdr>
        <w:top w:val="none" w:sz="0" w:space="0" w:color="auto"/>
        <w:left w:val="none" w:sz="0" w:space="0" w:color="auto"/>
        <w:bottom w:val="none" w:sz="0" w:space="0" w:color="auto"/>
        <w:right w:val="none" w:sz="0" w:space="0" w:color="auto"/>
      </w:divBdr>
    </w:div>
    <w:div w:id="79451381">
      <w:bodyDiv w:val="1"/>
      <w:marLeft w:val="0"/>
      <w:marRight w:val="0"/>
      <w:marTop w:val="0"/>
      <w:marBottom w:val="0"/>
      <w:divBdr>
        <w:top w:val="none" w:sz="0" w:space="0" w:color="auto"/>
        <w:left w:val="none" w:sz="0" w:space="0" w:color="auto"/>
        <w:bottom w:val="none" w:sz="0" w:space="0" w:color="auto"/>
        <w:right w:val="none" w:sz="0" w:space="0" w:color="auto"/>
      </w:divBdr>
    </w:div>
    <w:div w:id="86048898">
      <w:bodyDiv w:val="1"/>
      <w:marLeft w:val="0"/>
      <w:marRight w:val="0"/>
      <w:marTop w:val="0"/>
      <w:marBottom w:val="0"/>
      <w:divBdr>
        <w:top w:val="none" w:sz="0" w:space="0" w:color="auto"/>
        <w:left w:val="none" w:sz="0" w:space="0" w:color="auto"/>
        <w:bottom w:val="none" w:sz="0" w:space="0" w:color="auto"/>
        <w:right w:val="none" w:sz="0" w:space="0" w:color="auto"/>
      </w:divBdr>
    </w:div>
    <w:div w:id="156464651">
      <w:bodyDiv w:val="1"/>
      <w:marLeft w:val="0"/>
      <w:marRight w:val="0"/>
      <w:marTop w:val="0"/>
      <w:marBottom w:val="0"/>
      <w:divBdr>
        <w:top w:val="none" w:sz="0" w:space="0" w:color="auto"/>
        <w:left w:val="none" w:sz="0" w:space="0" w:color="auto"/>
        <w:bottom w:val="none" w:sz="0" w:space="0" w:color="auto"/>
        <w:right w:val="none" w:sz="0" w:space="0" w:color="auto"/>
      </w:divBdr>
    </w:div>
    <w:div w:id="156582330">
      <w:bodyDiv w:val="1"/>
      <w:marLeft w:val="0"/>
      <w:marRight w:val="0"/>
      <w:marTop w:val="0"/>
      <w:marBottom w:val="0"/>
      <w:divBdr>
        <w:top w:val="none" w:sz="0" w:space="0" w:color="auto"/>
        <w:left w:val="none" w:sz="0" w:space="0" w:color="auto"/>
        <w:bottom w:val="none" w:sz="0" w:space="0" w:color="auto"/>
        <w:right w:val="none" w:sz="0" w:space="0" w:color="auto"/>
      </w:divBdr>
    </w:div>
    <w:div w:id="169491104">
      <w:bodyDiv w:val="1"/>
      <w:marLeft w:val="0"/>
      <w:marRight w:val="0"/>
      <w:marTop w:val="0"/>
      <w:marBottom w:val="0"/>
      <w:divBdr>
        <w:top w:val="none" w:sz="0" w:space="0" w:color="auto"/>
        <w:left w:val="none" w:sz="0" w:space="0" w:color="auto"/>
        <w:bottom w:val="none" w:sz="0" w:space="0" w:color="auto"/>
        <w:right w:val="none" w:sz="0" w:space="0" w:color="auto"/>
      </w:divBdr>
    </w:div>
    <w:div w:id="194853109">
      <w:bodyDiv w:val="1"/>
      <w:marLeft w:val="0"/>
      <w:marRight w:val="0"/>
      <w:marTop w:val="0"/>
      <w:marBottom w:val="0"/>
      <w:divBdr>
        <w:top w:val="none" w:sz="0" w:space="0" w:color="auto"/>
        <w:left w:val="none" w:sz="0" w:space="0" w:color="auto"/>
        <w:bottom w:val="none" w:sz="0" w:space="0" w:color="auto"/>
        <w:right w:val="none" w:sz="0" w:space="0" w:color="auto"/>
      </w:divBdr>
    </w:div>
    <w:div w:id="208685791">
      <w:bodyDiv w:val="1"/>
      <w:marLeft w:val="0"/>
      <w:marRight w:val="0"/>
      <w:marTop w:val="0"/>
      <w:marBottom w:val="0"/>
      <w:divBdr>
        <w:top w:val="none" w:sz="0" w:space="0" w:color="auto"/>
        <w:left w:val="none" w:sz="0" w:space="0" w:color="auto"/>
        <w:bottom w:val="none" w:sz="0" w:space="0" w:color="auto"/>
        <w:right w:val="none" w:sz="0" w:space="0" w:color="auto"/>
      </w:divBdr>
    </w:div>
    <w:div w:id="269778432">
      <w:bodyDiv w:val="1"/>
      <w:marLeft w:val="0"/>
      <w:marRight w:val="0"/>
      <w:marTop w:val="0"/>
      <w:marBottom w:val="0"/>
      <w:divBdr>
        <w:top w:val="none" w:sz="0" w:space="0" w:color="auto"/>
        <w:left w:val="none" w:sz="0" w:space="0" w:color="auto"/>
        <w:bottom w:val="none" w:sz="0" w:space="0" w:color="auto"/>
        <w:right w:val="none" w:sz="0" w:space="0" w:color="auto"/>
      </w:divBdr>
    </w:div>
    <w:div w:id="303901000">
      <w:bodyDiv w:val="1"/>
      <w:marLeft w:val="0"/>
      <w:marRight w:val="0"/>
      <w:marTop w:val="0"/>
      <w:marBottom w:val="0"/>
      <w:divBdr>
        <w:top w:val="none" w:sz="0" w:space="0" w:color="auto"/>
        <w:left w:val="none" w:sz="0" w:space="0" w:color="auto"/>
        <w:bottom w:val="none" w:sz="0" w:space="0" w:color="auto"/>
        <w:right w:val="none" w:sz="0" w:space="0" w:color="auto"/>
      </w:divBdr>
    </w:div>
    <w:div w:id="344215226">
      <w:bodyDiv w:val="1"/>
      <w:marLeft w:val="0"/>
      <w:marRight w:val="0"/>
      <w:marTop w:val="0"/>
      <w:marBottom w:val="0"/>
      <w:divBdr>
        <w:top w:val="none" w:sz="0" w:space="0" w:color="auto"/>
        <w:left w:val="none" w:sz="0" w:space="0" w:color="auto"/>
        <w:bottom w:val="none" w:sz="0" w:space="0" w:color="auto"/>
        <w:right w:val="none" w:sz="0" w:space="0" w:color="auto"/>
      </w:divBdr>
    </w:div>
    <w:div w:id="359166546">
      <w:bodyDiv w:val="1"/>
      <w:marLeft w:val="0"/>
      <w:marRight w:val="0"/>
      <w:marTop w:val="0"/>
      <w:marBottom w:val="0"/>
      <w:divBdr>
        <w:top w:val="none" w:sz="0" w:space="0" w:color="auto"/>
        <w:left w:val="none" w:sz="0" w:space="0" w:color="auto"/>
        <w:bottom w:val="none" w:sz="0" w:space="0" w:color="auto"/>
        <w:right w:val="none" w:sz="0" w:space="0" w:color="auto"/>
      </w:divBdr>
    </w:div>
    <w:div w:id="389350033">
      <w:bodyDiv w:val="1"/>
      <w:marLeft w:val="0"/>
      <w:marRight w:val="0"/>
      <w:marTop w:val="0"/>
      <w:marBottom w:val="0"/>
      <w:divBdr>
        <w:top w:val="none" w:sz="0" w:space="0" w:color="auto"/>
        <w:left w:val="none" w:sz="0" w:space="0" w:color="auto"/>
        <w:bottom w:val="none" w:sz="0" w:space="0" w:color="auto"/>
        <w:right w:val="none" w:sz="0" w:space="0" w:color="auto"/>
      </w:divBdr>
    </w:div>
    <w:div w:id="433087982">
      <w:bodyDiv w:val="1"/>
      <w:marLeft w:val="0"/>
      <w:marRight w:val="0"/>
      <w:marTop w:val="0"/>
      <w:marBottom w:val="0"/>
      <w:divBdr>
        <w:top w:val="none" w:sz="0" w:space="0" w:color="auto"/>
        <w:left w:val="none" w:sz="0" w:space="0" w:color="auto"/>
        <w:bottom w:val="none" w:sz="0" w:space="0" w:color="auto"/>
        <w:right w:val="none" w:sz="0" w:space="0" w:color="auto"/>
      </w:divBdr>
    </w:div>
    <w:div w:id="444037435">
      <w:bodyDiv w:val="1"/>
      <w:marLeft w:val="0"/>
      <w:marRight w:val="0"/>
      <w:marTop w:val="0"/>
      <w:marBottom w:val="0"/>
      <w:divBdr>
        <w:top w:val="none" w:sz="0" w:space="0" w:color="auto"/>
        <w:left w:val="none" w:sz="0" w:space="0" w:color="auto"/>
        <w:bottom w:val="none" w:sz="0" w:space="0" w:color="auto"/>
        <w:right w:val="none" w:sz="0" w:space="0" w:color="auto"/>
      </w:divBdr>
    </w:div>
    <w:div w:id="454056413">
      <w:bodyDiv w:val="1"/>
      <w:marLeft w:val="0"/>
      <w:marRight w:val="0"/>
      <w:marTop w:val="0"/>
      <w:marBottom w:val="0"/>
      <w:divBdr>
        <w:top w:val="none" w:sz="0" w:space="0" w:color="auto"/>
        <w:left w:val="none" w:sz="0" w:space="0" w:color="auto"/>
        <w:bottom w:val="none" w:sz="0" w:space="0" w:color="auto"/>
        <w:right w:val="none" w:sz="0" w:space="0" w:color="auto"/>
      </w:divBdr>
    </w:div>
    <w:div w:id="460613129">
      <w:bodyDiv w:val="1"/>
      <w:marLeft w:val="0"/>
      <w:marRight w:val="0"/>
      <w:marTop w:val="0"/>
      <w:marBottom w:val="0"/>
      <w:divBdr>
        <w:top w:val="none" w:sz="0" w:space="0" w:color="auto"/>
        <w:left w:val="none" w:sz="0" w:space="0" w:color="auto"/>
        <w:bottom w:val="none" w:sz="0" w:space="0" w:color="auto"/>
        <w:right w:val="none" w:sz="0" w:space="0" w:color="auto"/>
      </w:divBdr>
    </w:div>
    <w:div w:id="475997909">
      <w:bodyDiv w:val="1"/>
      <w:marLeft w:val="0"/>
      <w:marRight w:val="0"/>
      <w:marTop w:val="0"/>
      <w:marBottom w:val="0"/>
      <w:divBdr>
        <w:top w:val="none" w:sz="0" w:space="0" w:color="auto"/>
        <w:left w:val="none" w:sz="0" w:space="0" w:color="auto"/>
        <w:bottom w:val="none" w:sz="0" w:space="0" w:color="auto"/>
        <w:right w:val="none" w:sz="0" w:space="0" w:color="auto"/>
      </w:divBdr>
    </w:div>
    <w:div w:id="483162135">
      <w:bodyDiv w:val="1"/>
      <w:marLeft w:val="0"/>
      <w:marRight w:val="0"/>
      <w:marTop w:val="0"/>
      <w:marBottom w:val="0"/>
      <w:divBdr>
        <w:top w:val="none" w:sz="0" w:space="0" w:color="auto"/>
        <w:left w:val="none" w:sz="0" w:space="0" w:color="auto"/>
        <w:bottom w:val="none" w:sz="0" w:space="0" w:color="auto"/>
        <w:right w:val="none" w:sz="0" w:space="0" w:color="auto"/>
      </w:divBdr>
    </w:div>
    <w:div w:id="507406101">
      <w:bodyDiv w:val="1"/>
      <w:marLeft w:val="0"/>
      <w:marRight w:val="0"/>
      <w:marTop w:val="0"/>
      <w:marBottom w:val="0"/>
      <w:divBdr>
        <w:top w:val="none" w:sz="0" w:space="0" w:color="auto"/>
        <w:left w:val="none" w:sz="0" w:space="0" w:color="auto"/>
        <w:bottom w:val="none" w:sz="0" w:space="0" w:color="auto"/>
        <w:right w:val="none" w:sz="0" w:space="0" w:color="auto"/>
      </w:divBdr>
    </w:div>
    <w:div w:id="508759820">
      <w:bodyDiv w:val="1"/>
      <w:marLeft w:val="0"/>
      <w:marRight w:val="0"/>
      <w:marTop w:val="0"/>
      <w:marBottom w:val="0"/>
      <w:divBdr>
        <w:top w:val="none" w:sz="0" w:space="0" w:color="auto"/>
        <w:left w:val="none" w:sz="0" w:space="0" w:color="auto"/>
        <w:bottom w:val="none" w:sz="0" w:space="0" w:color="auto"/>
        <w:right w:val="none" w:sz="0" w:space="0" w:color="auto"/>
      </w:divBdr>
    </w:div>
    <w:div w:id="509487050">
      <w:bodyDiv w:val="1"/>
      <w:marLeft w:val="0"/>
      <w:marRight w:val="0"/>
      <w:marTop w:val="0"/>
      <w:marBottom w:val="0"/>
      <w:divBdr>
        <w:top w:val="none" w:sz="0" w:space="0" w:color="auto"/>
        <w:left w:val="none" w:sz="0" w:space="0" w:color="auto"/>
        <w:bottom w:val="none" w:sz="0" w:space="0" w:color="auto"/>
        <w:right w:val="none" w:sz="0" w:space="0" w:color="auto"/>
      </w:divBdr>
    </w:div>
    <w:div w:id="531114534">
      <w:bodyDiv w:val="1"/>
      <w:marLeft w:val="0"/>
      <w:marRight w:val="0"/>
      <w:marTop w:val="0"/>
      <w:marBottom w:val="0"/>
      <w:divBdr>
        <w:top w:val="none" w:sz="0" w:space="0" w:color="auto"/>
        <w:left w:val="none" w:sz="0" w:space="0" w:color="auto"/>
        <w:bottom w:val="none" w:sz="0" w:space="0" w:color="auto"/>
        <w:right w:val="none" w:sz="0" w:space="0" w:color="auto"/>
      </w:divBdr>
    </w:div>
    <w:div w:id="532764982">
      <w:bodyDiv w:val="1"/>
      <w:marLeft w:val="0"/>
      <w:marRight w:val="0"/>
      <w:marTop w:val="0"/>
      <w:marBottom w:val="0"/>
      <w:divBdr>
        <w:top w:val="none" w:sz="0" w:space="0" w:color="auto"/>
        <w:left w:val="none" w:sz="0" w:space="0" w:color="auto"/>
        <w:bottom w:val="none" w:sz="0" w:space="0" w:color="auto"/>
        <w:right w:val="none" w:sz="0" w:space="0" w:color="auto"/>
      </w:divBdr>
    </w:div>
    <w:div w:id="548952506">
      <w:bodyDiv w:val="1"/>
      <w:marLeft w:val="0"/>
      <w:marRight w:val="0"/>
      <w:marTop w:val="0"/>
      <w:marBottom w:val="0"/>
      <w:divBdr>
        <w:top w:val="none" w:sz="0" w:space="0" w:color="auto"/>
        <w:left w:val="none" w:sz="0" w:space="0" w:color="auto"/>
        <w:bottom w:val="none" w:sz="0" w:space="0" w:color="auto"/>
        <w:right w:val="none" w:sz="0" w:space="0" w:color="auto"/>
      </w:divBdr>
    </w:div>
    <w:div w:id="554778969">
      <w:bodyDiv w:val="1"/>
      <w:marLeft w:val="0"/>
      <w:marRight w:val="0"/>
      <w:marTop w:val="0"/>
      <w:marBottom w:val="0"/>
      <w:divBdr>
        <w:top w:val="none" w:sz="0" w:space="0" w:color="auto"/>
        <w:left w:val="none" w:sz="0" w:space="0" w:color="auto"/>
        <w:bottom w:val="none" w:sz="0" w:space="0" w:color="auto"/>
        <w:right w:val="none" w:sz="0" w:space="0" w:color="auto"/>
      </w:divBdr>
    </w:div>
    <w:div w:id="592324585">
      <w:bodyDiv w:val="1"/>
      <w:marLeft w:val="0"/>
      <w:marRight w:val="0"/>
      <w:marTop w:val="0"/>
      <w:marBottom w:val="0"/>
      <w:divBdr>
        <w:top w:val="none" w:sz="0" w:space="0" w:color="auto"/>
        <w:left w:val="none" w:sz="0" w:space="0" w:color="auto"/>
        <w:bottom w:val="none" w:sz="0" w:space="0" w:color="auto"/>
        <w:right w:val="none" w:sz="0" w:space="0" w:color="auto"/>
      </w:divBdr>
    </w:div>
    <w:div w:id="637153470">
      <w:bodyDiv w:val="1"/>
      <w:marLeft w:val="0"/>
      <w:marRight w:val="0"/>
      <w:marTop w:val="0"/>
      <w:marBottom w:val="0"/>
      <w:divBdr>
        <w:top w:val="none" w:sz="0" w:space="0" w:color="auto"/>
        <w:left w:val="none" w:sz="0" w:space="0" w:color="auto"/>
        <w:bottom w:val="none" w:sz="0" w:space="0" w:color="auto"/>
        <w:right w:val="none" w:sz="0" w:space="0" w:color="auto"/>
      </w:divBdr>
    </w:div>
    <w:div w:id="690379927">
      <w:bodyDiv w:val="1"/>
      <w:marLeft w:val="0"/>
      <w:marRight w:val="0"/>
      <w:marTop w:val="0"/>
      <w:marBottom w:val="0"/>
      <w:divBdr>
        <w:top w:val="none" w:sz="0" w:space="0" w:color="auto"/>
        <w:left w:val="none" w:sz="0" w:space="0" w:color="auto"/>
        <w:bottom w:val="none" w:sz="0" w:space="0" w:color="auto"/>
        <w:right w:val="none" w:sz="0" w:space="0" w:color="auto"/>
      </w:divBdr>
    </w:div>
    <w:div w:id="726492601">
      <w:bodyDiv w:val="1"/>
      <w:marLeft w:val="0"/>
      <w:marRight w:val="0"/>
      <w:marTop w:val="0"/>
      <w:marBottom w:val="0"/>
      <w:divBdr>
        <w:top w:val="none" w:sz="0" w:space="0" w:color="auto"/>
        <w:left w:val="none" w:sz="0" w:space="0" w:color="auto"/>
        <w:bottom w:val="none" w:sz="0" w:space="0" w:color="auto"/>
        <w:right w:val="none" w:sz="0" w:space="0" w:color="auto"/>
      </w:divBdr>
    </w:div>
    <w:div w:id="733430131">
      <w:bodyDiv w:val="1"/>
      <w:marLeft w:val="0"/>
      <w:marRight w:val="0"/>
      <w:marTop w:val="0"/>
      <w:marBottom w:val="0"/>
      <w:divBdr>
        <w:top w:val="none" w:sz="0" w:space="0" w:color="auto"/>
        <w:left w:val="none" w:sz="0" w:space="0" w:color="auto"/>
        <w:bottom w:val="none" w:sz="0" w:space="0" w:color="auto"/>
        <w:right w:val="none" w:sz="0" w:space="0" w:color="auto"/>
      </w:divBdr>
    </w:div>
    <w:div w:id="770854038">
      <w:bodyDiv w:val="1"/>
      <w:marLeft w:val="0"/>
      <w:marRight w:val="0"/>
      <w:marTop w:val="0"/>
      <w:marBottom w:val="0"/>
      <w:divBdr>
        <w:top w:val="none" w:sz="0" w:space="0" w:color="auto"/>
        <w:left w:val="none" w:sz="0" w:space="0" w:color="auto"/>
        <w:bottom w:val="none" w:sz="0" w:space="0" w:color="auto"/>
        <w:right w:val="none" w:sz="0" w:space="0" w:color="auto"/>
      </w:divBdr>
    </w:div>
    <w:div w:id="794521026">
      <w:bodyDiv w:val="1"/>
      <w:marLeft w:val="0"/>
      <w:marRight w:val="0"/>
      <w:marTop w:val="0"/>
      <w:marBottom w:val="0"/>
      <w:divBdr>
        <w:top w:val="none" w:sz="0" w:space="0" w:color="auto"/>
        <w:left w:val="none" w:sz="0" w:space="0" w:color="auto"/>
        <w:bottom w:val="none" w:sz="0" w:space="0" w:color="auto"/>
        <w:right w:val="none" w:sz="0" w:space="0" w:color="auto"/>
      </w:divBdr>
    </w:div>
    <w:div w:id="819882993">
      <w:bodyDiv w:val="1"/>
      <w:marLeft w:val="0"/>
      <w:marRight w:val="0"/>
      <w:marTop w:val="0"/>
      <w:marBottom w:val="0"/>
      <w:divBdr>
        <w:top w:val="none" w:sz="0" w:space="0" w:color="auto"/>
        <w:left w:val="none" w:sz="0" w:space="0" w:color="auto"/>
        <w:bottom w:val="none" w:sz="0" w:space="0" w:color="auto"/>
        <w:right w:val="none" w:sz="0" w:space="0" w:color="auto"/>
      </w:divBdr>
    </w:div>
    <w:div w:id="852036822">
      <w:bodyDiv w:val="1"/>
      <w:marLeft w:val="0"/>
      <w:marRight w:val="0"/>
      <w:marTop w:val="0"/>
      <w:marBottom w:val="0"/>
      <w:divBdr>
        <w:top w:val="none" w:sz="0" w:space="0" w:color="auto"/>
        <w:left w:val="none" w:sz="0" w:space="0" w:color="auto"/>
        <w:bottom w:val="none" w:sz="0" w:space="0" w:color="auto"/>
        <w:right w:val="none" w:sz="0" w:space="0" w:color="auto"/>
      </w:divBdr>
    </w:div>
    <w:div w:id="870723555">
      <w:bodyDiv w:val="1"/>
      <w:marLeft w:val="0"/>
      <w:marRight w:val="0"/>
      <w:marTop w:val="0"/>
      <w:marBottom w:val="0"/>
      <w:divBdr>
        <w:top w:val="none" w:sz="0" w:space="0" w:color="auto"/>
        <w:left w:val="none" w:sz="0" w:space="0" w:color="auto"/>
        <w:bottom w:val="none" w:sz="0" w:space="0" w:color="auto"/>
        <w:right w:val="none" w:sz="0" w:space="0" w:color="auto"/>
      </w:divBdr>
    </w:div>
    <w:div w:id="873614106">
      <w:bodyDiv w:val="1"/>
      <w:marLeft w:val="0"/>
      <w:marRight w:val="0"/>
      <w:marTop w:val="0"/>
      <w:marBottom w:val="0"/>
      <w:divBdr>
        <w:top w:val="none" w:sz="0" w:space="0" w:color="auto"/>
        <w:left w:val="none" w:sz="0" w:space="0" w:color="auto"/>
        <w:bottom w:val="none" w:sz="0" w:space="0" w:color="auto"/>
        <w:right w:val="none" w:sz="0" w:space="0" w:color="auto"/>
      </w:divBdr>
    </w:div>
    <w:div w:id="873689336">
      <w:bodyDiv w:val="1"/>
      <w:marLeft w:val="0"/>
      <w:marRight w:val="0"/>
      <w:marTop w:val="0"/>
      <w:marBottom w:val="0"/>
      <w:divBdr>
        <w:top w:val="none" w:sz="0" w:space="0" w:color="auto"/>
        <w:left w:val="none" w:sz="0" w:space="0" w:color="auto"/>
        <w:bottom w:val="none" w:sz="0" w:space="0" w:color="auto"/>
        <w:right w:val="none" w:sz="0" w:space="0" w:color="auto"/>
      </w:divBdr>
    </w:div>
    <w:div w:id="881476015">
      <w:bodyDiv w:val="1"/>
      <w:marLeft w:val="0"/>
      <w:marRight w:val="0"/>
      <w:marTop w:val="0"/>
      <w:marBottom w:val="0"/>
      <w:divBdr>
        <w:top w:val="none" w:sz="0" w:space="0" w:color="auto"/>
        <w:left w:val="none" w:sz="0" w:space="0" w:color="auto"/>
        <w:bottom w:val="none" w:sz="0" w:space="0" w:color="auto"/>
        <w:right w:val="none" w:sz="0" w:space="0" w:color="auto"/>
      </w:divBdr>
    </w:div>
    <w:div w:id="941883400">
      <w:bodyDiv w:val="1"/>
      <w:marLeft w:val="0"/>
      <w:marRight w:val="0"/>
      <w:marTop w:val="0"/>
      <w:marBottom w:val="0"/>
      <w:divBdr>
        <w:top w:val="none" w:sz="0" w:space="0" w:color="auto"/>
        <w:left w:val="none" w:sz="0" w:space="0" w:color="auto"/>
        <w:bottom w:val="none" w:sz="0" w:space="0" w:color="auto"/>
        <w:right w:val="none" w:sz="0" w:space="0" w:color="auto"/>
      </w:divBdr>
    </w:div>
    <w:div w:id="954139635">
      <w:bodyDiv w:val="1"/>
      <w:marLeft w:val="0"/>
      <w:marRight w:val="0"/>
      <w:marTop w:val="0"/>
      <w:marBottom w:val="0"/>
      <w:divBdr>
        <w:top w:val="none" w:sz="0" w:space="0" w:color="auto"/>
        <w:left w:val="none" w:sz="0" w:space="0" w:color="auto"/>
        <w:bottom w:val="none" w:sz="0" w:space="0" w:color="auto"/>
        <w:right w:val="none" w:sz="0" w:space="0" w:color="auto"/>
      </w:divBdr>
    </w:div>
    <w:div w:id="966622664">
      <w:bodyDiv w:val="1"/>
      <w:marLeft w:val="0"/>
      <w:marRight w:val="0"/>
      <w:marTop w:val="0"/>
      <w:marBottom w:val="0"/>
      <w:divBdr>
        <w:top w:val="none" w:sz="0" w:space="0" w:color="auto"/>
        <w:left w:val="none" w:sz="0" w:space="0" w:color="auto"/>
        <w:bottom w:val="none" w:sz="0" w:space="0" w:color="auto"/>
        <w:right w:val="none" w:sz="0" w:space="0" w:color="auto"/>
      </w:divBdr>
    </w:div>
    <w:div w:id="1010378519">
      <w:bodyDiv w:val="1"/>
      <w:marLeft w:val="0"/>
      <w:marRight w:val="0"/>
      <w:marTop w:val="0"/>
      <w:marBottom w:val="0"/>
      <w:divBdr>
        <w:top w:val="none" w:sz="0" w:space="0" w:color="auto"/>
        <w:left w:val="none" w:sz="0" w:space="0" w:color="auto"/>
        <w:bottom w:val="none" w:sz="0" w:space="0" w:color="auto"/>
        <w:right w:val="none" w:sz="0" w:space="0" w:color="auto"/>
      </w:divBdr>
    </w:div>
    <w:div w:id="1067843617">
      <w:bodyDiv w:val="1"/>
      <w:marLeft w:val="0"/>
      <w:marRight w:val="0"/>
      <w:marTop w:val="0"/>
      <w:marBottom w:val="0"/>
      <w:divBdr>
        <w:top w:val="none" w:sz="0" w:space="0" w:color="auto"/>
        <w:left w:val="none" w:sz="0" w:space="0" w:color="auto"/>
        <w:bottom w:val="none" w:sz="0" w:space="0" w:color="auto"/>
        <w:right w:val="none" w:sz="0" w:space="0" w:color="auto"/>
      </w:divBdr>
    </w:div>
    <w:div w:id="1112549767">
      <w:bodyDiv w:val="1"/>
      <w:marLeft w:val="0"/>
      <w:marRight w:val="0"/>
      <w:marTop w:val="0"/>
      <w:marBottom w:val="0"/>
      <w:divBdr>
        <w:top w:val="none" w:sz="0" w:space="0" w:color="auto"/>
        <w:left w:val="none" w:sz="0" w:space="0" w:color="auto"/>
        <w:bottom w:val="none" w:sz="0" w:space="0" w:color="auto"/>
        <w:right w:val="none" w:sz="0" w:space="0" w:color="auto"/>
      </w:divBdr>
    </w:div>
    <w:div w:id="1125081125">
      <w:bodyDiv w:val="1"/>
      <w:marLeft w:val="0"/>
      <w:marRight w:val="0"/>
      <w:marTop w:val="0"/>
      <w:marBottom w:val="0"/>
      <w:divBdr>
        <w:top w:val="none" w:sz="0" w:space="0" w:color="auto"/>
        <w:left w:val="none" w:sz="0" w:space="0" w:color="auto"/>
        <w:bottom w:val="none" w:sz="0" w:space="0" w:color="auto"/>
        <w:right w:val="none" w:sz="0" w:space="0" w:color="auto"/>
      </w:divBdr>
    </w:div>
    <w:div w:id="1131243728">
      <w:bodyDiv w:val="1"/>
      <w:marLeft w:val="0"/>
      <w:marRight w:val="0"/>
      <w:marTop w:val="0"/>
      <w:marBottom w:val="0"/>
      <w:divBdr>
        <w:top w:val="none" w:sz="0" w:space="0" w:color="auto"/>
        <w:left w:val="none" w:sz="0" w:space="0" w:color="auto"/>
        <w:bottom w:val="none" w:sz="0" w:space="0" w:color="auto"/>
        <w:right w:val="none" w:sz="0" w:space="0" w:color="auto"/>
      </w:divBdr>
    </w:div>
    <w:div w:id="1136533411">
      <w:bodyDiv w:val="1"/>
      <w:marLeft w:val="0"/>
      <w:marRight w:val="0"/>
      <w:marTop w:val="0"/>
      <w:marBottom w:val="0"/>
      <w:divBdr>
        <w:top w:val="none" w:sz="0" w:space="0" w:color="auto"/>
        <w:left w:val="none" w:sz="0" w:space="0" w:color="auto"/>
        <w:bottom w:val="none" w:sz="0" w:space="0" w:color="auto"/>
        <w:right w:val="none" w:sz="0" w:space="0" w:color="auto"/>
      </w:divBdr>
    </w:div>
    <w:div w:id="1143354982">
      <w:bodyDiv w:val="1"/>
      <w:marLeft w:val="0"/>
      <w:marRight w:val="0"/>
      <w:marTop w:val="0"/>
      <w:marBottom w:val="0"/>
      <w:divBdr>
        <w:top w:val="none" w:sz="0" w:space="0" w:color="auto"/>
        <w:left w:val="none" w:sz="0" w:space="0" w:color="auto"/>
        <w:bottom w:val="none" w:sz="0" w:space="0" w:color="auto"/>
        <w:right w:val="none" w:sz="0" w:space="0" w:color="auto"/>
      </w:divBdr>
    </w:div>
    <w:div w:id="1144348950">
      <w:bodyDiv w:val="1"/>
      <w:marLeft w:val="0"/>
      <w:marRight w:val="0"/>
      <w:marTop w:val="0"/>
      <w:marBottom w:val="0"/>
      <w:divBdr>
        <w:top w:val="none" w:sz="0" w:space="0" w:color="auto"/>
        <w:left w:val="none" w:sz="0" w:space="0" w:color="auto"/>
        <w:bottom w:val="none" w:sz="0" w:space="0" w:color="auto"/>
        <w:right w:val="none" w:sz="0" w:space="0" w:color="auto"/>
      </w:divBdr>
    </w:div>
    <w:div w:id="1152522228">
      <w:bodyDiv w:val="1"/>
      <w:marLeft w:val="0"/>
      <w:marRight w:val="0"/>
      <w:marTop w:val="0"/>
      <w:marBottom w:val="0"/>
      <w:divBdr>
        <w:top w:val="none" w:sz="0" w:space="0" w:color="auto"/>
        <w:left w:val="none" w:sz="0" w:space="0" w:color="auto"/>
        <w:bottom w:val="none" w:sz="0" w:space="0" w:color="auto"/>
        <w:right w:val="none" w:sz="0" w:space="0" w:color="auto"/>
      </w:divBdr>
    </w:div>
    <w:div w:id="1164861064">
      <w:bodyDiv w:val="1"/>
      <w:marLeft w:val="0"/>
      <w:marRight w:val="0"/>
      <w:marTop w:val="0"/>
      <w:marBottom w:val="0"/>
      <w:divBdr>
        <w:top w:val="none" w:sz="0" w:space="0" w:color="auto"/>
        <w:left w:val="none" w:sz="0" w:space="0" w:color="auto"/>
        <w:bottom w:val="none" w:sz="0" w:space="0" w:color="auto"/>
        <w:right w:val="none" w:sz="0" w:space="0" w:color="auto"/>
      </w:divBdr>
    </w:div>
    <w:div w:id="1191995840">
      <w:bodyDiv w:val="1"/>
      <w:marLeft w:val="0"/>
      <w:marRight w:val="0"/>
      <w:marTop w:val="0"/>
      <w:marBottom w:val="0"/>
      <w:divBdr>
        <w:top w:val="none" w:sz="0" w:space="0" w:color="auto"/>
        <w:left w:val="none" w:sz="0" w:space="0" w:color="auto"/>
        <w:bottom w:val="none" w:sz="0" w:space="0" w:color="auto"/>
        <w:right w:val="none" w:sz="0" w:space="0" w:color="auto"/>
      </w:divBdr>
    </w:div>
    <w:div w:id="1194229511">
      <w:bodyDiv w:val="1"/>
      <w:marLeft w:val="0"/>
      <w:marRight w:val="0"/>
      <w:marTop w:val="0"/>
      <w:marBottom w:val="0"/>
      <w:divBdr>
        <w:top w:val="none" w:sz="0" w:space="0" w:color="auto"/>
        <w:left w:val="none" w:sz="0" w:space="0" w:color="auto"/>
        <w:bottom w:val="none" w:sz="0" w:space="0" w:color="auto"/>
        <w:right w:val="none" w:sz="0" w:space="0" w:color="auto"/>
      </w:divBdr>
    </w:div>
    <w:div w:id="1201552718">
      <w:bodyDiv w:val="1"/>
      <w:marLeft w:val="0"/>
      <w:marRight w:val="0"/>
      <w:marTop w:val="0"/>
      <w:marBottom w:val="0"/>
      <w:divBdr>
        <w:top w:val="none" w:sz="0" w:space="0" w:color="auto"/>
        <w:left w:val="none" w:sz="0" w:space="0" w:color="auto"/>
        <w:bottom w:val="none" w:sz="0" w:space="0" w:color="auto"/>
        <w:right w:val="none" w:sz="0" w:space="0" w:color="auto"/>
      </w:divBdr>
    </w:div>
    <w:div w:id="1209104933">
      <w:bodyDiv w:val="1"/>
      <w:marLeft w:val="0"/>
      <w:marRight w:val="0"/>
      <w:marTop w:val="0"/>
      <w:marBottom w:val="0"/>
      <w:divBdr>
        <w:top w:val="none" w:sz="0" w:space="0" w:color="auto"/>
        <w:left w:val="none" w:sz="0" w:space="0" w:color="auto"/>
        <w:bottom w:val="none" w:sz="0" w:space="0" w:color="auto"/>
        <w:right w:val="none" w:sz="0" w:space="0" w:color="auto"/>
      </w:divBdr>
    </w:div>
    <w:div w:id="1232541313">
      <w:bodyDiv w:val="1"/>
      <w:marLeft w:val="0"/>
      <w:marRight w:val="0"/>
      <w:marTop w:val="0"/>
      <w:marBottom w:val="0"/>
      <w:divBdr>
        <w:top w:val="none" w:sz="0" w:space="0" w:color="auto"/>
        <w:left w:val="none" w:sz="0" w:space="0" w:color="auto"/>
        <w:bottom w:val="none" w:sz="0" w:space="0" w:color="auto"/>
        <w:right w:val="none" w:sz="0" w:space="0" w:color="auto"/>
      </w:divBdr>
    </w:div>
    <w:div w:id="1250967855">
      <w:bodyDiv w:val="1"/>
      <w:marLeft w:val="0"/>
      <w:marRight w:val="0"/>
      <w:marTop w:val="0"/>
      <w:marBottom w:val="0"/>
      <w:divBdr>
        <w:top w:val="none" w:sz="0" w:space="0" w:color="auto"/>
        <w:left w:val="none" w:sz="0" w:space="0" w:color="auto"/>
        <w:bottom w:val="none" w:sz="0" w:space="0" w:color="auto"/>
        <w:right w:val="none" w:sz="0" w:space="0" w:color="auto"/>
      </w:divBdr>
    </w:div>
    <w:div w:id="1254246377">
      <w:bodyDiv w:val="1"/>
      <w:marLeft w:val="0"/>
      <w:marRight w:val="0"/>
      <w:marTop w:val="0"/>
      <w:marBottom w:val="0"/>
      <w:divBdr>
        <w:top w:val="none" w:sz="0" w:space="0" w:color="auto"/>
        <w:left w:val="none" w:sz="0" w:space="0" w:color="auto"/>
        <w:bottom w:val="none" w:sz="0" w:space="0" w:color="auto"/>
        <w:right w:val="none" w:sz="0" w:space="0" w:color="auto"/>
      </w:divBdr>
    </w:div>
    <w:div w:id="1273247477">
      <w:bodyDiv w:val="1"/>
      <w:marLeft w:val="0"/>
      <w:marRight w:val="0"/>
      <w:marTop w:val="0"/>
      <w:marBottom w:val="0"/>
      <w:divBdr>
        <w:top w:val="none" w:sz="0" w:space="0" w:color="auto"/>
        <w:left w:val="none" w:sz="0" w:space="0" w:color="auto"/>
        <w:bottom w:val="none" w:sz="0" w:space="0" w:color="auto"/>
        <w:right w:val="none" w:sz="0" w:space="0" w:color="auto"/>
      </w:divBdr>
    </w:div>
    <w:div w:id="1273631056">
      <w:bodyDiv w:val="1"/>
      <w:marLeft w:val="0"/>
      <w:marRight w:val="0"/>
      <w:marTop w:val="0"/>
      <w:marBottom w:val="0"/>
      <w:divBdr>
        <w:top w:val="none" w:sz="0" w:space="0" w:color="auto"/>
        <w:left w:val="none" w:sz="0" w:space="0" w:color="auto"/>
        <w:bottom w:val="none" w:sz="0" w:space="0" w:color="auto"/>
        <w:right w:val="none" w:sz="0" w:space="0" w:color="auto"/>
      </w:divBdr>
    </w:div>
    <w:div w:id="1286615657">
      <w:bodyDiv w:val="1"/>
      <w:marLeft w:val="0"/>
      <w:marRight w:val="0"/>
      <w:marTop w:val="0"/>
      <w:marBottom w:val="0"/>
      <w:divBdr>
        <w:top w:val="none" w:sz="0" w:space="0" w:color="auto"/>
        <w:left w:val="none" w:sz="0" w:space="0" w:color="auto"/>
        <w:bottom w:val="none" w:sz="0" w:space="0" w:color="auto"/>
        <w:right w:val="none" w:sz="0" w:space="0" w:color="auto"/>
      </w:divBdr>
    </w:div>
    <w:div w:id="1294094417">
      <w:bodyDiv w:val="1"/>
      <w:marLeft w:val="0"/>
      <w:marRight w:val="0"/>
      <w:marTop w:val="0"/>
      <w:marBottom w:val="0"/>
      <w:divBdr>
        <w:top w:val="none" w:sz="0" w:space="0" w:color="auto"/>
        <w:left w:val="none" w:sz="0" w:space="0" w:color="auto"/>
        <w:bottom w:val="none" w:sz="0" w:space="0" w:color="auto"/>
        <w:right w:val="none" w:sz="0" w:space="0" w:color="auto"/>
      </w:divBdr>
    </w:div>
    <w:div w:id="1304122276">
      <w:bodyDiv w:val="1"/>
      <w:marLeft w:val="0"/>
      <w:marRight w:val="0"/>
      <w:marTop w:val="0"/>
      <w:marBottom w:val="0"/>
      <w:divBdr>
        <w:top w:val="none" w:sz="0" w:space="0" w:color="auto"/>
        <w:left w:val="none" w:sz="0" w:space="0" w:color="auto"/>
        <w:bottom w:val="none" w:sz="0" w:space="0" w:color="auto"/>
        <w:right w:val="none" w:sz="0" w:space="0" w:color="auto"/>
      </w:divBdr>
    </w:div>
    <w:div w:id="1307051772">
      <w:bodyDiv w:val="1"/>
      <w:marLeft w:val="0"/>
      <w:marRight w:val="0"/>
      <w:marTop w:val="0"/>
      <w:marBottom w:val="0"/>
      <w:divBdr>
        <w:top w:val="none" w:sz="0" w:space="0" w:color="auto"/>
        <w:left w:val="none" w:sz="0" w:space="0" w:color="auto"/>
        <w:bottom w:val="none" w:sz="0" w:space="0" w:color="auto"/>
        <w:right w:val="none" w:sz="0" w:space="0" w:color="auto"/>
      </w:divBdr>
    </w:div>
    <w:div w:id="1318800390">
      <w:bodyDiv w:val="1"/>
      <w:marLeft w:val="0"/>
      <w:marRight w:val="0"/>
      <w:marTop w:val="0"/>
      <w:marBottom w:val="0"/>
      <w:divBdr>
        <w:top w:val="none" w:sz="0" w:space="0" w:color="auto"/>
        <w:left w:val="none" w:sz="0" w:space="0" w:color="auto"/>
        <w:bottom w:val="none" w:sz="0" w:space="0" w:color="auto"/>
        <w:right w:val="none" w:sz="0" w:space="0" w:color="auto"/>
      </w:divBdr>
    </w:div>
    <w:div w:id="1363631444">
      <w:bodyDiv w:val="1"/>
      <w:marLeft w:val="0"/>
      <w:marRight w:val="0"/>
      <w:marTop w:val="0"/>
      <w:marBottom w:val="0"/>
      <w:divBdr>
        <w:top w:val="none" w:sz="0" w:space="0" w:color="auto"/>
        <w:left w:val="none" w:sz="0" w:space="0" w:color="auto"/>
        <w:bottom w:val="none" w:sz="0" w:space="0" w:color="auto"/>
        <w:right w:val="none" w:sz="0" w:space="0" w:color="auto"/>
      </w:divBdr>
    </w:div>
    <w:div w:id="1402172700">
      <w:bodyDiv w:val="1"/>
      <w:marLeft w:val="0"/>
      <w:marRight w:val="0"/>
      <w:marTop w:val="0"/>
      <w:marBottom w:val="0"/>
      <w:divBdr>
        <w:top w:val="none" w:sz="0" w:space="0" w:color="auto"/>
        <w:left w:val="none" w:sz="0" w:space="0" w:color="auto"/>
        <w:bottom w:val="none" w:sz="0" w:space="0" w:color="auto"/>
        <w:right w:val="none" w:sz="0" w:space="0" w:color="auto"/>
      </w:divBdr>
    </w:div>
    <w:div w:id="1406757986">
      <w:bodyDiv w:val="1"/>
      <w:marLeft w:val="0"/>
      <w:marRight w:val="0"/>
      <w:marTop w:val="0"/>
      <w:marBottom w:val="0"/>
      <w:divBdr>
        <w:top w:val="none" w:sz="0" w:space="0" w:color="auto"/>
        <w:left w:val="none" w:sz="0" w:space="0" w:color="auto"/>
        <w:bottom w:val="none" w:sz="0" w:space="0" w:color="auto"/>
        <w:right w:val="none" w:sz="0" w:space="0" w:color="auto"/>
      </w:divBdr>
    </w:div>
    <w:div w:id="1426655181">
      <w:bodyDiv w:val="1"/>
      <w:marLeft w:val="0"/>
      <w:marRight w:val="0"/>
      <w:marTop w:val="0"/>
      <w:marBottom w:val="0"/>
      <w:divBdr>
        <w:top w:val="none" w:sz="0" w:space="0" w:color="auto"/>
        <w:left w:val="none" w:sz="0" w:space="0" w:color="auto"/>
        <w:bottom w:val="none" w:sz="0" w:space="0" w:color="auto"/>
        <w:right w:val="none" w:sz="0" w:space="0" w:color="auto"/>
      </w:divBdr>
    </w:div>
    <w:div w:id="1433939463">
      <w:bodyDiv w:val="1"/>
      <w:marLeft w:val="0"/>
      <w:marRight w:val="0"/>
      <w:marTop w:val="0"/>
      <w:marBottom w:val="0"/>
      <w:divBdr>
        <w:top w:val="none" w:sz="0" w:space="0" w:color="auto"/>
        <w:left w:val="none" w:sz="0" w:space="0" w:color="auto"/>
        <w:bottom w:val="none" w:sz="0" w:space="0" w:color="auto"/>
        <w:right w:val="none" w:sz="0" w:space="0" w:color="auto"/>
      </w:divBdr>
    </w:div>
    <w:div w:id="1454981889">
      <w:bodyDiv w:val="1"/>
      <w:marLeft w:val="0"/>
      <w:marRight w:val="0"/>
      <w:marTop w:val="0"/>
      <w:marBottom w:val="0"/>
      <w:divBdr>
        <w:top w:val="none" w:sz="0" w:space="0" w:color="auto"/>
        <w:left w:val="none" w:sz="0" w:space="0" w:color="auto"/>
        <w:bottom w:val="none" w:sz="0" w:space="0" w:color="auto"/>
        <w:right w:val="none" w:sz="0" w:space="0" w:color="auto"/>
      </w:divBdr>
    </w:div>
    <w:div w:id="1478374868">
      <w:bodyDiv w:val="1"/>
      <w:marLeft w:val="0"/>
      <w:marRight w:val="0"/>
      <w:marTop w:val="0"/>
      <w:marBottom w:val="0"/>
      <w:divBdr>
        <w:top w:val="none" w:sz="0" w:space="0" w:color="auto"/>
        <w:left w:val="none" w:sz="0" w:space="0" w:color="auto"/>
        <w:bottom w:val="none" w:sz="0" w:space="0" w:color="auto"/>
        <w:right w:val="none" w:sz="0" w:space="0" w:color="auto"/>
      </w:divBdr>
    </w:div>
    <w:div w:id="1521357232">
      <w:bodyDiv w:val="1"/>
      <w:marLeft w:val="0"/>
      <w:marRight w:val="0"/>
      <w:marTop w:val="0"/>
      <w:marBottom w:val="0"/>
      <w:divBdr>
        <w:top w:val="none" w:sz="0" w:space="0" w:color="auto"/>
        <w:left w:val="none" w:sz="0" w:space="0" w:color="auto"/>
        <w:bottom w:val="none" w:sz="0" w:space="0" w:color="auto"/>
        <w:right w:val="none" w:sz="0" w:space="0" w:color="auto"/>
      </w:divBdr>
      <w:divsChild>
        <w:div w:id="1305936026">
          <w:marLeft w:val="0"/>
          <w:marRight w:val="0"/>
          <w:marTop w:val="0"/>
          <w:marBottom w:val="0"/>
          <w:divBdr>
            <w:top w:val="none" w:sz="0" w:space="0" w:color="auto"/>
            <w:left w:val="none" w:sz="0" w:space="0" w:color="auto"/>
            <w:bottom w:val="none" w:sz="0" w:space="0" w:color="auto"/>
            <w:right w:val="none" w:sz="0" w:space="0" w:color="auto"/>
          </w:divBdr>
        </w:div>
      </w:divsChild>
    </w:div>
    <w:div w:id="1528912103">
      <w:bodyDiv w:val="1"/>
      <w:marLeft w:val="0"/>
      <w:marRight w:val="0"/>
      <w:marTop w:val="0"/>
      <w:marBottom w:val="0"/>
      <w:divBdr>
        <w:top w:val="none" w:sz="0" w:space="0" w:color="auto"/>
        <w:left w:val="none" w:sz="0" w:space="0" w:color="auto"/>
        <w:bottom w:val="none" w:sz="0" w:space="0" w:color="auto"/>
        <w:right w:val="none" w:sz="0" w:space="0" w:color="auto"/>
      </w:divBdr>
    </w:div>
    <w:div w:id="1535389943">
      <w:bodyDiv w:val="1"/>
      <w:marLeft w:val="0"/>
      <w:marRight w:val="0"/>
      <w:marTop w:val="0"/>
      <w:marBottom w:val="0"/>
      <w:divBdr>
        <w:top w:val="none" w:sz="0" w:space="0" w:color="auto"/>
        <w:left w:val="none" w:sz="0" w:space="0" w:color="auto"/>
        <w:bottom w:val="none" w:sz="0" w:space="0" w:color="auto"/>
        <w:right w:val="none" w:sz="0" w:space="0" w:color="auto"/>
      </w:divBdr>
    </w:div>
    <w:div w:id="1538858934">
      <w:bodyDiv w:val="1"/>
      <w:marLeft w:val="0"/>
      <w:marRight w:val="0"/>
      <w:marTop w:val="0"/>
      <w:marBottom w:val="0"/>
      <w:divBdr>
        <w:top w:val="none" w:sz="0" w:space="0" w:color="auto"/>
        <w:left w:val="none" w:sz="0" w:space="0" w:color="auto"/>
        <w:bottom w:val="none" w:sz="0" w:space="0" w:color="auto"/>
        <w:right w:val="none" w:sz="0" w:space="0" w:color="auto"/>
      </w:divBdr>
    </w:div>
    <w:div w:id="1541744573">
      <w:bodyDiv w:val="1"/>
      <w:marLeft w:val="0"/>
      <w:marRight w:val="0"/>
      <w:marTop w:val="0"/>
      <w:marBottom w:val="0"/>
      <w:divBdr>
        <w:top w:val="none" w:sz="0" w:space="0" w:color="auto"/>
        <w:left w:val="none" w:sz="0" w:space="0" w:color="auto"/>
        <w:bottom w:val="none" w:sz="0" w:space="0" w:color="auto"/>
        <w:right w:val="none" w:sz="0" w:space="0" w:color="auto"/>
      </w:divBdr>
    </w:div>
    <w:div w:id="1556971052">
      <w:bodyDiv w:val="1"/>
      <w:marLeft w:val="0"/>
      <w:marRight w:val="0"/>
      <w:marTop w:val="0"/>
      <w:marBottom w:val="0"/>
      <w:divBdr>
        <w:top w:val="none" w:sz="0" w:space="0" w:color="auto"/>
        <w:left w:val="none" w:sz="0" w:space="0" w:color="auto"/>
        <w:bottom w:val="none" w:sz="0" w:space="0" w:color="auto"/>
        <w:right w:val="none" w:sz="0" w:space="0" w:color="auto"/>
      </w:divBdr>
    </w:div>
    <w:div w:id="1591112838">
      <w:bodyDiv w:val="1"/>
      <w:marLeft w:val="0"/>
      <w:marRight w:val="0"/>
      <w:marTop w:val="0"/>
      <w:marBottom w:val="0"/>
      <w:divBdr>
        <w:top w:val="none" w:sz="0" w:space="0" w:color="auto"/>
        <w:left w:val="none" w:sz="0" w:space="0" w:color="auto"/>
        <w:bottom w:val="none" w:sz="0" w:space="0" w:color="auto"/>
        <w:right w:val="none" w:sz="0" w:space="0" w:color="auto"/>
      </w:divBdr>
    </w:div>
    <w:div w:id="1608197760">
      <w:bodyDiv w:val="1"/>
      <w:marLeft w:val="0"/>
      <w:marRight w:val="0"/>
      <w:marTop w:val="0"/>
      <w:marBottom w:val="0"/>
      <w:divBdr>
        <w:top w:val="none" w:sz="0" w:space="0" w:color="auto"/>
        <w:left w:val="none" w:sz="0" w:space="0" w:color="auto"/>
        <w:bottom w:val="none" w:sz="0" w:space="0" w:color="auto"/>
        <w:right w:val="none" w:sz="0" w:space="0" w:color="auto"/>
      </w:divBdr>
    </w:div>
    <w:div w:id="1621498120">
      <w:bodyDiv w:val="1"/>
      <w:marLeft w:val="0"/>
      <w:marRight w:val="0"/>
      <w:marTop w:val="0"/>
      <w:marBottom w:val="0"/>
      <w:divBdr>
        <w:top w:val="none" w:sz="0" w:space="0" w:color="auto"/>
        <w:left w:val="none" w:sz="0" w:space="0" w:color="auto"/>
        <w:bottom w:val="none" w:sz="0" w:space="0" w:color="auto"/>
        <w:right w:val="none" w:sz="0" w:space="0" w:color="auto"/>
      </w:divBdr>
    </w:div>
    <w:div w:id="1624144917">
      <w:bodyDiv w:val="1"/>
      <w:marLeft w:val="0"/>
      <w:marRight w:val="0"/>
      <w:marTop w:val="0"/>
      <w:marBottom w:val="0"/>
      <w:divBdr>
        <w:top w:val="none" w:sz="0" w:space="0" w:color="auto"/>
        <w:left w:val="none" w:sz="0" w:space="0" w:color="auto"/>
        <w:bottom w:val="none" w:sz="0" w:space="0" w:color="auto"/>
        <w:right w:val="none" w:sz="0" w:space="0" w:color="auto"/>
      </w:divBdr>
    </w:div>
    <w:div w:id="1635063673">
      <w:bodyDiv w:val="1"/>
      <w:marLeft w:val="0"/>
      <w:marRight w:val="0"/>
      <w:marTop w:val="0"/>
      <w:marBottom w:val="0"/>
      <w:divBdr>
        <w:top w:val="none" w:sz="0" w:space="0" w:color="auto"/>
        <w:left w:val="none" w:sz="0" w:space="0" w:color="auto"/>
        <w:bottom w:val="none" w:sz="0" w:space="0" w:color="auto"/>
        <w:right w:val="none" w:sz="0" w:space="0" w:color="auto"/>
      </w:divBdr>
    </w:div>
    <w:div w:id="1638954882">
      <w:bodyDiv w:val="1"/>
      <w:marLeft w:val="0"/>
      <w:marRight w:val="0"/>
      <w:marTop w:val="0"/>
      <w:marBottom w:val="0"/>
      <w:divBdr>
        <w:top w:val="none" w:sz="0" w:space="0" w:color="auto"/>
        <w:left w:val="none" w:sz="0" w:space="0" w:color="auto"/>
        <w:bottom w:val="none" w:sz="0" w:space="0" w:color="auto"/>
        <w:right w:val="none" w:sz="0" w:space="0" w:color="auto"/>
      </w:divBdr>
    </w:div>
    <w:div w:id="1685859091">
      <w:bodyDiv w:val="1"/>
      <w:marLeft w:val="0"/>
      <w:marRight w:val="0"/>
      <w:marTop w:val="0"/>
      <w:marBottom w:val="0"/>
      <w:divBdr>
        <w:top w:val="none" w:sz="0" w:space="0" w:color="auto"/>
        <w:left w:val="none" w:sz="0" w:space="0" w:color="auto"/>
        <w:bottom w:val="none" w:sz="0" w:space="0" w:color="auto"/>
        <w:right w:val="none" w:sz="0" w:space="0" w:color="auto"/>
      </w:divBdr>
    </w:div>
    <w:div w:id="1764183207">
      <w:bodyDiv w:val="1"/>
      <w:marLeft w:val="0"/>
      <w:marRight w:val="0"/>
      <w:marTop w:val="0"/>
      <w:marBottom w:val="0"/>
      <w:divBdr>
        <w:top w:val="none" w:sz="0" w:space="0" w:color="auto"/>
        <w:left w:val="none" w:sz="0" w:space="0" w:color="auto"/>
        <w:bottom w:val="none" w:sz="0" w:space="0" w:color="auto"/>
        <w:right w:val="none" w:sz="0" w:space="0" w:color="auto"/>
      </w:divBdr>
    </w:div>
    <w:div w:id="1775976364">
      <w:bodyDiv w:val="1"/>
      <w:marLeft w:val="0"/>
      <w:marRight w:val="0"/>
      <w:marTop w:val="0"/>
      <w:marBottom w:val="0"/>
      <w:divBdr>
        <w:top w:val="none" w:sz="0" w:space="0" w:color="auto"/>
        <w:left w:val="none" w:sz="0" w:space="0" w:color="auto"/>
        <w:bottom w:val="none" w:sz="0" w:space="0" w:color="auto"/>
        <w:right w:val="none" w:sz="0" w:space="0" w:color="auto"/>
      </w:divBdr>
    </w:div>
    <w:div w:id="1788348053">
      <w:bodyDiv w:val="1"/>
      <w:marLeft w:val="0"/>
      <w:marRight w:val="0"/>
      <w:marTop w:val="0"/>
      <w:marBottom w:val="0"/>
      <w:divBdr>
        <w:top w:val="none" w:sz="0" w:space="0" w:color="auto"/>
        <w:left w:val="none" w:sz="0" w:space="0" w:color="auto"/>
        <w:bottom w:val="none" w:sz="0" w:space="0" w:color="auto"/>
        <w:right w:val="none" w:sz="0" w:space="0" w:color="auto"/>
      </w:divBdr>
    </w:div>
    <w:div w:id="1819106855">
      <w:bodyDiv w:val="1"/>
      <w:marLeft w:val="0"/>
      <w:marRight w:val="0"/>
      <w:marTop w:val="0"/>
      <w:marBottom w:val="0"/>
      <w:divBdr>
        <w:top w:val="none" w:sz="0" w:space="0" w:color="auto"/>
        <w:left w:val="none" w:sz="0" w:space="0" w:color="auto"/>
        <w:bottom w:val="none" w:sz="0" w:space="0" w:color="auto"/>
        <w:right w:val="none" w:sz="0" w:space="0" w:color="auto"/>
      </w:divBdr>
    </w:div>
    <w:div w:id="1854492898">
      <w:bodyDiv w:val="1"/>
      <w:marLeft w:val="0"/>
      <w:marRight w:val="0"/>
      <w:marTop w:val="0"/>
      <w:marBottom w:val="0"/>
      <w:divBdr>
        <w:top w:val="none" w:sz="0" w:space="0" w:color="auto"/>
        <w:left w:val="none" w:sz="0" w:space="0" w:color="auto"/>
        <w:bottom w:val="none" w:sz="0" w:space="0" w:color="auto"/>
        <w:right w:val="none" w:sz="0" w:space="0" w:color="auto"/>
      </w:divBdr>
    </w:div>
    <w:div w:id="1876041863">
      <w:bodyDiv w:val="1"/>
      <w:marLeft w:val="0"/>
      <w:marRight w:val="0"/>
      <w:marTop w:val="0"/>
      <w:marBottom w:val="0"/>
      <w:divBdr>
        <w:top w:val="none" w:sz="0" w:space="0" w:color="auto"/>
        <w:left w:val="none" w:sz="0" w:space="0" w:color="auto"/>
        <w:bottom w:val="none" w:sz="0" w:space="0" w:color="auto"/>
        <w:right w:val="none" w:sz="0" w:space="0" w:color="auto"/>
      </w:divBdr>
    </w:div>
    <w:div w:id="1893228667">
      <w:bodyDiv w:val="1"/>
      <w:marLeft w:val="0"/>
      <w:marRight w:val="0"/>
      <w:marTop w:val="0"/>
      <w:marBottom w:val="0"/>
      <w:divBdr>
        <w:top w:val="none" w:sz="0" w:space="0" w:color="auto"/>
        <w:left w:val="none" w:sz="0" w:space="0" w:color="auto"/>
        <w:bottom w:val="none" w:sz="0" w:space="0" w:color="auto"/>
        <w:right w:val="none" w:sz="0" w:space="0" w:color="auto"/>
      </w:divBdr>
    </w:div>
    <w:div w:id="1899052365">
      <w:bodyDiv w:val="1"/>
      <w:marLeft w:val="0"/>
      <w:marRight w:val="0"/>
      <w:marTop w:val="0"/>
      <w:marBottom w:val="0"/>
      <w:divBdr>
        <w:top w:val="none" w:sz="0" w:space="0" w:color="auto"/>
        <w:left w:val="none" w:sz="0" w:space="0" w:color="auto"/>
        <w:bottom w:val="none" w:sz="0" w:space="0" w:color="auto"/>
        <w:right w:val="none" w:sz="0" w:space="0" w:color="auto"/>
      </w:divBdr>
    </w:div>
    <w:div w:id="1900551376">
      <w:bodyDiv w:val="1"/>
      <w:marLeft w:val="0"/>
      <w:marRight w:val="0"/>
      <w:marTop w:val="0"/>
      <w:marBottom w:val="0"/>
      <w:divBdr>
        <w:top w:val="none" w:sz="0" w:space="0" w:color="auto"/>
        <w:left w:val="none" w:sz="0" w:space="0" w:color="auto"/>
        <w:bottom w:val="none" w:sz="0" w:space="0" w:color="auto"/>
        <w:right w:val="none" w:sz="0" w:space="0" w:color="auto"/>
      </w:divBdr>
    </w:div>
    <w:div w:id="1912882474">
      <w:bodyDiv w:val="1"/>
      <w:marLeft w:val="0"/>
      <w:marRight w:val="0"/>
      <w:marTop w:val="0"/>
      <w:marBottom w:val="0"/>
      <w:divBdr>
        <w:top w:val="none" w:sz="0" w:space="0" w:color="auto"/>
        <w:left w:val="none" w:sz="0" w:space="0" w:color="auto"/>
        <w:bottom w:val="none" w:sz="0" w:space="0" w:color="auto"/>
        <w:right w:val="none" w:sz="0" w:space="0" w:color="auto"/>
      </w:divBdr>
    </w:div>
    <w:div w:id="1942252362">
      <w:bodyDiv w:val="1"/>
      <w:marLeft w:val="0"/>
      <w:marRight w:val="0"/>
      <w:marTop w:val="0"/>
      <w:marBottom w:val="0"/>
      <w:divBdr>
        <w:top w:val="none" w:sz="0" w:space="0" w:color="auto"/>
        <w:left w:val="none" w:sz="0" w:space="0" w:color="auto"/>
        <w:bottom w:val="none" w:sz="0" w:space="0" w:color="auto"/>
        <w:right w:val="none" w:sz="0" w:space="0" w:color="auto"/>
      </w:divBdr>
    </w:div>
    <w:div w:id="1997493485">
      <w:bodyDiv w:val="1"/>
      <w:marLeft w:val="0"/>
      <w:marRight w:val="0"/>
      <w:marTop w:val="0"/>
      <w:marBottom w:val="0"/>
      <w:divBdr>
        <w:top w:val="none" w:sz="0" w:space="0" w:color="auto"/>
        <w:left w:val="none" w:sz="0" w:space="0" w:color="auto"/>
        <w:bottom w:val="none" w:sz="0" w:space="0" w:color="auto"/>
        <w:right w:val="none" w:sz="0" w:space="0" w:color="auto"/>
      </w:divBdr>
    </w:div>
    <w:div w:id="2018115862">
      <w:bodyDiv w:val="1"/>
      <w:marLeft w:val="0"/>
      <w:marRight w:val="0"/>
      <w:marTop w:val="0"/>
      <w:marBottom w:val="0"/>
      <w:divBdr>
        <w:top w:val="none" w:sz="0" w:space="0" w:color="auto"/>
        <w:left w:val="none" w:sz="0" w:space="0" w:color="auto"/>
        <w:bottom w:val="none" w:sz="0" w:space="0" w:color="auto"/>
        <w:right w:val="none" w:sz="0" w:space="0" w:color="auto"/>
      </w:divBdr>
    </w:div>
    <w:div w:id="2068869962">
      <w:bodyDiv w:val="1"/>
      <w:marLeft w:val="0"/>
      <w:marRight w:val="0"/>
      <w:marTop w:val="0"/>
      <w:marBottom w:val="0"/>
      <w:divBdr>
        <w:top w:val="none" w:sz="0" w:space="0" w:color="auto"/>
        <w:left w:val="none" w:sz="0" w:space="0" w:color="auto"/>
        <w:bottom w:val="none" w:sz="0" w:space="0" w:color="auto"/>
        <w:right w:val="none" w:sz="0" w:space="0" w:color="auto"/>
      </w:divBdr>
    </w:div>
    <w:div w:id="2102944951">
      <w:bodyDiv w:val="1"/>
      <w:marLeft w:val="0"/>
      <w:marRight w:val="0"/>
      <w:marTop w:val="0"/>
      <w:marBottom w:val="0"/>
      <w:divBdr>
        <w:top w:val="none" w:sz="0" w:space="0" w:color="auto"/>
        <w:left w:val="none" w:sz="0" w:space="0" w:color="auto"/>
        <w:bottom w:val="none" w:sz="0" w:space="0" w:color="auto"/>
        <w:right w:val="none" w:sz="0" w:space="0" w:color="auto"/>
      </w:divBdr>
    </w:div>
    <w:div w:id="2106221182">
      <w:bodyDiv w:val="1"/>
      <w:marLeft w:val="0"/>
      <w:marRight w:val="0"/>
      <w:marTop w:val="0"/>
      <w:marBottom w:val="0"/>
      <w:divBdr>
        <w:top w:val="none" w:sz="0" w:space="0" w:color="auto"/>
        <w:left w:val="none" w:sz="0" w:space="0" w:color="auto"/>
        <w:bottom w:val="none" w:sz="0" w:space="0" w:color="auto"/>
        <w:right w:val="none" w:sz="0" w:space="0" w:color="auto"/>
      </w:divBdr>
    </w:div>
    <w:div w:id="2123836572">
      <w:bodyDiv w:val="1"/>
      <w:marLeft w:val="0"/>
      <w:marRight w:val="0"/>
      <w:marTop w:val="0"/>
      <w:marBottom w:val="0"/>
      <w:divBdr>
        <w:top w:val="none" w:sz="0" w:space="0" w:color="auto"/>
        <w:left w:val="none" w:sz="0" w:space="0" w:color="auto"/>
        <w:bottom w:val="none" w:sz="0" w:space="0" w:color="auto"/>
        <w:right w:val="none" w:sz="0" w:space="0" w:color="auto"/>
      </w:divBdr>
    </w:div>
    <w:div w:id="213755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emf"/><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6.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4ACC9F-83E2-4A50-BBC2-7E9B8B9E5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26</Pages>
  <Words>6701</Words>
  <Characters>36858</Characters>
  <Application>Microsoft Office Word</Application>
  <DocSecurity>0</DocSecurity>
  <Lines>307</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ELABORACIÓN CAMBIOS</vt:lpstr>
      <vt:lpstr>ELABORACIÓN CAMBIOS</vt:lpstr>
    </vt:vector>
  </TitlesOfParts>
  <Manager>ECA</Manager>
  <Company>UESP</Company>
  <LinksUpToDate>false</LinksUpToDate>
  <CharactersWithSpaces>43473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CAMBIOS</dc:title>
  <dc:creator>GUILLERMO OCHOA</dc:creator>
  <cp:lastModifiedBy>Jenniffer Valencia Hernández</cp:lastModifiedBy>
  <cp:revision>121</cp:revision>
  <cp:lastPrinted>2019-11-28T19:28:00Z</cp:lastPrinted>
  <dcterms:created xsi:type="dcterms:W3CDTF">2024-03-18T15:58:00Z</dcterms:created>
  <dcterms:modified xsi:type="dcterms:W3CDTF">2026-06-12T21:08:00Z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2024-03-08T19:42:42Z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da5b7e33-6a07-4f1e-8265-5926e6d9b78e</vt:lpwstr>
  </property>
  <property fmtid="{D5CDD505-2E9C-101B-9397-08002B2CF9AE}" pid="8" name="MSIP_Label_defa4170-0d19-0005-0004-bc88714345d2_ContentBits">
    <vt:lpwstr>0</vt:lpwstr>
  </property>
</Properties>
</file>