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1DFE4" w14:textId="4AFBBA1E" w:rsidR="00487997" w:rsidRPr="00BE5FCA" w:rsidRDefault="00000000" w:rsidP="00BE5FCA">
      <w:pPr>
        <w:spacing w:after="600"/>
        <w:jc w:val="both"/>
        <w:rPr>
          <w:rFonts w:ascii="Verdana" w:hAnsi="Verdana"/>
          <w:sz w:val="18"/>
          <w:szCs w:val="18"/>
        </w:rPr>
      </w:pPr>
      <w:r w:rsidRPr="00BE5FCA">
        <w:rPr>
          <w:rFonts w:ascii="Verdana" w:hAnsi="Verdana"/>
          <w:b/>
          <w:bCs/>
          <w:sz w:val="18"/>
          <w:szCs w:val="18"/>
        </w:rPr>
        <w:t>ANEXO TÉCNICO</w:t>
      </w:r>
      <w:r w:rsidR="00BE5FCA">
        <w:rPr>
          <w:rFonts w:ascii="Verdana" w:hAnsi="Verdana"/>
          <w:sz w:val="18"/>
          <w:szCs w:val="18"/>
        </w:rPr>
        <w:t xml:space="preserve">: </w:t>
      </w:r>
      <w:r w:rsidRPr="00BE5FCA">
        <w:rPr>
          <w:rFonts w:ascii="Verdana" w:hAnsi="Verdana"/>
          <w:sz w:val="18"/>
          <w:szCs w:val="18"/>
        </w:rPr>
        <w:t>CONSULTORÍA INTEGRAL PARA LA ESTRUCTURACIÓN DE LOS COMPONENTES TÉCNICO, JURÍDICO Y FINANCIERO DEL NUEVO MODELO DE PRESTACIÓN Y PAGO DEL SERVICIO DE VIGILANCIA ELECTRÓNICA DE PERSONAS PRIVADAS DE LA LIBERTAD, ASÍ COMO EL ACOMPAÑAMIENTO A LA ENTIDAD HASTA LA MATERIALIZACIÓN DE LA FIGURA ÓPTIMA</w:t>
      </w:r>
    </w:p>
    <w:p w14:paraId="352F995F" w14:textId="77777777" w:rsidR="00487997" w:rsidRPr="00BE5FCA" w:rsidRDefault="00000000">
      <w:pPr>
        <w:pStyle w:val="Ttulo1"/>
        <w:rPr>
          <w:rFonts w:ascii="Verdana" w:hAnsi="Verdana"/>
          <w:sz w:val="18"/>
          <w:szCs w:val="18"/>
        </w:rPr>
      </w:pPr>
      <w:r w:rsidRPr="00BE5FCA">
        <w:rPr>
          <w:rFonts w:ascii="Verdana" w:hAnsi="Verdana"/>
          <w:sz w:val="18"/>
          <w:szCs w:val="18"/>
        </w:rPr>
        <w:t>1. ALCANCE Y OBJETO</w:t>
      </w:r>
    </w:p>
    <w:p w14:paraId="7E1BAF52" w14:textId="7AC01559"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presente Anexo Técnico tiene por objeto establecer las condiciones, alcance, actividades, productos, obligaciones y demás requisitos técnicos aplicables al proceso de selección que adelantará la Unidad de Servicios Penitenciarios y Carcelarios — USPEC — para la contratación de una consultoría integral, cuyo objeto consiste en estructurar de manera integral, esto es, desde los componentes técnico, jurídico y financiero, el nuevo modelo de prestación y pago del Servicio de Vigilancia Electrónica de Personas Privadas de la Libertad (en adelante el “Servicio”), bajo un esquema de pago por persona privada de la libertad efectivamente monitoreada (en adelante el “modelo pago por PPL”), así como acompañar a la Entidad en la materialización contractual de la figura óptima que se identifique en desarrollo de la consultorí</w:t>
      </w:r>
      <w:r w:rsidR="00811AAB">
        <w:rPr>
          <w:rFonts w:ascii="Verdana" w:hAnsi="Verdana"/>
          <w:sz w:val="18"/>
          <w:szCs w:val="18"/>
        </w:rPr>
        <w:t>a, tanto del servicio como de la respectiva interventoría.</w:t>
      </w:r>
    </w:p>
    <w:p w14:paraId="0721C684" w14:textId="2FEE947F"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comprende dos (2) fases: (i) una primera fase de diagnóstico y estructuración integral, en la que se elaborarán los documentos técnicos, financieros y jurídicos que soporten la determinación de la figura óptima de prestación del Servicio; y (ii) una segunda fase de materialización, en la cual el consultor elaborará y proyectará los documentos necesarios para adelantar el proceso o trámite que permita la implementación de la figura óptima, y acompañará a la Entidad en las etapas de planeación, pre-contractual</w:t>
      </w:r>
      <w:r w:rsidR="0085073A">
        <w:rPr>
          <w:rFonts w:ascii="Verdana" w:hAnsi="Verdana"/>
          <w:sz w:val="18"/>
          <w:szCs w:val="18"/>
        </w:rPr>
        <w:t xml:space="preserve">, evaluación de ofertas y etapa </w:t>
      </w:r>
      <w:r w:rsidRPr="00BE5FCA">
        <w:rPr>
          <w:rFonts w:ascii="Verdana" w:hAnsi="Verdana"/>
          <w:sz w:val="18"/>
          <w:szCs w:val="18"/>
        </w:rPr>
        <w:t>contractual hasta su perfeccionamiento o declaratoria desierta, según corresponda.</w:t>
      </w:r>
    </w:p>
    <w:p w14:paraId="35C974D2" w14:textId="62D55BA5"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y los productos resultado de la misma deberán atender y considerar de manera integral todo lo aplicable a nivel técnico, financiero, legal, reglamentario y jurisprudencial vigente, incluido pero no limitado a lo señalado en el numeral 2 del presente documento</w:t>
      </w:r>
      <w:r w:rsidR="00F34C69">
        <w:rPr>
          <w:rFonts w:ascii="Verdana" w:hAnsi="Verdana"/>
          <w:sz w:val="18"/>
          <w:szCs w:val="18"/>
        </w:rPr>
        <w:t>, tanto del servicio como de la respectiva interventoría.</w:t>
      </w:r>
    </w:p>
    <w:p w14:paraId="0C935EFB" w14:textId="77777777" w:rsidR="00487997" w:rsidRPr="00BE5FCA" w:rsidRDefault="00000000">
      <w:pPr>
        <w:pStyle w:val="Ttulo1"/>
        <w:rPr>
          <w:rFonts w:ascii="Verdana" w:hAnsi="Verdana"/>
          <w:sz w:val="18"/>
          <w:szCs w:val="18"/>
        </w:rPr>
      </w:pPr>
      <w:r w:rsidRPr="00BE5FCA">
        <w:rPr>
          <w:rFonts w:ascii="Verdana" w:hAnsi="Verdana"/>
          <w:sz w:val="18"/>
          <w:szCs w:val="18"/>
        </w:rPr>
        <w:t>2. MARCO NORMATIVO APLICABLE</w:t>
      </w:r>
    </w:p>
    <w:p w14:paraId="0CAF69A0"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deberá observar y dar cumplimiento, sin limitarse a, las siguientes disposiciones constitucionales, legales, reglamentarias y jurisprudenciales:</w:t>
      </w:r>
    </w:p>
    <w:p w14:paraId="4073D992" w14:textId="77777777" w:rsidR="00487997" w:rsidRPr="00BE5FCA" w:rsidRDefault="00000000">
      <w:pPr>
        <w:pStyle w:val="Ttulo2"/>
        <w:rPr>
          <w:rFonts w:ascii="Verdana" w:hAnsi="Verdana"/>
          <w:sz w:val="18"/>
          <w:szCs w:val="18"/>
        </w:rPr>
      </w:pPr>
      <w:r w:rsidRPr="00BE5FCA">
        <w:rPr>
          <w:rFonts w:ascii="Verdana" w:hAnsi="Verdana"/>
          <w:sz w:val="18"/>
          <w:szCs w:val="18"/>
        </w:rPr>
        <w:t>2.1. Marco constitucional y legal sustantivo</w:t>
      </w:r>
    </w:p>
    <w:p w14:paraId="376E839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Constitución Política de Colombia, artículos 1, 2, 28, 29, 250 y demás concordantes.</w:t>
      </w:r>
    </w:p>
    <w:p w14:paraId="25BB119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599 de 2000 — Código Penal, en especial el artículo 38F (Sistema de Vigilancia Electrónica como sustitutivo de la prisión).</w:t>
      </w:r>
    </w:p>
    <w:p w14:paraId="149FCB7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906 de 2004 — Código de Procedimiento Penal, en especial el artículo 314 (detención preventiva domiciliaria).</w:t>
      </w:r>
    </w:p>
    <w:p w14:paraId="514D71B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65 de 1993 — Código Penitenciario y Carcelario.</w:t>
      </w:r>
    </w:p>
    <w:p w14:paraId="231153E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1709 de 2014, por medio de la cual se reforman algunos artículos de la Ley 65 de 1993 y se dictan otras disposiciones.</w:t>
      </w:r>
    </w:p>
    <w:p w14:paraId="6ACB87A6" w14:textId="77777777" w:rsidR="00487997" w:rsidRPr="00BE5FCA" w:rsidRDefault="00000000">
      <w:pPr>
        <w:pStyle w:val="Ttulo2"/>
        <w:rPr>
          <w:rFonts w:ascii="Verdana" w:hAnsi="Verdana"/>
          <w:sz w:val="18"/>
          <w:szCs w:val="18"/>
        </w:rPr>
      </w:pPr>
      <w:r w:rsidRPr="00BE5FCA">
        <w:rPr>
          <w:rFonts w:ascii="Verdana" w:hAnsi="Verdana"/>
          <w:sz w:val="18"/>
          <w:szCs w:val="18"/>
        </w:rPr>
        <w:t>2.2. Marco reglamentario sectorial</w:t>
      </w:r>
    </w:p>
    <w:p w14:paraId="1D1FCBE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Decreto 1069 de 2015 — Decreto Único Reglamentario del Sector Justicia y del Derecho, capítulo 9 del título 1 de la parte 2 del libro 2.</w:t>
      </w:r>
    </w:p>
    <w:p w14:paraId="67DDA28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Decreto 1058 de 2021, por el cual se reglamenta el artículo 38F de la Ley 599 de 2000 y se adiciona el artículo 2.2.1.9.10 al Decreto 1069 de 2015.</w:t>
      </w:r>
    </w:p>
    <w:p w14:paraId="3CB1C1F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Decreto 4150 de 2011, por el cual se crea la Unidad de Servicios Penitenciarios y Carcelarios — USPEC.</w:t>
      </w:r>
    </w:p>
    <w:p w14:paraId="0A6A997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Resoluciones del INPEC y la USPEC reglamentarias del Sistema de Vigilancia Electrónica vigentes a la fecha de ejecución del contrato.</w:t>
      </w:r>
    </w:p>
    <w:p w14:paraId="368E2C51" w14:textId="77777777" w:rsidR="00487997" w:rsidRPr="00BE5FCA" w:rsidRDefault="00000000">
      <w:pPr>
        <w:pStyle w:val="Ttulo2"/>
        <w:rPr>
          <w:rFonts w:ascii="Verdana" w:hAnsi="Verdana"/>
          <w:sz w:val="18"/>
          <w:szCs w:val="18"/>
        </w:rPr>
      </w:pPr>
      <w:r w:rsidRPr="00BE5FCA">
        <w:rPr>
          <w:rFonts w:ascii="Verdana" w:hAnsi="Verdana"/>
          <w:sz w:val="18"/>
          <w:szCs w:val="18"/>
        </w:rPr>
        <w:t>2.3. Marco jurisprudencial</w:t>
      </w:r>
    </w:p>
    <w:p w14:paraId="0747013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Corte Constitucional, Sentencia C-328 de 2016.</w:t>
      </w:r>
    </w:p>
    <w:p w14:paraId="4A0629A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Corte Constitucional, Sentencia T-267 de 2015.</w:t>
      </w:r>
    </w:p>
    <w:p w14:paraId="69794FA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Corte Suprema de Justicia, Sala de Casación Penal, Sentencia STP-14893 de 2017.</w:t>
      </w:r>
    </w:p>
    <w:p w14:paraId="6DF26F6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Corte Suprema de Justicia, Sala de Casación Penal, Sentencia STP-14717 de 2017.</w:t>
      </w:r>
    </w:p>
    <w:p w14:paraId="08A9585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Corte Suprema de Justicia, Sala de Casación Penal, Sentencia STP-11875 de 2017.</w:t>
      </w:r>
    </w:p>
    <w:p w14:paraId="63AE5D1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Demás decisiones judiciales y jurisprudenciales vigentes y aplicables al Servicio.</w:t>
      </w:r>
    </w:p>
    <w:p w14:paraId="33371021" w14:textId="77777777" w:rsidR="00487997" w:rsidRPr="00BE5FCA" w:rsidRDefault="00000000">
      <w:pPr>
        <w:pStyle w:val="Ttulo2"/>
        <w:rPr>
          <w:rFonts w:ascii="Verdana" w:hAnsi="Verdana"/>
          <w:sz w:val="18"/>
          <w:szCs w:val="18"/>
        </w:rPr>
      </w:pPr>
      <w:r w:rsidRPr="00BE5FCA">
        <w:rPr>
          <w:rFonts w:ascii="Verdana" w:hAnsi="Verdana"/>
          <w:sz w:val="18"/>
          <w:szCs w:val="18"/>
        </w:rPr>
        <w:t>2.4. Marco de contratación pública</w:t>
      </w:r>
    </w:p>
    <w:p w14:paraId="62729FB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80 de 1993 — Estatuto General de Contratación de la Administración Pública.</w:t>
      </w:r>
    </w:p>
    <w:p w14:paraId="62665EF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1150 de 2007 — Medidas para la eficiencia y la transparencia en la Ley 80 de 1993.</w:t>
      </w:r>
    </w:p>
    <w:p w14:paraId="0C55ECA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Decreto 1082 de 2015 — Decreto Único Reglamentario del Sector Administrativo de Planeación Nacional, parte 2, título 1.</w:t>
      </w:r>
    </w:p>
    <w:p w14:paraId="5764314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1474 de 2011 — Estatuto Anticorrupción.</w:t>
      </w:r>
    </w:p>
    <w:p w14:paraId="39C391F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CONPES 3714 de 2011 — Riesgos previsibles en la contratación estatal.</w:t>
      </w:r>
    </w:p>
    <w:p w14:paraId="1EC37F6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Guías, manuales y circulares vigentes expedidas por Colombia Compra Eficiente — CCE.</w:t>
      </w:r>
    </w:p>
    <w:p w14:paraId="4CFB87FB" w14:textId="77777777" w:rsidR="00487997" w:rsidRPr="00BE5FCA" w:rsidRDefault="00000000">
      <w:pPr>
        <w:pStyle w:val="Ttulo2"/>
        <w:rPr>
          <w:rFonts w:ascii="Verdana" w:hAnsi="Verdana"/>
          <w:sz w:val="18"/>
          <w:szCs w:val="18"/>
        </w:rPr>
      </w:pPr>
      <w:r w:rsidRPr="00BE5FCA">
        <w:rPr>
          <w:rFonts w:ascii="Verdana" w:hAnsi="Verdana"/>
          <w:sz w:val="18"/>
          <w:szCs w:val="18"/>
        </w:rPr>
        <w:t>2.5. Marco de protección de datos personales</w:t>
      </w:r>
    </w:p>
    <w:p w14:paraId="689C81C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Ley 1581 de 2012 — Régimen General de Protección de Datos Personales.</w:t>
      </w:r>
    </w:p>
    <w:p w14:paraId="572C523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Decreto 1377 de 2013, reglamentario parcial de la Ley 1581 de 2012.</w:t>
      </w:r>
    </w:p>
    <w:p w14:paraId="5A5BD3E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Decreto 1074 de 2015 — DUR del Sector Comercio, Industria y Turismo, parte aplicable a tratamiento de datos personales.</w:t>
      </w:r>
    </w:p>
    <w:p w14:paraId="0FDD851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Circulares y lineamientos vigentes de la Superintendencia de Industria y Comercio en materia de tratamiento de datos sensibles, biométricos y de geolocalización.</w:t>
      </w:r>
    </w:p>
    <w:p w14:paraId="4048597D" w14:textId="77777777" w:rsidR="00487997" w:rsidRPr="00BE5FCA" w:rsidRDefault="00000000">
      <w:pPr>
        <w:pStyle w:val="Ttulo2"/>
        <w:rPr>
          <w:rFonts w:ascii="Verdana" w:hAnsi="Verdana"/>
          <w:sz w:val="18"/>
          <w:szCs w:val="18"/>
        </w:rPr>
      </w:pPr>
      <w:r w:rsidRPr="00BE5FCA">
        <w:rPr>
          <w:rFonts w:ascii="Verdana" w:hAnsi="Verdana"/>
          <w:sz w:val="18"/>
          <w:szCs w:val="18"/>
        </w:rPr>
        <w:t>2.6. Marco de seguridad de la información</w:t>
      </w:r>
    </w:p>
    <w:p w14:paraId="329DF3D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Modelo de Seguridad y Privacidad de la Información — MSPI del Ministerio de Tecnologías de la Información y las Comunicaciones — MinTIC.</w:t>
      </w:r>
    </w:p>
    <w:p w14:paraId="70A05A5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Norma técnica ISO/IEC 27001 y familia (controles aplicables al servicio).</w:t>
      </w:r>
    </w:p>
    <w:p w14:paraId="52B7AB21"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Lineamientos del NIST Cybersecurity Framework (CSF), en lo aplicable.</w:t>
      </w:r>
    </w:p>
    <w:p w14:paraId="6B2CE8E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Política Nacional de Confianza y Seguridad Digital (CONPES 3995 de 2020) y normas concordantes.</w:t>
      </w:r>
    </w:p>
    <w:p w14:paraId="34EEDC0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Lineamientos vigentes en materia de Gobierno Digital.</w:t>
      </w:r>
    </w:p>
    <w:p w14:paraId="4A7CB02B" w14:textId="77777777" w:rsidR="00487997" w:rsidRPr="00BE5FCA" w:rsidRDefault="00000000">
      <w:pPr>
        <w:pStyle w:val="Ttulo1"/>
        <w:rPr>
          <w:rFonts w:ascii="Verdana" w:hAnsi="Verdana"/>
          <w:sz w:val="18"/>
          <w:szCs w:val="18"/>
        </w:rPr>
      </w:pPr>
      <w:r w:rsidRPr="00BE5FCA">
        <w:rPr>
          <w:rFonts w:ascii="Verdana" w:hAnsi="Verdana"/>
          <w:sz w:val="18"/>
          <w:szCs w:val="18"/>
        </w:rPr>
        <w:t>3. CONTEXTO Y JUSTIFICACIÓN DEL MODELO</w:t>
      </w:r>
    </w:p>
    <w:p w14:paraId="2C7F4C78" w14:textId="77777777" w:rsidR="00487997" w:rsidRPr="00BE5FCA" w:rsidRDefault="00000000">
      <w:pPr>
        <w:pStyle w:val="Ttulo2"/>
        <w:rPr>
          <w:rFonts w:ascii="Verdana" w:hAnsi="Verdana"/>
          <w:sz w:val="18"/>
          <w:szCs w:val="18"/>
        </w:rPr>
      </w:pPr>
      <w:r w:rsidRPr="00BE5FCA">
        <w:rPr>
          <w:rFonts w:ascii="Verdana" w:hAnsi="Verdana"/>
          <w:sz w:val="18"/>
          <w:szCs w:val="18"/>
        </w:rPr>
        <w:t>3.1. Antecedentes</w:t>
      </w:r>
    </w:p>
    <w:p w14:paraId="2AA5722F"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artículo 38F del Código Penal, adicionado por la Ley 1709 de 2014, prevé la sustitución de la pena de prisión por el sistema de vigilancia electrónica, como mecanismo orientado a la racionalización del uso de la pena privativa de la libertad, la reducción del hacinamiento carcelario y la garantía de los derechos fundamentales de las personas privadas de la libertad. El Gobierno Nacional, mediante el Decreto 1058 de 2021, reglamentó dicho artículo, adicionando el artículo 2.2.1.9.10 al Decreto 1069 de 2015 y estableciendo los lineamientos para la prestación del Servicio.</w:t>
      </w:r>
    </w:p>
    <w:p w14:paraId="281A3FB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aplicación del Sistema de Vigilancia Electrónica ha sido objeto de pronunciamientos reiterados de la Corte Constitucional (Sentencias C-328 de 2016 y T-267 de 2015, entre otras) y de la Corte Suprema de Justicia, Sala de Casación Penal (Sentencias STP-14893-2017, STP-14717-2017 y STP-11875-2017), que han precisado el alcance, las garantías y los requisitos para la procedencia y materialización del Servicio.</w:t>
      </w:r>
    </w:p>
    <w:p w14:paraId="120AB2F0"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En este contexto, la USPEC, como entidad responsable de la gestión administrativa y logística del Sistema Nacional Penitenciario y Carcelario en los términos del Decreto 4150 de 2011, requiere estructurar de manera integral el nuevo modelo de prestación y pago del Servicio, en concordancia con las disposiciones legales, reglamentarias y jurisprudenciales vigentes, garantizando la calidad, oportunidad, sostenibilidad financiera y eficiencia operativa del mismo.</w:t>
      </w:r>
    </w:p>
    <w:p w14:paraId="3F7F4CCC" w14:textId="77777777" w:rsidR="00487997" w:rsidRPr="00BE5FCA" w:rsidRDefault="00000000">
      <w:pPr>
        <w:pStyle w:val="Ttulo2"/>
        <w:rPr>
          <w:rFonts w:ascii="Verdana" w:hAnsi="Verdana"/>
          <w:sz w:val="18"/>
          <w:szCs w:val="18"/>
        </w:rPr>
      </w:pPr>
      <w:r w:rsidRPr="00BE5FCA">
        <w:rPr>
          <w:rFonts w:ascii="Verdana" w:hAnsi="Verdana"/>
          <w:sz w:val="18"/>
          <w:szCs w:val="18"/>
        </w:rPr>
        <w:t>3.2. Justificación del modelo pago por PPL</w:t>
      </w:r>
    </w:p>
    <w:p w14:paraId="11B1FD03"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nuevo modelo a estructurar deberá soportarse en un esquema de pago por persona privada de la libertad efectivamente monitoreada — modelo pago por PPL —, que constituye un cambio frente a los esquemas tradicionales basados en pago fijo por dispositivo entregado, capacidad instalada o tarifa mensual independiente de la demanda real.</w:t>
      </w:r>
    </w:p>
    <w:p w14:paraId="744419D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modelo pago por PPL exige una rigurosa estructuración técnica, jurídica y financiera que permita: (i) atar la facturación a la prestación efectiva del Servicio; (ii) distribuir los riesgos económicos entre la Entidad y el contratista de manera equilibrada; (iii) garantizar el cumplimiento de los Acuerdos de Nivel de Servicio (ANS) en función de la unidad de facturación; (iv) prever mecanismos de equilibrio económico ante variaciones significativas de la demanda; y (v) asegurar la continuidad del Servicio en cualquier escenario operacional.</w:t>
      </w:r>
    </w:p>
    <w:p w14:paraId="739FCDA1"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deberá soportar técnica, jurídica y financieramente la conveniencia y procedencia del modelo pago por PPL, así como proponer y desarrollar las alternativas estructurales que mejor se adecúen a la naturaleza del Servicio y a la regulación vigente, dejando documentado el análisis comparativo de las distintas figuras y la justificación de la figura óptima identificada.</w:t>
      </w:r>
    </w:p>
    <w:p w14:paraId="54A07DD1" w14:textId="77777777" w:rsidR="00487997" w:rsidRPr="00BE5FCA" w:rsidRDefault="00000000">
      <w:pPr>
        <w:pStyle w:val="Ttulo2"/>
        <w:rPr>
          <w:rFonts w:ascii="Verdana" w:hAnsi="Verdana"/>
          <w:sz w:val="18"/>
          <w:szCs w:val="18"/>
        </w:rPr>
      </w:pPr>
      <w:r w:rsidRPr="00BE5FCA">
        <w:rPr>
          <w:rFonts w:ascii="Verdana" w:hAnsi="Verdana"/>
          <w:sz w:val="18"/>
          <w:szCs w:val="18"/>
        </w:rPr>
        <w:t>3.3. Necesidad institucional</w:t>
      </w:r>
    </w:p>
    <w:p w14:paraId="2C079D29"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 xml:space="preserve">La USPEC, en el ejercicio de las funciones asignadas por el Decreto 4150 de 2011 y demás normas concordantes, debe asegurar la prestación continua, oportuna y de calidad de los servicios penitenciarios y carcelarios, dentro de los cuales se encuentra el Servicio de Vigilancia Electrónica. La consultoría es una herramienta necesaria para que la Entidad cuente con los insumos técnicos, jurídicos y financieros </w:t>
      </w:r>
      <w:r w:rsidRPr="00BE5FCA">
        <w:rPr>
          <w:rFonts w:ascii="Verdana" w:hAnsi="Verdana"/>
          <w:sz w:val="18"/>
          <w:szCs w:val="18"/>
        </w:rPr>
        <w:lastRenderedPageBreak/>
        <w:t>que soporten la decisión sobre la figura óptima de prestación y los documentos del proceso o trámite que se requiera para su materialización contractual.</w:t>
      </w:r>
    </w:p>
    <w:p w14:paraId="3B24E664" w14:textId="77777777" w:rsidR="00487997" w:rsidRPr="00BE5FCA" w:rsidRDefault="00000000">
      <w:pPr>
        <w:pStyle w:val="Ttulo2"/>
        <w:rPr>
          <w:rFonts w:ascii="Verdana" w:hAnsi="Verdana"/>
          <w:sz w:val="18"/>
          <w:szCs w:val="18"/>
        </w:rPr>
      </w:pPr>
      <w:r w:rsidRPr="00BE5FCA">
        <w:rPr>
          <w:rFonts w:ascii="Verdana" w:hAnsi="Verdana"/>
          <w:sz w:val="18"/>
          <w:szCs w:val="18"/>
        </w:rPr>
        <w:t>3.4. Marco de articulación interinstitucional</w:t>
      </w:r>
    </w:p>
    <w:p w14:paraId="11A7628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estructuración del Servicio de Vigilancia Electrónica y la materialización de la figura óptima exigen una articulación coordinada con un conjunto amplio de entidades del Estado, cada una con competencias y responsabilidades específicas. La consultoría deberá identificar, convocar, coordinar y documentar las mesas técnicas con las entidades pertinentes, dentro de las cuales se encuentran, sin limitarse a, las siguientes:</w:t>
      </w:r>
    </w:p>
    <w:p w14:paraId="5D7B5A23"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detalle del rol de cada entidad y las actividades específicas de articulación se encuentran en el numeral 4.1.2.4 del presente Anexo Técnico).</w:t>
      </w:r>
    </w:p>
    <w:p w14:paraId="603DD80A" w14:textId="77777777" w:rsidR="00487997" w:rsidRPr="00BE5FCA" w:rsidRDefault="00000000">
      <w:pPr>
        <w:pStyle w:val="Ttulo1"/>
        <w:rPr>
          <w:rFonts w:ascii="Verdana" w:hAnsi="Verdana"/>
          <w:sz w:val="18"/>
          <w:szCs w:val="18"/>
        </w:rPr>
      </w:pPr>
      <w:r w:rsidRPr="00BE5FCA">
        <w:rPr>
          <w:rFonts w:ascii="Verdana" w:hAnsi="Verdana"/>
          <w:sz w:val="18"/>
          <w:szCs w:val="18"/>
        </w:rPr>
        <w:t>4. ALCANCE Y ACTIVIDADES DE LA CONSULTORÍA</w:t>
      </w:r>
    </w:p>
    <w:p w14:paraId="3F95E3F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Para el cumplimiento del objeto contractual, el consultor deberá desarrollar las actividades que se relacionan a continuación, organizadas en dos (2) fases consecutivas e integradas. La descripción de actividades es enunciativa y no taxativa; el consultor deberá ejecutar todas las actividades adicionales que sean necesarias para la correcta y completa estructuración del modelo y para su materialización contractual.</w:t>
      </w:r>
    </w:p>
    <w:p w14:paraId="7457E0AF" w14:textId="77777777" w:rsidR="00487997" w:rsidRPr="00BE5FCA" w:rsidRDefault="00000000">
      <w:pPr>
        <w:pStyle w:val="Ttulo2"/>
        <w:rPr>
          <w:rFonts w:ascii="Verdana" w:hAnsi="Verdana"/>
          <w:sz w:val="18"/>
          <w:szCs w:val="18"/>
        </w:rPr>
      </w:pPr>
      <w:r w:rsidRPr="00BE5FCA">
        <w:rPr>
          <w:rFonts w:ascii="Verdana" w:hAnsi="Verdana"/>
          <w:sz w:val="18"/>
          <w:szCs w:val="18"/>
        </w:rPr>
        <w:t>4.1. Fase I — Diagnóstico y Estructuración Integral</w:t>
      </w:r>
    </w:p>
    <w:p w14:paraId="6A5384DF"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Esta fase tiene por objeto producir los documentos técnico, financiero y jurídico que soporten la determinación de la figura óptima de prestación del Servicio bajo el modelo pago por PPL. Comprende seis (6) componentes principales:</w:t>
      </w:r>
    </w:p>
    <w:p w14:paraId="211D3D0D" w14:textId="77777777" w:rsidR="00487997" w:rsidRPr="00BE5FCA" w:rsidRDefault="00000000">
      <w:pPr>
        <w:pStyle w:val="Ttulo3"/>
        <w:rPr>
          <w:rFonts w:ascii="Verdana" w:hAnsi="Verdana"/>
          <w:sz w:val="18"/>
          <w:szCs w:val="18"/>
        </w:rPr>
      </w:pPr>
      <w:r w:rsidRPr="00BE5FCA">
        <w:rPr>
          <w:rFonts w:ascii="Verdana" w:hAnsi="Verdana"/>
          <w:sz w:val="18"/>
          <w:szCs w:val="18"/>
        </w:rPr>
        <w:t>4.1.1. Plan de trabajo</w:t>
      </w:r>
    </w:p>
    <w:p w14:paraId="79BBCD9F" w14:textId="6D9ECE89"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 xml:space="preserve">El consultor deberá elaborar y presentar a la supervisión, dentro de los </w:t>
      </w:r>
      <w:r w:rsidR="0085073A">
        <w:rPr>
          <w:rFonts w:ascii="Verdana" w:hAnsi="Verdana"/>
          <w:sz w:val="18"/>
          <w:szCs w:val="18"/>
        </w:rPr>
        <w:t xml:space="preserve">30 </w:t>
      </w:r>
      <w:r w:rsidRPr="00BE5FCA">
        <w:rPr>
          <w:rFonts w:ascii="Verdana" w:hAnsi="Verdana"/>
          <w:sz w:val="18"/>
          <w:szCs w:val="18"/>
        </w:rPr>
        <w:t>días calendario siguientes a la suscripción del acta de inicio, un plan de trabajo detallado que contenga, sin limitarse a:</w:t>
      </w:r>
    </w:p>
    <w:p w14:paraId="34CC4BE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Objetivos, metas, productos y entregables, con criterios de aceptación claramente definidos.</w:t>
      </w:r>
    </w:p>
    <w:p w14:paraId="1C89334A" w14:textId="02CAC6D6"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Cronograma de barras (Gantt) con duración, precedencia y secuencia lógica de las actividades, escala temporal en semanas.</w:t>
      </w:r>
      <w:r w:rsidR="0085073A">
        <w:rPr>
          <w:rFonts w:ascii="Verdana" w:hAnsi="Verdana"/>
          <w:sz w:val="18"/>
          <w:szCs w:val="18"/>
        </w:rPr>
        <w:t xml:space="preserve"> </w:t>
      </w:r>
    </w:p>
    <w:p w14:paraId="56816B3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Estructura organizacional del equipo de trabajo, asignación de responsabilidades y matriz RACI.</w:t>
      </w:r>
    </w:p>
    <w:p w14:paraId="3DFABB7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Metodología específica para cada uno de los componentes (técnico, financiero, jurídico) y para la fase de materialización.</w:t>
      </w:r>
    </w:p>
    <w:p w14:paraId="56F70E6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Plan de gestión de riesgos del proyecto.</w:t>
      </w:r>
    </w:p>
    <w:p w14:paraId="5EEFC85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Plan de comunicaciones con la USPEC y con las demás partes interesadas.</w:t>
      </w:r>
    </w:p>
    <w:p w14:paraId="2FE5FD1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Plan de aseguramiento de la calidad de los entregables y mecanismos de control de cambios.</w:t>
      </w:r>
    </w:p>
    <w:p w14:paraId="252C01E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Plan de seguridad de la información aplicable a la consultoría.</w:t>
      </w:r>
    </w:p>
    <w:p w14:paraId="2451AF85" w14:textId="77777777" w:rsidR="00487997" w:rsidRPr="00BE5FCA" w:rsidRDefault="00000000">
      <w:pPr>
        <w:pStyle w:val="Ttulo3"/>
        <w:rPr>
          <w:rFonts w:ascii="Verdana" w:hAnsi="Verdana"/>
          <w:sz w:val="18"/>
          <w:szCs w:val="18"/>
        </w:rPr>
      </w:pPr>
      <w:r w:rsidRPr="00BE5FCA">
        <w:rPr>
          <w:rFonts w:ascii="Verdana" w:hAnsi="Verdana"/>
          <w:sz w:val="18"/>
          <w:szCs w:val="18"/>
        </w:rPr>
        <w:t>4.1.2. Diagnóstico integral</w:t>
      </w:r>
    </w:p>
    <w:p w14:paraId="6CC7486C"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consultor adelantará un diagnóstico integral (técnico, jurídico y financiero) respecto de las diferentes figuras con las que la USPEC pueda prestar el Servicio, organizado en los siguientes componentes:</w:t>
      </w:r>
    </w:p>
    <w:p w14:paraId="34323F89" w14:textId="77777777" w:rsidR="00487997" w:rsidRPr="00BE5FCA" w:rsidRDefault="00000000">
      <w:pPr>
        <w:pStyle w:val="Ttulo3"/>
        <w:rPr>
          <w:rFonts w:ascii="Verdana" w:hAnsi="Verdana"/>
          <w:sz w:val="18"/>
          <w:szCs w:val="18"/>
        </w:rPr>
      </w:pPr>
      <w:r w:rsidRPr="00BE5FCA">
        <w:rPr>
          <w:rFonts w:ascii="Verdana" w:hAnsi="Verdana"/>
          <w:sz w:val="18"/>
          <w:szCs w:val="18"/>
        </w:rPr>
        <w:t>4.1.2.1. Levantamiento de información secundaria</w:t>
      </w:r>
    </w:p>
    <w:p w14:paraId="06BC3E9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lastRenderedPageBreak/>
        <w:t>Comprende la recolección y sistematización de información oficial y técnica relevante:</w:t>
      </w:r>
    </w:p>
    <w:p w14:paraId="7EBAF0B0" w14:textId="2B083CDF"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Recolección, sistematización y análisis de información primaria y secundaria que repose en la USPEC, el INPEC y demás entidades del sector justicia</w:t>
      </w:r>
      <w:r w:rsidR="00AA19D6">
        <w:rPr>
          <w:rFonts w:ascii="Verdana" w:hAnsi="Verdana"/>
          <w:sz w:val="18"/>
          <w:szCs w:val="18"/>
        </w:rPr>
        <w:t xml:space="preserve"> y otros sectores</w:t>
      </w:r>
      <w:r w:rsidRPr="00BE5FCA">
        <w:rPr>
          <w:rFonts w:ascii="Verdana" w:hAnsi="Verdana"/>
          <w:sz w:val="18"/>
          <w:szCs w:val="18"/>
        </w:rPr>
        <w:t>, relacionada con el Servicio.</w:t>
      </w:r>
    </w:p>
    <w:p w14:paraId="64B0801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Mapeo del marco normativo, técnico, operacional, presupuestal y organizacional vigente aplicable al Sistema de Vigilancia Electrónica en Colombia.</w:t>
      </w:r>
    </w:p>
    <w:p w14:paraId="622F628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Caracterización de la prestación actual del Servicio (de existir), incluyendo análisis de contratos vigentes, históricos, condiciones, niveles de servicio, tarifas, cobertura, tecnología utilizada y observaciones de los entes de control.</w:t>
      </w:r>
    </w:p>
    <w:p w14:paraId="4EE2A86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Levantamiento y diagramación de los procesos y flujos operacionales actuales: solicitud judicial, asignación, instalación, monitoreo, atención de alertas, mantenimiento, retiro, cadena de custodia, articulación interinstitucional.</w:t>
      </w:r>
    </w:p>
    <w:p w14:paraId="68638AC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Caracterización de la infraestructura tecnológica existente del INPEC y la USPEC relevante para el Servicio (sistemas de información, integraciones, conectividad, capacidades de monitoreo).</w:t>
      </w:r>
    </w:p>
    <w:p w14:paraId="4DD0BF53" w14:textId="77777777" w:rsidR="00487997" w:rsidRPr="00BE5FCA" w:rsidRDefault="00000000">
      <w:pPr>
        <w:pStyle w:val="Ttulo3"/>
        <w:rPr>
          <w:rFonts w:ascii="Verdana" w:hAnsi="Verdana"/>
          <w:sz w:val="18"/>
          <w:szCs w:val="18"/>
        </w:rPr>
      </w:pPr>
      <w:r w:rsidRPr="00BE5FCA">
        <w:rPr>
          <w:rFonts w:ascii="Verdana" w:hAnsi="Verdana"/>
          <w:sz w:val="18"/>
          <w:szCs w:val="18"/>
        </w:rPr>
        <w:t>4.1.2.2. Caracterización poblacional desagregada</w:t>
      </w:r>
    </w:p>
    <w:p w14:paraId="5C48BFB9"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deberá caracterizar la población PPL del Servicio de manera desagregada por situación jurídica, dado que cada categoría tiene implicaciones operativas, financieras y jurídicas diferenciadas:</w:t>
      </w:r>
    </w:p>
    <w:p w14:paraId="6DEFFD9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Caracterización cuantitativa y cualitativa de la población PPL elegible para el Servicio, con desagregación obligatoria por las cuatro (4) situaciones jurídicas siguientes, cada una con tratamiento, costos de transición e implicaciones operativas diferenciadas:</w:t>
      </w:r>
    </w:p>
    <w:p w14:paraId="2AE14EF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 PPL intramuros candidatos a sustitución de la pena de prisión por vigilancia electrónica (artículo 38F del Código Penal): caracterización por establecimiento de reclusión, tipo de delito, tiempo de pena cumplida, conducta, cumplimiento de los requisitos jurídicos para la sustitución y tiempo estimado para la transición a domicilio.</w:t>
      </w:r>
    </w:p>
    <w:p w14:paraId="209F5F5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(ii) PPL en prisión domiciliaria sin dispositivo electrónico (artículo 38B del Código Penal y normas concordantes): caracterización del stock actual elegible para escalamiento al esquema con vigilancia electrónica, ubicación geográfica de los domicilios reportados y condiciones de la medida.</w:t>
      </w:r>
    </w:p>
    <w:p w14:paraId="1D18EE3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(iii) PPL con vigilancia electrónica activa: caracterización del stock actual, tipo de dispositivo en uso, niveles de cumplimiento, históricos de alerta, vida útil remanente de los dispositivos y antigüedad de la medida.</w:t>
      </w:r>
    </w:p>
    <w:p w14:paraId="607664A7" w14:textId="38595734"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(iv) Personas con detención preventiva sustitutiva con vigilancia electrónica (artículo 314 del Código de Procedimiento Penal — Ley 906 de 2004): caracterización histórica del flujo de imposición de la medida por parte de jueces de control de garantías y articulación con la Fiscalía General de la Nación.</w:t>
      </w:r>
    </w:p>
    <w:p w14:paraId="390043D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Validación cruzada de las cifras de cada categoría con fuentes oficiales: SISIPEC del INPEC, sistemas del Consejo Superior de la Judicatura, sistemas de la Fiscalía General de la Nación y estadísticas oficiales del DANE cuando aplique.</w:t>
      </w:r>
    </w:p>
    <w:p w14:paraId="5A38766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Proyecciones de demanda por categoría, con horizonte coherente con el plazo del eventual contrato y escenarios base, optimista y pesimista, incluyendo el análisis de sensibilidad ante cambios de política criminal y decisiones judiciales relevantes.</w:t>
      </w:r>
    </w:p>
    <w:p w14:paraId="43228C8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Análisis diferencial de costos de transición y operación por cada categoría, incluyendo costos de instalación inicial, traslado del PPL (cuando aplique), validación domiciliaria y retiro al final de la medida.</w:t>
      </w:r>
    </w:p>
    <w:p w14:paraId="1F760BB5" w14:textId="77777777" w:rsidR="00487997" w:rsidRPr="00BE5FCA" w:rsidRDefault="00000000">
      <w:pPr>
        <w:pStyle w:val="Ttulo3"/>
        <w:rPr>
          <w:rFonts w:ascii="Verdana" w:hAnsi="Verdana"/>
          <w:sz w:val="18"/>
          <w:szCs w:val="18"/>
        </w:rPr>
      </w:pPr>
      <w:r w:rsidRPr="00BE5FCA">
        <w:rPr>
          <w:rFonts w:ascii="Verdana" w:hAnsi="Verdana"/>
          <w:sz w:val="18"/>
          <w:szCs w:val="18"/>
        </w:rPr>
        <w:t>4.1.2.3. Trabajo de campo y caracterización socio-económica</w:t>
      </w:r>
    </w:p>
    <w:p w14:paraId="0EABF17A"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adelantará el trabajo de campo necesario para sustentar el diagnóstico con información primaria verificada in situ, conforme a las siguientes actividades:</w:t>
      </w:r>
    </w:p>
    <w:p w14:paraId="755B9D2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Diseño y aplicación de instrumentos para el levantamiento primario de información, con muestras estadísticamente representativas de PPL en cada una de las cuatro (4) situaciones jurídicas descritas en el numeral 4.1.2.2.</w:t>
      </w:r>
    </w:p>
    <w:p w14:paraId="56A9A89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Caracterización socio-económica de los PPL y de sus núcleos familiares: estructura del hogar, vivienda (tenencia, materiales, hacinamiento), ingresos del hogar, dependientes, situación laboral, redes de apoyo, antecedentes de victimización y exposición a entornos de riesgo.</w:t>
      </w:r>
    </w:p>
    <w:p w14:paraId="45B6134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Verificación in situ por muestreo: visitas a Establecimientos de Reclusión del Orden Nacional (ERON) para PPL intramuros y visitas domiciliarias para PPL ya bajo medida sustitutiva, en coordinación con el INPEC y las autoridades competentes.</w:t>
      </w:r>
    </w:p>
    <w:p w14:paraId="750F7EB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Georreferenciación de los domicilios reportados o proyectados, con cruce contra: (i) mapas de orden público y zonas de riesgo; (ii) cobertura GSM/LTE de los operadores móviles; (iii) cobertura de servicios públicos básicos; (iv) acceso a infraestructura de salud y de respuesta a emergencias.</w:t>
      </w:r>
    </w:p>
    <w:p w14:paraId="6E7DE59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de barreras de acceso al Servicio: zonas rurales dispersas, territorios étnicos colectivos (resguardos indígenas, consejos comunitarios), zonas grises de conectividad y territorios con presencia activa de grupos armados al margen de la ley.</w:t>
      </w:r>
    </w:p>
    <w:p w14:paraId="6EDE807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Verificación de la viabilidad operativa para la instalación domiciliaria: condiciones físicas del domicilio, consentimiento informado del PPL y compromiso del núcleo familiar, accesibilidad para el personal técnico instalador.</w:t>
      </w:r>
    </w:p>
    <w:p w14:paraId="68F42E2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Documentación y aplicación de las salvaguardas de protección de derechos fundamentales (debido proceso, intimidad, dignidad humana) y de tratamiento de datos personales (Ley 1581 de 2012) aplicables a las actividades de campo.</w:t>
      </w:r>
    </w:p>
    <w:p w14:paraId="7A9A5F0F" w14:textId="77777777" w:rsidR="00487997" w:rsidRPr="00BE5FCA" w:rsidRDefault="00000000">
      <w:pPr>
        <w:pStyle w:val="Ttulo3"/>
        <w:rPr>
          <w:rFonts w:ascii="Verdana" w:hAnsi="Verdana"/>
          <w:sz w:val="18"/>
          <w:szCs w:val="18"/>
        </w:rPr>
      </w:pPr>
      <w:r w:rsidRPr="00BE5FCA">
        <w:rPr>
          <w:rFonts w:ascii="Verdana" w:hAnsi="Verdana"/>
          <w:sz w:val="18"/>
          <w:szCs w:val="18"/>
        </w:rPr>
        <w:t>4.1.2.4. Articulación interinstitucional</w:t>
      </w:r>
    </w:p>
    <w:p w14:paraId="0F3DAFB3"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estructuración del modelo requiere la articulación con las entidades del ecosistema institucional. La consultoría deberá adelantar las siguientes actividades de articulación, las cuales se complementan con la tabla de entidades y roles que se presenta a continuación:</w:t>
      </w:r>
    </w:p>
    <w:p w14:paraId="4C8A130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Constitución y operación de mesas técnicas de articulación con las entidades del ecosistema institucional del Servicio, conforme al numeral 3.4 del presente Anexo Técnico.</w:t>
      </w:r>
    </w:p>
    <w:p w14:paraId="680A06A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Levantamiento de requerimientos de información de cada entidad y caracterización de las fuentes oficiales disponibles, incluyendo periodicidad, formato y mecanismos de actualización.</w:t>
      </w:r>
    </w:p>
    <w:p w14:paraId="63AE3D8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Definición de protocolos de intercambio de información (formatos, periodicidad, canales seguros) entre la USPEC y cada entidad pertinente, observando las consideraciones de Habeas Data, clasificación de la información y seguridad digital.</w:t>
      </w:r>
    </w:p>
    <w:p w14:paraId="2E7C91A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de la necesidad de acuerdos de cooperación, convenios marco interadministrativos u otros instrumentos de coordinación con las entidades concernidas, con proyección de los textos cuando corresponda.</w:t>
      </w:r>
    </w:p>
    <w:p w14:paraId="7BEDAE4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Documentación del mapa de competencias y responsabilidades de cada entidad frente al Servicio, identificando puntos críticos, brechas y oportunidades de mejora en la articulación.</w:t>
      </w:r>
    </w:p>
    <w:p w14:paraId="6843D37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Validación con la rectoría sectorial (Ministerio de Justicia y del Derecho) y con el Departamento Nacional de Planeación — DNP del alineamiento del modelo propuesto con la Política Criminal, la Política Penitenciaria y los documentos CONPES vigentes y proyectados.</w:t>
      </w:r>
    </w:p>
    <w:p w14:paraId="0D14C89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stakeholders y gestión de partes interesadas en el proyecto.</w:t>
      </w:r>
    </w:p>
    <w:p w14:paraId="715EFC99" w14:textId="77777777" w:rsidR="00487997" w:rsidRPr="00BE5FCA" w:rsidRDefault="00487997">
      <w:pPr>
        <w:spacing w:after="60"/>
        <w:rPr>
          <w:rFonts w:ascii="Verdana" w:hAnsi="Verdana"/>
          <w:sz w:val="18"/>
          <w:szCs w:val="18"/>
        </w:rPr>
      </w:pPr>
    </w:p>
    <w:p w14:paraId="640D73F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Tabla de entidades del ecosistema institucional y sus roles frente al Servicio: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760"/>
      </w:tblGrid>
      <w:tr w:rsidR="00487997" w:rsidRPr="00BE5FCA" w14:paraId="0B469E9B" w14:textId="77777777">
        <w:trPr>
          <w:tblHeader/>
        </w:trPr>
        <w:tc>
          <w:tcPr>
            <w:tcW w:w="36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7325AFDA"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Entidad</w:t>
            </w:r>
          </w:p>
        </w:tc>
        <w:tc>
          <w:tcPr>
            <w:tcW w:w="576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07D82D18"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Rol frente al Servicio</w:t>
            </w:r>
          </w:p>
        </w:tc>
      </w:tr>
      <w:tr w:rsidR="00487997" w:rsidRPr="00BE5FCA" w14:paraId="1D97F3BC"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F3F4C38"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Ministerio de Justicia y del Derecho</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A5BC4C1"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Rectoría sectorial; lineamientos de política criminal y política penitenciaria; coordinación con el ecosistema.</w:t>
            </w:r>
          </w:p>
        </w:tc>
      </w:tr>
      <w:tr w:rsidR="00487997" w:rsidRPr="00BE5FCA" w14:paraId="07C9BC8A"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96E420B"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Departamento Nacional de Planeación — DNP</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5E89C87"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CONPES de política criminal, política penitenciaria y riesgos previsibles (CONPES 3714/2011); viabilidad presupuestal; vigencias futuras; alineación con el Marco de Gasto de Mediano Plazo.</w:t>
            </w:r>
          </w:p>
        </w:tc>
      </w:tr>
      <w:tr w:rsidR="00487997" w:rsidRPr="00BE5FCA" w14:paraId="6ECA6440"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152B746"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Departamento Administrativo Nacional de Estadística — DANE</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D4DDAA9"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Información demográfica y socio-económica; estratos; indicadores de pobreza; cobertura territorial y de conectividad.</w:t>
            </w:r>
          </w:p>
        </w:tc>
      </w:tr>
      <w:tr w:rsidR="00487997" w:rsidRPr="00BE5FCA" w14:paraId="45F7D53A"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574E9CD"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Ministerio de Hacienda y Crédito Público</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13A55BB"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Presupuesto general de la Nación, vigencias futuras, marco fiscal y tributación aplicable (IVA, retenciones, GMF).</w:t>
            </w:r>
          </w:p>
        </w:tc>
      </w:tr>
      <w:tr w:rsidR="00487997" w:rsidRPr="00BE5FCA" w14:paraId="723236D2"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FBBFA4C"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Instituto Nacional Penitenciario y Carcelario — INPEC</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97E027C"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Información operacional, SISIPEC, articulación operativa con los ERON, gestión del traslado y entrega del PPL para la instalación domiciliaria.</w:t>
            </w:r>
          </w:p>
        </w:tc>
      </w:tr>
      <w:tr w:rsidR="00487997" w:rsidRPr="00BE5FCA" w14:paraId="6BEDEF82"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B6E0629"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Consejo Superior de la Judicatura</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6EF0DB7"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Flujo judicial de decisiones de sustitución y de control; estadística judicial; articulación con la Rama Judicial.</w:t>
            </w:r>
          </w:p>
        </w:tc>
      </w:tr>
      <w:tr w:rsidR="00487997" w:rsidRPr="00BE5FCA" w14:paraId="71FE0D49"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20A39C0"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Fiscalía General de la Nación</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D564766"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Medidas de aseguramiento sustitutivas con vigilancia electrónica (art. 314 Ley 906/2004); articulación procesal.</w:t>
            </w:r>
          </w:p>
        </w:tc>
      </w:tr>
      <w:tr w:rsidR="00487997" w:rsidRPr="00BE5FCA" w14:paraId="27A6EDE8"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A50A5AD"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Defensoría del Pueblo</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2F0B6F0"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Garantías de los derechos fundamentales de las PPL y de sus núcleos familiares.</w:t>
            </w:r>
          </w:p>
        </w:tc>
      </w:tr>
      <w:tr w:rsidR="00487997" w:rsidRPr="00BE5FCA" w14:paraId="2C79ABB2"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A019328"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Procuraduría General de la Nación</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9773003"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Vigilancia preventiva y disciplinaria del Sistema de Vigilancia Electrónica.</w:t>
            </w:r>
          </w:p>
        </w:tc>
      </w:tr>
      <w:tr w:rsidR="00487997" w:rsidRPr="00BE5FCA" w14:paraId="39C1CD9D"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2BCA5E0"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Contraloría General de la República</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A3476E4"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Control fiscal sobre la ejecución del modelo y los recursos públicos.</w:t>
            </w:r>
          </w:p>
        </w:tc>
      </w:tr>
      <w:tr w:rsidR="00487997" w:rsidRPr="00BE5FCA" w14:paraId="283937F7"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AF9D022"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Ministerio de Tecnologías de la Información y las Comunicaciones — MinTIC</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CB288DC"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Modelo de Seguridad y Privacidad de la Información (MSPI); Gobierno Digital; lineamientos de seguridad digital.</w:t>
            </w:r>
          </w:p>
        </w:tc>
      </w:tr>
      <w:tr w:rsidR="00487997" w:rsidRPr="00BE5FCA" w14:paraId="44FD2F8B"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624C29E"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Superintendencia de Industria y Comercio — SIC</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B4AF09B"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Régimen de Habeas Data; tratamiento de datos personales sensibles, biométricos y de geolocalización (Ley 1581/2012).</w:t>
            </w:r>
          </w:p>
        </w:tc>
      </w:tr>
      <w:tr w:rsidR="00487997" w:rsidRPr="00BE5FCA" w14:paraId="74B51894"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015BB0B"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lastRenderedPageBreak/>
              <w:t>Comisión de Regulación de Comunicaciones — CRC</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CB55CC8"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Regulación de operadores móviles; espectro y conectividad relevante para el dispositivo y la plataforma.</w:t>
            </w:r>
          </w:p>
        </w:tc>
      </w:tr>
      <w:tr w:rsidR="00487997" w:rsidRPr="00BE5FCA" w14:paraId="2861257C"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27CE13F"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Agencia Nacional de Contratación Pública — Colombia Compra Eficiente (CCE)</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BDA14E9"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Lineamientos contractuales, manuales, guías y acuerdos marco aplicables al proceso de selección.</w:t>
            </w:r>
          </w:p>
        </w:tc>
      </w:tr>
      <w:tr w:rsidR="00487997" w:rsidRPr="00BE5FCA" w14:paraId="3944847E"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1E7BCAC"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ColCERT y CSIRT Gobierno</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23DD5EC"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Coordinación en seguridad digital, gestión y respuesta a incidentes.</w:t>
            </w:r>
          </w:p>
        </w:tc>
      </w:tr>
      <w:tr w:rsidR="00487997" w:rsidRPr="00BE5FCA" w14:paraId="3CFC1821"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49BB3BD"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Instituto Colombiano de Bienestar Familiar — ICBF</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44B0498"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Cuando el núcleo familiar del PPL incluya niños, niñas o adolescentes.</w:t>
            </w:r>
          </w:p>
        </w:tc>
      </w:tr>
      <w:tr w:rsidR="00487997" w:rsidRPr="00BE5FCA" w14:paraId="0E233536" w14:textId="77777777">
        <w:tc>
          <w:tcPr>
            <w:tcW w:w="3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E368CD2" w14:textId="77777777" w:rsidR="00487997" w:rsidRPr="00BE5FCA" w:rsidRDefault="00000000">
            <w:pPr>
              <w:spacing w:after="40" w:line="260" w:lineRule="auto"/>
              <w:rPr>
                <w:rFonts w:ascii="Verdana" w:hAnsi="Verdana"/>
                <w:sz w:val="18"/>
                <w:szCs w:val="18"/>
              </w:rPr>
            </w:pPr>
            <w:r w:rsidRPr="00BE5FCA">
              <w:rPr>
                <w:rFonts w:ascii="Verdana" w:hAnsi="Verdana"/>
                <w:b/>
                <w:bCs/>
                <w:color w:val="000000"/>
                <w:sz w:val="18"/>
                <w:szCs w:val="18"/>
              </w:rPr>
              <w:t>Policía Nacional</w:t>
            </w:r>
          </w:p>
        </w:tc>
        <w:tc>
          <w:tcPr>
            <w:tcW w:w="5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DC51E2A"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Articulación operativa para la atención de alertas críticas y respuesta a incidentes en el marco del Servicio.</w:t>
            </w:r>
          </w:p>
        </w:tc>
      </w:tr>
    </w:tbl>
    <w:p w14:paraId="77BD0725" w14:textId="77777777" w:rsidR="00487997" w:rsidRPr="00BE5FCA" w:rsidRDefault="00487997">
      <w:pPr>
        <w:spacing w:after="60"/>
        <w:rPr>
          <w:rFonts w:ascii="Verdana" w:hAnsi="Verdana"/>
          <w:sz w:val="18"/>
          <w:szCs w:val="18"/>
        </w:rPr>
      </w:pPr>
    </w:p>
    <w:p w14:paraId="29C80EE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anterior relación es enunciativa y no taxativa; el consultor deberá identificar, durante la ejecución del contrato, otras entidades que resulten pertinentes para la articulación del Servicio y proponer los mecanismos de coordinación correspondientes.</w:t>
      </w:r>
    </w:p>
    <w:p w14:paraId="7AF176EE" w14:textId="77777777" w:rsidR="00487997" w:rsidRPr="00BE5FCA" w:rsidRDefault="00000000">
      <w:pPr>
        <w:pStyle w:val="Ttulo3"/>
        <w:rPr>
          <w:rFonts w:ascii="Verdana" w:hAnsi="Verdana"/>
          <w:sz w:val="18"/>
          <w:szCs w:val="18"/>
        </w:rPr>
      </w:pPr>
      <w:r w:rsidRPr="00BE5FCA">
        <w:rPr>
          <w:rFonts w:ascii="Verdana" w:hAnsi="Verdana"/>
          <w:sz w:val="18"/>
          <w:szCs w:val="18"/>
        </w:rPr>
        <w:t>4.1.2.5. Análisis comparado internacional</w:t>
      </w:r>
    </w:p>
    <w:p w14:paraId="1C6C8AB0"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adelantará el siguiente análisis de referentes internacionales:</w:t>
      </w:r>
    </w:p>
    <w:p w14:paraId="0B114FF1" w14:textId="5A3E2600"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comparado internacional (benchmarking) de al menos cuatro (4) jurisdicciones con experiencia en vigilancia electrónica (con mínimo seis mil (6.000) dispositivos contratados en operación).</w:t>
      </w:r>
    </w:p>
    <w:p w14:paraId="3234876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Documentación de modelos de prestación, esquemas tarifarios, asignación de riesgos, niveles de servicio, criterios de elegibilidad de población, mecanismos de articulación interinstitucional, indicadores de éxito y lecciones aprendidas.</w:t>
      </w:r>
    </w:p>
    <w:p w14:paraId="243B2C66" w14:textId="77777777" w:rsidR="00487997" w:rsidRPr="00BE5FCA" w:rsidRDefault="00000000">
      <w:pPr>
        <w:pStyle w:val="Ttulo3"/>
        <w:rPr>
          <w:rFonts w:ascii="Verdana" w:hAnsi="Verdana"/>
          <w:sz w:val="18"/>
          <w:szCs w:val="18"/>
        </w:rPr>
      </w:pPr>
      <w:r w:rsidRPr="00BE5FCA">
        <w:rPr>
          <w:rFonts w:ascii="Verdana" w:hAnsi="Verdana"/>
          <w:sz w:val="18"/>
          <w:szCs w:val="18"/>
        </w:rPr>
        <w:t>4.1.2.6. Síntesis del diagnóstico</w:t>
      </w:r>
    </w:p>
    <w:p w14:paraId="0D22FE7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Como resultado integral del diagnóstico, la consultoría producirá:</w:t>
      </w:r>
    </w:p>
    <w:p w14:paraId="128860D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DOFA del Servicio en su estado actual y proyectado.</w:t>
      </w:r>
    </w:p>
    <w:p w14:paraId="14F8C50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preliminar de riesgos en sus dimensiones técnica, jurídica, financiera, operacional y reputacional.</w:t>
      </w:r>
    </w:p>
    <w:p w14:paraId="26AB1647" w14:textId="77777777" w:rsidR="00487997"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Elaboración del documento de hallazgos del diagnóstico, con conclusiones, recomendaciones priorizadas y línea base para los componentes técnico, financiero y jurídico.</w:t>
      </w:r>
    </w:p>
    <w:p w14:paraId="6E534DA5" w14:textId="75A155FC" w:rsidR="00F3601E" w:rsidRPr="00BE5FCA" w:rsidRDefault="00F3601E">
      <w:pPr>
        <w:pStyle w:val="Prrafodelista"/>
        <w:numPr>
          <w:ilvl w:val="0"/>
          <w:numId w:val="2"/>
        </w:numPr>
        <w:spacing w:after="80" w:line="280" w:lineRule="auto"/>
        <w:jc w:val="both"/>
        <w:rPr>
          <w:rFonts w:ascii="Verdana" w:hAnsi="Verdana"/>
          <w:sz w:val="18"/>
          <w:szCs w:val="18"/>
        </w:rPr>
      </w:pPr>
      <w:r>
        <w:rPr>
          <w:rFonts w:ascii="Verdana" w:hAnsi="Verdana"/>
          <w:sz w:val="18"/>
          <w:szCs w:val="18"/>
        </w:rPr>
        <w:t>Nota: Igualmente, en cualquier etapa de la consultoría cuando así se evidencie por el consultor o por solicitud de la USPEC, podrá conceptuar respecto de la realidad precontractual de la USPEC frente a necesidades iguales o similares objeto de esta consultoría, que para ese momento se encuentre adelantando.</w:t>
      </w:r>
    </w:p>
    <w:p w14:paraId="0C8263E2" w14:textId="77777777" w:rsidR="00487997" w:rsidRPr="00BE5FCA" w:rsidRDefault="00000000">
      <w:pPr>
        <w:pStyle w:val="Ttulo3"/>
        <w:rPr>
          <w:rFonts w:ascii="Verdana" w:hAnsi="Verdana"/>
          <w:sz w:val="18"/>
          <w:szCs w:val="18"/>
        </w:rPr>
      </w:pPr>
      <w:r w:rsidRPr="00BE5FCA">
        <w:rPr>
          <w:rFonts w:ascii="Verdana" w:hAnsi="Verdana"/>
          <w:sz w:val="18"/>
          <w:szCs w:val="18"/>
        </w:rPr>
        <w:t>4.1.3. Documento técnico</w:t>
      </w:r>
    </w:p>
    <w:p w14:paraId="013E908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consultor desarrollará y presentará un documento técnico que soporte la figura óptima seleccionada y contenga las condiciones técnicas detalladas para la prestación del Servicio. El documento deberá incluir, como mínimo:</w:t>
      </w:r>
    </w:p>
    <w:p w14:paraId="583B19BA" w14:textId="77777777" w:rsidR="00487997" w:rsidRPr="00BE5FCA" w:rsidRDefault="00000000">
      <w:pPr>
        <w:spacing w:after="120" w:line="300" w:lineRule="auto"/>
        <w:jc w:val="both"/>
        <w:rPr>
          <w:rFonts w:ascii="Verdana" w:hAnsi="Verdana"/>
          <w:sz w:val="18"/>
          <w:szCs w:val="18"/>
        </w:rPr>
      </w:pPr>
      <w:r w:rsidRPr="000E1CD0">
        <w:rPr>
          <w:rFonts w:ascii="Verdana" w:hAnsi="Verdana"/>
          <w:b/>
          <w:bCs/>
          <w:sz w:val="18"/>
          <w:szCs w:val="18"/>
        </w:rPr>
        <w:lastRenderedPageBreak/>
        <w:t>(i) Características de la prestación actual del Servicio. (ii) Alcance técnico del proyecto. (iii) Condiciones técnicas detalladas. (iv) Obligaciones de las partes. (v) Riesgos técnicos previsibles, validando el cumplimiento de las disposiciones legales, técnicas, financieras y jurisprudenciales vigentes.</w:t>
      </w:r>
    </w:p>
    <w:p w14:paraId="6E56E57C"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Las actividades técnicas detalladas que el consultor deberá ejecutar incluyen, sin limitarse a:</w:t>
      </w:r>
    </w:p>
    <w:p w14:paraId="16AEC773"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Arquitectura del Servicio:</w:t>
      </w:r>
    </w:p>
    <w:p w14:paraId="4A2654E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Definición de la arquitectura general del Servicio (lógica y física), incluyendo capas de dispositivo, conectividad, plataforma, integraciones e interfaces con autoridades.</w:t>
      </w:r>
    </w:p>
    <w:p w14:paraId="3B94F33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Modelo operativo del Servicio: procesos de instalación, monitoreo continuo, atención de alertas, mantenimiento preventivo y correctivo, retiro, devolución y disposición final del dispositivo.</w:t>
      </w:r>
    </w:p>
    <w:p w14:paraId="5C4487F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Esquema de cobertura geográfica nacional y mecanismos para garantizar la prestación uniforme en cualquier punto del territorio, incluidas las zonas rurales dispersas y los territorios étnicos.</w:t>
      </w:r>
    </w:p>
    <w:p w14:paraId="4C21AF0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Transición y manejo diferenciado de la población PPL:</w:t>
      </w:r>
    </w:p>
    <w:p w14:paraId="4345842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Definición de los protocolos operativos para la transición y manejo de las cuatro (4) situaciones jurídicas de la población PPL identificadas en el diagnóstico: (a) intramuros a vigilancia electrónica en domicilio; (b) prisión domiciliaria sin dispositivo a prisión domiciliaria con dispositivo electrónico; (c) detención preventiva sustitutiva con vigilancia electrónica; y (d) terminación del Servicio por cumplimiento de la pena, sustitución de la medida o revocatoria.</w:t>
      </w:r>
    </w:p>
    <w:p w14:paraId="5CEAA9DF" w14:textId="77777777" w:rsidR="00487997"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 xml:space="preserve">Para la transición intramuros </w:t>
      </w:r>
      <w:r w:rsidRPr="00BE5FCA">
        <w:rPr>
          <w:sz w:val="18"/>
          <w:szCs w:val="18"/>
        </w:rPr>
        <w:t>→</w:t>
      </w:r>
      <w:r w:rsidRPr="00BE5FCA">
        <w:rPr>
          <w:rFonts w:ascii="Verdana" w:hAnsi="Verdana"/>
          <w:sz w:val="18"/>
          <w:szCs w:val="18"/>
        </w:rPr>
        <w:t xml:space="preserve"> domicilio: protocolo de coordinación con la autoridad judicial competente, validación previa del domicilio receptor, gestión del traslado del PPL en articulación con el INPEC, instalación del dispositivo en el sitio, comunicación con el núcleo familiar, y capacitación al PPL sobre el uso del dispositivo, sus obligaciones contractuales y las consecuencias judiciales del incumplimiento.</w:t>
      </w:r>
    </w:p>
    <w:p w14:paraId="013469E1" w14:textId="07B8B4BD" w:rsidR="000E1CD0" w:rsidRPr="00BE5FCA" w:rsidRDefault="000E1CD0">
      <w:pPr>
        <w:pStyle w:val="Prrafodelista"/>
        <w:numPr>
          <w:ilvl w:val="0"/>
          <w:numId w:val="2"/>
        </w:numPr>
        <w:spacing w:after="80" w:line="280" w:lineRule="auto"/>
        <w:jc w:val="both"/>
        <w:rPr>
          <w:rFonts w:ascii="Verdana" w:hAnsi="Verdana"/>
          <w:sz w:val="18"/>
          <w:szCs w:val="18"/>
        </w:rPr>
      </w:pPr>
      <w:r>
        <w:rPr>
          <w:rFonts w:ascii="Verdana" w:hAnsi="Verdana"/>
          <w:sz w:val="18"/>
          <w:szCs w:val="18"/>
        </w:rPr>
        <w:t>Para la transición de los dispositivos que se encuentren instalados: P</w:t>
      </w:r>
      <w:r w:rsidRPr="00BE5FCA">
        <w:rPr>
          <w:rFonts w:ascii="Verdana" w:hAnsi="Verdana"/>
          <w:sz w:val="18"/>
          <w:szCs w:val="18"/>
        </w:rPr>
        <w:t xml:space="preserve">rotocolo de coordinación con </w:t>
      </w:r>
      <w:r>
        <w:rPr>
          <w:rFonts w:ascii="Verdana" w:hAnsi="Verdana"/>
          <w:sz w:val="18"/>
          <w:szCs w:val="18"/>
        </w:rPr>
        <w:t>el INPEC</w:t>
      </w:r>
      <w:r w:rsidRPr="00BE5FCA">
        <w:rPr>
          <w:rFonts w:ascii="Verdana" w:hAnsi="Verdana"/>
          <w:sz w:val="18"/>
          <w:szCs w:val="18"/>
        </w:rPr>
        <w:t>, validación previa del domicilio receptor, instalación del dispositivo en el sitio, comunicación con el núcleo familiar, y capacitación al PPL sobre el uso del dispositivo, sus obligaciones contractuales y las consecuencias judiciales del incumplimiento.</w:t>
      </w:r>
    </w:p>
    <w:p w14:paraId="3183BF9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Plazos máximos por tipo de transición, indicadores de oportunidad y mecanismos de control para garantizar el cumplimiento de los términos legales y judiciales aplicables.</w:t>
      </w:r>
    </w:p>
    <w:p w14:paraId="26597C5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Protocolos diferenciados de verificación y monitoreo según la situación jurídica de origen del PPL, incluidos los esquemas de seguimiento aplicables a las personas en detención preventiva sustitutiva (presunción de inocencia) frente a las personas condenadas.</w:t>
      </w:r>
    </w:p>
    <w:p w14:paraId="5204CF5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Especificaciones del dispositivo electrónico:</w:t>
      </w:r>
    </w:p>
    <w:p w14:paraId="1D92B7A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Especificaciones técnicas del dispositivo electrónico de vigilancia (tobillera, brazalete u homólogo), incluyendo, sin limitarse a: materiales, dimensiones, peso, ergonomía e hipoalergenicidad.</w:t>
      </w:r>
    </w:p>
    <w:p w14:paraId="209CA8A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Capacidades de localización (GPS, A-GPS, GLONASS u homólogos), precisión, frecuencia de reporte y desempeño en zonas de baja señal.</w:t>
      </w:r>
    </w:p>
    <w:p w14:paraId="350016B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Conectividad: tecnología (GSM/LTE/RF), bandas, operadores compatibles y mecanismos de respaldo.</w:t>
      </w:r>
    </w:p>
    <w:p w14:paraId="5F736B53" w14:textId="49D7A61A"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Autonomía energética: capacidad de batería, duración mínima entre cargas.</w:t>
      </w:r>
    </w:p>
    <w:p w14:paraId="69E945FD" w14:textId="176CCF59"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Grado de protección IP, resistencia al agua, polvo, golpes y condiciones tropicales propias del territorio colombiano.</w:t>
      </w:r>
    </w:p>
    <w:p w14:paraId="352ED7E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Mecanismos antimanipulación, anti-corte y detección de retiro no autorizado.</w:t>
      </w:r>
    </w:p>
    <w:p w14:paraId="611D55FD" w14:textId="6559F22A"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Cumplimiento de estándares internacionales aplicable</w:t>
      </w:r>
      <w:r w:rsidR="000E1CD0">
        <w:rPr>
          <w:rFonts w:ascii="Verdana" w:hAnsi="Verdana"/>
          <w:sz w:val="18"/>
          <w:szCs w:val="18"/>
        </w:rPr>
        <w:t>s.</w:t>
      </w:r>
    </w:p>
    <w:p w14:paraId="3D78B70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Vida útil del dispositivo, condiciones de garantía y tratamiento de reposición.</w:t>
      </w:r>
    </w:p>
    <w:p w14:paraId="5B128BD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Disposición final ambientalmente responsable de los dispositivos en cumplimiento de la Ley 1672 de 2013, el Decreto 284 de 2018 y demás normas RAEE aplicables.</w:t>
      </w:r>
    </w:p>
    <w:p w14:paraId="718C94F1"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Plataforma de monitoreo y gestión:</w:t>
      </w:r>
    </w:p>
    <w:p w14:paraId="393AE4D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Especificaciones funcionales y no funcionales de la plataforma de monitoreo y gestión del Servicio.</w:t>
      </w:r>
    </w:p>
    <w:p w14:paraId="2369557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Funcionalidades mínimas: geofencing (zonas inclusivas y exclusivas), reglas de alerta configurables, monitoreo en tiempo real, histórico de localización, generación de reportes, exportación de evidencia, cadena de custodia digital, trazabilidad de acciones del usuario.</w:t>
      </w:r>
    </w:p>
    <w:p w14:paraId="1B013FE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Modelo de despliegue (on-premise, nube o híbrido) con análisis de pros y contras para el caso del Servicio, incluyendo consideraciones de soberanía de datos.</w:t>
      </w:r>
    </w:p>
    <w:p w14:paraId="19FE44B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Requisitos de integración con sistemas misionales del INPEC (incluido SISIPEC u homólogo vigente) y con sistemas de las autoridades judiciales, fiscalía y demás entidades pertinentes, vía servicios web seguros (REST/SOAP), colas de eventos u homólogos.</w:t>
      </w:r>
    </w:p>
    <w:p w14:paraId="4A9DC26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Modelo de roles y permisos (RBAC/ABAC) y separación de funciones.</w:t>
      </w:r>
    </w:p>
    <w:p w14:paraId="213767D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Disponibilidad mínima exigida, RPO/RTO, esquemas de redundancia activa-activa o activa-pasiva, y plan de continuidad y recuperación ante desastres.</w:t>
      </w:r>
    </w:p>
    <w:p w14:paraId="6597AA6D"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Centro de monitoreo:</w:t>
      </w:r>
    </w:p>
    <w:p w14:paraId="0671F31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Definición de los requerimientos del Centro de Monitoreo Principal (COR) y Centro Alterno (COB): infraestructura física, controles de acceso, energía respaldada (UPS y planta), HVAC, conectividad redundante y certificaciones Tier mínimo aplicable.</w:t>
      </w:r>
    </w:p>
    <w:p w14:paraId="5C87648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Modelo de operación 24/7/365: turnos, personal mínimo por turno, perfiles operativos, capacitación, protocolos de escalamiento.</w:t>
      </w:r>
    </w:p>
    <w:p w14:paraId="5127E76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Procedimientos operativos estándar (POE) para los principales eventos: instalación, alertas de violación, fallas técnicas, pérdida de señal, manipulación, evacuación, contacto con autoridades.</w:t>
      </w:r>
    </w:p>
    <w:p w14:paraId="02E55741"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Mesa de ayuda (service desk) y soporte técnico al usuario institucional, con métricas e indicadores.</w:t>
      </w:r>
    </w:p>
    <w:p w14:paraId="3350FD41"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Marco de ciberseguridad:</w:t>
      </w:r>
    </w:p>
    <w:p w14:paraId="451079A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Marco de seguridad de la información basado en ISO/IEC 27001 e idealmente alineado con NIST CSF, aplicable al dispositivo, plataforma, centro de monitoreo e integraciones.</w:t>
      </w:r>
    </w:p>
    <w:p w14:paraId="2417369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Cifrado de datos en reposo (AES-256 o superior) y en tránsito (TLS 1.2/1.3) entre dispositivo, plataforma y consumidores institucionales.</w:t>
      </w:r>
    </w:p>
    <w:p w14:paraId="2995E03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Gestión de identidades y accesos (IAM) con autenticación multifactor (MFA) para acceso administrativo y a datos sensibles. Gestión privilegiada (PAM) para cuentas de alto privilegio.</w:t>
      </w:r>
    </w:p>
    <w:p w14:paraId="75C6D7D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Monitoreo de seguridad mediante SIEM, correlación de eventos, generación de alertas y procedimientos de respuesta a incidentes alineados con NIST SP 800-61 o equivalente.</w:t>
      </w:r>
    </w:p>
    <w:p w14:paraId="6853791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Pruebas periódicas de penetración (pentesting) y análisis de vulnerabilidades sobre infraestructura, plataforma, aplicaciones y dispositivos; programa de gestión de vulnerabilidades con SLA de remediación por criticidad.</w:t>
      </w:r>
    </w:p>
    <w:p w14:paraId="65588E4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Hardening de servidores, redes, aplicaciones, bases de datos y dispositivos finales.</w:t>
      </w:r>
    </w:p>
    <w:p w14:paraId="1156A1A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Continuidad y recuperación ante desastres (ISO 22301) con pruebas periódicas obligatorias.</w:t>
      </w:r>
    </w:p>
    <w:p w14:paraId="4384E43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Cumplimiento de los requisitos del MSPI de MinTIC y reporte a CSIRT Gobierno cuando aplique.</w:t>
      </w:r>
    </w:p>
    <w:p w14:paraId="5C346D5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Política de tratamiento de datos personales y mecanismos para garantizar los principios de finalidad, legalidad, libertad, veracidad, transparencia, acceso restringido, seguridad y confidencialidad de la Ley 1581 de 2012.</w:t>
      </w:r>
    </w:p>
    <w:p w14:paraId="6254A95B"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Acuerdos de Nivel de Servicio (ANS) y KPI:</w:t>
      </w:r>
    </w:p>
    <w:p w14:paraId="64F1EBB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Acuerdos de Nivel de Servicio (ANS) mínimos: disponibilidad de la plataforma, disponibilidad del centro de monitoreo, tiempo de respuesta ante alerta crítica, tiempo de instalación tras orden judicial, tiempo de respuesta a falla de dispositivo, tiempo de generación de reportes ante autoridad competente, exactitud de la geolocalización, cobertura del Servicio.</w:t>
      </w:r>
    </w:p>
    <w:p w14:paraId="2FEC954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Mecanismos de medición, reporte y verificación de los ANS, integrados con el modelo financiero y con las consecuencias contractuales por incumplimiento (descuentos, multas, cláusula penal, terminación).</w:t>
      </w:r>
    </w:p>
    <w:p w14:paraId="2227E82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Indicadores clave de desempeño (KPI) operacional, técnico y de experiencia institucional usuaria.</w:t>
      </w:r>
    </w:p>
    <w:p w14:paraId="70015FA7"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Capacitación y transferencia:</w:t>
      </w:r>
    </w:p>
    <w:p w14:paraId="7FBF7AC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Plan de capacitación al personal de la USPEC, el INPEC y autoridades judiciales (en lo aplicable) sobre el uso, alcance y limitaciones del Servicio.</w:t>
      </w:r>
    </w:p>
    <w:p w14:paraId="6FD73BA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Plan de transferencia de conocimiento al cierre del eventual contrato derivado y mecanismos de continuidad ante cambio de operador.</w:t>
      </w:r>
    </w:p>
    <w:p w14:paraId="2F194C0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Riesgos técnicos:</w:t>
      </w:r>
    </w:p>
    <w:p w14:paraId="78860C2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valoración cuantitativa y cualitativa, asignación y tratamiento de los riesgos técnicos previsibles del Servicio, conforme al CONPES 3714 de 2011 y la metodología vigente de CCE.</w:t>
      </w:r>
    </w:p>
    <w:p w14:paraId="498CC759" w14:textId="77777777" w:rsidR="00487997"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Riesgos típicos a analizar: obsolescencia tecnológica, falla masiva de dispositivos, indisponibilidad de plataforma, ciberataque, pérdida o fuga de datos, dependencia tecnológica del operador, integración fallida con sistemas del INPEC, pérdida de cobertura geográfica.</w:t>
      </w:r>
    </w:p>
    <w:p w14:paraId="66F956EE" w14:textId="4C312838" w:rsidR="00B457E9" w:rsidRPr="00B457E9" w:rsidRDefault="00B457E9" w:rsidP="00B457E9">
      <w:pPr>
        <w:spacing w:after="80" w:line="280" w:lineRule="auto"/>
        <w:jc w:val="both"/>
        <w:rPr>
          <w:rFonts w:ascii="Verdana" w:hAnsi="Verdana"/>
          <w:sz w:val="18"/>
          <w:szCs w:val="18"/>
        </w:rPr>
      </w:pPr>
      <w:r>
        <w:rPr>
          <w:rFonts w:ascii="Verdana" w:hAnsi="Verdana"/>
          <w:sz w:val="18"/>
          <w:szCs w:val="18"/>
        </w:rPr>
        <w:t>Este insumo será el anexo técnico único para el proceso de selección que se adelante</w:t>
      </w:r>
      <w:r w:rsidR="000E1CD0">
        <w:rPr>
          <w:rFonts w:ascii="Verdana" w:hAnsi="Verdana"/>
          <w:sz w:val="18"/>
          <w:szCs w:val="18"/>
        </w:rPr>
        <w:t xml:space="preserve">, sin embargo el listado de requerimientos descritos es meramente enunciativo y no condiciona el anexo técnico que para tal fin desarrolle la consultoría. </w:t>
      </w:r>
      <w:r>
        <w:rPr>
          <w:rFonts w:ascii="Verdana" w:hAnsi="Verdana"/>
          <w:sz w:val="18"/>
          <w:szCs w:val="18"/>
        </w:rPr>
        <w:t xml:space="preserve"> </w:t>
      </w:r>
    </w:p>
    <w:p w14:paraId="38C88E5A" w14:textId="77777777" w:rsidR="00487997" w:rsidRPr="00BE5FCA" w:rsidRDefault="00000000">
      <w:pPr>
        <w:pStyle w:val="Ttulo3"/>
        <w:rPr>
          <w:rFonts w:ascii="Verdana" w:hAnsi="Verdana"/>
          <w:sz w:val="18"/>
          <w:szCs w:val="18"/>
        </w:rPr>
      </w:pPr>
      <w:r w:rsidRPr="00BE5FCA">
        <w:rPr>
          <w:rFonts w:ascii="Verdana" w:hAnsi="Verdana"/>
          <w:sz w:val="18"/>
          <w:szCs w:val="18"/>
        </w:rPr>
        <w:t>4.1.4. Documento financiero</w:t>
      </w:r>
    </w:p>
    <w:p w14:paraId="0109F78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consultor desarrollará y presentará un documento financiero que incluya un análisis de eficiencias respecto de las diferentes figuras con las que la USPEC pueda prestar el Servicio, y soporte financieramente la figura óptima seleccionada. El documento contendrá, como mínimo:</w:t>
      </w:r>
    </w:p>
    <w:p w14:paraId="766AA26D"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(i) Análisis de eficiencias y determinación de la figura óptima desde lo financiero. (ii) Modelo financiero acorde a la figura óptima, incluyendo ingresos, egresos y demás erogaciones. (iii) Fuentes de financiación. (iv) Análisis costo-beneficio. (v) Análisis de oferta y demanda en el sector. (vi) Riesgos financieros previsibles.</w:t>
      </w:r>
    </w:p>
    <w:p w14:paraId="73E6375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lastRenderedPageBreak/>
        <w:t>Las actividades financieras detalladas que el consultor deberá ejecutar incluyen, sin limitarse a:</w:t>
      </w:r>
    </w:p>
    <w:p w14:paraId="61E6FB9F"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Análisis de eficiencias y selección de figura óptima:</w:t>
      </w:r>
    </w:p>
    <w:p w14:paraId="754FE0F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eficiencias respecto de las diferentes figuras con las que la USPEC puede prestar el Servicio, incluyendo análisis costo-eficacia y costo-efectividad de cada alternativa.</w:t>
      </w:r>
    </w:p>
    <w:p w14:paraId="14758A1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de la figura óptima desde el punto de vista financiero, debidamente sustentada.</w:t>
      </w:r>
    </w:p>
    <w:p w14:paraId="7C407171"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Modelo financiero y tarifario pago por PPL:</w:t>
      </w:r>
    </w:p>
    <w:p w14:paraId="4F4D065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Modelo financiero detallado para la figura óptima seleccionada, con horizonte de proyección coherente con el plazo del eventual contrato y la vida útil de los activos.</w:t>
      </w:r>
    </w:p>
    <w:p w14:paraId="58FA29D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Estructura del modelo: ingresos (esquema tarifario por PPL, tarifas accesorias si aplica, indexación, mecanismos de actualización), egresos (CAPEX, OPEX, personal, plataforma, dispositivos, comunicaciones, mesa de ayuda, garantías, impuestos, contingencias).</w:t>
      </w:r>
    </w:p>
    <w:p w14:paraId="1023702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Apertura granular de costos por componente: dispositivo (depreciación, reposición), centro de monitoreo, plataforma (licenciamiento, hosting, integraciones), conectividad, recurso humano, soporte y mantenimiento, ciberseguridad, capacitación, logística (instalación, retiro, devolución, disposición final).</w:t>
      </w:r>
    </w:p>
    <w:p w14:paraId="3A923C3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Modelo de tarifa unitaria por PPL: composición, fórmula de cálculo, costos fijos y variables imputables a la unidad de facturación, margen razonable, y mecanismo para la actualización tarifaria.</w:t>
      </w:r>
    </w:p>
    <w:p w14:paraId="171DF99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Diferenciación del modelo de demanda y de la tarifa, cuando corresponda, por cada una de las cuatro (4) situaciones jurídicas de la población PPL identificadas en el diagnóstico (intramuros sustituidos, domiciliarios elegibles para escalamiento, vigilancia electrónica activa, detención preventiva sustitutiva), atendiendo a sus respectivos costos de transición y operación.</w:t>
      </w:r>
    </w:p>
    <w:p w14:paraId="73FC818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Escenarios de proyección de demanda: base, optimista y pesimista, con sensibilidades a variables clave (volumen de PPL por categoría, cobertura geográfica, tipo de medida, tiempo promedio de monitoreo por PPL, dinámica de ingresos y egresos al Servicio).</w:t>
      </w:r>
    </w:p>
    <w:p w14:paraId="3902CF7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Fuentes de financiación:</w:t>
      </w:r>
    </w:p>
    <w:p w14:paraId="3BDD1E5B" w14:textId="03B6EB5B"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de fuentes de financiación: vigencias presupuestales de la USPEC, vigencias futuras (cuando aplique), recursos propios</w:t>
      </w:r>
      <w:r w:rsidR="00F3601E">
        <w:rPr>
          <w:rFonts w:ascii="Verdana" w:hAnsi="Verdana"/>
          <w:sz w:val="18"/>
          <w:szCs w:val="18"/>
        </w:rPr>
        <w:t xml:space="preserve"> del PPL</w:t>
      </w:r>
      <w:r w:rsidRPr="00BE5FCA">
        <w:rPr>
          <w:rFonts w:ascii="Verdana" w:hAnsi="Verdana"/>
          <w:sz w:val="18"/>
          <w:szCs w:val="18"/>
        </w:rPr>
        <w:t>, otras fuentes legales viables.</w:t>
      </w:r>
    </w:p>
    <w:p w14:paraId="2CE2700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afectación presupuestal por anualidad y compatibilidad con el Marco Fiscal de Mediano Plazo.</w:t>
      </w:r>
    </w:p>
    <w:p w14:paraId="05EFEC99"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Análisis costo-beneficio:</w:t>
      </w:r>
    </w:p>
    <w:p w14:paraId="6054645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costo-beneficio con metodología que permita la comparación de la figura óptima frente a alternativas (incluida la prestación directa, si fuera viable) y frente al status quo.</w:t>
      </w:r>
    </w:p>
    <w:p w14:paraId="2099AD9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Valoración de beneficios cuantificables (ahorro frente a costo de prisión, reducción de hacinamiento, eficiencia operativa) y no cuantificables (derechos fundamentales, reinserción, costos sociales).</w:t>
      </w:r>
    </w:p>
    <w:p w14:paraId="42A4D00C"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Análisis de oferta y demanda en el sector:</w:t>
      </w:r>
    </w:p>
    <w:p w14:paraId="47CE289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oferta del sector en Colombia y en mercados comparables: proveedores existentes, capacidad técnica, antecedentes, riesgos de concentración, barreras de entrada.</w:t>
      </w:r>
    </w:p>
    <w:p w14:paraId="4AF6EBB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demanda: proyecciones, distribución geográfica y temporal, sensibilidad a la política criminal y a decisiones judiciales.</w:t>
      </w:r>
    </w:p>
    <w:p w14:paraId="7DBE79D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lastRenderedPageBreak/>
        <w:t>Riesgos financieros:</w:t>
      </w:r>
    </w:p>
    <w:p w14:paraId="0F541DB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y tratamiento de riesgos financieros: variación de la demanda real frente a la proyectada, cambios cambiarios, inflación, costo de los dispositivos y comunicaciones, mora en el pago, garantías insuficientes, equilibrio económico, cierre fiscal.</w:t>
      </w:r>
    </w:p>
    <w:p w14:paraId="2903F62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Distribución de los riesgos financieros entre la USPEC y el eventual contratista, conforme al CONPES 3714 de 2011 y a la metodología CCE.</w:t>
      </w:r>
    </w:p>
    <w:p w14:paraId="1808054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Mecanismos de mantenimiento del equilibrio económico del contrato bajo el modelo pago por PPL.</w:t>
      </w:r>
    </w:p>
    <w:p w14:paraId="06BE271E" w14:textId="77777777" w:rsidR="00487997" w:rsidRPr="00BE5FCA" w:rsidRDefault="00000000">
      <w:pPr>
        <w:pStyle w:val="Ttulo3"/>
        <w:rPr>
          <w:rFonts w:ascii="Verdana" w:hAnsi="Verdana"/>
          <w:sz w:val="18"/>
          <w:szCs w:val="18"/>
        </w:rPr>
      </w:pPr>
      <w:r w:rsidRPr="00BE5FCA">
        <w:rPr>
          <w:rFonts w:ascii="Verdana" w:hAnsi="Verdana"/>
          <w:sz w:val="18"/>
          <w:szCs w:val="18"/>
        </w:rPr>
        <w:t>4.1.5. Documento jurídico</w:t>
      </w:r>
    </w:p>
    <w:p w14:paraId="47EF6C9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consultor desarrollará y presentará un documento jurídico de análisis de las diferentes figuras con las que la USPEC pueda prestar el Servicio y determinará la figura óptima desde el punto de vista jurídico. Asimismo, acompañará a la Entidad en el proceso de obtención de autorizaciones o permisos que se requieran para la materialización de la figura óptima.</w:t>
      </w:r>
    </w:p>
    <w:p w14:paraId="4725834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Las actividades jurídicas detalladas que el consultor deberá ejecutar incluyen, sin limitarse a:</w:t>
      </w:r>
    </w:p>
    <w:p w14:paraId="052AB50F"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Análisis normativo y jurisprudencial:</w:t>
      </w:r>
    </w:p>
    <w:p w14:paraId="5270A7A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sistemático del marco constitucional, legal, reglamentario y jurisprudencial vigente aplicable al Servicio, con énfasis en las normas relacionadas en el numeral 2 del presente documento.</w:t>
      </w:r>
    </w:p>
    <w:p w14:paraId="46DBF1F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la jurisprudencia constitucional y de la Corte Suprema de Justicia, identificando reglas, sub-reglas y precedentes vinculantes para la operación del Servicio.</w:t>
      </w:r>
    </w:p>
    <w:p w14:paraId="7EDEF4E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Análisis de figuras jurídicas:</w:t>
      </w:r>
    </w:p>
    <w:p w14:paraId="4A6585F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detallado de las distintas figuras a través de las cuales la USPEC podría prestar el Servicio, sin limitarse a: contrato de prestación de servicios, concesión, asociación público-privada (Ley 1508 de 2012), convenio interadministrativo, acuerdo marco de precios u otros que la normatividad permita.</w:t>
      </w:r>
    </w:p>
    <w:p w14:paraId="33D195A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Para cada figura: ventajas, desventajas, requisitos, viabilidad jurídica, modalidad de selección aplicable, plazos, riesgos jurídicos, tratamiento contable y presupuestal, mecanismos de control.</w:t>
      </w:r>
    </w:p>
    <w:p w14:paraId="0A67B6C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Determinación de la figura óptima desde la perspectiva jurídica, con su justificación expresa.</w:t>
      </w:r>
    </w:p>
    <w:p w14:paraId="47DB110F"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Análisis de derechos fundamentales y tratamiento de datos:</w:t>
      </w:r>
    </w:p>
    <w:p w14:paraId="3A2A4B7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la afectación a derechos fundamentales (libertad personal, debido proceso, dignidad humana, intimidad, datos personales) y de las garantías que el modelo debe asegurar.</w:t>
      </w:r>
    </w:p>
    <w:p w14:paraId="039DADA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específico del tratamiento de datos sensibles, biométricos y de geolocalización a la luz de la Ley 1581 de 2012 y normas concordantes.</w:t>
      </w:r>
    </w:p>
    <w:p w14:paraId="531AE96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Riesgos jurídicos:</w:t>
      </w:r>
    </w:p>
    <w:p w14:paraId="4A7A090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Identificación y tratamiento de riesgos jurídicos: cambio normativo, decisión judicial que afecte el modelo, controversia contractual, reclamación por afectación a derechos fundamentales, sanciones de la Superintendencia de Industria y Comercio por incumplimiento de Habeas Data, conflicto de competencias entre INPEC, USPEC y autoridades judiciales.</w:t>
      </w:r>
    </w:p>
    <w:p w14:paraId="46B98393"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Documentos del proceso:</w:t>
      </w:r>
    </w:p>
    <w:p w14:paraId="55F9680E" w14:textId="61948FF5"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Proyección de los documentos jurídicos necesarios para adelantar el proceso de selección o trámite que corresponda según la figura óptima identificada, en sus etapas de planeación, pre-contractual y contractual, incluida la interventoría integral del Servicio (numeral 4.1.7), conforme al numeral 4.2 del presente documento.</w:t>
      </w:r>
    </w:p>
    <w:p w14:paraId="5C19D021" w14:textId="77777777" w:rsidR="00487997" w:rsidRPr="00BE5FCA" w:rsidRDefault="00000000">
      <w:pPr>
        <w:pStyle w:val="Ttulo3"/>
        <w:rPr>
          <w:rFonts w:ascii="Verdana" w:hAnsi="Verdana"/>
          <w:sz w:val="18"/>
          <w:szCs w:val="18"/>
        </w:rPr>
      </w:pPr>
      <w:r w:rsidRPr="00BE5FCA">
        <w:rPr>
          <w:rFonts w:ascii="Verdana" w:hAnsi="Verdana"/>
          <w:sz w:val="18"/>
          <w:szCs w:val="18"/>
        </w:rPr>
        <w:t>4.1.6. Determinación de la figura óptima</w:t>
      </w:r>
    </w:p>
    <w:p w14:paraId="6552632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Con base en los documentos técnico, financiero y jurídico, el consultor presentará un documento ejecutivo que consolide el análisis integral y proponga, debidamente sustentada, la figura óptima de prestación y pago del Servicio. La determinación final de la figura óptima corresponderá a la USPEC, sobre la base de los insumos proporcionados por la consultoría.</w:t>
      </w:r>
    </w:p>
    <w:p w14:paraId="3A75B83B" w14:textId="77777777" w:rsidR="00487997" w:rsidRPr="00BE5FCA" w:rsidRDefault="00000000">
      <w:pPr>
        <w:pStyle w:val="Ttulo3"/>
        <w:rPr>
          <w:rFonts w:ascii="Verdana" w:hAnsi="Verdana"/>
          <w:sz w:val="18"/>
          <w:szCs w:val="18"/>
        </w:rPr>
      </w:pPr>
      <w:r w:rsidRPr="00BE5FCA">
        <w:rPr>
          <w:rFonts w:ascii="Verdana" w:hAnsi="Verdana"/>
          <w:sz w:val="18"/>
          <w:szCs w:val="18"/>
        </w:rPr>
        <w:t>4.1.7. Modelo de la interventoría integral del Servicio</w:t>
      </w:r>
    </w:p>
    <w:p w14:paraId="51298DF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deberá producir, como parte integral y obligatoria de los documentos técnico, jurídico y financiero referidos en los numerales 4.1.3, 4.1.4 y 4.1.5, el modelo de la interventoría integral que supervisará la ejecución del eventual contrato del Servicio una vez materializada la figura óptima. Lo anterior, en consideración a que la interventoría es condición necesaria para asegurar el cumplimiento contractual, la calidad del Servicio, la sostenibilidad del modelo pago por PPL y la salvaguarda de los recursos públicos.</w:t>
      </w:r>
    </w:p>
    <w:p w14:paraId="42392BF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modelo de la interventoría integral del Servicio deberá comprender, sin limitarse a, los siguientes componentes:</w:t>
      </w:r>
    </w:p>
    <w:p w14:paraId="265811F3"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Alcance y objeto de la interventoría:</w:t>
      </w:r>
    </w:p>
    <w:p w14:paraId="1BB556B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Definición del objeto y alcance de la interventoría integral, comprendiendo sus dimensiones técnica, administrativa, financiera, contable, jurídica, ambiental y de seguridad de la información.</w:t>
      </w:r>
    </w:p>
    <w:p w14:paraId="16CD8B1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Articulación con el Manual de Supervisión e Interventoría vigente de la USPEC y con los lineamientos de Colombia Compra Eficiente — CCE.</w:t>
      </w:r>
    </w:p>
    <w:p w14:paraId="665DE9E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Modalidad de selección, plazo y vigencia previstos para la interventoría.</w:t>
      </w:r>
    </w:p>
    <w:p w14:paraId="3BE399D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Estructura y equipo mínimo de la interventoría:</w:t>
      </w:r>
    </w:p>
    <w:p w14:paraId="2590984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Definición del equipo mínimo de interventoría (director de interventoría, especialistas técnicos, especialistas en ciberseguridad, especialistas jurídicos, especialistas financieros, contadores, profesionales administrativos), con perfiles académicos, experiencia general y específica, dedicaciones, cantidades y funciones.</w:t>
      </w:r>
    </w:p>
    <w:p w14:paraId="372FB6B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Mecanismos de acreditación, reemplazo y aprobación del personal por parte de la USPEC.</w:t>
      </w:r>
    </w:p>
    <w:p w14:paraId="3C813DCF"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Procesos y procedimientos de la interventoría:</w:t>
      </w:r>
    </w:p>
    <w:p w14:paraId="452CF1E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Supervisión técnica del cumplimiento de los Acuerdos de Nivel de Servicio (ANS), los KPI, los entregables y demás obligaciones técnicas del contrato del Servicio.</w:t>
      </w:r>
    </w:p>
    <w:p w14:paraId="684A3F7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Verificación financiera del modelo pago por PPL: validación de la unidad de facturación, conteo y trazabilidad de la población PPL efectivamente monitoreada, conciliación de cifras con los sistemas oficiales (SISIPEC, Consejo Superior de la Judicatura, Fiscalía General de la Nación), soportes documentales y autorización de pagos.</w:t>
      </w:r>
    </w:p>
    <w:p w14:paraId="037138F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Control jurídico del contrato del Servicio: cumplimiento normativo, vigencia y suficiencia de las garantías, multas, cláusulas penales, equilibrio económico, modificaciones contractuales y liquidación.</w:t>
      </w:r>
    </w:p>
    <w:p w14:paraId="29A3C7F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Verificación del cumplimiento de la normatividad en materia de protección de datos personales, seguridad de la información y ciberseguridad aplicable al Servicio.</w:t>
      </w:r>
    </w:p>
    <w:p w14:paraId="0B3BB70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Gestión de informes, comités, actas y autorización de pagos.</w:t>
      </w:r>
    </w:p>
    <w:p w14:paraId="0CE8A4D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Atención y gestión de incidentes, controversias, reclamaciones y procedimientos administrativos sancionatorios.</w:t>
      </w:r>
    </w:p>
    <w:p w14:paraId="540983A8"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Indicadores de desempeño de la interventoría:</w:t>
      </w:r>
    </w:p>
    <w:p w14:paraId="0C0CA7E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Indicadores de oportunidad, cobertura, eficacia y calidad de la labor interventora, con sus respectivas metas, mecanismos de medición y reporte a la USPEC.</w:t>
      </w:r>
    </w:p>
    <w:p w14:paraId="5C92745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Modelo financiero de la interventoría:</w:t>
      </w:r>
    </w:p>
    <w:p w14:paraId="7986914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Estructura de costos de la interventoría (personal, otros costos directos, garantías, impuestos, contingencias).</w:t>
      </w:r>
    </w:p>
    <w:p w14:paraId="3A818421"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Cálculo del presupuesto oficial de la interventoría y mecanismo de actualización tarifaria.</w:t>
      </w:r>
    </w:p>
    <w:p w14:paraId="15B6A63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Duración, vigencia y forma de pago de la interventoría.</w:t>
      </w:r>
    </w:p>
    <w:p w14:paraId="1B12E5EB"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Documentos del proceso de selección de la interventoría:</w:t>
      </w:r>
    </w:p>
    <w:p w14:paraId="3F0B37B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Anexo técnico, estudios previos, matriz de riesgos, análisis del sector, anexo jurídico, formato de oferta económica y demás documentos requeridos para el proceso de selección de la interventoría, alineados con la modalidad de selección que se determine como aplicable.</w:t>
      </w:r>
    </w:p>
    <w:p w14:paraId="2C65756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En consecuencia, los entregables de las etapas de planeación, pre-contractual y contractual (numerales 4.2.1, 4.2.2 y 4.2.3) deberán cubrir tanto el proceso de selección del Servicio como el de su respectiva interventoría.</w:t>
      </w:r>
    </w:p>
    <w:p w14:paraId="4B557E9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Articulación con la materialización contractual del Servicio:</w:t>
      </w:r>
    </w:p>
    <w:p w14:paraId="29E5DA4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Cronograma armonizado entre la suscripción del contrato del Servicio y la suscripción del contrato de interventoría, garantizando que la interventoría inicie de manera simultánea o anticipada al contrato del Servicio.</w:t>
      </w:r>
    </w:p>
    <w:p w14:paraId="71F34F1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Mecanismos de empalme y transición entre la consultoría y la interventoría seleccionada.</w:t>
      </w:r>
    </w:p>
    <w:p w14:paraId="24B35904" w14:textId="77777777" w:rsidR="00487997" w:rsidRPr="00BE5FCA" w:rsidRDefault="00000000">
      <w:pPr>
        <w:pStyle w:val="Ttulo2"/>
        <w:rPr>
          <w:rFonts w:ascii="Verdana" w:hAnsi="Verdana"/>
          <w:sz w:val="18"/>
          <w:szCs w:val="18"/>
        </w:rPr>
      </w:pPr>
      <w:r w:rsidRPr="00BE5FCA">
        <w:rPr>
          <w:rFonts w:ascii="Verdana" w:hAnsi="Verdana"/>
          <w:sz w:val="18"/>
          <w:szCs w:val="18"/>
        </w:rPr>
        <w:t>4.2. Fase II — Materialización de la figura óptima</w:t>
      </w:r>
    </w:p>
    <w:p w14:paraId="0F6AB39D"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Esta fase tiene por objeto adelantar las actividades y producir los documentos requeridos para la implementación contractual de la figura óptima identificada en la Fase I. En el evento de determinarse como figura óptima la tercerización del Servicio, la consultoría deberá desarrollar los documentos requeridos por la normatividad vigente en materia de contratación estatal, según la modalidad de selección que corresponda. En todo caso, se deberán estructurar los documentos correspondientes a las siguientes etapas:</w:t>
      </w:r>
    </w:p>
    <w:p w14:paraId="0B795A9E" w14:textId="77777777" w:rsidR="00487997" w:rsidRPr="00BE5FCA" w:rsidRDefault="00000000">
      <w:pPr>
        <w:pStyle w:val="Ttulo3"/>
        <w:rPr>
          <w:rFonts w:ascii="Verdana" w:hAnsi="Verdana"/>
          <w:sz w:val="18"/>
          <w:szCs w:val="18"/>
        </w:rPr>
      </w:pPr>
      <w:r w:rsidRPr="00BE5FCA">
        <w:rPr>
          <w:rFonts w:ascii="Verdana" w:hAnsi="Verdana"/>
          <w:sz w:val="18"/>
          <w:szCs w:val="18"/>
        </w:rPr>
        <w:t>4.2.1. Etapa de planeación</w:t>
      </w:r>
    </w:p>
    <w:p w14:paraId="499604F0"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Acompañamiento en la ejecución de actividades y estructuración de los documentos requeridos en la fase preparatoria de la gestión contractual, dirigida a determinar las necesidades y a cumplir con los requisitos identificados para la materialización de la figura óptima. Entre otros, según aplique en atención a la modalidad de selección:</w:t>
      </w:r>
    </w:p>
    <w:p w14:paraId="1B48451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Estudios y documentos previos, ajustados al formato vigente de la USPEC y a los lineamientos de Colombia Compra Eficiente.</w:t>
      </w:r>
    </w:p>
    <w:p w14:paraId="3E8FCF1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Análisis del sector (oferta, demanda, comportamiento del mercado, condiciones de competencia).</w:t>
      </w:r>
    </w:p>
    <w:p w14:paraId="2E08544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de la entidad (capacidad técnica, financiera, administrativa, jurídica).</w:t>
      </w:r>
    </w:p>
    <w:p w14:paraId="10955CF1"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Análisis técnico y económico, incluyendo el cálculo del presupuesto oficial.</w:t>
      </w:r>
    </w:p>
    <w:p w14:paraId="4D1B51C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Matriz de riesgos previsibles, conforme al CONPES 3714 de 2011 y la metodología vigente de CCE.</w:t>
      </w:r>
    </w:p>
    <w:p w14:paraId="2C1D436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Anexo técnico definitivo del proceso de selección.</w:t>
      </w:r>
    </w:p>
    <w:p w14:paraId="79AF361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Avisos y demás actos administrativos propios de la etapa de planeación (acto administrativo de justificación de la contratación directa cuando aplique, ficha de registro presupuestal previa o vigencias futuras cuando aplique, etc.).</w:t>
      </w:r>
    </w:p>
    <w:p w14:paraId="51BAACE7" w14:textId="77777777" w:rsidR="00487997" w:rsidRPr="00BE5FCA" w:rsidRDefault="00000000">
      <w:pPr>
        <w:pStyle w:val="Ttulo3"/>
        <w:rPr>
          <w:rFonts w:ascii="Verdana" w:hAnsi="Verdana"/>
          <w:sz w:val="18"/>
          <w:szCs w:val="18"/>
        </w:rPr>
      </w:pPr>
      <w:r w:rsidRPr="00BE5FCA">
        <w:rPr>
          <w:rFonts w:ascii="Verdana" w:hAnsi="Verdana"/>
          <w:sz w:val="18"/>
          <w:szCs w:val="18"/>
        </w:rPr>
        <w:t>4.2.2. Etapa pre-contractual</w:t>
      </w:r>
    </w:p>
    <w:p w14:paraId="0187FBB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Acompañamiento en la ejecución de actividades y estructuración de los documentos requeridos en la fase pre-contractual, dirigida a seleccionar al contratista, aliado o ejecutor de la figura óptima identificada. Entre otros, según aplique en atención a la modalidad de selección:</w:t>
      </w:r>
    </w:p>
    <w:p w14:paraId="58CFDD7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Aviso de convocatoria y proyecto de pliego de condiciones o reglas de participación, según la modalidad de selección.</w:t>
      </w:r>
    </w:p>
    <w:p w14:paraId="396F029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Atención técnica, jurídica y financiera de las observaciones presentadas por los interesados al proyecto de pliego y al pliego definitivo.</w:t>
      </w:r>
    </w:p>
    <w:p w14:paraId="72C3CF5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Asistencia y soporte sustantivo a la audiencia de aclaración de pliegos y a la audiencia de asignación de riesgos, cuando aplique.</w:t>
      </w:r>
    </w:p>
    <w:p w14:paraId="5CF65768" w14:textId="42F0340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Documentos de evaluación técnica, jurídica y financiera de las ofertas, con sus respectivas matrices</w:t>
      </w:r>
      <w:r w:rsidR="00650385">
        <w:rPr>
          <w:rFonts w:ascii="Verdana" w:hAnsi="Verdana"/>
          <w:sz w:val="18"/>
          <w:szCs w:val="18"/>
        </w:rPr>
        <w:t>.</w:t>
      </w:r>
    </w:p>
    <w:p w14:paraId="718414F5" w14:textId="77777777" w:rsidR="00487997"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Atención de observaciones al informe de evaluación.</w:t>
      </w:r>
    </w:p>
    <w:p w14:paraId="2F2C5014" w14:textId="3BE3435F" w:rsidR="00650385" w:rsidRPr="00BE5FCA" w:rsidRDefault="00650385">
      <w:pPr>
        <w:pStyle w:val="Prrafodelista"/>
        <w:numPr>
          <w:ilvl w:val="0"/>
          <w:numId w:val="2"/>
        </w:numPr>
        <w:spacing w:after="80" w:line="280" w:lineRule="auto"/>
        <w:jc w:val="both"/>
        <w:rPr>
          <w:rFonts w:ascii="Verdana" w:hAnsi="Verdana"/>
          <w:sz w:val="18"/>
          <w:szCs w:val="18"/>
        </w:rPr>
      </w:pPr>
      <w:r>
        <w:rPr>
          <w:rFonts w:ascii="Verdana" w:hAnsi="Verdana"/>
          <w:sz w:val="18"/>
          <w:szCs w:val="18"/>
        </w:rPr>
        <w:t xml:space="preserve">Recomendación al ordenador del gasto y al comité de contratación. </w:t>
      </w:r>
    </w:p>
    <w:p w14:paraId="7324F59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Proyección del acto administrativo de adjudicación o de declaratoria desierta, según corresponda.</w:t>
      </w:r>
    </w:p>
    <w:p w14:paraId="6BEE5B9F" w14:textId="77777777" w:rsidR="00487997" w:rsidRPr="00BE5FCA" w:rsidRDefault="00000000">
      <w:pPr>
        <w:pStyle w:val="Ttulo3"/>
        <w:rPr>
          <w:rFonts w:ascii="Verdana" w:hAnsi="Verdana"/>
          <w:sz w:val="18"/>
          <w:szCs w:val="18"/>
        </w:rPr>
      </w:pPr>
      <w:r w:rsidRPr="00BE5FCA">
        <w:rPr>
          <w:rFonts w:ascii="Verdana" w:hAnsi="Verdana"/>
          <w:sz w:val="18"/>
          <w:szCs w:val="18"/>
        </w:rPr>
        <w:t>4.2.3. Etapa contractual</w:t>
      </w:r>
    </w:p>
    <w:p w14:paraId="323DE4C3"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Acompañamiento en la ejecución de actividades y estructuración de los documentos requeridos en la fase contractual dirigida al perfeccionamiento del documento contractual o, en su defecto, a la declaratoria de desierto del proceso. Entre otros:</w:t>
      </w:r>
    </w:p>
    <w:p w14:paraId="0B7DEC6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Proyección de la minuta del contrato, convenio o acto que materialice la figura óptima identificada, ajustada a los lineamientos vigentes de la USPEC.</w:t>
      </w:r>
    </w:p>
    <w:p w14:paraId="78E1E90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Acompañamiento a la legalización del contrato (aprobación de garantías, registro presupuestal, suscripción del acta de inicio).</w:t>
      </w:r>
    </w:p>
    <w:p w14:paraId="0DB6912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Asistencia a las audiencias o reuniones que se requieran en la etapa contractual.</w:t>
      </w:r>
    </w:p>
    <w:p w14:paraId="2FEC7C7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Acompañamiento a la USPEC en la declaratoria de desierto, cuando aplique, y proyección de los actos administrativos correspondientes.</w:t>
      </w:r>
    </w:p>
    <w:p w14:paraId="1E7074AB" w14:textId="77777777" w:rsidR="00487997" w:rsidRPr="00BE5FCA" w:rsidRDefault="00000000">
      <w:pPr>
        <w:pStyle w:val="Ttulo2"/>
        <w:rPr>
          <w:rFonts w:ascii="Verdana" w:hAnsi="Verdana"/>
          <w:sz w:val="18"/>
          <w:szCs w:val="18"/>
        </w:rPr>
      </w:pPr>
      <w:r w:rsidRPr="00BE5FCA">
        <w:rPr>
          <w:rFonts w:ascii="Verdana" w:hAnsi="Verdana"/>
          <w:sz w:val="18"/>
          <w:szCs w:val="18"/>
        </w:rPr>
        <w:t>4.3. Disposiciones transversales</w:t>
      </w:r>
    </w:p>
    <w:p w14:paraId="5B3892D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La consultoría y los productos resultado de la misma deberán atender y considerar de manera integral todo lo aplicable a nivel técnico, financiero, legal y jurisprudencial.</w:t>
      </w:r>
    </w:p>
    <w:p w14:paraId="24674B2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El contratista deberá asistir a las diferentes audiencias, reuniones y mesas de trabajo que se surtan dentro del proceso, a efectos de absolver las inquietudes que se presenten por parte de los interesados o de los demás participantes.</w:t>
      </w:r>
    </w:p>
    <w:p w14:paraId="29BBF93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Los documentos del proceso de selección serán publicados por la Entidad en la plataforma SECOP correspondiente. El envío de los documentos a publicar será remitido por el contratista a través de correo electrónico con las indicaciones que sean del caso.</w:t>
      </w:r>
    </w:p>
    <w:p w14:paraId="2B542366" w14:textId="77777777" w:rsidR="00487997" w:rsidRPr="00BE5FCA" w:rsidRDefault="00000000">
      <w:pPr>
        <w:pStyle w:val="Ttulo1"/>
        <w:rPr>
          <w:rFonts w:ascii="Verdana" w:hAnsi="Verdana"/>
          <w:sz w:val="18"/>
          <w:szCs w:val="18"/>
        </w:rPr>
      </w:pPr>
      <w:r w:rsidRPr="00BE5FCA">
        <w:rPr>
          <w:rFonts w:ascii="Verdana" w:hAnsi="Verdana"/>
          <w:sz w:val="18"/>
          <w:szCs w:val="18"/>
        </w:rPr>
        <w:t>5. PRODUCTOS Y ENTREGABLES</w:t>
      </w:r>
    </w:p>
    <w:p w14:paraId="55DEBBEC"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Los productos y entregables del contrato son los siguientes, los cuales se constituyen en el soporte para los hitos de pago descritos en el numeral 7 del presente Anexo Técnico: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4080"/>
        <w:gridCol w:w="2880"/>
        <w:gridCol w:w="1800"/>
      </w:tblGrid>
      <w:tr w:rsidR="00487997" w:rsidRPr="00BE5FCA" w14:paraId="238D4F6F" w14:textId="77777777">
        <w:trPr>
          <w:tblHeader/>
        </w:trPr>
        <w:tc>
          <w:tcPr>
            <w:tcW w:w="6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5CDC2B98"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N°</w:t>
            </w:r>
          </w:p>
        </w:tc>
        <w:tc>
          <w:tcPr>
            <w:tcW w:w="408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05813E6A"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ENTREGABLE</w:t>
            </w:r>
          </w:p>
        </w:tc>
        <w:tc>
          <w:tcPr>
            <w:tcW w:w="288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4A4413F7"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FASE</w:t>
            </w:r>
          </w:p>
        </w:tc>
        <w:tc>
          <w:tcPr>
            <w:tcW w:w="18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30BED20F"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HITO DE PAGO</w:t>
            </w:r>
          </w:p>
        </w:tc>
      </w:tr>
      <w:tr w:rsidR="00650385" w:rsidRPr="00BE5FCA" w14:paraId="709C01C4"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F2D21D3"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1</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17786F4"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Plan de Trabajo de la consultoría aprobado por la supervisión.</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180F650"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B763355" w14:textId="4026CD5D" w:rsidR="00650385" w:rsidRPr="00BE5FCA" w:rsidRDefault="00650385" w:rsidP="00650385">
            <w:pPr>
              <w:spacing w:after="40" w:line="260" w:lineRule="auto"/>
              <w:jc w:val="center"/>
              <w:rPr>
                <w:rFonts w:ascii="Verdana" w:hAnsi="Verdana"/>
                <w:sz w:val="18"/>
                <w:szCs w:val="18"/>
              </w:rPr>
            </w:pPr>
            <w:r>
              <w:rPr>
                <w:b/>
                <w:bCs/>
                <w:color w:val="0000FF"/>
                <w:sz w:val="20"/>
                <w:szCs w:val="20"/>
              </w:rPr>
              <w:t>20,00%</w:t>
            </w:r>
          </w:p>
        </w:tc>
      </w:tr>
      <w:tr w:rsidR="00650385" w:rsidRPr="00BE5FCA" w14:paraId="35136C73"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BFCBDC1"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2</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A087134"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Documento de Diagnóstico Integral (técnico, jurídico y financiero) con hallazgos, conclusiones y línea base.</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0EB946F"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8AA372B" w14:textId="651E1EF1" w:rsidR="00650385" w:rsidRPr="00BE5FCA" w:rsidRDefault="00650385" w:rsidP="00650385">
            <w:pPr>
              <w:spacing w:after="40" w:line="260" w:lineRule="auto"/>
              <w:jc w:val="center"/>
              <w:rPr>
                <w:rFonts w:ascii="Verdana" w:hAnsi="Verdana"/>
                <w:sz w:val="18"/>
                <w:szCs w:val="18"/>
              </w:rPr>
            </w:pPr>
            <w:r>
              <w:rPr>
                <w:b/>
                <w:bCs/>
                <w:color w:val="0000FF"/>
                <w:sz w:val="20"/>
                <w:szCs w:val="20"/>
              </w:rPr>
              <w:t>20,00%</w:t>
            </w:r>
          </w:p>
        </w:tc>
      </w:tr>
      <w:tr w:rsidR="00650385" w:rsidRPr="00BE5FCA" w14:paraId="64AD70D0"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5344CF9"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3</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279B418"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Documento Técnico, incluyendo arquitectura, especificaciones del dispositivo, plataforma, centro de monitoreo, ciberseguridad, ANS, KPI y riesgos técnicos.</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1FEA2B6"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0B4D71D" w14:textId="7F3DA94F"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r>
      <w:tr w:rsidR="00650385" w:rsidRPr="00BE5FCA" w14:paraId="12D0B5A1"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CCDD060"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4</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EBFD389"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Documento Financiero, incluyendo modelo de pago por PPL, análisis de eficiencias, fuentes de financiación, análisis costo-beneficio, análisis de oferta y demanda, y riesgos financieros.</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022EE63"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720079C" w14:textId="7B953A53"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r>
      <w:tr w:rsidR="00650385" w:rsidRPr="00BE5FCA" w14:paraId="15500503"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BD49FAD"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5</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6FEA6E8"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Documento Jurídico, incluyendo análisis de figuras, determinación de la figura óptima desde lo jurídico y proyecto de documentos de proceso.</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2560440"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8EDC94B" w14:textId="26EB814F"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r>
      <w:tr w:rsidR="00650385" w:rsidRPr="00BE5FCA" w14:paraId="71F6C456"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9DD0880"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6</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F9BEA1E"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Documentos de la etapa de planeación (estudios y documentos previos, análisis del sector, matriz de riesgos, anexo técnico definitivo y demás actos administrativos que apliquen).</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B717603"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AC92755" w14:textId="33CC709E"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r>
      <w:tr w:rsidR="00650385" w:rsidRPr="00BE5FCA" w14:paraId="6167E246"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2D71CFE"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17FF898"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Documentos de la etapa pre-contractual (aviso de convocatoria, proyecto y pliego definitivo de condiciones, atención de observaciones, soporte a audiencias y soporte al Comité Evaluador).</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5709B2A"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BFD59B9" w14:textId="45092AB9"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r>
      <w:tr w:rsidR="00650385" w:rsidRPr="00BE5FCA" w14:paraId="565C7851"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9608FFD"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8</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880C0B7"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 xml:space="preserve">Documentos de la etapa contractual (proyección de minuta y acompañamiento </w:t>
            </w:r>
            <w:r w:rsidRPr="00BE5FCA">
              <w:rPr>
                <w:rFonts w:ascii="Verdana" w:hAnsi="Verdana"/>
                <w:color w:val="000000"/>
                <w:sz w:val="18"/>
                <w:szCs w:val="18"/>
              </w:rPr>
              <w:lastRenderedPageBreak/>
              <w:t>al perfeccionamiento o, en su caso, acto administrativo de declaratoria desierta).</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E6E0439"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lastRenderedPageBreak/>
              <w:t>Fase II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DA4CD16" w14:textId="4FF4B5B6" w:rsidR="00650385" w:rsidRPr="00BE5FCA" w:rsidRDefault="00650385" w:rsidP="00650385">
            <w:pPr>
              <w:spacing w:after="40" w:line="260" w:lineRule="auto"/>
              <w:jc w:val="center"/>
              <w:rPr>
                <w:rFonts w:ascii="Verdana" w:hAnsi="Verdana"/>
                <w:sz w:val="18"/>
                <w:szCs w:val="18"/>
              </w:rPr>
            </w:pPr>
            <w:r>
              <w:rPr>
                <w:b/>
                <w:bCs/>
                <w:color w:val="0000FF"/>
                <w:sz w:val="20"/>
                <w:szCs w:val="20"/>
              </w:rPr>
              <w:t>5,00%</w:t>
            </w:r>
          </w:p>
        </w:tc>
      </w:tr>
      <w:tr w:rsidR="00650385" w:rsidRPr="00BE5FCA" w14:paraId="0233164A"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480A586"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9</w:t>
            </w:r>
          </w:p>
        </w:tc>
        <w:tc>
          <w:tcPr>
            <w:tcW w:w="40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65AE750"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Cierre de la consultoría: informe final consolidado y acta de liquidación del contrato de consultoría.</w:t>
            </w:r>
          </w:p>
        </w:tc>
        <w:tc>
          <w:tcPr>
            <w:tcW w:w="288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868B58A"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Fase II</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40941ED" w14:textId="69B48214" w:rsidR="00650385" w:rsidRPr="00BE5FCA" w:rsidRDefault="00650385" w:rsidP="00650385">
            <w:pPr>
              <w:spacing w:after="40" w:line="260" w:lineRule="auto"/>
              <w:jc w:val="center"/>
              <w:rPr>
                <w:rFonts w:ascii="Verdana" w:hAnsi="Verdana"/>
                <w:sz w:val="18"/>
                <w:szCs w:val="18"/>
              </w:rPr>
            </w:pPr>
            <w:r>
              <w:rPr>
                <w:b/>
                <w:bCs/>
                <w:color w:val="0000FF"/>
                <w:sz w:val="20"/>
                <w:szCs w:val="20"/>
              </w:rPr>
              <w:t>5,00%</w:t>
            </w:r>
          </w:p>
        </w:tc>
      </w:tr>
    </w:tbl>
    <w:p w14:paraId="7CEACBA7" w14:textId="77777777" w:rsidR="00487997" w:rsidRPr="00BE5FCA" w:rsidRDefault="00487997">
      <w:pPr>
        <w:spacing w:after="60"/>
        <w:rPr>
          <w:rFonts w:ascii="Verdana" w:hAnsi="Verdana"/>
          <w:sz w:val="18"/>
          <w:szCs w:val="18"/>
        </w:rPr>
      </w:pPr>
    </w:p>
    <w:p w14:paraId="5693BD68"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Cada entregable deberá ser presentado en formato físico y en medio magnético, en versiones editables (Word, Excel u homólogo) y en PDF. Todos los entregables deberán contar con la aprobación expresa de la supervisión para efectos de pago.</w:t>
      </w:r>
    </w:p>
    <w:p w14:paraId="7CD61339" w14:textId="77777777" w:rsidR="00487997" w:rsidRPr="00BE5FCA" w:rsidRDefault="00000000">
      <w:pPr>
        <w:pStyle w:val="Ttulo1"/>
        <w:rPr>
          <w:rFonts w:ascii="Verdana" w:hAnsi="Verdana"/>
          <w:sz w:val="18"/>
          <w:szCs w:val="18"/>
        </w:rPr>
      </w:pPr>
      <w:r w:rsidRPr="00BE5FCA">
        <w:rPr>
          <w:rFonts w:ascii="Verdana" w:hAnsi="Verdana"/>
          <w:sz w:val="18"/>
          <w:szCs w:val="18"/>
        </w:rPr>
        <w:t>6. PLAZO DE EJECUCIÓN DEL CONTRATO</w:t>
      </w:r>
    </w:p>
    <w:p w14:paraId="3BAC66BF" w14:textId="0BF25313"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 xml:space="preserve">El plazo de ejecución del contrato resultante del presente proceso de selección será </w:t>
      </w:r>
      <w:r w:rsidR="005F6677">
        <w:rPr>
          <w:rFonts w:ascii="Verdana" w:hAnsi="Verdana"/>
          <w:sz w:val="18"/>
          <w:szCs w:val="18"/>
        </w:rPr>
        <w:t xml:space="preserve">de 4 meses sin exceder </w:t>
      </w:r>
      <w:r w:rsidRPr="00BE5FCA">
        <w:rPr>
          <w:rFonts w:ascii="Verdana" w:hAnsi="Verdana"/>
          <w:b/>
          <w:bCs/>
          <w:sz w:val="18"/>
          <w:szCs w:val="18"/>
        </w:rPr>
        <w:t>el treinta y uno (31) de diciembre de 2026</w:t>
      </w:r>
      <w:r w:rsidRPr="00BE5FCA">
        <w:rPr>
          <w:rFonts w:ascii="Verdana" w:hAnsi="Verdana"/>
          <w:sz w:val="18"/>
          <w:szCs w:val="18"/>
        </w:rPr>
        <w:t>, contado a partir del cumplimiento de los requisitos de ejecución, esto es, la legalización del contrato, expedición del registro presupuestal, aprobación de las garantías y firma del acta de inicio. El plazo se desarrollará en dos (2) fases, conforme al siguiente esquema indicativo, ajustable al cronograma definitivo que presente el consultor una vez iniciado el contrato:</w:t>
      </w:r>
    </w:p>
    <w:p w14:paraId="5FEE7C9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Fase I — Diagnóstico y Estructuración Integral: hasta cuatro (4) meses contados desde la firma del acta de inicio.</w:t>
      </w:r>
    </w:p>
    <w:p w14:paraId="5B2E601B"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Fase II — Materialización de la figura óptima: el plazo remanente hasta el 31 de diciembre de 2026, sin perjuicio de las prórrogas que sean procedentes.</w:t>
      </w:r>
    </w:p>
    <w:p w14:paraId="1D29CEF1"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En el evento en que el proceso de selección derivado de la figura óptima identificada demande tiempo adicional al previsto, la USPEC podrá prorrogar el contrato de consultoría con el fin de garantizar el acompañamiento integral hasta la culminación del proceso, conforme a la normatividad vigente.</w:t>
      </w:r>
    </w:p>
    <w:p w14:paraId="67F4B2F0" w14:textId="77777777" w:rsidR="00487997" w:rsidRPr="00BE5FCA" w:rsidRDefault="00000000">
      <w:pPr>
        <w:pStyle w:val="Ttulo1"/>
        <w:rPr>
          <w:rFonts w:ascii="Verdana" w:hAnsi="Verdana"/>
          <w:sz w:val="18"/>
          <w:szCs w:val="18"/>
        </w:rPr>
      </w:pPr>
      <w:r w:rsidRPr="00BE5FCA">
        <w:rPr>
          <w:rFonts w:ascii="Verdana" w:hAnsi="Verdana"/>
          <w:sz w:val="18"/>
          <w:szCs w:val="18"/>
        </w:rPr>
        <w:t>7. FORMA DE PAGO</w:t>
      </w:r>
    </w:p>
    <w:p w14:paraId="318194A7"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valor del contrato resultante del proceso de selección será cancelado por la Unidad de Servicios Penitenciarios y Carcelarios al contratista, en la cuenta indicada por él en su propuesta, discriminado de la siguiente manera: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360"/>
        <w:gridCol w:w="1200"/>
        <w:gridCol w:w="1200"/>
      </w:tblGrid>
      <w:tr w:rsidR="00487997" w:rsidRPr="00BE5FCA" w14:paraId="66F3607C" w14:textId="77777777">
        <w:trPr>
          <w:tblHeader/>
        </w:trPr>
        <w:tc>
          <w:tcPr>
            <w:tcW w:w="6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5330A0FC"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N°</w:t>
            </w:r>
          </w:p>
        </w:tc>
        <w:tc>
          <w:tcPr>
            <w:tcW w:w="636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0B9CC6FB"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CONCEPTO</w:t>
            </w:r>
          </w:p>
        </w:tc>
        <w:tc>
          <w:tcPr>
            <w:tcW w:w="12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188A4016"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w:t>
            </w:r>
          </w:p>
        </w:tc>
        <w:tc>
          <w:tcPr>
            <w:tcW w:w="12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0AC9489D"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FASE</w:t>
            </w:r>
          </w:p>
        </w:tc>
      </w:tr>
      <w:tr w:rsidR="00650385" w:rsidRPr="00BE5FCA" w14:paraId="7E474DCE"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1C970C1"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7.1</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7F771AE" w14:textId="45D5DE04"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presentación y aprobación del Plan de Trabajo de la consultoría por parte del supervisor.</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AD10AAE" w14:textId="1E2A7478" w:rsidR="00650385" w:rsidRPr="00BE5FCA" w:rsidRDefault="00650385" w:rsidP="00650385">
            <w:pPr>
              <w:spacing w:after="40" w:line="260" w:lineRule="auto"/>
              <w:jc w:val="center"/>
              <w:rPr>
                <w:rFonts w:ascii="Verdana" w:hAnsi="Verdana"/>
                <w:sz w:val="18"/>
                <w:szCs w:val="18"/>
              </w:rPr>
            </w:pPr>
            <w:r>
              <w:rPr>
                <w:b/>
                <w:bCs/>
                <w:color w:val="0000FF"/>
                <w:sz w:val="20"/>
                <w:szCs w:val="20"/>
              </w:rPr>
              <w:t>20,00%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093B9AF"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w:t>
            </w:r>
          </w:p>
        </w:tc>
      </w:tr>
      <w:tr w:rsidR="00650385" w:rsidRPr="00BE5FCA" w14:paraId="1D56A867"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080D2DF"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7.2</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926723B"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del Documento de Diagnóstico Integral.</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2F90446" w14:textId="18A36EA2" w:rsidR="00650385" w:rsidRPr="00BE5FCA" w:rsidRDefault="00650385" w:rsidP="00650385">
            <w:pPr>
              <w:spacing w:after="40" w:line="260" w:lineRule="auto"/>
              <w:jc w:val="center"/>
              <w:rPr>
                <w:rFonts w:ascii="Verdana" w:hAnsi="Verdana"/>
                <w:sz w:val="18"/>
                <w:szCs w:val="18"/>
              </w:rPr>
            </w:pPr>
            <w:r>
              <w:rPr>
                <w:b/>
                <w:bCs/>
                <w:color w:val="0000FF"/>
                <w:sz w:val="20"/>
                <w:szCs w:val="20"/>
              </w:rPr>
              <w:t>20,00%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625A5CD"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w:t>
            </w:r>
          </w:p>
        </w:tc>
      </w:tr>
      <w:tr w:rsidR="00650385" w:rsidRPr="00BE5FCA" w14:paraId="1CFDB039"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08745B8"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7.3</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08A7692"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del Documento Técnico.</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AF36088" w14:textId="02B170C2"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5CB22AA"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w:t>
            </w:r>
          </w:p>
        </w:tc>
      </w:tr>
      <w:tr w:rsidR="00650385" w:rsidRPr="00BE5FCA" w14:paraId="3CAE0D3F"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B5E33BA"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7.4</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7F3492C"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del Documento Financiero.</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B4B1EAF" w14:textId="6C3F6A69"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BE5099A"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w:t>
            </w:r>
          </w:p>
        </w:tc>
      </w:tr>
      <w:tr w:rsidR="00650385" w:rsidRPr="00BE5FCA" w14:paraId="5569A4F5"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C3EFB7B"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lastRenderedPageBreak/>
              <w:t>7.5</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7429679"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del Documento Jurídico.</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0934BF0" w14:textId="57E2373B"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DD527ED"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w:t>
            </w:r>
          </w:p>
        </w:tc>
      </w:tr>
      <w:tr w:rsidR="00650385" w:rsidRPr="00BE5FCA" w14:paraId="3925BA34"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0EA407E"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7.6</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5B8F46B"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 los documentos de la etapa de planeación.</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385941F" w14:textId="1C6DB138"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6904EA4"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II</w:t>
            </w:r>
          </w:p>
        </w:tc>
      </w:tr>
      <w:tr w:rsidR="00650385" w:rsidRPr="00BE5FCA" w14:paraId="356F2D85"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7652172"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7.7</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DC11A55"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 los documentos de la etapa pre-contractual.</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41C1BBF" w14:textId="37348291" w:rsidR="00650385" w:rsidRPr="00BE5FCA" w:rsidRDefault="00650385" w:rsidP="00650385">
            <w:pPr>
              <w:spacing w:after="40" w:line="260" w:lineRule="auto"/>
              <w:jc w:val="center"/>
              <w:rPr>
                <w:rFonts w:ascii="Verdana" w:hAnsi="Verdana"/>
                <w:sz w:val="18"/>
                <w:szCs w:val="18"/>
              </w:rPr>
            </w:pPr>
            <w:r>
              <w:rPr>
                <w:b/>
                <w:bCs/>
                <w:color w:val="0000FF"/>
                <w:sz w:val="20"/>
                <w:szCs w:val="20"/>
              </w:rPr>
              <w:t>10%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5616BBD"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II</w:t>
            </w:r>
          </w:p>
        </w:tc>
      </w:tr>
      <w:tr w:rsidR="00650385" w:rsidRPr="00BE5FCA" w14:paraId="1E99F945"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5320489"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7.8</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AE4BE9A"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 los documentos de la etapa contractual (perfeccionamiento del contrato o declaratoria desierta).</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4711B0B" w14:textId="5AD4A2C8" w:rsidR="00650385" w:rsidRPr="00BE5FCA" w:rsidRDefault="00650385" w:rsidP="00650385">
            <w:pPr>
              <w:spacing w:after="40" w:line="260" w:lineRule="auto"/>
              <w:jc w:val="center"/>
              <w:rPr>
                <w:rFonts w:ascii="Verdana" w:hAnsi="Verdana"/>
                <w:sz w:val="18"/>
                <w:szCs w:val="18"/>
              </w:rPr>
            </w:pPr>
            <w:r>
              <w:rPr>
                <w:b/>
                <w:bCs/>
                <w:color w:val="0000FF"/>
                <w:sz w:val="20"/>
                <w:szCs w:val="20"/>
              </w:rPr>
              <w:t>5,00%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22773FF"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II</w:t>
            </w:r>
          </w:p>
        </w:tc>
      </w:tr>
      <w:tr w:rsidR="00650385" w:rsidRPr="00BE5FCA" w14:paraId="2719E7C2"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3FC9AAB"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7.9</w:t>
            </w:r>
          </w:p>
        </w:tc>
        <w:tc>
          <w:tcPr>
            <w:tcW w:w="63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CC65A5A" w14:textId="77777777" w:rsidR="00650385" w:rsidRPr="00BE5FCA" w:rsidRDefault="00650385" w:rsidP="00650385">
            <w:pPr>
              <w:spacing w:after="40" w:line="260" w:lineRule="auto"/>
              <w:rPr>
                <w:rFonts w:ascii="Verdana" w:hAnsi="Verdana"/>
                <w:sz w:val="18"/>
                <w:szCs w:val="18"/>
              </w:rPr>
            </w:pPr>
            <w:r w:rsidRPr="00BE5FCA">
              <w:rPr>
                <w:rFonts w:ascii="Verdana" w:hAnsi="Verdana"/>
                <w:color w:val="000000"/>
                <w:sz w:val="18"/>
                <w:szCs w:val="18"/>
              </w:rPr>
              <w:t>Contra entrega y aprobación del informe final de cierre y suscripción del acta de liquidación.</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0850C6E" w14:textId="0404C0A9" w:rsidR="00650385" w:rsidRPr="00BE5FCA" w:rsidRDefault="00650385" w:rsidP="00650385">
            <w:pPr>
              <w:spacing w:after="40" w:line="260" w:lineRule="auto"/>
              <w:jc w:val="center"/>
              <w:rPr>
                <w:rFonts w:ascii="Verdana" w:hAnsi="Verdana"/>
                <w:sz w:val="18"/>
                <w:szCs w:val="18"/>
              </w:rPr>
            </w:pPr>
            <w:r>
              <w:rPr>
                <w:b/>
                <w:bCs/>
                <w:color w:val="0000FF"/>
                <w:sz w:val="20"/>
                <w:szCs w:val="20"/>
              </w:rPr>
              <w:t>5,00%</w:t>
            </w:r>
          </w:p>
        </w:tc>
        <w:tc>
          <w:tcPr>
            <w:tcW w:w="1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B3ABAB7" w14:textId="77777777" w:rsidR="00650385" w:rsidRPr="00BE5FCA" w:rsidRDefault="00650385" w:rsidP="00650385">
            <w:pPr>
              <w:spacing w:after="40" w:line="260" w:lineRule="auto"/>
              <w:jc w:val="center"/>
              <w:rPr>
                <w:rFonts w:ascii="Verdana" w:hAnsi="Verdana"/>
                <w:sz w:val="18"/>
                <w:szCs w:val="18"/>
              </w:rPr>
            </w:pPr>
            <w:r w:rsidRPr="00BE5FCA">
              <w:rPr>
                <w:rFonts w:ascii="Verdana" w:hAnsi="Verdana"/>
                <w:color w:val="000000"/>
                <w:sz w:val="18"/>
                <w:szCs w:val="18"/>
              </w:rPr>
              <w:t>II</w:t>
            </w:r>
          </w:p>
        </w:tc>
      </w:tr>
    </w:tbl>
    <w:p w14:paraId="27DCB8D2" w14:textId="77777777" w:rsidR="00487997" w:rsidRPr="00BE5FCA" w:rsidRDefault="00487997">
      <w:pPr>
        <w:spacing w:after="60"/>
        <w:rPr>
          <w:rFonts w:ascii="Verdana" w:hAnsi="Verdana"/>
          <w:sz w:val="18"/>
          <w:szCs w:val="18"/>
        </w:rPr>
      </w:pPr>
    </w:p>
    <w:p w14:paraId="59AB24B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Para el pago de las actividades, se deberá presentar el respectivo informe que soporte el cumplimiento de los entregables, previa presentación y aprobación del certificado de cumplimiento expedido por el supervisor del contrato, factura o cuenta de cobro según corresponda, certificado de cumplimiento de aportes al Sistema General de Seguridad Social Integral y Parafiscales, y demás trámites administrativos a que haya lugar.</w:t>
      </w:r>
    </w:p>
    <w:p w14:paraId="15AD0EF9"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Para la liquidación del contrato, el consultor deberá presentar los documentos técnicos, administrativos, financieros, jurídicos y contables que la Entidad le requiera, incluyendo las garantías actualizadas conforme a la fecha de terminación de la consultoría.</w:t>
      </w:r>
    </w:p>
    <w:p w14:paraId="2B2435A8"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Nota 1. </w:t>
      </w:r>
      <w:r w:rsidRPr="00BE5FCA">
        <w:rPr>
          <w:rFonts w:ascii="Verdana" w:hAnsi="Verdana"/>
          <w:sz w:val="18"/>
          <w:szCs w:val="18"/>
        </w:rPr>
        <w:t>Para efectos del pago, el consultor deberá adjuntar con la(s) factura(s) la constancia de que se encuentra a paz y salvo con el pago de los aportes al Sistema General de Seguridad Social Integral y Parafiscales, conforme al artículo 50 de la Ley 789 de 2002, modificado por la Ley 828 de 2003, y el artículo 23 de la Ley 1150 de 2007.</w:t>
      </w:r>
    </w:p>
    <w:p w14:paraId="272B47A6"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Nota 2. </w:t>
      </w:r>
      <w:r w:rsidRPr="00BE5FCA">
        <w:rPr>
          <w:rFonts w:ascii="Verdana" w:hAnsi="Verdana"/>
          <w:sz w:val="18"/>
          <w:szCs w:val="18"/>
        </w:rPr>
        <w:t>Los pagos solo tendrán lugar cuando el supervisor haya impartido aprobación expresa sobre el cumplimiento de los productos entregados por el consultor.</w:t>
      </w:r>
    </w:p>
    <w:p w14:paraId="4268681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Nota 3. </w:t>
      </w:r>
      <w:r w:rsidRPr="00BE5FCA">
        <w:rPr>
          <w:rFonts w:ascii="Verdana" w:hAnsi="Verdana"/>
          <w:sz w:val="18"/>
          <w:szCs w:val="18"/>
        </w:rPr>
        <w:t>Todos los pagos se encuentran sujetos a la expedición del correspondiente PAC.</w:t>
      </w:r>
    </w:p>
    <w:p w14:paraId="3A6D604B"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Nota 4. </w:t>
      </w:r>
      <w:r w:rsidRPr="00BE5FCA">
        <w:rPr>
          <w:rFonts w:ascii="Verdana" w:hAnsi="Verdana"/>
          <w:sz w:val="18"/>
          <w:szCs w:val="18"/>
        </w:rPr>
        <w:t>Los pagos se acreditarán a favor del consultor en la cuenta bancaria registrada en el SIIF Nación, o en otro banco o cuenta que designe con anterioridad al vencimiento del pago, con sujeción a las disposiciones cambiarias, mediante aviso escrito con no menos de treinta (30) días de anticipación. En todo caso, el consultor deberá anexar la Certificación Bancaria y el Formato de Información de Terceros del Ministerio de Hacienda y Crédito Público, a nombre del consultor.</w:t>
      </w:r>
    </w:p>
    <w:p w14:paraId="1113EA5A" w14:textId="77777777" w:rsidR="00487997" w:rsidRPr="00BE5FCA" w:rsidRDefault="00000000">
      <w:pPr>
        <w:pStyle w:val="Ttulo1"/>
        <w:rPr>
          <w:rFonts w:ascii="Verdana" w:hAnsi="Verdana"/>
          <w:sz w:val="18"/>
          <w:szCs w:val="18"/>
        </w:rPr>
      </w:pPr>
      <w:r w:rsidRPr="00BE5FCA">
        <w:rPr>
          <w:rFonts w:ascii="Verdana" w:hAnsi="Verdana"/>
          <w:sz w:val="18"/>
          <w:szCs w:val="18"/>
        </w:rPr>
        <w:t>8. CLASIFICACIÓN DE LOS BIENES, OBRAS O SERVICIOS (CÓDIGO UNSPSC)</w:t>
      </w:r>
    </w:p>
    <w:p w14:paraId="44122EA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consultoría objeto del presente proceso de contratación está codificada en el Clasificador de Bienes y Servicios de Naciones Unidas (UNSPSC) en el tercer nivel, como se indica en la siguiente tabla. Los contratos con los que se acrediten experiencia deberán estar clasificados en al menos uno (1) de los siguientes códigos: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960"/>
      </w:tblGrid>
      <w:tr w:rsidR="00487997" w:rsidRPr="00BE5FCA" w14:paraId="30FBDCEE" w14:textId="77777777">
        <w:trPr>
          <w:tblHeader/>
        </w:trPr>
        <w:tc>
          <w:tcPr>
            <w:tcW w:w="24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089479BD"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lastRenderedPageBreak/>
              <w:t>Código UNSPSC</w:t>
            </w:r>
          </w:p>
        </w:tc>
        <w:tc>
          <w:tcPr>
            <w:tcW w:w="696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vAlign w:val="center"/>
          </w:tcPr>
          <w:p w14:paraId="430EFC8F" w14:textId="77777777" w:rsidR="00487997" w:rsidRPr="00BE5FCA" w:rsidRDefault="00000000">
            <w:pPr>
              <w:spacing w:after="40" w:line="260" w:lineRule="auto"/>
              <w:jc w:val="center"/>
              <w:rPr>
                <w:rFonts w:ascii="Verdana" w:hAnsi="Verdana"/>
                <w:sz w:val="18"/>
                <w:szCs w:val="18"/>
              </w:rPr>
            </w:pPr>
            <w:r w:rsidRPr="00BE5FCA">
              <w:rPr>
                <w:rFonts w:ascii="Verdana" w:hAnsi="Verdana"/>
                <w:b/>
                <w:bCs/>
                <w:color w:val="FFFFFF"/>
                <w:sz w:val="18"/>
                <w:szCs w:val="18"/>
              </w:rPr>
              <w:t>Nombre</w:t>
            </w:r>
          </w:p>
        </w:tc>
      </w:tr>
      <w:tr w:rsidR="00487997" w:rsidRPr="00BE5FCA" w14:paraId="226A6749" w14:textId="77777777">
        <w:tc>
          <w:tcPr>
            <w:tcW w:w="2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9576E47" w14:textId="77777777" w:rsidR="00487997" w:rsidRPr="00BE5FCA" w:rsidRDefault="00000000">
            <w:pPr>
              <w:spacing w:after="40" w:line="260" w:lineRule="auto"/>
              <w:jc w:val="center"/>
              <w:rPr>
                <w:rFonts w:ascii="Verdana" w:hAnsi="Verdana"/>
                <w:sz w:val="18"/>
                <w:szCs w:val="18"/>
              </w:rPr>
            </w:pPr>
            <w:r w:rsidRPr="00BE5FCA">
              <w:rPr>
                <w:rFonts w:ascii="Verdana" w:hAnsi="Verdana"/>
                <w:color w:val="000000"/>
                <w:sz w:val="18"/>
                <w:szCs w:val="18"/>
              </w:rPr>
              <w:t>80101500</w:t>
            </w:r>
          </w:p>
        </w:tc>
        <w:tc>
          <w:tcPr>
            <w:tcW w:w="69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A2E6F23"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Servicios de consultoría de negocios</w:t>
            </w:r>
          </w:p>
        </w:tc>
      </w:tr>
      <w:tr w:rsidR="00487997" w:rsidRPr="00BE5FCA" w14:paraId="385469D1" w14:textId="77777777">
        <w:tc>
          <w:tcPr>
            <w:tcW w:w="2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7091FA1" w14:textId="77777777" w:rsidR="00487997" w:rsidRPr="00BE5FCA" w:rsidRDefault="00000000">
            <w:pPr>
              <w:spacing w:after="40" w:line="260" w:lineRule="auto"/>
              <w:jc w:val="center"/>
              <w:rPr>
                <w:rFonts w:ascii="Verdana" w:hAnsi="Verdana"/>
                <w:sz w:val="18"/>
                <w:szCs w:val="18"/>
              </w:rPr>
            </w:pPr>
            <w:r w:rsidRPr="00BE5FCA">
              <w:rPr>
                <w:rFonts w:ascii="Verdana" w:hAnsi="Verdana"/>
                <w:color w:val="000000"/>
                <w:sz w:val="18"/>
                <w:szCs w:val="18"/>
              </w:rPr>
              <w:t>80101600</w:t>
            </w:r>
          </w:p>
        </w:tc>
        <w:tc>
          <w:tcPr>
            <w:tcW w:w="69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40F4199"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Gerencia de Proyectos</w:t>
            </w:r>
          </w:p>
        </w:tc>
      </w:tr>
      <w:tr w:rsidR="00487997" w:rsidRPr="00BE5FCA" w14:paraId="20C22050" w14:textId="77777777">
        <w:tc>
          <w:tcPr>
            <w:tcW w:w="2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96C4B99" w14:textId="77777777" w:rsidR="00487997" w:rsidRPr="00BE5FCA" w:rsidRDefault="00000000">
            <w:pPr>
              <w:spacing w:after="40" w:line="260" w:lineRule="auto"/>
              <w:jc w:val="center"/>
              <w:rPr>
                <w:rFonts w:ascii="Verdana" w:hAnsi="Verdana"/>
                <w:sz w:val="18"/>
                <w:szCs w:val="18"/>
              </w:rPr>
            </w:pPr>
            <w:r w:rsidRPr="00BE5FCA">
              <w:rPr>
                <w:rFonts w:ascii="Verdana" w:hAnsi="Verdana"/>
                <w:color w:val="000000"/>
                <w:sz w:val="18"/>
                <w:szCs w:val="18"/>
              </w:rPr>
              <w:t>93151500</w:t>
            </w:r>
          </w:p>
        </w:tc>
        <w:tc>
          <w:tcPr>
            <w:tcW w:w="69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A9CE9CC"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Administración Pública</w:t>
            </w:r>
          </w:p>
        </w:tc>
      </w:tr>
      <w:tr w:rsidR="00487997" w:rsidRPr="00BE5FCA" w14:paraId="179AA1EB" w14:textId="77777777">
        <w:tc>
          <w:tcPr>
            <w:tcW w:w="2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25E5170" w14:textId="77777777" w:rsidR="00487997" w:rsidRPr="00BE5FCA" w:rsidRDefault="00000000">
            <w:pPr>
              <w:spacing w:after="40" w:line="260" w:lineRule="auto"/>
              <w:jc w:val="center"/>
              <w:rPr>
                <w:rFonts w:ascii="Verdana" w:hAnsi="Verdana"/>
                <w:sz w:val="18"/>
                <w:szCs w:val="18"/>
              </w:rPr>
            </w:pPr>
            <w:r w:rsidRPr="00BE5FCA">
              <w:rPr>
                <w:rFonts w:ascii="Verdana" w:hAnsi="Verdana"/>
                <w:color w:val="000000"/>
                <w:sz w:val="18"/>
                <w:szCs w:val="18"/>
              </w:rPr>
              <w:t>81111800</w:t>
            </w:r>
          </w:p>
        </w:tc>
        <w:tc>
          <w:tcPr>
            <w:tcW w:w="69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7670E42"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Servicios de seguridad y protección de información</w:t>
            </w:r>
          </w:p>
        </w:tc>
      </w:tr>
      <w:tr w:rsidR="00487997" w:rsidRPr="00BE5FCA" w14:paraId="0E68FFA5" w14:textId="77777777">
        <w:tc>
          <w:tcPr>
            <w:tcW w:w="2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24260BB" w14:textId="77777777" w:rsidR="00487997" w:rsidRPr="00BE5FCA" w:rsidRDefault="00000000">
            <w:pPr>
              <w:spacing w:after="40" w:line="260" w:lineRule="auto"/>
              <w:jc w:val="center"/>
              <w:rPr>
                <w:rFonts w:ascii="Verdana" w:hAnsi="Verdana"/>
                <w:sz w:val="18"/>
                <w:szCs w:val="18"/>
              </w:rPr>
            </w:pPr>
            <w:r w:rsidRPr="00BE5FCA">
              <w:rPr>
                <w:rFonts w:ascii="Verdana" w:hAnsi="Verdana"/>
                <w:color w:val="000000"/>
                <w:sz w:val="18"/>
                <w:szCs w:val="18"/>
              </w:rPr>
              <w:t>81101500</w:t>
            </w:r>
          </w:p>
        </w:tc>
        <w:tc>
          <w:tcPr>
            <w:tcW w:w="69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785ADCA" w14:textId="77777777" w:rsidR="00487997" w:rsidRPr="00BE5FCA" w:rsidRDefault="00000000">
            <w:pPr>
              <w:spacing w:after="40" w:line="260" w:lineRule="auto"/>
              <w:rPr>
                <w:rFonts w:ascii="Verdana" w:hAnsi="Verdana"/>
                <w:sz w:val="18"/>
                <w:szCs w:val="18"/>
              </w:rPr>
            </w:pPr>
            <w:r w:rsidRPr="00BE5FCA">
              <w:rPr>
                <w:rFonts w:ascii="Verdana" w:hAnsi="Verdana"/>
                <w:color w:val="000000"/>
                <w:sz w:val="18"/>
                <w:szCs w:val="18"/>
              </w:rPr>
              <w:t>Servicios profesionales de ingeniería</w:t>
            </w:r>
          </w:p>
        </w:tc>
      </w:tr>
    </w:tbl>
    <w:p w14:paraId="6D240793" w14:textId="77777777" w:rsidR="00487997" w:rsidRPr="00BE5FCA" w:rsidRDefault="00000000">
      <w:pPr>
        <w:pStyle w:val="Ttulo1"/>
        <w:rPr>
          <w:rFonts w:ascii="Verdana" w:hAnsi="Verdana"/>
          <w:sz w:val="18"/>
          <w:szCs w:val="18"/>
        </w:rPr>
      </w:pPr>
      <w:r w:rsidRPr="00BE5FCA">
        <w:rPr>
          <w:rFonts w:ascii="Verdana" w:hAnsi="Verdana"/>
          <w:sz w:val="18"/>
          <w:szCs w:val="18"/>
        </w:rPr>
        <w:t>9. OBLIGACIONES ESPECÍFICAS DEL CONTRATISTA</w:t>
      </w:r>
    </w:p>
    <w:p w14:paraId="1A4379C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Sin perjuicio de las obligaciones contractuales propias de la naturaleza del contrato de consultoría y de aquellas a que se haya comprometido el contratista en su propuesta, son obligaciones específicas del contratista las siguientes:</w:t>
      </w:r>
    </w:p>
    <w:p w14:paraId="29A4A0C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 </w:t>
      </w:r>
      <w:r w:rsidRPr="00BE5FCA">
        <w:rPr>
          <w:rFonts w:ascii="Verdana" w:hAnsi="Verdana"/>
          <w:sz w:val="18"/>
          <w:szCs w:val="18"/>
        </w:rPr>
        <w:t>Cumplir con las demás obligaciones señaladas en el presente Anexo Técnico, en los estudios previos y aquellas a las que se haya comprometido el contratista seleccionado en su propuesta.</w:t>
      </w:r>
    </w:p>
    <w:p w14:paraId="2BB92DC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9.2 </w:t>
      </w:r>
      <w:r w:rsidRPr="00BE5FCA">
        <w:rPr>
          <w:rFonts w:ascii="Verdana" w:hAnsi="Verdana"/>
          <w:sz w:val="18"/>
          <w:szCs w:val="18"/>
        </w:rPr>
        <w:t>Recopilar la totalidad de información de orden técnico, jurídico y financiero que repose en la Entidad y sea necesaria para el desarrollo del contrato.</w:t>
      </w:r>
    </w:p>
    <w:p w14:paraId="7A1D7D8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9.3 </w:t>
      </w:r>
      <w:r w:rsidRPr="00BE5FCA">
        <w:rPr>
          <w:rFonts w:ascii="Verdana" w:hAnsi="Verdana"/>
          <w:sz w:val="18"/>
          <w:szCs w:val="18"/>
        </w:rPr>
        <w:t>Entregar los productos derivados del objeto del contrato en formato físico (documentos de archivo) y en medio magnético en formato editable y en PDF.</w:t>
      </w:r>
    </w:p>
    <w:p w14:paraId="5864E51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9.4 </w:t>
      </w:r>
      <w:r w:rsidRPr="00BE5FCA">
        <w:rPr>
          <w:rFonts w:ascii="Verdana" w:hAnsi="Verdana"/>
          <w:sz w:val="18"/>
          <w:szCs w:val="18"/>
        </w:rPr>
        <w:t>Firmar y avalar todos los productos que se deriven del presente contrato.</w:t>
      </w:r>
    </w:p>
    <w:p w14:paraId="31B60078"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9.5 </w:t>
      </w:r>
      <w:r w:rsidRPr="00BE5FCA">
        <w:rPr>
          <w:rFonts w:ascii="Verdana" w:hAnsi="Verdana"/>
          <w:sz w:val="18"/>
          <w:szCs w:val="18"/>
        </w:rPr>
        <w:t>Contar con los profesionales y técnicos necesarios para el cabal cumplimiento del objeto, además del personal mínimo exigido, y mantener su disponibilidad conforme al cronograma.</w:t>
      </w:r>
    </w:p>
    <w:p w14:paraId="2E3CD64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9.6 </w:t>
      </w:r>
      <w:r w:rsidRPr="00BE5FCA">
        <w:rPr>
          <w:rFonts w:ascii="Verdana" w:hAnsi="Verdana"/>
          <w:sz w:val="18"/>
          <w:szCs w:val="18"/>
        </w:rPr>
        <w:t>Exigir que todos los profesionales con labores asignadas en el contrato cuenten con la matrícula o tarjeta profesional vigente cuando la ley así lo exija.</w:t>
      </w:r>
    </w:p>
    <w:p w14:paraId="6EF4739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9.7 </w:t>
      </w:r>
      <w:r w:rsidRPr="00BE5FCA">
        <w:rPr>
          <w:rFonts w:ascii="Verdana" w:hAnsi="Verdana"/>
          <w:sz w:val="18"/>
          <w:szCs w:val="18"/>
        </w:rPr>
        <w:t>Suministrar y mantener durante la ejecución del contrato y hasta su liquidación el personal profesional ofrecido y necesario. Cualquier reemplazo deberá tener un perfil igual o superior al exigido y contar con la aprobación previa del supervisor. Para el personal objeto de puntaje, la USPEC se reserva el derecho de aprobar el cambio.</w:t>
      </w:r>
    </w:p>
    <w:p w14:paraId="3302A0D3"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9.8 </w:t>
      </w:r>
      <w:r w:rsidRPr="00BE5FCA">
        <w:rPr>
          <w:rFonts w:ascii="Verdana" w:hAnsi="Verdana"/>
          <w:sz w:val="18"/>
          <w:szCs w:val="18"/>
        </w:rPr>
        <w:t>Asumir por su cuenta y riesgo el pago de los salarios, prestaciones sociales, indemnizaciones y honorarios de todo el personal vinculado, sin que exista vínculo laboral alguno con la USPEC.</w:t>
      </w:r>
    </w:p>
    <w:p w14:paraId="06E09101"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9.9 </w:t>
      </w:r>
      <w:r w:rsidRPr="00BE5FCA">
        <w:rPr>
          <w:rFonts w:ascii="Verdana" w:hAnsi="Verdana"/>
          <w:sz w:val="18"/>
          <w:szCs w:val="18"/>
        </w:rPr>
        <w:t>Cumplir con los artículos 471 y 474 del Código de Comercio cuando aplique a sociedades extranjeras que hagan parte del contratista.</w:t>
      </w:r>
    </w:p>
    <w:p w14:paraId="7027786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9.10 </w:t>
      </w:r>
      <w:r w:rsidRPr="00BE5FCA">
        <w:rPr>
          <w:rFonts w:ascii="Verdana" w:hAnsi="Verdana"/>
          <w:sz w:val="18"/>
          <w:szCs w:val="18"/>
        </w:rPr>
        <w:t>Cumplir con los trámites, permisos y normas legales necesarias para la correcta ejecución del objeto contractual.</w:t>
      </w:r>
    </w:p>
    <w:p w14:paraId="3541F0BD"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9.11 </w:t>
      </w:r>
      <w:r w:rsidRPr="00BE5FCA">
        <w:rPr>
          <w:rFonts w:ascii="Verdana" w:hAnsi="Verdana"/>
          <w:sz w:val="18"/>
          <w:szCs w:val="18"/>
        </w:rPr>
        <w:t>Cumplir con lo dispuesto en el artículo 66 de la Ley 80 de 1993 sobre las veedurías ciudadanas, cuando aplique.</w:t>
      </w:r>
    </w:p>
    <w:p w14:paraId="3DBD51DC"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9.12 </w:t>
      </w:r>
      <w:r w:rsidRPr="00BE5FCA">
        <w:rPr>
          <w:rFonts w:ascii="Verdana" w:hAnsi="Verdana"/>
          <w:sz w:val="18"/>
          <w:szCs w:val="18"/>
        </w:rPr>
        <w:t>Mantener indemne a la USPEC frente a sanciones o multas por incumplimientos ambientales o de otra índole imputables al contratista.</w:t>
      </w:r>
    </w:p>
    <w:p w14:paraId="22FA3E8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lastRenderedPageBreak/>
        <w:t xml:space="preserve">9.13 </w:t>
      </w:r>
      <w:r w:rsidRPr="00BE5FCA">
        <w:rPr>
          <w:rFonts w:ascii="Verdana" w:hAnsi="Verdana"/>
          <w:sz w:val="18"/>
          <w:szCs w:val="18"/>
        </w:rPr>
        <w:t>Mantener estricta confidencialidad sobre la información suministrada por la USPEC y producida en desarrollo del contrato, sujetándose a la Resolución USPEC 001267 del 21 de diciembre de 2015 (clasificación como información de Seguridad Nacional) y a las Políticas de Seguridad de la Información de la Entidad. No podrá usar dicha información en beneficio propio o de terceros, ni publicarla, reproducirla o divulgarla por ningún medio.</w:t>
      </w:r>
    </w:p>
    <w:p w14:paraId="753DF0E6"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9.14 </w:t>
      </w:r>
      <w:r w:rsidRPr="00BE5FCA">
        <w:rPr>
          <w:rFonts w:ascii="Verdana" w:hAnsi="Verdana"/>
          <w:sz w:val="18"/>
          <w:szCs w:val="18"/>
        </w:rPr>
        <w:t>Realizar un análisis juicioso y detallado de las condiciones de prestación óptima del Servicio.</w:t>
      </w:r>
    </w:p>
    <w:p w14:paraId="644F8D4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9.15 </w:t>
      </w:r>
      <w:r w:rsidRPr="00BE5FCA">
        <w:rPr>
          <w:rFonts w:ascii="Verdana" w:hAnsi="Verdana"/>
          <w:sz w:val="18"/>
          <w:szCs w:val="18"/>
        </w:rPr>
        <w:t>Elaborar el estudio y generar el documento técnico, financiero y jurídico en las condiciones exigidas en los documentos precontractuales, de tal forma que soporten la decisión que adopte la Entidad.</w:t>
      </w:r>
    </w:p>
    <w:p w14:paraId="5AECDCCD"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9.16 </w:t>
      </w:r>
      <w:r w:rsidRPr="00BE5FCA">
        <w:rPr>
          <w:rFonts w:ascii="Verdana" w:hAnsi="Verdana"/>
          <w:sz w:val="18"/>
          <w:szCs w:val="18"/>
        </w:rPr>
        <w:t>Elaborar la totalidad de documentos requeridos para obtener las autorizaciones y permisos necesarios para la materialización de la figura óptima.</w:t>
      </w:r>
    </w:p>
    <w:p w14:paraId="4BDF7AC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9.17 </w:t>
      </w:r>
      <w:r w:rsidRPr="00BE5FCA">
        <w:rPr>
          <w:rFonts w:ascii="Verdana" w:hAnsi="Verdana"/>
          <w:sz w:val="18"/>
          <w:szCs w:val="18"/>
        </w:rPr>
        <w:t>Proyectar los documentos que permitan la materialización de la figura óptima seleccionada en sus etapas de planeación, pre-contractual y contractual.</w:t>
      </w:r>
    </w:p>
    <w:p w14:paraId="57767AD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9.18 </w:t>
      </w:r>
      <w:r w:rsidRPr="00BE5FCA">
        <w:rPr>
          <w:rFonts w:ascii="Verdana" w:hAnsi="Verdana"/>
          <w:sz w:val="18"/>
          <w:szCs w:val="18"/>
        </w:rPr>
        <w:t>Asistir a las reuniones y audiencias que se generen en el marco del proceso de materialización de la figura óptima.</w:t>
      </w:r>
    </w:p>
    <w:p w14:paraId="775258D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9.19 </w:t>
      </w:r>
      <w:r w:rsidRPr="00BE5FCA">
        <w:rPr>
          <w:rFonts w:ascii="Verdana" w:hAnsi="Verdana"/>
          <w:sz w:val="18"/>
          <w:szCs w:val="18"/>
        </w:rPr>
        <w:t>Cumplir, en su calidad de Responsable o Encargado del Tratamiento según corresponda, con la Ley 1581 de 2012, sus decretos reglamentarios y los lineamientos de la Superintendencia de Industria y Comercio respecto del tratamiento de datos personales en el marco del contrato.</w:t>
      </w:r>
    </w:p>
    <w:p w14:paraId="2D2679A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9.20 </w:t>
      </w:r>
      <w:r w:rsidRPr="00BE5FCA">
        <w:rPr>
          <w:rFonts w:ascii="Verdana" w:hAnsi="Verdana"/>
          <w:sz w:val="18"/>
          <w:szCs w:val="18"/>
        </w:rPr>
        <w:t>Aplicar y respetar las políticas, manuales y procedimientos vigentes de la USPEC en materia de seguridad de la información, ciberseguridad, gestión documental y archivo.</w:t>
      </w:r>
    </w:p>
    <w:p w14:paraId="381513BE" w14:textId="77777777" w:rsidR="00487997" w:rsidRPr="00BE5FCA" w:rsidRDefault="00000000">
      <w:pPr>
        <w:pStyle w:val="Ttulo1"/>
        <w:rPr>
          <w:rFonts w:ascii="Verdana" w:hAnsi="Verdana"/>
          <w:sz w:val="18"/>
          <w:szCs w:val="18"/>
        </w:rPr>
      </w:pPr>
      <w:r w:rsidRPr="00BE5FCA">
        <w:rPr>
          <w:rFonts w:ascii="Verdana" w:hAnsi="Verdana"/>
          <w:sz w:val="18"/>
          <w:szCs w:val="18"/>
        </w:rPr>
        <w:t>10. OBLIGACIONES DE TIPO LABORAL</w:t>
      </w:r>
    </w:p>
    <w:p w14:paraId="1BA33C5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Son obligaciones de tipo laboral del contratista:</w:t>
      </w:r>
    </w:p>
    <w:p w14:paraId="604E80B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10.1 </w:t>
      </w:r>
      <w:r w:rsidRPr="00BE5FCA">
        <w:rPr>
          <w:rFonts w:ascii="Verdana" w:hAnsi="Verdana"/>
          <w:sz w:val="18"/>
          <w:szCs w:val="18"/>
        </w:rPr>
        <w:t>Cumplir estrictamente las obligaciones de la Ley 100 de 1993, la Ley 789 de 2002 y demás normas concordantes, y suministrar al interventor o supervisor la información que se requiera al respecto.</w:t>
      </w:r>
    </w:p>
    <w:p w14:paraId="3EABCAC9"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10.2 </w:t>
      </w:r>
      <w:r w:rsidRPr="00BE5FCA">
        <w:rPr>
          <w:rFonts w:ascii="Verdana" w:hAnsi="Verdana"/>
          <w:sz w:val="18"/>
          <w:szCs w:val="18"/>
        </w:rPr>
        <w:t>Entregar a la supervisión, dentro de los quince (15) primeros días calendario de cada mes y al momento de la liquidación, los documentos que acrediten el cumplimiento de las obligaciones de seguridad social integral y parafiscales (cajas de compensación familiar, SENA e ICBF), pagos de salarios u honorarios y certificación de revisor fiscal o representante legal en los términos del artículo 23 de la Ley 1150 de 2007.</w:t>
      </w:r>
    </w:p>
    <w:p w14:paraId="5F8F5B9B"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10.3 </w:t>
      </w:r>
      <w:r w:rsidRPr="00BE5FCA">
        <w:rPr>
          <w:rFonts w:ascii="Verdana" w:hAnsi="Verdana"/>
          <w:sz w:val="18"/>
          <w:szCs w:val="18"/>
        </w:rPr>
        <w:t>Realizar, verificar y garantizar la afiliación y pago a seguridad social integral de todo el personal vinculado al contrato (por nómina o prestación de servicios) en cumplimiento de la normatividad vigente.</w:t>
      </w:r>
    </w:p>
    <w:p w14:paraId="19BA3A4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10.4 </w:t>
      </w:r>
      <w:r w:rsidRPr="00BE5FCA">
        <w:rPr>
          <w:rFonts w:ascii="Verdana" w:hAnsi="Verdana"/>
          <w:sz w:val="18"/>
          <w:szCs w:val="18"/>
        </w:rPr>
        <w:t>Reportar, investigar y dar seguimiento a los accidentes de trabajo hasta el cierre con concepto de la ARL y juntas de calificación cuando aplique.</w:t>
      </w:r>
    </w:p>
    <w:p w14:paraId="185B7285"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10.5 </w:t>
      </w:r>
      <w:r w:rsidRPr="00BE5FCA">
        <w:rPr>
          <w:rFonts w:ascii="Verdana" w:hAnsi="Verdana"/>
          <w:sz w:val="18"/>
          <w:szCs w:val="18"/>
        </w:rPr>
        <w:t>Realizar los informes de accidentes de trabajo a que haya lugar.</w:t>
      </w:r>
    </w:p>
    <w:p w14:paraId="074503E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10.6 </w:t>
      </w:r>
      <w:r w:rsidRPr="00BE5FCA">
        <w:rPr>
          <w:rFonts w:ascii="Verdana" w:hAnsi="Verdana"/>
          <w:sz w:val="18"/>
          <w:szCs w:val="18"/>
        </w:rPr>
        <w:t>Vincular y demostrar documentalmente el personal propuesto para la ejecución del contrato y solicitar los cambios que fueren necesarios con aprobación previa de la supervisión.</w:t>
      </w:r>
    </w:p>
    <w:p w14:paraId="7DB469F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10.7 </w:t>
      </w:r>
      <w:r w:rsidRPr="00BE5FCA">
        <w:rPr>
          <w:rFonts w:ascii="Verdana" w:hAnsi="Verdana"/>
          <w:sz w:val="18"/>
          <w:szCs w:val="18"/>
        </w:rPr>
        <w:t>Pagar cumplidamente al personal a su cargo los sueldos, honorarios, prestaciones, seguros, bonificaciones y demás conceptos legales, sin que la Entidad asuma responsabilidad por omisiones del contratista.</w:t>
      </w:r>
    </w:p>
    <w:p w14:paraId="0D533FBF"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lastRenderedPageBreak/>
        <w:t xml:space="preserve">10.8 </w:t>
      </w:r>
      <w:r w:rsidRPr="00BE5FCA">
        <w:rPr>
          <w:rFonts w:ascii="Verdana" w:hAnsi="Verdana"/>
          <w:sz w:val="18"/>
          <w:szCs w:val="18"/>
        </w:rPr>
        <w:t>Vincular y/o remover, bajo su entera responsabilidad, el personal profesional, técnico y administrativo necesario para la ejecución del objeto, cumpliendo con la normatividad sobre contratación de personal nacional y extranjero y la regulación profesional aplicable.</w:t>
      </w:r>
    </w:p>
    <w:p w14:paraId="4DC12946" w14:textId="77777777" w:rsidR="00487997" w:rsidRPr="00BE5FCA" w:rsidRDefault="00000000">
      <w:pPr>
        <w:pStyle w:val="Ttulo1"/>
        <w:rPr>
          <w:rFonts w:ascii="Verdana" w:hAnsi="Verdana"/>
          <w:sz w:val="18"/>
          <w:szCs w:val="18"/>
        </w:rPr>
      </w:pPr>
      <w:r w:rsidRPr="00BE5FCA">
        <w:rPr>
          <w:rFonts w:ascii="Verdana" w:hAnsi="Verdana"/>
          <w:sz w:val="18"/>
          <w:szCs w:val="18"/>
        </w:rPr>
        <w:t>11. OBLIGACIONES DE TIPO FINANCIERO O CONTABLE</w:t>
      </w:r>
    </w:p>
    <w:p w14:paraId="065946B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11.1 </w:t>
      </w:r>
      <w:r w:rsidRPr="00BE5FCA">
        <w:rPr>
          <w:rFonts w:ascii="Verdana" w:hAnsi="Verdana"/>
          <w:sz w:val="18"/>
          <w:szCs w:val="18"/>
        </w:rPr>
        <w:t>Incluir un cronograma de barras acorde con el tiempo de ejecución, indicando duración, precedencia y secuencia lógica del desarrollo de los productos, cuando sea solicitado por la supervisión por parte de la USPEC. El contratista deberá representar el 100% de los productos a entregar en el marco del proyecto, con escala temporal en semanas, teniendo en cuenta la ejecución de las actividades y las fechas de entrega estipuladas para cada una de ellas.</w:t>
      </w:r>
    </w:p>
    <w:p w14:paraId="29F982C3"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11.2 </w:t>
      </w:r>
      <w:r w:rsidRPr="00BE5FCA">
        <w:rPr>
          <w:rFonts w:ascii="Verdana" w:hAnsi="Verdana"/>
          <w:sz w:val="18"/>
          <w:szCs w:val="18"/>
        </w:rPr>
        <w:t>Todos los conceptos y productos que realice el consultor deberán estar suscritos por el mismo o por su representante legal.</w:t>
      </w:r>
    </w:p>
    <w:p w14:paraId="641A4ED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11.3 </w:t>
      </w:r>
      <w:r w:rsidRPr="00BE5FCA">
        <w:rPr>
          <w:rFonts w:ascii="Verdana" w:hAnsi="Verdana"/>
          <w:sz w:val="18"/>
          <w:szCs w:val="18"/>
        </w:rPr>
        <w:t>Soportar contablemente las erogaciones que se realicen con cargo a la ejecución del contrato y mantener archivos actualizados durante el plazo de ejecución y hasta la liquidación del mismo.</w:t>
      </w:r>
    </w:p>
    <w:p w14:paraId="604FDD21" w14:textId="77777777" w:rsidR="00487997" w:rsidRPr="00BE5FCA" w:rsidRDefault="00000000">
      <w:pPr>
        <w:pStyle w:val="Ttulo1"/>
        <w:rPr>
          <w:rFonts w:ascii="Verdana" w:hAnsi="Verdana"/>
          <w:sz w:val="18"/>
          <w:szCs w:val="18"/>
        </w:rPr>
      </w:pPr>
      <w:r w:rsidRPr="00BE5FCA">
        <w:rPr>
          <w:rFonts w:ascii="Verdana" w:hAnsi="Verdana"/>
          <w:sz w:val="18"/>
          <w:szCs w:val="18"/>
        </w:rPr>
        <w:t>12. OBLIGACIONES RELACIONADAS CON EL PERSONAL</w:t>
      </w:r>
    </w:p>
    <w:p w14:paraId="72E33651"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Son obligaciones del contratista en relación con el personal:</w:t>
      </w:r>
    </w:p>
    <w:p w14:paraId="11A7C0E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12.1 </w:t>
      </w:r>
      <w:r w:rsidRPr="00BE5FCA">
        <w:rPr>
          <w:rFonts w:ascii="Verdana" w:hAnsi="Verdana"/>
          <w:sz w:val="18"/>
          <w:szCs w:val="18"/>
        </w:rPr>
        <w:t>Mantener al frente del contrato, durante todo su desarrollo, al Director de la Consultoría y demás especialistas aprobados por la supervisión. El Director de la Consultoría deberá tener autonomía para actuar en nombre del contratista en asuntos técnicos y administrativos, siempre que sus decisiones no impliquen modificaciones a las condiciones contractuales.</w:t>
      </w:r>
    </w:p>
    <w:p w14:paraId="6B9F5087"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12.2 </w:t>
      </w:r>
      <w:r w:rsidRPr="00BE5FCA">
        <w:rPr>
          <w:rFonts w:ascii="Verdana" w:hAnsi="Verdana"/>
          <w:sz w:val="18"/>
          <w:szCs w:val="18"/>
        </w:rPr>
        <w:t>Obtener aprobación previa de la supervisión para cualquier cambio de profesionales o técnicos. La solicitud deberá ir acompañada de las justificaciones y de los soportes que acrediten que el nuevo profesional cumple con perfil igual o superior al exigido.</w:t>
      </w:r>
    </w:p>
    <w:p w14:paraId="59E12E3F"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12.3 </w:t>
      </w:r>
      <w:r w:rsidRPr="00BE5FCA">
        <w:rPr>
          <w:rFonts w:ascii="Verdana" w:hAnsi="Verdana"/>
          <w:sz w:val="18"/>
          <w:szCs w:val="18"/>
        </w:rPr>
        <w:t>Asumir el pago de honorarios del personal y garantizar que la celebración y ejecución de subcontratos no generan vínculo laboral con la USPEC.</w:t>
      </w:r>
    </w:p>
    <w:p w14:paraId="2EB8139C"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12.4 </w:t>
      </w:r>
      <w:r w:rsidRPr="00BE5FCA">
        <w:rPr>
          <w:rFonts w:ascii="Verdana" w:hAnsi="Verdana"/>
          <w:sz w:val="18"/>
          <w:szCs w:val="18"/>
        </w:rPr>
        <w:t>Responder por reclamaciones judiciales o extrajudiciales que el personal o subcontratistas instauren contra la USPEC con ocasión del contrato.</w:t>
      </w:r>
    </w:p>
    <w:p w14:paraId="66D510A6"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12.5 </w:t>
      </w:r>
      <w:r w:rsidRPr="00BE5FCA">
        <w:rPr>
          <w:rFonts w:ascii="Verdana" w:hAnsi="Verdana"/>
          <w:sz w:val="18"/>
          <w:szCs w:val="18"/>
        </w:rPr>
        <w:t>Presentar afiliaciones o soportes de pago al sistema de seguridad social y a ARL (conforme al riesgo aplicable) del personal antes de la autorización de inicio de los trabajos.</w:t>
      </w:r>
    </w:p>
    <w:p w14:paraId="16ECAD5D"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12.6 </w:t>
      </w:r>
      <w:r w:rsidRPr="00BE5FCA">
        <w:rPr>
          <w:rFonts w:ascii="Verdana" w:hAnsi="Verdana"/>
          <w:sz w:val="18"/>
          <w:szCs w:val="18"/>
        </w:rPr>
        <w:t>Suministrar y exigir el uso de la dotación y elementos de protección personal cuando la naturaleza de las actividades lo requiera.</w:t>
      </w:r>
    </w:p>
    <w:p w14:paraId="10C38255"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12.7 </w:t>
      </w:r>
      <w:r w:rsidRPr="00BE5FCA">
        <w:rPr>
          <w:rFonts w:ascii="Verdana" w:hAnsi="Verdana"/>
          <w:sz w:val="18"/>
          <w:szCs w:val="18"/>
        </w:rPr>
        <w:t>Suministrar y mantener durante la ejecución del contrato el personal ofrecido y requerido, con las calidades, experiencia general y específica exigidas. En ningún caso el personal podrá estar comprometido en más del 100% de su tiempo, incluida la dedicación al presente contrato y a otros vigentes con la USPEC o terceros.</w:t>
      </w:r>
    </w:p>
    <w:p w14:paraId="376BBD8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12.8 </w:t>
      </w:r>
      <w:r w:rsidRPr="00BE5FCA">
        <w:rPr>
          <w:rFonts w:ascii="Verdana" w:hAnsi="Verdana"/>
          <w:sz w:val="18"/>
          <w:szCs w:val="18"/>
        </w:rPr>
        <w:t>Considerar en los costos administrativos del personal mínimo lo necesario para dar cumplimiento al objeto, incluidos los protocolos de bioseguridad cuando aplique.</w:t>
      </w:r>
    </w:p>
    <w:p w14:paraId="3B5315A0" w14:textId="77777777" w:rsidR="00487997" w:rsidRPr="00BE5FCA" w:rsidRDefault="00000000">
      <w:pPr>
        <w:pStyle w:val="Ttulo1"/>
        <w:rPr>
          <w:rFonts w:ascii="Verdana" w:hAnsi="Verdana"/>
          <w:sz w:val="18"/>
          <w:szCs w:val="18"/>
        </w:rPr>
      </w:pPr>
      <w:r w:rsidRPr="00BE5FCA">
        <w:rPr>
          <w:rFonts w:ascii="Verdana" w:hAnsi="Verdana"/>
          <w:sz w:val="18"/>
          <w:szCs w:val="18"/>
        </w:rPr>
        <w:lastRenderedPageBreak/>
        <w:t>13. OBLIGACIONES RELACIONADAS CON LOS EQUIPOS Y HERRAMIENTAS</w:t>
      </w:r>
    </w:p>
    <w:p w14:paraId="7D71615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Atendiendo a la naturaleza intelectual de la consultoría, son obligaciones del contratista, según aplique:</w:t>
      </w:r>
    </w:p>
    <w:p w14:paraId="01AFDB4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13.1 </w:t>
      </w:r>
      <w:r w:rsidRPr="00BE5FCA">
        <w:rPr>
          <w:rFonts w:ascii="Verdana" w:hAnsi="Verdana"/>
          <w:sz w:val="18"/>
          <w:szCs w:val="18"/>
        </w:rPr>
        <w:t>Disponer de la totalidad de los programas de computador y demás bienes intangibles protegidos por normas de propiedad intelectual, debidamente licenciados, para la ejecución del contrato. La utilización de software no licenciado por parte del contratista dará lugar a las multas previstas en el contrato, sin perjuicio de la responsabilidad civil y penal dispuesta en la ley colombiana. En todo caso, el contratista mantendrá indemne a la USPEC por cualquier reclamación relacionada con el uso de patentes, permisos o licencias.</w:t>
      </w:r>
    </w:p>
    <w:p w14:paraId="527C5E7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13.2 </w:t>
      </w:r>
      <w:r w:rsidRPr="00BE5FCA">
        <w:rPr>
          <w:rFonts w:ascii="Verdana" w:hAnsi="Verdana"/>
          <w:sz w:val="18"/>
          <w:szCs w:val="18"/>
        </w:rPr>
        <w:t>Los funcionarios autorizados de la USPEC y toda persona designada por ellos deberán tener libre acceso a todos los lugares, equipos y sistemas utilizados para la ejecución del contrato. El contratista deberá proporcionar todas las facilidades para hacer efectivo dicho derecho de inspección y vigilancia.</w:t>
      </w:r>
    </w:p>
    <w:p w14:paraId="0840674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13.3 </w:t>
      </w:r>
      <w:r w:rsidRPr="00BE5FCA">
        <w:rPr>
          <w:rFonts w:ascii="Verdana" w:hAnsi="Verdana"/>
          <w:sz w:val="18"/>
          <w:szCs w:val="18"/>
        </w:rPr>
        <w:t>Los equipos, elementos, insumos y materiales que utilice el contratista, sus agentes y subcontratistas, estarán bajo su entera responsabilidad durante el plazo de vigencia del contrato. El contratista mantendrá indemne a la USPEC por cualquier reclamación derivada de su uso.</w:t>
      </w:r>
    </w:p>
    <w:p w14:paraId="29C7D9A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13.4 </w:t>
      </w:r>
      <w:r w:rsidRPr="00BE5FCA">
        <w:rPr>
          <w:rFonts w:ascii="Verdana" w:hAnsi="Verdana"/>
          <w:sz w:val="18"/>
          <w:szCs w:val="18"/>
        </w:rPr>
        <w:t>Destinar todos los equipos, instrumentos y herramientas suficientes y necesarios para la correcta y oportuna ejecución de las actividades objeto del contrato, conforme a los programas de ejecución de la consultoría.</w:t>
      </w:r>
    </w:p>
    <w:p w14:paraId="72F6A07B" w14:textId="77777777" w:rsidR="00487997" w:rsidRPr="00BE5FCA" w:rsidRDefault="00000000">
      <w:pPr>
        <w:pStyle w:val="Ttulo1"/>
        <w:rPr>
          <w:rFonts w:ascii="Verdana" w:hAnsi="Verdana"/>
          <w:sz w:val="18"/>
          <w:szCs w:val="18"/>
        </w:rPr>
      </w:pPr>
      <w:r w:rsidRPr="00BE5FCA">
        <w:rPr>
          <w:rFonts w:ascii="Verdana" w:hAnsi="Verdana"/>
          <w:sz w:val="18"/>
          <w:szCs w:val="18"/>
        </w:rPr>
        <w:t>14. OBLIGACIONES EN MATERIA AMBIENTAL, SEGURIDAD Y SALUD EN EL TRABAJO</w:t>
      </w:r>
    </w:p>
    <w:p w14:paraId="7A77785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Dadas las actividades intelectuales propias de la consultoría, las obligaciones en esta materia se aplican en cuanto correspondan. El contratista deberá:</w:t>
      </w:r>
    </w:p>
    <w:p w14:paraId="5450331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14.1 </w:t>
      </w:r>
      <w:r w:rsidRPr="00BE5FCA">
        <w:rPr>
          <w:rFonts w:ascii="Verdana" w:hAnsi="Verdana"/>
          <w:sz w:val="18"/>
          <w:szCs w:val="18"/>
        </w:rPr>
        <w:t>Implementar y mantener vigente un Sistema de Gestión en Seguridad y Salud en el Trabajo (SG-SST) acorde con la normatividad vigente.</w:t>
      </w:r>
    </w:p>
    <w:p w14:paraId="23C3D317"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14.2 </w:t>
      </w:r>
      <w:r w:rsidRPr="00BE5FCA">
        <w:rPr>
          <w:rFonts w:ascii="Verdana" w:hAnsi="Verdana"/>
          <w:sz w:val="18"/>
          <w:szCs w:val="18"/>
        </w:rPr>
        <w:t>Reportar oportunamente a la supervisión los accidentes e incidentes laborales que ocurran en el marco del contrato, en los términos legales aplicables.</w:t>
      </w:r>
    </w:p>
    <w:p w14:paraId="2A85F0E0"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14.3 </w:t>
      </w:r>
      <w:r w:rsidRPr="00BE5FCA">
        <w:rPr>
          <w:rFonts w:ascii="Verdana" w:hAnsi="Verdana"/>
          <w:sz w:val="18"/>
          <w:szCs w:val="18"/>
        </w:rPr>
        <w:t>Documentar e implementar normas, procedimientos y estándares aplicables al desarrollo de las actividades, conforme al resultado de la matriz de riesgos del proyecto.</w:t>
      </w:r>
    </w:p>
    <w:p w14:paraId="6F767AD8"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14.4 </w:t>
      </w:r>
      <w:r w:rsidRPr="00BE5FCA">
        <w:rPr>
          <w:rFonts w:ascii="Verdana" w:hAnsi="Verdana"/>
          <w:sz w:val="18"/>
          <w:szCs w:val="18"/>
        </w:rPr>
        <w:t>Cumplir con la normatividad ambiental vigente que sea aplicable y mantener indemne a la USPEC por cualquier sanción que se imponga por incumplimientos imputables al contratista.</w:t>
      </w:r>
    </w:p>
    <w:p w14:paraId="2F539686" w14:textId="77777777" w:rsidR="00487997" w:rsidRPr="00BE5FCA" w:rsidRDefault="00000000">
      <w:pPr>
        <w:pStyle w:val="Ttulo1"/>
        <w:rPr>
          <w:rFonts w:ascii="Verdana" w:hAnsi="Verdana"/>
          <w:sz w:val="18"/>
          <w:szCs w:val="18"/>
        </w:rPr>
      </w:pPr>
      <w:r w:rsidRPr="00BE5FCA">
        <w:rPr>
          <w:rFonts w:ascii="Verdana" w:hAnsi="Verdana"/>
          <w:sz w:val="18"/>
          <w:szCs w:val="18"/>
        </w:rPr>
        <w:t>15. OBLIGACIONES DE CONFIDENCIALIDAD Y PROTECCIÓN DE DATOS</w:t>
      </w:r>
    </w:p>
    <w:p w14:paraId="34C2554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Atendiendo a la naturaleza estratégica de la información objeto de la consultoría y a la clasificación de la información del Sistema de Vigilancia Electrónica como información de Seguridad Nacional, son obligaciones del contratista en materia de confidencialidad y protección de datos:</w:t>
      </w:r>
    </w:p>
    <w:p w14:paraId="1E4EE415"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15.1 </w:t>
      </w:r>
      <w:r w:rsidRPr="00BE5FCA">
        <w:rPr>
          <w:rFonts w:ascii="Verdana" w:hAnsi="Verdana"/>
          <w:sz w:val="18"/>
          <w:szCs w:val="18"/>
        </w:rPr>
        <w:t>Mantener absoluta confidencialidad sobre toda la información de la USPEC, el INPEC, las autoridades judiciales y las PPL a la que tenga acceso en desarrollo del contrato, incluida la información de carácter operacional, técnico, jurídico, financiero, biométrico, de geolocalización y de identidad. Esta obligación se mantiene de manera indefinida más allá de la terminación del contrato.</w:t>
      </w:r>
    </w:p>
    <w:p w14:paraId="5390B831"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lastRenderedPageBreak/>
        <w:t xml:space="preserve">15.2 </w:t>
      </w:r>
      <w:r w:rsidRPr="00BE5FCA">
        <w:rPr>
          <w:rFonts w:ascii="Verdana" w:hAnsi="Verdana"/>
          <w:sz w:val="18"/>
          <w:szCs w:val="18"/>
        </w:rPr>
        <w:t>Suscribir, junto con cada uno de los miembros del equipo y subcontratistas, acuerdos individuales de confidencialidad y no divulgación, los cuales deberán ser puestos a disposición de la supervisión cuando ésta lo requiera.</w:t>
      </w:r>
    </w:p>
    <w:p w14:paraId="71F72356"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15.3 </w:t>
      </w:r>
      <w:r w:rsidRPr="00BE5FCA">
        <w:rPr>
          <w:rFonts w:ascii="Verdana" w:hAnsi="Verdana"/>
          <w:sz w:val="18"/>
          <w:szCs w:val="18"/>
        </w:rPr>
        <w:t>Cumplir las obligaciones aplicables como Responsable o Encargado del Tratamiento de datos personales en el marco de la Ley 1581 de 2012 y normas concordantes.</w:t>
      </w:r>
    </w:p>
    <w:p w14:paraId="31139DE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15.4 </w:t>
      </w:r>
      <w:r w:rsidRPr="00BE5FCA">
        <w:rPr>
          <w:rFonts w:ascii="Verdana" w:hAnsi="Verdana"/>
          <w:sz w:val="18"/>
          <w:szCs w:val="18"/>
        </w:rPr>
        <w:t>Adoptar medidas técnicas, humanas y administrativas adecuadas para garantizar la seguridad de la información a la que tenga acceso, evitando su adulteración, pérdida, consulta, uso o acceso no autorizado o fraudulento.</w:t>
      </w:r>
    </w:p>
    <w:p w14:paraId="589D1336"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15.5 </w:t>
      </w:r>
      <w:r w:rsidRPr="00BE5FCA">
        <w:rPr>
          <w:rFonts w:ascii="Verdana" w:hAnsi="Verdana"/>
          <w:sz w:val="18"/>
          <w:szCs w:val="18"/>
        </w:rPr>
        <w:t>Reportar a la supervisión, dentro de las cuarenta y ocho (48) horas siguientes a su detección, cualquier incidente de seguridad de la información o violación de la confidencialidad, sin perjuicio del reporte a las autoridades competentes (SIC, ColCERT, CSIRT Gobierno) en los términos legales.</w:t>
      </w:r>
    </w:p>
    <w:p w14:paraId="1CF6E13A"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15.6 </w:t>
      </w:r>
      <w:r w:rsidRPr="00BE5FCA">
        <w:rPr>
          <w:rFonts w:ascii="Verdana" w:hAnsi="Verdana"/>
          <w:sz w:val="18"/>
          <w:szCs w:val="18"/>
        </w:rPr>
        <w:t>Devolver o destruir, según indique la USPEC, toda la información en su poder al momento de la terminación o liquidación del contrato, dejando constancia documentada del procedimiento.</w:t>
      </w:r>
    </w:p>
    <w:p w14:paraId="462B230B" w14:textId="77777777" w:rsidR="00487997" w:rsidRPr="00BE5FCA" w:rsidRDefault="00000000">
      <w:pPr>
        <w:pStyle w:val="Ttulo1"/>
        <w:rPr>
          <w:rFonts w:ascii="Verdana" w:hAnsi="Verdana"/>
          <w:sz w:val="18"/>
          <w:szCs w:val="18"/>
        </w:rPr>
      </w:pPr>
      <w:r w:rsidRPr="00BE5FCA">
        <w:rPr>
          <w:rFonts w:ascii="Verdana" w:hAnsi="Verdana"/>
          <w:sz w:val="18"/>
          <w:szCs w:val="18"/>
        </w:rPr>
        <w:t>16. OBLIGACIONES PARA LA LIQUIDACIÓN DEL CONTRATO</w:t>
      </w:r>
    </w:p>
    <w:p w14:paraId="7FEC46F1"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Para la liquidación del contrato, el contratista deberá presentar el informe final del contrato (un original impreso y el mismo documento completo digitalizado) con el siguiente contenido mínimo:</w:t>
      </w:r>
    </w:p>
    <w:p w14:paraId="266A859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de recibo a satisfacción suscrita por las partes.</w:t>
      </w:r>
    </w:p>
    <w:p w14:paraId="5F94877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Pólizas actualizadas del contrato acorde con la fecha de terminación y recibo de los productos.</w:t>
      </w:r>
    </w:p>
    <w:p w14:paraId="601DB93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Productos finales (entregables) aprobados por el supervisor del contrato en medio físico y digital.</w:t>
      </w:r>
    </w:p>
    <w:p w14:paraId="6F5877A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Directorio de la consultoría en el que se señalen direcciones, teléfonos y cargos de los profesionales y personal técnico calificado involucrado.</w:t>
      </w:r>
    </w:p>
    <w:p w14:paraId="2FF2623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Cronograma de ejecución de la consultoría.</w:t>
      </w:r>
    </w:p>
    <w:p w14:paraId="00AE7BB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Licencias o permisos solicitados, tramitados y finalizados, cuando aplique.</w:t>
      </w:r>
    </w:p>
    <w:p w14:paraId="40CD345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final del contrato y acta de liquidación.</w:t>
      </w:r>
    </w:p>
    <w:p w14:paraId="1B5D8FB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Paz y salvo de pago de honorarios y salarios de profesionales y demás personal.</w:t>
      </w:r>
    </w:p>
    <w:p w14:paraId="6F5E9DC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Suministrar oportunamente a la supervisión la información requerida para la elaboración del acta de liquidación.</w:t>
      </w:r>
    </w:p>
    <w:p w14:paraId="1BD75CF2" w14:textId="77777777" w:rsidR="00487997" w:rsidRPr="00BE5FCA" w:rsidRDefault="00000000">
      <w:pPr>
        <w:pStyle w:val="Ttulo1"/>
        <w:rPr>
          <w:rFonts w:ascii="Verdana" w:hAnsi="Verdana"/>
          <w:sz w:val="18"/>
          <w:szCs w:val="18"/>
        </w:rPr>
      </w:pPr>
      <w:r w:rsidRPr="00BE5FCA">
        <w:rPr>
          <w:rFonts w:ascii="Verdana" w:hAnsi="Verdana"/>
          <w:sz w:val="18"/>
          <w:szCs w:val="18"/>
        </w:rPr>
        <w:t>17. OBLIGACIONES DE LA USPEC</w:t>
      </w:r>
    </w:p>
    <w:p w14:paraId="3015633E"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17.1 </w:t>
      </w:r>
      <w:r w:rsidRPr="00BE5FCA">
        <w:rPr>
          <w:rFonts w:ascii="Verdana" w:hAnsi="Verdana"/>
          <w:sz w:val="18"/>
          <w:szCs w:val="18"/>
        </w:rPr>
        <w:t>Expedir el registro presupuestal una vez se suscriba el contrato de consultoría.</w:t>
      </w:r>
    </w:p>
    <w:p w14:paraId="3F8D054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17.2 </w:t>
      </w:r>
      <w:r w:rsidRPr="00BE5FCA">
        <w:rPr>
          <w:rFonts w:ascii="Verdana" w:hAnsi="Verdana"/>
          <w:sz w:val="18"/>
          <w:szCs w:val="18"/>
        </w:rPr>
        <w:t>Suministrar al contratista la información necesaria para el desarrollo del contrato.</w:t>
      </w:r>
    </w:p>
    <w:p w14:paraId="200F969C"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17.3 </w:t>
      </w:r>
      <w:r w:rsidRPr="00BE5FCA">
        <w:rPr>
          <w:rFonts w:ascii="Verdana" w:hAnsi="Verdana"/>
          <w:sz w:val="18"/>
          <w:szCs w:val="18"/>
        </w:rPr>
        <w:t>Realizar los pagos de forma oportuna, correspondientes a las actas parciales que presente el contratista, siempre y cuando dichos documentos cumplan con los requisitos y soportes establecidos.</w:t>
      </w:r>
    </w:p>
    <w:p w14:paraId="1111AC27"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17.4 </w:t>
      </w:r>
      <w:r w:rsidRPr="00BE5FCA">
        <w:rPr>
          <w:rFonts w:ascii="Verdana" w:hAnsi="Verdana"/>
          <w:sz w:val="18"/>
          <w:szCs w:val="18"/>
        </w:rPr>
        <w:t>Informar oportunamente al contratista sobre la persona natural o jurídica designada por la USPEC, encargada de ejecutar la interventoría o supervisión del contrato.</w:t>
      </w:r>
    </w:p>
    <w:p w14:paraId="6E060099"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17.5 </w:t>
      </w:r>
      <w:r w:rsidRPr="00BE5FCA">
        <w:rPr>
          <w:rFonts w:ascii="Verdana" w:hAnsi="Verdana"/>
          <w:sz w:val="18"/>
          <w:szCs w:val="18"/>
        </w:rPr>
        <w:t>Impartir al contratista, a través del supervisor o interventoría, directrices y orientaciones para el desempeño de las actividades propias del objeto contractual.</w:t>
      </w:r>
    </w:p>
    <w:p w14:paraId="7751E2C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lastRenderedPageBreak/>
        <w:t xml:space="preserve">17.6 </w:t>
      </w:r>
      <w:r w:rsidRPr="00BE5FCA">
        <w:rPr>
          <w:rFonts w:ascii="Verdana" w:hAnsi="Verdana"/>
          <w:sz w:val="18"/>
          <w:szCs w:val="18"/>
        </w:rPr>
        <w:t>Ejercer control y vigilancia con el fin de alcanzar la ejecución idónea y oportuna del objeto contractual a través del supervisor o interventor del contrato.</w:t>
      </w:r>
    </w:p>
    <w:p w14:paraId="1B757CB4"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17.7 </w:t>
      </w:r>
      <w:r w:rsidRPr="00BE5FCA">
        <w:rPr>
          <w:rFonts w:ascii="Verdana" w:hAnsi="Verdana"/>
          <w:sz w:val="18"/>
          <w:szCs w:val="18"/>
        </w:rPr>
        <w:t>Aprobar las garantías aportadas por el contratista y requeridas para soporte del contrato, siempre que se ajusten a las condiciones exigidas.</w:t>
      </w:r>
    </w:p>
    <w:p w14:paraId="053DD6D7"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17.8 </w:t>
      </w:r>
      <w:r w:rsidRPr="00BE5FCA">
        <w:rPr>
          <w:rFonts w:ascii="Verdana" w:hAnsi="Verdana"/>
          <w:sz w:val="18"/>
          <w:szCs w:val="18"/>
        </w:rPr>
        <w:t>Dar respuesta oportuna a las solicitudes del contratista con ocasión de la ejecución del contrato.</w:t>
      </w:r>
    </w:p>
    <w:p w14:paraId="3067BA97"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17.9 </w:t>
      </w:r>
      <w:r w:rsidRPr="00BE5FCA">
        <w:rPr>
          <w:rFonts w:ascii="Verdana" w:hAnsi="Verdana"/>
          <w:sz w:val="18"/>
          <w:szCs w:val="18"/>
        </w:rPr>
        <w:t>Comunicar por escrito al contratista cualquier reclamación por deficiencia en los servicios contratados.</w:t>
      </w:r>
    </w:p>
    <w:p w14:paraId="166E0D72" w14:textId="77777777" w:rsidR="00487997" w:rsidRPr="00BE5FCA" w:rsidRDefault="00000000">
      <w:pPr>
        <w:spacing w:after="120" w:line="300" w:lineRule="auto"/>
        <w:jc w:val="both"/>
        <w:rPr>
          <w:rFonts w:ascii="Verdana" w:hAnsi="Verdana"/>
          <w:sz w:val="18"/>
          <w:szCs w:val="18"/>
        </w:rPr>
      </w:pPr>
      <w:r w:rsidRPr="00BE5FCA">
        <w:rPr>
          <w:rFonts w:ascii="Verdana" w:hAnsi="Verdana"/>
          <w:b/>
          <w:bCs/>
          <w:sz w:val="18"/>
          <w:szCs w:val="18"/>
        </w:rPr>
        <w:t xml:space="preserve">17.10 </w:t>
      </w:r>
      <w:r w:rsidRPr="00BE5FCA">
        <w:rPr>
          <w:rFonts w:ascii="Verdana" w:hAnsi="Verdana"/>
          <w:sz w:val="18"/>
          <w:szCs w:val="18"/>
        </w:rPr>
        <w:t>Exigir que la calidad de los bienes y servicios contratados se ajuste a los requisitos mínimos previstos en las normas vigentes.</w:t>
      </w:r>
    </w:p>
    <w:p w14:paraId="1706990C" w14:textId="77777777" w:rsidR="00487997" w:rsidRPr="00BE5FCA" w:rsidRDefault="00000000">
      <w:pPr>
        <w:pStyle w:val="Ttulo1"/>
        <w:rPr>
          <w:rFonts w:ascii="Verdana" w:hAnsi="Verdana"/>
          <w:sz w:val="18"/>
          <w:szCs w:val="18"/>
        </w:rPr>
      </w:pPr>
      <w:r w:rsidRPr="00BE5FCA">
        <w:rPr>
          <w:rFonts w:ascii="Verdana" w:hAnsi="Verdana"/>
          <w:sz w:val="18"/>
          <w:szCs w:val="18"/>
        </w:rPr>
        <w:t>18. EQUIPO MÍNIMO DE TRABAJO</w:t>
      </w:r>
    </w:p>
    <w:p w14:paraId="732A1189"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Entiéndase como personal mínimo requerido para el desarrollo del objeto contractual el recurso humano base requerido para el desarrollo de las actividades contenidas en el contrato. El consultor debe presentar a la supervisión, para su revisión y aprobación, los soportes que acrediten las calidades de formación académica y de experiencia laboral del equipo mínimo de trabajo requerido, una vez sea adjudicado el proceso de selección.</w:t>
      </w:r>
    </w:p>
    <w:p w14:paraId="7B316CBE" w14:textId="29E91841" w:rsidR="00763B30" w:rsidRDefault="00000000">
      <w:pPr>
        <w:spacing w:after="120" w:line="300" w:lineRule="auto"/>
        <w:jc w:val="both"/>
        <w:rPr>
          <w:rFonts w:ascii="Verdana" w:hAnsi="Verdana"/>
          <w:sz w:val="18"/>
          <w:szCs w:val="18"/>
        </w:rPr>
      </w:pPr>
      <w:r w:rsidRPr="00BE5FCA">
        <w:rPr>
          <w:rFonts w:ascii="Verdana" w:hAnsi="Verdana"/>
          <w:sz w:val="18"/>
          <w:szCs w:val="18"/>
        </w:rPr>
        <w:t>El proponente es independiente de establecer el número de personas a utilizar en el desarrollo de la consultoría, de acuerdo con el enfoque de organización que dé a las mismas. Sin embargo, deberá contar como mínimo con el siguiente personal profesional: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8"/>
        <w:gridCol w:w="1384"/>
        <w:gridCol w:w="3108"/>
        <w:gridCol w:w="4110"/>
      </w:tblGrid>
      <w:tr w:rsidR="00636024" w:rsidRPr="00763B30" w14:paraId="36782381" w14:textId="77777777" w:rsidTr="00DD2B86">
        <w:trPr>
          <w:trHeight w:val="17"/>
          <w:tblHeader/>
        </w:trPr>
        <w:tc>
          <w:tcPr>
            <w:tcW w:w="400" w:type="pct"/>
            <w:tcBorders>
              <w:top w:val="single" w:sz="4" w:space="0" w:color="808080"/>
              <w:left w:val="single" w:sz="4" w:space="0" w:color="808080"/>
              <w:bottom w:val="single" w:sz="4" w:space="0" w:color="808080"/>
              <w:right w:val="single" w:sz="4" w:space="0" w:color="808080"/>
            </w:tcBorders>
            <w:shd w:val="clear" w:color="auto" w:fill="1F3864"/>
            <w:tcMar>
              <w:top w:w="100" w:type="dxa"/>
              <w:left w:w="140" w:type="dxa"/>
              <w:bottom w:w="100" w:type="dxa"/>
              <w:right w:w="140" w:type="dxa"/>
            </w:tcMar>
            <w:vAlign w:val="center"/>
          </w:tcPr>
          <w:p w14:paraId="1767F767" w14:textId="77777777" w:rsidR="00636024" w:rsidRPr="00763B30" w:rsidRDefault="00636024" w:rsidP="00636024">
            <w:pPr>
              <w:contextualSpacing/>
              <w:jc w:val="center"/>
              <w:rPr>
                <w:rFonts w:ascii="Verdana" w:hAnsi="Verdana"/>
                <w:sz w:val="16"/>
                <w:szCs w:val="16"/>
              </w:rPr>
            </w:pPr>
            <w:r w:rsidRPr="00763B30">
              <w:rPr>
                <w:rFonts w:ascii="Verdana" w:hAnsi="Verdana"/>
                <w:b/>
                <w:bCs/>
                <w:color w:val="FFFFFF"/>
                <w:sz w:val="16"/>
                <w:szCs w:val="16"/>
              </w:rPr>
              <w:t>Cant.</w:t>
            </w:r>
          </w:p>
        </w:tc>
        <w:tc>
          <w:tcPr>
            <w:tcW w:w="740" w:type="pct"/>
            <w:tcBorders>
              <w:top w:val="single" w:sz="4" w:space="0" w:color="808080"/>
              <w:left w:val="single" w:sz="4" w:space="0" w:color="808080"/>
              <w:bottom w:val="single" w:sz="4" w:space="0" w:color="808080"/>
              <w:right w:val="single" w:sz="4" w:space="0" w:color="808080"/>
            </w:tcBorders>
            <w:shd w:val="clear" w:color="auto" w:fill="1F3864"/>
            <w:tcMar>
              <w:top w:w="100" w:type="dxa"/>
              <w:left w:w="140" w:type="dxa"/>
              <w:bottom w:w="100" w:type="dxa"/>
              <w:right w:w="140" w:type="dxa"/>
            </w:tcMar>
            <w:vAlign w:val="center"/>
          </w:tcPr>
          <w:p w14:paraId="0A8AD7FA" w14:textId="77777777" w:rsidR="00636024" w:rsidRPr="00763B30" w:rsidRDefault="00636024" w:rsidP="00636024">
            <w:pPr>
              <w:contextualSpacing/>
              <w:jc w:val="center"/>
              <w:rPr>
                <w:rFonts w:ascii="Verdana" w:hAnsi="Verdana"/>
                <w:sz w:val="16"/>
                <w:szCs w:val="16"/>
              </w:rPr>
            </w:pPr>
            <w:r w:rsidRPr="00763B30">
              <w:rPr>
                <w:rFonts w:ascii="Verdana" w:hAnsi="Verdana"/>
                <w:b/>
                <w:bCs/>
                <w:color w:val="FFFFFF"/>
                <w:sz w:val="16"/>
                <w:szCs w:val="16"/>
              </w:rPr>
              <w:t>Cargo</w:t>
            </w:r>
          </w:p>
        </w:tc>
        <w:tc>
          <w:tcPr>
            <w:tcW w:w="1662" w:type="pct"/>
            <w:tcBorders>
              <w:top w:val="single" w:sz="4" w:space="0" w:color="808080"/>
              <w:left w:val="single" w:sz="4" w:space="0" w:color="808080"/>
              <w:bottom w:val="single" w:sz="4" w:space="0" w:color="808080"/>
              <w:right w:val="single" w:sz="4" w:space="0" w:color="808080"/>
            </w:tcBorders>
            <w:shd w:val="clear" w:color="auto" w:fill="1F3864"/>
            <w:tcMar>
              <w:top w:w="100" w:type="dxa"/>
              <w:left w:w="140" w:type="dxa"/>
              <w:bottom w:w="100" w:type="dxa"/>
              <w:right w:w="140" w:type="dxa"/>
            </w:tcMar>
            <w:vAlign w:val="center"/>
          </w:tcPr>
          <w:p w14:paraId="0B8C5615" w14:textId="77777777" w:rsidR="00636024" w:rsidRPr="00763B30" w:rsidRDefault="00636024" w:rsidP="00636024">
            <w:pPr>
              <w:contextualSpacing/>
              <w:jc w:val="center"/>
              <w:rPr>
                <w:rFonts w:ascii="Verdana" w:hAnsi="Verdana"/>
                <w:sz w:val="16"/>
                <w:szCs w:val="16"/>
              </w:rPr>
            </w:pPr>
            <w:r w:rsidRPr="00763B30">
              <w:rPr>
                <w:rFonts w:ascii="Verdana" w:hAnsi="Verdana"/>
                <w:b/>
                <w:bCs/>
                <w:color w:val="FFFFFF"/>
                <w:sz w:val="16"/>
                <w:szCs w:val="16"/>
              </w:rPr>
              <w:t>Perfil académico</w:t>
            </w:r>
          </w:p>
        </w:tc>
        <w:tc>
          <w:tcPr>
            <w:tcW w:w="2198" w:type="pct"/>
            <w:tcBorders>
              <w:top w:val="single" w:sz="4" w:space="0" w:color="808080"/>
              <w:left w:val="single" w:sz="4" w:space="0" w:color="808080"/>
              <w:bottom w:val="single" w:sz="4" w:space="0" w:color="808080"/>
              <w:right w:val="single" w:sz="4" w:space="0" w:color="808080"/>
            </w:tcBorders>
            <w:shd w:val="clear" w:color="auto" w:fill="1F3864"/>
            <w:tcMar>
              <w:top w:w="100" w:type="dxa"/>
              <w:left w:w="140" w:type="dxa"/>
              <w:bottom w:w="100" w:type="dxa"/>
              <w:right w:w="140" w:type="dxa"/>
            </w:tcMar>
            <w:vAlign w:val="center"/>
          </w:tcPr>
          <w:p w14:paraId="21CF2950" w14:textId="77777777" w:rsidR="00636024" w:rsidRPr="00763B30" w:rsidRDefault="00636024" w:rsidP="00636024">
            <w:pPr>
              <w:contextualSpacing/>
              <w:jc w:val="center"/>
              <w:rPr>
                <w:rFonts w:ascii="Verdana" w:hAnsi="Verdana"/>
                <w:sz w:val="16"/>
                <w:szCs w:val="16"/>
              </w:rPr>
            </w:pPr>
            <w:r w:rsidRPr="00763B30">
              <w:rPr>
                <w:rFonts w:ascii="Verdana" w:hAnsi="Verdana"/>
                <w:b/>
                <w:bCs/>
                <w:color w:val="FFFFFF"/>
                <w:sz w:val="16"/>
                <w:szCs w:val="16"/>
              </w:rPr>
              <w:t>Experiencia laboral</w:t>
            </w:r>
          </w:p>
        </w:tc>
      </w:tr>
      <w:tr w:rsidR="00DD2B86" w:rsidRPr="00763B30" w14:paraId="0500BC63" w14:textId="77777777" w:rsidTr="00DD2B86">
        <w:trPr>
          <w:trHeight w:val="3375"/>
        </w:trPr>
        <w:tc>
          <w:tcPr>
            <w:tcW w:w="40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39F6E867" w14:textId="604FA24A" w:rsidR="00DD2B86" w:rsidRPr="00763B30" w:rsidRDefault="00DD2B86" w:rsidP="00DD2B86">
            <w:pPr>
              <w:contextualSpacing/>
              <w:jc w:val="center"/>
              <w:rPr>
                <w:rFonts w:ascii="Verdana" w:hAnsi="Verdana"/>
                <w:sz w:val="16"/>
                <w:szCs w:val="16"/>
              </w:rPr>
            </w:pPr>
            <w:r w:rsidRPr="00763B30">
              <w:rPr>
                <w:rFonts w:ascii="Verdana" w:hAnsi="Verdana"/>
                <w:b/>
                <w:bCs/>
                <w:color w:val="000000"/>
                <w:sz w:val="16"/>
                <w:szCs w:val="16"/>
              </w:rPr>
              <w:t>1</w:t>
            </w:r>
          </w:p>
        </w:tc>
        <w:tc>
          <w:tcPr>
            <w:tcW w:w="74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503E7768" w14:textId="4886A246" w:rsidR="00DD2B86" w:rsidRPr="00763B30" w:rsidRDefault="00DD2B86" w:rsidP="00DD2B86">
            <w:pPr>
              <w:contextualSpacing/>
              <w:rPr>
                <w:rFonts w:ascii="Verdana" w:hAnsi="Verdana"/>
                <w:sz w:val="16"/>
                <w:szCs w:val="16"/>
              </w:rPr>
            </w:pPr>
            <w:r w:rsidRPr="00763B30">
              <w:rPr>
                <w:rFonts w:ascii="Verdana" w:hAnsi="Verdana"/>
                <w:b/>
                <w:bCs/>
                <w:color w:val="000000"/>
                <w:sz w:val="16"/>
                <w:szCs w:val="16"/>
              </w:rPr>
              <w:t>Gerente de Proyecto</w:t>
            </w:r>
          </w:p>
        </w:tc>
        <w:tc>
          <w:tcPr>
            <w:tcW w:w="1662"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0777AF45" w14:textId="1FD369D8" w:rsidR="00DD2B86" w:rsidRPr="00763B30" w:rsidRDefault="00DD2B86" w:rsidP="00DD2B86">
            <w:pPr>
              <w:contextualSpacing/>
              <w:jc w:val="both"/>
              <w:rPr>
                <w:rFonts w:ascii="Verdana" w:hAnsi="Verdana"/>
                <w:sz w:val="16"/>
                <w:szCs w:val="16"/>
              </w:rPr>
            </w:pPr>
            <w:r w:rsidRPr="00763B30">
              <w:rPr>
                <w:rFonts w:ascii="Verdana" w:hAnsi="Verdana"/>
                <w:color w:val="000000"/>
                <w:sz w:val="16"/>
                <w:szCs w:val="16"/>
              </w:rPr>
              <w:t>Título profesional en Ingeniería de Sistemas, Ingeniería Informática, Ingeniería Electrónica, Ingeniería de Telecomunicaciones o Seguridad de la Información. Deberá acreditar certificaciones o entrenamientos en mínimo tres (3) de las siguientes áreas: Ethical Hacking, Análisis Forense Digital, Gestión de Incidentes, SIEM, Seguridad Cloud, Vulnerability Management, Seguridad Perimetral, Continuidad de Negocio o Gestión de Riesgos de Seguridad.</w:t>
            </w:r>
          </w:p>
        </w:tc>
        <w:tc>
          <w:tcPr>
            <w:tcW w:w="2198"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1433EC9B" w14:textId="77777777" w:rsidR="00DD2B86" w:rsidRPr="00763B30" w:rsidRDefault="00DD2B86" w:rsidP="00DD2B86">
            <w:pPr>
              <w:contextualSpacing/>
              <w:jc w:val="both"/>
              <w:rPr>
                <w:rFonts w:ascii="Verdana" w:hAnsi="Verdana"/>
                <w:sz w:val="16"/>
                <w:szCs w:val="16"/>
              </w:rPr>
            </w:pPr>
            <w:r w:rsidRPr="00763B30">
              <w:rPr>
                <w:rFonts w:ascii="Verdana" w:hAnsi="Verdana"/>
                <w:b/>
                <w:bCs/>
                <w:sz w:val="16"/>
                <w:szCs w:val="16"/>
              </w:rPr>
              <w:t xml:space="preserve">Experiencia general: </w:t>
            </w:r>
            <w:r w:rsidRPr="00763B30">
              <w:rPr>
                <w:rFonts w:ascii="Verdana" w:hAnsi="Verdana"/>
                <w:sz w:val="16"/>
                <w:szCs w:val="16"/>
              </w:rPr>
              <w:t>Experiencia profesional mínima de c</w:t>
            </w:r>
            <w:r>
              <w:rPr>
                <w:rFonts w:ascii="Verdana" w:hAnsi="Verdana"/>
                <w:sz w:val="16"/>
                <w:szCs w:val="16"/>
              </w:rPr>
              <w:t>uatro</w:t>
            </w:r>
            <w:r w:rsidRPr="00763B30">
              <w:rPr>
                <w:rFonts w:ascii="Verdana" w:hAnsi="Verdana"/>
                <w:sz w:val="16"/>
                <w:szCs w:val="16"/>
              </w:rPr>
              <w:t xml:space="preserve"> (</w:t>
            </w:r>
            <w:r>
              <w:rPr>
                <w:rFonts w:ascii="Verdana" w:hAnsi="Verdana"/>
                <w:sz w:val="16"/>
                <w:szCs w:val="16"/>
              </w:rPr>
              <w:t>4</w:t>
            </w:r>
            <w:r w:rsidRPr="00763B30">
              <w:rPr>
                <w:rFonts w:ascii="Verdana" w:hAnsi="Verdana"/>
                <w:sz w:val="16"/>
                <w:szCs w:val="16"/>
              </w:rPr>
              <w:t>) años en diseño, implementación, administración, integración, monitoreo o consultoría de soluciones de ciberseguridad.</w:t>
            </w:r>
          </w:p>
          <w:p w14:paraId="286F8BF0" w14:textId="2708B0FB" w:rsidR="00DD2B86" w:rsidRPr="00763B30" w:rsidRDefault="00DD2B86" w:rsidP="00DD2B86">
            <w:pPr>
              <w:contextualSpacing/>
              <w:jc w:val="both"/>
              <w:rPr>
                <w:rFonts w:ascii="Verdana" w:hAnsi="Verdana"/>
                <w:sz w:val="16"/>
                <w:szCs w:val="16"/>
              </w:rPr>
            </w:pPr>
            <w:r w:rsidRPr="00763B30">
              <w:rPr>
                <w:rFonts w:ascii="Verdana" w:hAnsi="Verdana"/>
                <w:b/>
                <w:bCs/>
                <w:sz w:val="16"/>
                <w:szCs w:val="16"/>
              </w:rPr>
              <w:t xml:space="preserve">Experiencia específica: </w:t>
            </w:r>
            <w:r w:rsidRPr="00763B30">
              <w:rPr>
                <w:rFonts w:ascii="Verdana" w:hAnsi="Verdana"/>
                <w:sz w:val="16"/>
                <w:szCs w:val="16"/>
              </w:rPr>
              <w:t xml:space="preserve">Deberá acreditar experiencia específica en mínimo </w:t>
            </w:r>
            <w:r>
              <w:rPr>
                <w:rFonts w:ascii="Verdana" w:hAnsi="Verdana"/>
                <w:sz w:val="16"/>
                <w:szCs w:val="16"/>
              </w:rPr>
              <w:t>dos</w:t>
            </w:r>
            <w:r w:rsidRPr="00763B30">
              <w:rPr>
                <w:rFonts w:ascii="Verdana" w:hAnsi="Verdana"/>
                <w:sz w:val="16"/>
                <w:szCs w:val="16"/>
              </w:rPr>
              <w:t xml:space="preserve"> (</w:t>
            </w:r>
            <w:r>
              <w:rPr>
                <w:rFonts w:ascii="Verdana" w:hAnsi="Verdana"/>
                <w:sz w:val="16"/>
                <w:szCs w:val="16"/>
              </w:rPr>
              <w:t>2</w:t>
            </w:r>
            <w:r w:rsidRPr="00763B30">
              <w:rPr>
                <w:rFonts w:ascii="Verdana" w:hAnsi="Verdana"/>
                <w:sz w:val="16"/>
                <w:szCs w:val="16"/>
              </w:rPr>
              <w:t>) de las siguientes actividades: pruebas de penetración, análisis de vulnerabilidades, gestión SOC, respuesta a incidentes, seguridad cloud, análisis forense, gestión de eventos SIEM, seguridad de infraestructura, protección de datos o seguridad de aplicaciones.</w:t>
            </w:r>
          </w:p>
        </w:tc>
      </w:tr>
      <w:tr w:rsidR="00DD2B86" w:rsidRPr="00763B30" w14:paraId="74FD8B00" w14:textId="77777777" w:rsidTr="00DD2B86">
        <w:trPr>
          <w:trHeight w:val="1319"/>
        </w:trPr>
        <w:tc>
          <w:tcPr>
            <w:tcW w:w="40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0847E268" w14:textId="5559F631" w:rsidR="00DD2B86" w:rsidRPr="00763B30" w:rsidRDefault="00DD2B86" w:rsidP="00DD2B86">
            <w:pPr>
              <w:contextualSpacing/>
              <w:jc w:val="center"/>
              <w:rPr>
                <w:rFonts w:ascii="Verdana" w:hAnsi="Verdana"/>
                <w:sz w:val="16"/>
                <w:szCs w:val="16"/>
              </w:rPr>
            </w:pPr>
            <w:r w:rsidRPr="00763B30">
              <w:rPr>
                <w:rFonts w:ascii="Verdana" w:hAnsi="Verdana"/>
                <w:b/>
                <w:bCs/>
                <w:color w:val="000000"/>
                <w:sz w:val="16"/>
                <w:szCs w:val="16"/>
              </w:rPr>
              <w:t>1</w:t>
            </w:r>
          </w:p>
        </w:tc>
        <w:tc>
          <w:tcPr>
            <w:tcW w:w="74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48C56B59" w14:textId="6CA78E37" w:rsidR="00DD2B86" w:rsidRPr="00763B30" w:rsidRDefault="00DD2B86" w:rsidP="00DD2B86">
            <w:pPr>
              <w:contextualSpacing/>
              <w:rPr>
                <w:rFonts w:ascii="Verdana" w:hAnsi="Verdana"/>
                <w:sz w:val="16"/>
                <w:szCs w:val="16"/>
              </w:rPr>
            </w:pPr>
            <w:r w:rsidRPr="00763B30">
              <w:rPr>
                <w:rFonts w:ascii="Verdana" w:hAnsi="Verdana"/>
                <w:b/>
                <w:bCs/>
                <w:color w:val="000000"/>
                <w:sz w:val="16"/>
                <w:szCs w:val="16"/>
              </w:rPr>
              <w:t>Líder Técnico</w:t>
            </w:r>
          </w:p>
        </w:tc>
        <w:tc>
          <w:tcPr>
            <w:tcW w:w="1662"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58B41EAE" w14:textId="0ED6DBA7" w:rsidR="00DD2B86" w:rsidRPr="00A85744" w:rsidRDefault="00DD2B86" w:rsidP="00DD2B86">
            <w:pPr>
              <w:contextualSpacing/>
              <w:jc w:val="both"/>
              <w:rPr>
                <w:rFonts w:ascii="Verdana" w:hAnsi="Verdana"/>
                <w:color w:val="000000"/>
                <w:sz w:val="16"/>
                <w:szCs w:val="16"/>
              </w:rPr>
            </w:pPr>
            <w:r w:rsidRPr="00A85744">
              <w:rPr>
                <w:rFonts w:ascii="Verdana" w:hAnsi="Verdana"/>
                <w:color w:val="000000"/>
                <w:sz w:val="16"/>
                <w:szCs w:val="16"/>
              </w:rPr>
              <w:t xml:space="preserve">Profesional en Ingeniería Electrónica, Ingeniería de Telecomunicaciones, Ingeniería de Sistemas, Ingeniería Informática o áreas afines a las tecnologías de la información y las comunicaciones, con título de postgrado a nivel mínimo de especialización o maestría en gerencia de proyectos, gerencia integral de riesgos, gerencia de TI, gestión </w:t>
            </w:r>
            <w:r w:rsidRPr="00A85744">
              <w:rPr>
                <w:rFonts w:ascii="Verdana" w:hAnsi="Verdana"/>
                <w:color w:val="000000"/>
                <w:sz w:val="16"/>
                <w:szCs w:val="16"/>
              </w:rPr>
              <w:lastRenderedPageBreak/>
              <w:t>empresarial, administración financiera o áreas afines. Será válido el MBA con énfasis en gerencia de proyectos, gerencia integral de riesgos o tecnologías de la información.</w:t>
            </w:r>
          </w:p>
        </w:tc>
        <w:tc>
          <w:tcPr>
            <w:tcW w:w="2198"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63B54459" w14:textId="77777777" w:rsidR="00DD2B86" w:rsidRPr="00A85744" w:rsidRDefault="00DD2B86" w:rsidP="00DD2B86">
            <w:pPr>
              <w:pStyle w:val="font-claude-response-body"/>
              <w:spacing w:before="0" w:beforeAutospacing="0" w:after="0" w:afterAutospacing="0"/>
              <w:contextualSpacing/>
              <w:jc w:val="both"/>
              <w:rPr>
                <w:rFonts w:ascii="Verdana" w:eastAsia="Arial" w:hAnsi="Verdana" w:cs="Arial"/>
                <w:color w:val="000000"/>
                <w:sz w:val="16"/>
                <w:szCs w:val="16"/>
              </w:rPr>
            </w:pPr>
            <w:r w:rsidRPr="00A85744">
              <w:rPr>
                <w:rFonts w:ascii="Verdana" w:eastAsia="Arial" w:hAnsi="Verdana" w:cs="Arial"/>
                <w:b/>
                <w:bCs/>
                <w:sz w:val="16"/>
                <w:szCs w:val="16"/>
              </w:rPr>
              <w:lastRenderedPageBreak/>
              <w:t>Experiencia general:</w:t>
            </w:r>
            <w:r w:rsidRPr="00A85744">
              <w:rPr>
                <w:rFonts w:ascii="Verdana" w:eastAsia="Arial" w:hAnsi="Verdana" w:cs="Arial"/>
                <w:sz w:val="16"/>
                <w:szCs w:val="16"/>
              </w:rPr>
              <w:t> </w:t>
            </w:r>
            <w:r w:rsidRPr="00A85744">
              <w:rPr>
                <w:rFonts w:ascii="Verdana" w:eastAsia="Arial" w:hAnsi="Verdana" w:cs="Arial"/>
                <w:color w:val="000000"/>
                <w:sz w:val="16"/>
                <w:szCs w:val="16"/>
              </w:rPr>
              <w:t xml:space="preserve">Mínimo </w:t>
            </w:r>
            <w:r>
              <w:rPr>
                <w:rFonts w:ascii="Verdana" w:eastAsia="Arial" w:hAnsi="Verdana" w:cs="Arial"/>
                <w:color w:val="000000"/>
                <w:sz w:val="16"/>
                <w:szCs w:val="16"/>
              </w:rPr>
              <w:t xml:space="preserve">diez </w:t>
            </w:r>
            <w:r w:rsidRPr="00A85744">
              <w:rPr>
                <w:rFonts w:ascii="Verdana" w:eastAsia="Arial" w:hAnsi="Verdana" w:cs="Arial"/>
                <w:color w:val="000000"/>
                <w:sz w:val="16"/>
                <w:szCs w:val="16"/>
              </w:rPr>
              <w:t>(1</w:t>
            </w:r>
            <w:r>
              <w:rPr>
                <w:rFonts w:ascii="Verdana" w:eastAsia="Arial" w:hAnsi="Verdana" w:cs="Arial"/>
                <w:color w:val="000000"/>
                <w:sz w:val="16"/>
                <w:szCs w:val="16"/>
              </w:rPr>
              <w:t>0</w:t>
            </w:r>
            <w:r w:rsidRPr="00A85744">
              <w:rPr>
                <w:rFonts w:ascii="Verdana" w:eastAsia="Arial" w:hAnsi="Verdana" w:cs="Arial"/>
                <w:color w:val="000000"/>
                <w:sz w:val="16"/>
                <w:szCs w:val="16"/>
              </w:rPr>
              <w:t>) años contados a partir de la expedición de la tarjeta profesional.</w:t>
            </w:r>
          </w:p>
          <w:p w14:paraId="432B91CA" w14:textId="3C0BEA64" w:rsidR="00DD2B86" w:rsidRPr="00A85744" w:rsidRDefault="00DD2B86" w:rsidP="00DD2B86">
            <w:pPr>
              <w:contextualSpacing/>
              <w:jc w:val="both"/>
              <w:rPr>
                <w:rFonts w:ascii="Verdana" w:hAnsi="Verdana"/>
                <w:color w:val="000000"/>
                <w:sz w:val="16"/>
                <w:szCs w:val="16"/>
              </w:rPr>
            </w:pPr>
            <w:r w:rsidRPr="00A85744">
              <w:rPr>
                <w:rFonts w:ascii="Verdana" w:hAnsi="Verdana"/>
                <w:b/>
                <w:bCs/>
                <w:sz w:val="16"/>
                <w:szCs w:val="16"/>
              </w:rPr>
              <w:t>Experiencia específica:</w:t>
            </w:r>
            <w:r w:rsidRPr="00A85744">
              <w:rPr>
                <w:rFonts w:ascii="Verdana" w:hAnsi="Verdana"/>
                <w:sz w:val="16"/>
                <w:szCs w:val="16"/>
              </w:rPr>
              <w:t> </w:t>
            </w:r>
            <w:r w:rsidRPr="00A85744">
              <w:rPr>
                <w:rFonts w:ascii="Verdana" w:hAnsi="Verdana"/>
                <w:color w:val="000000"/>
                <w:sz w:val="16"/>
                <w:szCs w:val="16"/>
              </w:rPr>
              <w:t xml:space="preserve">Acreditar experiencia como líder técnico, gerente, director o coordinador en mínimo </w:t>
            </w:r>
            <w:r>
              <w:rPr>
                <w:rFonts w:ascii="Verdana" w:hAnsi="Verdana"/>
                <w:color w:val="000000"/>
                <w:sz w:val="16"/>
                <w:szCs w:val="16"/>
              </w:rPr>
              <w:t xml:space="preserve">dos </w:t>
            </w:r>
            <w:r w:rsidRPr="00A85744">
              <w:rPr>
                <w:rFonts w:ascii="Verdana" w:hAnsi="Verdana"/>
                <w:color w:val="000000"/>
                <w:sz w:val="16"/>
                <w:szCs w:val="16"/>
              </w:rPr>
              <w:t>(</w:t>
            </w:r>
            <w:r>
              <w:rPr>
                <w:rFonts w:ascii="Verdana" w:hAnsi="Verdana"/>
                <w:color w:val="000000"/>
                <w:sz w:val="16"/>
                <w:szCs w:val="16"/>
              </w:rPr>
              <w:t>2</w:t>
            </w:r>
            <w:r w:rsidRPr="00A85744">
              <w:rPr>
                <w:rFonts w:ascii="Verdana" w:hAnsi="Verdana"/>
                <w:color w:val="000000"/>
                <w:sz w:val="16"/>
                <w:szCs w:val="16"/>
              </w:rPr>
              <w:t xml:space="preserve">) contratos o proyectos cuyo objeto y/o alcance contemple la gerencia, dirección, ejecución o interventoría integral de proyectos de seguridad electrónica, sistemas integrados de seguridad, videovigilancia (CCTV), Sistemas Integrados de </w:t>
            </w:r>
            <w:r w:rsidRPr="00A85744">
              <w:rPr>
                <w:rFonts w:ascii="Verdana" w:hAnsi="Verdana"/>
                <w:color w:val="000000"/>
                <w:sz w:val="16"/>
                <w:szCs w:val="16"/>
              </w:rPr>
              <w:lastRenderedPageBreak/>
              <w:t>Emergencias y Seguridad (SIES — incluida la Línea 123), infraestructura de telecomunicaciones, redes de fibra óptica o monitoreo electrónico. Al menos uno (1) de los proyectos deberá tener relación con el sector penitenciario, establecimientos de reclusión, monitoreo remoto de personas, sistemas de bloqueo de señales o servicios afines a la seguridad institucional del Estado.</w:t>
            </w:r>
          </w:p>
        </w:tc>
      </w:tr>
      <w:tr w:rsidR="00636024" w:rsidRPr="00763B30" w14:paraId="61D54C4A" w14:textId="77777777" w:rsidTr="00DD2B86">
        <w:tc>
          <w:tcPr>
            <w:tcW w:w="40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3DCA6A5F" w14:textId="77777777" w:rsidR="00636024" w:rsidRPr="00763B30" w:rsidRDefault="00636024" w:rsidP="00636024">
            <w:pPr>
              <w:contextualSpacing/>
              <w:jc w:val="center"/>
              <w:rPr>
                <w:rFonts w:ascii="Verdana" w:hAnsi="Verdana"/>
                <w:sz w:val="16"/>
                <w:szCs w:val="16"/>
              </w:rPr>
            </w:pPr>
            <w:r w:rsidRPr="00763B30">
              <w:rPr>
                <w:rFonts w:ascii="Verdana" w:hAnsi="Verdana"/>
                <w:b/>
                <w:bCs/>
                <w:color w:val="000000"/>
                <w:sz w:val="16"/>
                <w:szCs w:val="16"/>
              </w:rPr>
              <w:lastRenderedPageBreak/>
              <w:t>1</w:t>
            </w:r>
          </w:p>
        </w:tc>
        <w:tc>
          <w:tcPr>
            <w:tcW w:w="74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195FA398" w14:textId="57F67B98" w:rsidR="00636024" w:rsidRPr="00763B30" w:rsidRDefault="00636024" w:rsidP="00636024">
            <w:pPr>
              <w:contextualSpacing/>
              <w:rPr>
                <w:rFonts w:ascii="Verdana" w:hAnsi="Verdana"/>
                <w:sz w:val="16"/>
                <w:szCs w:val="16"/>
              </w:rPr>
            </w:pPr>
            <w:r w:rsidRPr="00763B30">
              <w:rPr>
                <w:rFonts w:ascii="Verdana" w:hAnsi="Verdana"/>
                <w:b/>
                <w:bCs/>
                <w:color w:val="000000"/>
                <w:sz w:val="16"/>
                <w:szCs w:val="16"/>
              </w:rPr>
              <w:t>Coordinador Técnico 1</w:t>
            </w:r>
          </w:p>
        </w:tc>
        <w:tc>
          <w:tcPr>
            <w:tcW w:w="1662"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0513B2F9" w14:textId="77777777" w:rsidR="00636024" w:rsidRPr="00763B30" w:rsidRDefault="00636024" w:rsidP="00636024">
            <w:pPr>
              <w:contextualSpacing/>
              <w:jc w:val="both"/>
              <w:rPr>
                <w:rFonts w:ascii="Verdana" w:hAnsi="Verdana"/>
                <w:sz w:val="16"/>
                <w:szCs w:val="16"/>
              </w:rPr>
            </w:pPr>
            <w:r w:rsidRPr="00763B30">
              <w:rPr>
                <w:rFonts w:ascii="Verdana" w:hAnsi="Verdana"/>
                <w:color w:val="000000"/>
                <w:sz w:val="16"/>
                <w:szCs w:val="16"/>
              </w:rPr>
              <w:t>Título profesional en ingeniería o áreas afines. Deberá acreditar entrenamiento o certificaciones en Ethical Hacking, Pentesting, Vulnerability Assessment, Security Testing o similares.</w:t>
            </w:r>
          </w:p>
        </w:tc>
        <w:tc>
          <w:tcPr>
            <w:tcW w:w="2198"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3CF683C6" w14:textId="3072ED16" w:rsidR="00636024" w:rsidRPr="00763B30" w:rsidRDefault="00636024" w:rsidP="00636024">
            <w:pPr>
              <w:contextualSpacing/>
              <w:jc w:val="both"/>
              <w:rPr>
                <w:rFonts w:ascii="Verdana" w:hAnsi="Verdana"/>
                <w:sz w:val="16"/>
                <w:szCs w:val="16"/>
              </w:rPr>
            </w:pPr>
            <w:r w:rsidRPr="00763B30">
              <w:rPr>
                <w:rFonts w:ascii="Verdana" w:hAnsi="Verdana"/>
                <w:b/>
                <w:bCs/>
                <w:sz w:val="16"/>
                <w:szCs w:val="16"/>
              </w:rPr>
              <w:t xml:space="preserve">Experiencia general: </w:t>
            </w:r>
            <w:r w:rsidRPr="00763B30">
              <w:rPr>
                <w:rFonts w:ascii="Verdana" w:hAnsi="Verdana"/>
                <w:sz w:val="16"/>
                <w:szCs w:val="16"/>
              </w:rPr>
              <w:t>Experiencia mínima de tres (3) años en análisis de vulnerabilidades, escaneo de infraestructura, pruebas de penetración, hardening, análisis de riesgos o evaluación de seguridad tecnológica.</w:t>
            </w:r>
            <w:r w:rsidR="00DD2B86">
              <w:rPr>
                <w:rFonts w:ascii="Verdana" w:hAnsi="Verdana"/>
                <w:sz w:val="16"/>
                <w:szCs w:val="16"/>
              </w:rPr>
              <w:t xml:space="preserve"> </w:t>
            </w:r>
            <w:r w:rsidRPr="00763B30">
              <w:rPr>
                <w:rFonts w:ascii="Verdana" w:hAnsi="Verdana"/>
                <w:b/>
                <w:bCs/>
                <w:sz w:val="16"/>
                <w:szCs w:val="16"/>
              </w:rPr>
              <w:t xml:space="preserve">Experiencia específica: </w:t>
            </w:r>
            <w:r w:rsidRPr="00763B30">
              <w:rPr>
                <w:rFonts w:ascii="Verdana" w:hAnsi="Verdana"/>
                <w:sz w:val="16"/>
                <w:szCs w:val="16"/>
              </w:rPr>
              <w:t>Se valorará experiencia en herramientas como Tenable, Nessus, Fortify, Burp Suite, Metasploit, OpenVAS o equivalentes.</w:t>
            </w:r>
          </w:p>
        </w:tc>
      </w:tr>
      <w:tr w:rsidR="00636024" w:rsidRPr="00763B30" w14:paraId="3A1BBCBA" w14:textId="77777777" w:rsidTr="00DD2B86">
        <w:tc>
          <w:tcPr>
            <w:tcW w:w="40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4EDCA034" w14:textId="77777777" w:rsidR="00636024" w:rsidRPr="00763B30" w:rsidRDefault="00636024" w:rsidP="00636024">
            <w:pPr>
              <w:contextualSpacing/>
              <w:jc w:val="center"/>
              <w:rPr>
                <w:rFonts w:ascii="Verdana" w:hAnsi="Verdana"/>
                <w:sz w:val="16"/>
                <w:szCs w:val="16"/>
              </w:rPr>
            </w:pPr>
            <w:r w:rsidRPr="00763B30">
              <w:rPr>
                <w:rFonts w:ascii="Verdana" w:hAnsi="Verdana"/>
                <w:b/>
                <w:bCs/>
                <w:color w:val="000000"/>
                <w:sz w:val="16"/>
                <w:szCs w:val="16"/>
              </w:rPr>
              <w:t>1</w:t>
            </w:r>
          </w:p>
        </w:tc>
        <w:tc>
          <w:tcPr>
            <w:tcW w:w="74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00FAC542" w14:textId="4728CD62" w:rsidR="00636024" w:rsidRPr="00763B30" w:rsidRDefault="00636024" w:rsidP="00636024">
            <w:pPr>
              <w:contextualSpacing/>
              <w:rPr>
                <w:rFonts w:ascii="Verdana" w:hAnsi="Verdana"/>
                <w:sz w:val="16"/>
                <w:szCs w:val="16"/>
              </w:rPr>
            </w:pPr>
            <w:r>
              <w:rPr>
                <w:rFonts w:ascii="Verdana" w:hAnsi="Verdana"/>
                <w:b/>
                <w:bCs/>
                <w:color w:val="000000"/>
                <w:sz w:val="16"/>
                <w:szCs w:val="16"/>
              </w:rPr>
              <w:t>Coordinador Técnico 2</w:t>
            </w:r>
          </w:p>
        </w:tc>
        <w:tc>
          <w:tcPr>
            <w:tcW w:w="1662"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2F6E2AB4" w14:textId="77777777" w:rsidR="00636024" w:rsidRPr="00763B30" w:rsidRDefault="00636024" w:rsidP="00636024">
            <w:pPr>
              <w:contextualSpacing/>
              <w:jc w:val="both"/>
              <w:rPr>
                <w:rFonts w:ascii="Verdana" w:hAnsi="Verdana"/>
                <w:sz w:val="16"/>
                <w:szCs w:val="16"/>
              </w:rPr>
            </w:pPr>
            <w:r w:rsidRPr="00763B30">
              <w:rPr>
                <w:rFonts w:ascii="Verdana" w:hAnsi="Verdana"/>
                <w:color w:val="000000"/>
                <w:sz w:val="16"/>
                <w:szCs w:val="16"/>
              </w:rPr>
              <w:t>Título profesional en ingeniería o carreras afines. Deberá acreditar capacitación o certificaciones en Cloud Security, CASB, Zero Trust, Seguridad SaaS, Seguridad híbrida, IAM/PAM o tecnologías equivalentes.</w:t>
            </w:r>
          </w:p>
        </w:tc>
        <w:tc>
          <w:tcPr>
            <w:tcW w:w="2198"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3068F7EF" w14:textId="77777777" w:rsidR="00636024" w:rsidRPr="00763B30" w:rsidRDefault="00636024" w:rsidP="00636024">
            <w:pPr>
              <w:contextualSpacing/>
              <w:jc w:val="both"/>
              <w:rPr>
                <w:rFonts w:ascii="Verdana" w:hAnsi="Verdana"/>
                <w:sz w:val="16"/>
                <w:szCs w:val="16"/>
              </w:rPr>
            </w:pPr>
            <w:r w:rsidRPr="00763B30">
              <w:rPr>
                <w:rFonts w:ascii="Verdana" w:hAnsi="Verdana"/>
                <w:b/>
                <w:bCs/>
                <w:sz w:val="16"/>
                <w:szCs w:val="16"/>
              </w:rPr>
              <w:t xml:space="preserve">Experiencia general: </w:t>
            </w:r>
            <w:r w:rsidRPr="00763B30">
              <w:rPr>
                <w:rFonts w:ascii="Verdana" w:hAnsi="Verdana"/>
                <w:sz w:val="16"/>
                <w:szCs w:val="16"/>
              </w:rPr>
              <w:t>Experiencia mínima de dos (2) años en implementación o soporte de soluciones de seguridad cloud, protección de accesos, administración de identidades privilegiadas, protección de aplicaciones SaaS o monitoreo de entornos híbridos.</w:t>
            </w:r>
          </w:p>
          <w:p w14:paraId="45FC682C" w14:textId="77777777" w:rsidR="00636024" w:rsidRPr="00763B30" w:rsidRDefault="00636024" w:rsidP="00636024">
            <w:pPr>
              <w:contextualSpacing/>
              <w:jc w:val="both"/>
              <w:rPr>
                <w:rFonts w:ascii="Verdana" w:hAnsi="Verdana"/>
                <w:sz w:val="16"/>
                <w:szCs w:val="16"/>
              </w:rPr>
            </w:pPr>
            <w:r w:rsidRPr="00763B30">
              <w:rPr>
                <w:rFonts w:ascii="Verdana" w:hAnsi="Verdana"/>
                <w:b/>
                <w:bCs/>
                <w:sz w:val="16"/>
                <w:szCs w:val="16"/>
              </w:rPr>
              <w:t xml:space="preserve">Experiencia específica: </w:t>
            </w:r>
            <w:r w:rsidRPr="00763B30">
              <w:rPr>
                <w:rFonts w:ascii="Verdana" w:hAnsi="Verdana"/>
                <w:sz w:val="16"/>
                <w:szCs w:val="16"/>
              </w:rPr>
              <w:t>Se valorarán proyectos previos con arquitecturas cloud, híbridas o multi-cloud relacionados con sistemas críticos.</w:t>
            </w:r>
          </w:p>
        </w:tc>
      </w:tr>
      <w:tr w:rsidR="00B11543" w:rsidRPr="00763B30" w14:paraId="0069A11A" w14:textId="77777777" w:rsidTr="00DD2B86">
        <w:tc>
          <w:tcPr>
            <w:tcW w:w="40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5523F6B9" w14:textId="08C98D03" w:rsidR="00B11543" w:rsidRPr="00763B30" w:rsidRDefault="00B11543" w:rsidP="00B11543">
            <w:pPr>
              <w:contextualSpacing/>
              <w:jc w:val="center"/>
              <w:rPr>
                <w:rFonts w:ascii="Verdana" w:hAnsi="Verdana"/>
                <w:sz w:val="16"/>
                <w:szCs w:val="16"/>
              </w:rPr>
            </w:pPr>
            <w:r w:rsidRPr="00763B30">
              <w:rPr>
                <w:rFonts w:ascii="Verdana" w:hAnsi="Verdana"/>
                <w:b/>
                <w:bCs/>
                <w:color w:val="000000"/>
                <w:sz w:val="16"/>
                <w:szCs w:val="16"/>
              </w:rPr>
              <w:t>1</w:t>
            </w:r>
          </w:p>
        </w:tc>
        <w:tc>
          <w:tcPr>
            <w:tcW w:w="74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5FBCF82A" w14:textId="4792DE9C" w:rsidR="00B11543" w:rsidRPr="00763B30" w:rsidRDefault="00B11543" w:rsidP="00B11543">
            <w:pPr>
              <w:contextualSpacing/>
              <w:rPr>
                <w:rFonts w:ascii="Verdana" w:hAnsi="Verdana"/>
                <w:sz w:val="16"/>
                <w:szCs w:val="16"/>
              </w:rPr>
            </w:pPr>
            <w:r w:rsidRPr="00763B30">
              <w:rPr>
                <w:rFonts w:ascii="Verdana" w:hAnsi="Verdana"/>
                <w:b/>
                <w:bCs/>
                <w:color w:val="000000"/>
                <w:sz w:val="16"/>
                <w:szCs w:val="16"/>
              </w:rPr>
              <w:t>Líder Jurídico</w:t>
            </w:r>
          </w:p>
        </w:tc>
        <w:tc>
          <w:tcPr>
            <w:tcW w:w="1662"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6F893EBE" w14:textId="182D6982" w:rsidR="00B11543" w:rsidRPr="00763B30" w:rsidRDefault="00B11543" w:rsidP="00B11543">
            <w:pPr>
              <w:contextualSpacing/>
              <w:jc w:val="both"/>
              <w:rPr>
                <w:rFonts w:ascii="Verdana" w:hAnsi="Verdana"/>
                <w:sz w:val="16"/>
                <w:szCs w:val="16"/>
              </w:rPr>
            </w:pPr>
            <w:r w:rsidRPr="00763B30">
              <w:rPr>
                <w:rFonts w:ascii="Verdana" w:hAnsi="Verdana"/>
                <w:color w:val="000000"/>
                <w:sz w:val="16"/>
                <w:szCs w:val="16"/>
              </w:rPr>
              <w:t>Profesional en Derecho, con postgrado a nivel mínimo de especialización.</w:t>
            </w:r>
          </w:p>
        </w:tc>
        <w:tc>
          <w:tcPr>
            <w:tcW w:w="2198"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18851349" w14:textId="77777777" w:rsidR="00B11543" w:rsidRPr="00763B30" w:rsidRDefault="00B11543" w:rsidP="00B11543">
            <w:pPr>
              <w:contextualSpacing/>
              <w:jc w:val="both"/>
              <w:rPr>
                <w:rFonts w:ascii="Verdana" w:hAnsi="Verdana"/>
                <w:sz w:val="16"/>
                <w:szCs w:val="16"/>
              </w:rPr>
            </w:pPr>
            <w:r w:rsidRPr="00763B30">
              <w:rPr>
                <w:rFonts w:ascii="Verdana" w:hAnsi="Verdana"/>
                <w:b/>
                <w:bCs/>
                <w:sz w:val="16"/>
                <w:szCs w:val="16"/>
              </w:rPr>
              <w:t xml:space="preserve">Experiencia general: </w:t>
            </w:r>
            <w:r w:rsidRPr="00763B30">
              <w:rPr>
                <w:rFonts w:ascii="Verdana" w:hAnsi="Verdana"/>
                <w:sz w:val="16"/>
                <w:szCs w:val="16"/>
              </w:rPr>
              <w:t xml:space="preserve">Mínimo </w:t>
            </w:r>
            <w:r>
              <w:rPr>
                <w:rFonts w:ascii="Verdana" w:hAnsi="Verdana"/>
                <w:sz w:val="16"/>
                <w:szCs w:val="16"/>
              </w:rPr>
              <w:t>ocho</w:t>
            </w:r>
            <w:r w:rsidRPr="00763B30">
              <w:rPr>
                <w:rFonts w:ascii="Verdana" w:hAnsi="Verdana"/>
                <w:sz w:val="16"/>
                <w:szCs w:val="16"/>
              </w:rPr>
              <w:t xml:space="preserve"> (</w:t>
            </w:r>
            <w:r>
              <w:rPr>
                <w:rFonts w:ascii="Verdana" w:hAnsi="Verdana"/>
                <w:sz w:val="16"/>
                <w:szCs w:val="16"/>
              </w:rPr>
              <w:t>8</w:t>
            </w:r>
            <w:r w:rsidRPr="00763B30">
              <w:rPr>
                <w:rFonts w:ascii="Verdana" w:hAnsi="Verdana"/>
                <w:sz w:val="16"/>
                <w:szCs w:val="16"/>
              </w:rPr>
              <w:t>) años contados a partir de la expedición de la tarjeta profesional o terminación del pensum académico, según aplique.</w:t>
            </w:r>
          </w:p>
          <w:p w14:paraId="47651419" w14:textId="44419B2E" w:rsidR="00B11543" w:rsidRPr="00763B30" w:rsidRDefault="00B11543" w:rsidP="00B11543">
            <w:pPr>
              <w:contextualSpacing/>
              <w:jc w:val="both"/>
              <w:rPr>
                <w:rFonts w:ascii="Verdana" w:hAnsi="Verdana"/>
                <w:sz w:val="16"/>
                <w:szCs w:val="16"/>
              </w:rPr>
            </w:pPr>
            <w:r w:rsidRPr="00763B30">
              <w:rPr>
                <w:rFonts w:ascii="Verdana" w:hAnsi="Verdana"/>
                <w:b/>
                <w:bCs/>
                <w:sz w:val="16"/>
                <w:szCs w:val="16"/>
              </w:rPr>
              <w:t xml:space="preserve">Experiencia específica: </w:t>
            </w:r>
            <w:r w:rsidRPr="00763B30">
              <w:rPr>
                <w:rFonts w:ascii="Verdana" w:hAnsi="Verdana"/>
                <w:sz w:val="16"/>
                <w:szCs w:val="16"/>
              </w:rPr>
              <w:t xml:space="preserve">Como asesor, coordinador o líder jurídico con experiencia mínima de </w:t>
            </w:r>
            <w:r>
              <w:rPr>
                <w:rFonts w:ascii="Verdana" w:hAnsi="Verdana"/>
                <w:sz w:val="16"/>
                <w:szCs w:val="16"/>
              </w:rPr>
              <w:t>cuatro</w:t>
            </w:r>
            <w:r w:rsidRPr="00763B30">
              <w:rPr>
                <w:rFonts w:ascii="Verdana" w:hAnsi="Verdana"/>
                <w:sz w:val="16"/>
                <w:szCs w:val="16"/>
              </w:rPr>
              <w:t xml:space="preserve"> (</w:t>
            </w:r>
            <w:r>
              <w:rPr>
                <w:rFonts w:ascii="Verdana" w:hAnsi="Verdana"/>
                <w:sz w:val="16"/>
                <w:szCs w:val="16"/>
              </w:rPr>
              <w:t>4</w:t>
            </w:r>
            <w:r w:rsidRPr="00763B30">
              <w:rPr>
                <w:rFonts w:ascii="Verdana" w:hAnsi="Verdana"/>
                <w:sz w:val="16"/>
                <w:szCs w:val="16"/>
              </w:rPr>
              <w:t>) años en proyectos de seguridad electrónica en monitoreo remoto de personas.</w:t>
            </w:r>
          </w:p>
        </w:tc>
      </w:tr>
      <w:tr w:rsidR="00B11543" w:rsidRPr="00763B30" w14:paraId="0010B51C" w14:textId="77777777" w:rsidTr="00DD2B86">
        <w:tc>
          <w:tcPr>
            <w:tcW w:w="40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4F228226" w14:textId="0B934A7A" w:rsidR="00B11543" w:rsidRPr="00763B30" w:rsidRDefault="00B11543" w:rsidP="00B11543">
            <w:pPr>
              <w:contextualSpacing/>
              <w:jc w:val="center"/>
              <w:rPr>
                <w:rFonts w:ascii="Verdana" w:hAnsi="Verdana"/>
                <w:b/>
                <w:bCs/>
                <w:color w:val="000000"/>
                <w:sz w:val="16"/>
                <w:szCs w:val="16"/>
              </w:rPr>
            </w:pPr>
            <w:r>
              <w:rPr>
                <w:rFonts w:ascii="Verdana" w:hAnsi="Verdana"/>
                <w:b/>
                <w:bCs/>
                <w:color w:val="000000"/>
                <w:sz w:val="16"/>
                <w:szCs w:val="16"/>
              </w:rPr>
              <w:t>1</w:t>
            </w:r>
          </w:p>
        </w:tc>
        <w:tc>
          <w:tcPr>
            <w:tcW w:w="740"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79E7D60D" w14:textId="17D91996" w:rsidR="00B11543" w:rsidRPr="00763B30" w:rsidRDefault="00B11543" w:rsidP="00B11543">
            <w:pPr>
              <w:contextualSpacing/>
              <w:rPr>
                <w:rFonts w:ascii="Verdana" w:hAnsi="Verdana"/>
                <w:b/>
                <w:bCs/>
                <w:color w:val="000000"/>
                <w:sz w:val="16"/>
                <w:szCs w:val="16"/>
              </w:rPr>
            </w:pPr>
            <w:r>
              <w:rPr>
                <w:rFonts w:ascii="Verdana" w:hAnsi="Verdana"/>
                <w:b/>
                <w:bCs/>
                <w:color w:val="000000"/>
                <w:sz w:val="16"/>
                <w:szCs w:val="16"/>
              </w:rPr>
              <w:t>Líder Financiero</w:t>
            </w:r>
          </w:p>
        </w:tc>
        <w:tc>
          <w:tcPr>
            <w:tcW w:w="1662"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7EB75ADE" w14:textId="77777777" w:rsidR="00B11543" w:rsidRPr="00072B81" w:rsidRDefault="00B11543" w:rsidP="00B11543">
            <w:pPr>
              <w:contextualSpacing/>
              <w:jc w:val="both"/>
              <w:rPr>
                <w:rFonts w:ascii="Verdana" w:hAnsi="Verdana"/>
                <w:sz w:val="16"/>
                <w:szCs w:val="16"/>
              </w:rPr>
            </w:pPr>
            <w:r w:rsidRPr="00072B81">
              <w:rPr>
                <w:rFonts w:ascii="Verdana" w:hAnsi="Verdana"/>
                <w:b/>
                <w:bCs/>
                <w:sz w:val="16"/>
                <w:szCs w:val="16"/>
              </w:rPr>
              <w:t>Formación académica:</w:t>
            </w:r>
            <w:r w:rsidRPr="00072B81">
              <w:rPr>
                <w:rFonts w:ascii="Verdana" w:hAnsi="Verdana"/>
                <w:sz w:val="16"/>
                <w:szCs w:val="16"/>
              </w:rPr>
              <w:t> Profesional en: Contaduría Pública o Economía o</w:t>
            </w:r>
          </w:p>
          <w:p w14:paraId="5B25EC82" w14:textId="77777777" w:rsidR="00B11543" w:rsidRPr="00072B81" w:rsidRDefault="00B11543" w:rsidP="00B11543">
            <w:pPr>
              <w:contextualSpacing/>
              <w:jc w:val="both"/>
              <w:rPr>
                <w:rFonts w:ascii="Verdana" w:hAnsi="Verdana"/>
                <w:sz w:val="16"/>
                <w:szCs w:val="16"/>
              </w:rPr>
            </w:pPr>
            <w:r w:rsidRPr="00072B81">
              <w:rPr>
                <w:rFonts w:ascii="Verdana" w:hAnsi="Verdana"/>
                <w:sz w:val="16"/>
                <w:szCs w:val="16"/>
              </w:rPr>
              <w:t>Finanzas con posgrado en áreas financieras o</w:t>
            </w:r>
          </w:p>
          <w:p w14:paraId="58EF2CCA" w14:textId="77777777" w:rsidR="00B11543" w:rsidRPr="00072B81" w:rsidRDefault="00B11543" w:rsidP="00B11543">
            <w:pPr>
              <w:contextualSpacing/>
              <w:jc w:val="both"/>
              <w:rPr>
                <w:rFonts w:ascii="Verdana" w:hAnsi="Verdana"/>
                <w:sz w:val="16"/>
                <w:szCs w:val="16"/>
              </w:rPr>
            </w:pPr>
            <w:r w:rsidRPr="00072B81">
              <w:rPr>
                <w:rFonts w:ascii="Verdana" w:hAnsi="Verdana"/>
                <w:sz w:val="16"/>
                <w:szCs w:val="16"/>
              </w:rPr>
              <w:t>contables y/o afines.</w:t>
            </w:r>
          </w:p>
          <w:p w14:paraId="4E0BA04A" w14:textId="0CA563F3" w:rsidR="00B11543" w:rsidRPr="00763B30" w:rsidRDefault="00B11543" w:rsidP="00B11543">
            <w:pPr>
              <w:contextualSpacing/>
              <w:jc w:val="both"/>
              <w:rPr>
                <w:rFonts w:ascii="Verdana" w:hAnsi="Verdana"/>
                <w:color w:val="000000"/>
                <w:sz w:val="16"/>
                <w:szCs w:val="16"/>
              </w:rPr>
            </w:pPr>
          </w:p>
        </w:tc>
        <w:tc>
          <w:tcPr>
            <w:tcW w:w="2198" w:type="pct"/>
            <w:tcBorders>
              <w:top w:val="single" w:sz="4" w:space="0" w:color="808080"/>
              <w:left w:val="single" w:sz="4" w:space="0" w:color="808080"/>
              <w:bottom w:val="single" w:sz="4" w:space="0" w:color="808080"/>
              <w:right w:val="single" w:sz="4" w:space="0" w:color="808080"/>
            </w:tcBorders>
            <w:tcMar>
              <w:top w:w="100" w:type="dxa"/>
              <w:left w:w="140" w:type="dxa"/>
              <w:bottom w:w="100" w:type="dxa"/>
              <w:right w:w="140" w:type="dxa"/>
            </w:tcMar>
            <w:vAlign w:val="center"/>
          </w:tcPr>
          <w:p w14:paraId="6A961AFF" w14:textId="77777777" w:rsidR="00B11543" w:rsidRPr="00072B81" w:rsidRDefault="00B11543" w:rsidP="00B11543">
            <w:pPr>
              <w:contextualSpacing/>
              <w:jc w:val="both"/>
              <w:rPr>
                <w:rFonts w:ascii="Verdana" w:hAnsi="Verdana"/>
                <w:sz w:val="16"/>
                <w:szCs w:val="16"/>
              </w:rPr>
            </w:pPr>
            <w:r w:rsidRPr="00421647">
              <w:rPr>
                <w:rFonts w:ascii="Verdana" w:hAnsi="Verdana"/>
                <w:b/>
                <w:bCs/>
                <w:sz w:val="16"/>
                <w:szCs w:val="16"/>
              </w:rPr>
              <w:t>Experiencia general: Experiencia mínima de dos (2) años en: interventoría o soporte financiero en proyectos TIC</w:t>
            </w:r>
          </w:p>
          <w:p w14:paraId="1B968BC5" w14:textId="77777777" w:rsidR="00B11543" w:rsidRPr="00072B81" w:rsidRDefault="00B11543" w:rsidP="00B11543">
            <w:pPr>
              <w:contextualSpacing/>
              <w:jc w:val="both"/>
              <w:rPr>
                <w:rFonts w:ascii="Verdana" w:hAnsi="Verdana"/>
                <w:sz w:val="16"/>
                <w:szCs w:val="16"/>
              </w:rPr>
            </w:pPr>
            <w:r w:rsidRPr="00072B81">
              <w:rPr>
                <w:rFonts w:ascii="Verdana" w:hAnsi="Verdana"/>
                <w:sz w:val="16"/>
                <w:szCs w:val="16"/>
              </w:rPr>
              <w:t>preferiblemente con conocimiento en el sector público en la rama de su conocimiento.</w:t>
            </w:r>
          </w:p>
          <w:p w14:paraId="2F11228E" w14:textId="56441DD6" w:rsidR="00B11543" w:rsidRPr="00421647" w:rsidRDefault="00B11543" w:rsidP="00B11543">
            <w:pPr>
              <w:contextualSpacing/>
              <w:jc w:val="both"/>
              <w:rPr>
                <w:rFonts w:ascii="Verdana" w:hAnsi="Verdana"/>
                <w:color w:val="000000"/>
                <w:sz w:val="16"/>
                <w:szCs w:val="16"/>
              </w:rPr>
            </w:pPr>
          </w:p>
        </w:tc>
      </w:tr>
    </w:tbl>
    <w:p w14:paraId="697C2B97" w14:textId="77777777" w:rsidR="00487997" w:rsidRPr="00BE5FCA" w:rsidRDefault="00487997">
      <w:pPr>
        <w:spacing w:after="60"/>
        <w:rPr>
          <w:rFonts w:ascii="Verdana" w:hAnsi="Verdana"/>
          <w:sz w:val="18"/>
          <w:szCs w:val="18"/>
        </w:rPr>
      </w:pPr>
    </w:p>
    <w:p w14:paraId="5BA130C5"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personal anteriormente descrito será de carácter obligatorio en el contrato, por lo cual el contratista deberá tener en cuenta y considerar su totalidad al momento de elaborar su oferta económica.</w:t>
      </w:r>
    </w:p>
    <w:p w14:paraId="51D8EB81"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Presentar a la supervisión del contrato, dentro de los cinco (5) días hábiles siguientes a la suscripción del contrato y previo a la firma del acta de inicio, los soportes correspondientes que acrediten las calidades, la experiencia general y la experiencia específica del personal mínimo requerido para la ejecución del contrato.</w:t>
      </w:r>
    </w:p>
    <w:p w14:paraId="09CF89F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lastRenderedPageBreak/>
        <w:t>Si durante la ejecución del contrato se presenta el caso de modificaciones en la plantilla de personal ya aprobada por la supervisión, el contratista deberá allegar las hojas de vida correspondientes para ser aprobadas por el supervisor dentro de los términos contractuales. El personal por reemplazarse no podrá retirarse del cumplimiento del rol asignado hasta tanto no inicie actividades su reemplazo. Para el caso del personal que fue objeto de puntaje para calificación por calidad, la USPEC se reserva el derecho de aprobar dicho cambio si la motivación no se encuentra ajustada a una situación de fuerza mayor comprobada.</w:t>
      </w:r>
    </w:p>
    <w:p w14:paraId="52DEA1F5" w14:textId="77777777" w:rsidR="00487997" w:rsidRPr="00BE5FCA" w:rsidRDefault="00000000">
      <w:pPr>
        <w:pStyle w:val="Ttulo1"/>
        <w:rPr>
          <w:rFonts w:ascii="Verdana" w:hAnsi="Verdana"/>
          <w:sz w:val="18"/>
          <w:szCs w:val="18"/>
        </w:rPr>
      </w:pPr>
      <w:r w:rsidRPr="00BE5FCA">
        <w:rPr>
          <w:rFonts w:ascii="Verdana" w:hAnsi="Verdana"/>
          <w:sz w:val="18"/>
          <w:szCs w:val="18"/>
        </w:rPr>
        <w:t>19. FIRMA DEL ACTA DE INICIO DEL CONTRATO</w:t>
      </w:r>
    </w:p>
    <w:p w14:paraId="41F80FD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Posterior a la aceptación de la oferta y suscripción del contrato, el consultor deberá presentar ante la Entidad el personal mínimo solicitado para su aprobación, así como las garantías actualizadas correspondientes.</w:t>
      </w:r>
    </w:p>
    <w:p w14:paraId="648585A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Una vez se genere la aprobación de lo anterior, se realizará la suscripción del acta de inicio del contrato entre el contratista de consultoría y el supervisor de la USPEC, de acuerdo con los formatos establecidos por la USPEC y conforme al Manual de Supervisión e Interventoría vigente en la Entidad y a la normatividad aplicable.</w:t>
      </w:r>
    </w:p>
    <w:p w14:paraId="71650E83" w14:textId="77777777" w:rsidR="00487997" w:rsidRPr="00BE5FCA" w:rsidRDefault="00000000">
      <w:pPr>
        <w:pStyle w:val="Ttulo1"/>
        <w:rPr>
          <w:rFonts w:ascii="Verdana" w:hAnsi="Verdana"/>
          <w:sz w:val="18"/>
          <w:szCs w:val="18"/>
        </w:rPr>
      </w:pPr>
      <w:r w:rsidRPr="00BE5FCA">
        <w:rPr>
          <w:rFonts w:ascii="Verdana" w:hAnsi="Verdana"/>
          <w:sz w:val="18"/>
          <w:szCs w:val="18"/>
        </w:rPr>
        <w:t>20. DESARROLLO DEL CONTRATO</w:t>
      </w:r>
    </w:p>
    <w:p w14:paraId="4CEAB64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En el desarrollo del contrato resultante de este proceso de selección, el contratista deberá surtir las dos (2) fases definidas en el numeral 4 del presente Anexo Técnico: la primera, para la estructuración de la totalidad de documentos producto de la consultoría; y la segunda, para la materialización de la figura óptima.</w:t>
      </w:r>
    </w:p>
    <w:p w14:paraId="63603B1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contratista debe conocer, aplicar y cumplir con los lineamientos que se establecen en el Manual de Supervisión e Interventoría vigente en la USPEC, así como con los manuales y procedimientos institucionales aplicables.</w:t>
      </w:r>
    </w:p>
    <w:p w14:paraId="7DC75451" w14:textId="77777777" w:rsidR="00487997" w:rsidRPr="00BE5FCA" w:rsidRDefault="00000000">
      <w:pPr>
        <w:pStyle w:val="Ttulo1"/>
        <w:rPr>
          <w:rFonts w:ascii="Verdana" w:hAnsi="Verdana"/>
          <w:sz w:val="18"/>
          <w:szCs w:val="18"/>
        </w:rPr>
      </w:pPr>
      <w:r w:rsidRPr="00BE5FCA">
        <w:rPr>
          <w:rFonts w:ascii="Verdana" w:hAnsi="Verdana"/>
          <w:sz w:val="18"/>
          <w:szCs w:val="18"/>
        </w:rPr>
        <w:t>21. CONTROL Y SEGUIMIENTO</w:t>
      </w:r>
    </w:p>
    <w:p w14:paraId="62FA9066"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contratista debe acatar la metodología de control y seguimiento de los procesos técnicos, operativos, administrativos, financieros, contables y legales requeridos para las actividades de la consultoría y del desarrollo del contrato, teniendo en cuenta los recursos y los documentos de programación aprobados por la supervisión.</w:t>
      </w:r>
    </w:p>
    <w:p w14:paraId="41828554" w14:textId="77777777" w:rsidR="00487997" w:rsidRPr="00BE5FCA" w:rsidRDefault="00000000">
      <w:pPr>
        <w:pStyle w:val="Ttulo1"/>
        <w:rPr>
          <w:rFonts w:ascii="Verdana" w:hAnsi="Verdana"/>
          <w:sz w:val="18"/>
          <w:szCs w:val="18"/>
        </w:rPr>
      </w:pPr>
      <w:r w:rsidRPr="00BE5FCA">
        <w:rPr>
          <w:rFonts w:ascii="Verdana" w:hAnsi="Verdana"/>
          <w:sz w:val="18"/>
          <w:szCs w:val="18"/>
        </w:rPr>
        <w:t>22. INFORMES</w:t>
      </w:r>
    </w:p>
    <w:p w14:paraId="4741AD0D" w14:textId="77777777" w:rsidR="00487997" w:rsidRPr="00BE5FCA" w:rsidRDefault="00000000">
      <w:pPr>
        <w:pStyle w:val="Ttulo2"/>
        <w:rPr>
          <w:rFonts w:ascii="Verdana" w:hAnsi="Verdana"/>
          <w:sz w:val="18"/>
          <w:szCs w:val="18"/>
        </w:rPr>
      </w:pPr>
      <w:r w:rsidRPr="00BE5FCA">
        <w:rPr>
          <w:rFonts w:ascii="Verdana" w:hAnsi="Verdana"/>
          <w:sz w:val="18"/>
          <w:szCs w:val="18"/>
        </w:rPr>
        <w:t>22.1. Informe mensual</w:t>
      </w:r>
    </w:p>
    <w:p w14:paraId="3D9894C7"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contratista presentará mensualmente a la supervisión, para su revisión, verificación y aprobación, un informe en medio físico y magnético, en el que se consigne en detalle el estado de ejecución de la consultoría. Deberá contener como mínimo:</w:t>
      </w:r>
    </w:p>
    <w:p w14:paraId="219073F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Información general del contrato (número, objeto, fecha de inicio, valor, plazo, vigencia de garantías, modificaciones contractuales, estado de actas de pago, valor de actas pagadas, valor de actas en trámite).</w:t>
      </w:r>
    </w:p>
    <w:p w14:paraId="3DBD336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Detalle del alcance proyectado en el contrato.</w:t>
      </w:r>
    </w:p>
    <w:p w14:paraId="1E6AC9F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Resumen y avance de las actividades programadas versus ejecutadas en el mes.</w:t>
      </w:r>
    </w:p>
    <w:p w14:paraId="01D3F69C"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Relación del personal empleado en la ejecución de la consultoría.</w:t>
      </w:r>
    </w:p>
    <w:p w14:paraId="3BA8704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Balance y actualización del presupuesto, indicando los recursos utilizados por el contratista.</w:t>
      </w:r>
    </w:p>
    <w:p w14:paraId="47E810B6"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Soportes de cumplimiento del SG-SST y de los demás planes y programas aplicables (cuando aplique).</w:t>
      </w:r>
    </w:p>
    <w:p w14:paraId="2CD5FA73"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Actualización de la programación del contrato.</w:t>
      </w:r>
    </w:p>
    <w:p w14:paraId="27F5C99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Acreditación del pago al día de aportes al Sistema de Seguridad Social Integral y parafiscales (SENA, ICBF y cajas de compensación familiar) cuando corresponda.</w:t>
      </w:r>
    </w:p>
    <w:p w14:paraId="1B42BDEF" w14:textId="77777777" w:rsidR="00487997" w:rsidRPr="00BE5FCA" w:rsidRDefault="00000000">
      <w:pPr>
        <w:pStyle w:val="Ttulo2"/>
        <w:rPr>
          <w:rFonts w:ascii="Verdana" w:hAnsi="Verdana"/>
          <w:sz w:val="18"/>
          <w:szCs w:val="18"/>
        </w:rPr>
      </w:pPr>
      <w:r w:rsidRPr="00BE5FCA">
        <w:rPr>
          <w:rFonts w:ascii="Verdana" w:hAnsi="Verdana"/>
          <w:sz w:val="18"/>
          <w:szCs w:val="18"/>
        </w:rPr>
        <w:t>22.2. Otros informes técnicos o extraordinarios</w:t>
      </w:r>
    </w:p>
    <w:p w14:paraId="6A7D2FC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Informes para organismos de control y vigilancia, ajustándose a las condiciones y plazos que indique la Entidad.</w:t>
      </w:r>
    </w:p>
    <w:p w14:paraId="5F9E906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Informes técnicos y procedimientos que la supervisión solicite para mantener actualizada la información sobre la ejecución de actividades.</w:t>
      </w:r>
    </w:p>
    <w:p w14:paraId="61159DB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Los demás informes que requiera la USPEC en relación con el objeto del contrato, en la forma y periodicidad que se solicite.</w:t>
      </w:r>
    </w:p>
    <w:p w14:paraId="15509CCC" w14:textId="77777777" w:rsidR="00487997" w:rsidRPr="00BE5FCA" w:rsidRDefault="00000000">
      <w:pPr>
        <w:pStyle w:val="Ttulo2"/>
        <w:rPr>
          <w:rFonts w:ascii="Verdana" w:hAnsi="Verdana"/>
          <w:sz w:val="18"/>
          <w:szCs w:val="18"/>
        </w:rPr>
      </w:pPr>
      <w:r w:rsidRPr="00BE5FCA">
        <w:rPr>
          <w:rFonts w:ascii="Verdana" w:hAnsi="Verdana"/>
          <w:sz w:val="18"/>
          <w:szCs w:val="18"/>
        </w:rPr>
        <w:t>22.3. Informe final — Cierre del proyecto</w:t>
      </w:r>
    </w:p>
    <w:p w14:paraId="509C08BD"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Al terminar las actividades del contrato, el contratista entregará a la supervisión, para su revisión, verificación y aprobación, un informe final que constituya la memoria descriptiva consolidada del contrato, en forma impresa (original) y en copia magnética. Contendrá como mínimo:</w:t>
      </w:r>
    </w:p>
    <w:p w14:paraId="0D081135"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Información general del contrato y aspectos contractuales relevantes.</w:t>
      </w:r>
    </w:p>
    <w:p w14:paraId="0988C9D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Antecedentes y descripción general de los trabajos y actividades realizadas.</w:t>
      </w:r>
    </w:p>
    <w:p w14:paraId="5FB4F22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Reporte de control legal (adiciones, otrosíes, modificaciones, pólizas, garantías y actas).</w:t>
      </w:r>
    </w:p>
    <w:p w14:paraId="3BBBD92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Reporte de control financiero (balance económico del contrato).</w:t>
      </w:r>
    </w:p>
    <w:p w14:paraId="308786F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Reporte de control administrativo (relación de actas de comités, reuniones, informes y correspondencia).</w:t>
      </w:r>
    </w:p>
    <w:p w14:paraId="5A516F9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Información adicional relevante.</w:t>
      </w:r>
    </w:p>
    <w:p w14:paraId="013401F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Programación final del proyecto.</w:t>
      </w:r>
    </w:p>
    <w:p w14:paraId="433BA34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Paz y salvo, por todo concepto, expedido por subcontratistas y proveedores.</w:t>
      </w:r>
    </w:p>
    <w:p w14:paraId="61F429D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Paz y salvo de pago de honorarios y salarios.</w:t>
      </w:r>
    </w:p>
    <w:p w14:paraId="6EF53DB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Modificación o actualización de las garantías que así lo requieran.</w:t>
      </w:r>
    </w:p>
    <w:p w14:paraId="514DB347"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Acreditación de estar al día en aportes al Sistema de Seguridad Social Integral, SENA, ICBF y cajas de compensación familiar, cuando corresponda.</w:t>
      </w:r>
    </w:p>
    <w:p w14:paraId="2CE3992A" w14:textId="77777777" w:rsidR="00487997" w:rsidRPr="00BE5FCA" w:rsidRDefault="00000000">
      <w:pPr>
        <w:pStyle w:val="Ttulo1"/>
        <w:rPr>
          <w:rFonts w:ascii="Verdana" w:hAnsi="Verdana"/>
          <w:sz w:val="18"/>
          <w:szCs w:val="18"/>
        </w:rPr>
      </w:pPr>
      <w:r w:rsidRPr="00BE5FCA">
        <w:rPr>
          <w:rFonts w:ascii="Verdana" w:hAnsi="Verdana"/>
          <w:sz w:val="18"/>
          <w:szCs w:val="18"/>
        </w:rPr>
        <w:t>23. ACTAS</w:t>
      </w:r>
    </w:p>
    <w:p w14:paraId="3277A917"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contratista suscribirá como mínimo los siguientes documentos:</w:t>
      </w:r>
    </w:p>
    <w:p w14:paraId="339EA01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de inicio del contrato.</w:t>
      </w:r>
    </w:p>
    <w:p w14:paraId="67713A52"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Actas de reunión o comités.</w:t>
      </w:r>
    </w:p>
    <w:p w14:paraId="7DD7480F"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lastRenderedPageBreak/>
        <w:t>Acta de suspensión: cuando se presenten circunstancias que requieran la suspensión del contrato.</w:t>
      </w:r>
    </w:p>
    <w:p w14:paraId="46F4535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de reinicio: una vez superadas las causales de la suspensión.</w:t>
      </w:r>
    </w:p>
    <w:p w14:paraId="262E4664"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Actas para solicitud de prórroga (tiempo): solo si se presentan motivos de fuerza mayor o imprevistos no imputables al contratista.</w:t>
      </w:r>
    </w:p>
    <w:p w14:paraId="584F21A0"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Actas para solicitud de adición (valor): cuando el alcance del contrato requiera ser más amplio y sea necesario asignar recursos adicionales. Pueden suscribirse en plazo y valor en una sola acta modificatoria.</w:t>
      </w:r>
    </w:p>
    <w:p w14:paraId="6EC9D2E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de cierre, entrega y recibo final: en la fecha de finalización del plazo contractual, una vez el contratista cumpla al 100% los entregables requeridos.</w:t>
      </w:r>
    </w:p>
    <w:p w14:paraId="4FAD220A"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de liquidación del contrato.</w:t>
      </w:r>
    </w:p>
    <w:p w14:paraId="3FFFBAF7" w14:textId="77777777" w:rsidR="00487997" w:rsidRPr="00BE5FCA" w:rsidRDefault="00000000">
      <w:pPr>
        <w:pStyle w:val="Ttulo1"/>
        <w:rPr>
          <w:rFonts w:ascii="Verdana" w:hAnsi="Verdana"/>
          <w:sz w:val="18"/>
          <w:szCs w:val="18"/>
        </w:rPr>
      </w:pPr>
      <w:r w:rsidRPr="00BE5FCA">
        <w:rPr>
          <w:rFonts w:ascii="Verdana" w:hAnsi="Verdana"/>
          <w:sz w:val="18"/>
          <w:szCs w:val="18"/>
        </w:rPr>
        <w:t>24. REUNIONES Y COMITÉS</w:t>
      </w:r>
    </w:p>
    <w:p w14:paraId="50B46DB2" w14:textId="77777777" w:rsidR="00487997" w:rsidRPr="00BE5FCA" w:rsidRDefault="00000000">
      <w:pPr>
        <w:pStyle w:val="Ttulo2"/>
        <w:rPr>
          <w:rFonts w:ascii="Verdana" w:hAnsi="Verdana"/>
          <w:sz w:val="18"/>
          <w:szCs w:val="18"/>
        </w:rPr>
      </w:pPr>
      <w:r w:rsidRPr="00BE5FCA">
        <w:rPr>
          <w:rFonts w:ascii="Verdana" w:hAnsi="Verdana"/>
          <w:sz w:val="18"/>
          <w:szCs w:val="18"/>
        </w:rPr>
        <w:t>24.1. Reuniones mensuales</w:t>
      </w:r>
    </w:p>
    <w:p w14:paraId="34E128F2"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Se realizarán mensualmente con el acompañamiento de la supervisión y se adelantará una reunión general del contrato donde se programarán los temas a tratar, se resolverán los problemas y se revisarán los compromisos por las partes involucradas. Estos comités deben quedar consignados en actas firmadas por las partes y los participantes. Cuando sea requerido, la USPEC podrá citar al contratista a comités virtuales o en las oficinas de la USPEC.</w:t>
      </w:r>
    </w:p>
    <w:p w14:paraId="3CEC993E" w14:textId="77777777" w:rsidR="00487997" w:rsidRPr="00BE5FCA" w:rsidRDefault="00000000">
      <w:pPr>
        <w:pStyle w:val="Ttulo2"/>
        <w:rPr>
          <w:rFonts w:ascii="Verdana" w:hAnsi="Verdana"/>
          <w:sz w:val="18"/>
          <w:szCs w:val="18"/>
        </w:rPr>
      </w:pPr>
      <w:r w:rsidRPr="00BE5FCA">
        <w:rPr>
          <w:rFonts w:ascii="Verdana" w:hAnsi="Verdana"/>
          <w:sz w:val="18"/>
          <w:szCs w:val="18"/>
        </w:rPr>
        <w:t>24.2. Comités de seguimiento</w:t>
      </w:r>
    </w:p>
    <w:p w14:paraId="5BBFA462"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contratista establecerá reuniones periódicas semanales con la supervisión, sin perjuicio de la participación de otros funcionarios de las diferentes áreas de la USPEC, con el fin de analizar los aspectos técnicos, jurídicos, financieros y administrativos relacionados con el objeto del contrato y llevar un adecuado control al desarrollo, ejecución y cumplimiento del mismo.</w:t>
      </w:r>
    </w:p>
    <w:p w14:paraId="62121AA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Para cada comité se deberá presentar un informe con los avances de ejecución de actividades, tomando como base las condiciones de las intervenciones aprobadas y los compromisos señalados en las actas de comité. De cada reunión se levantará y firmará un acta por todos los participantes. Se enviará copia digital en PDF a la USPEC en un plazo no mayor a dos (2) días hábiles.</w:t>
      </w:r>
    </w:p>
    <w:p w14:paraId="6B95EE81" w14:textId="77777777" w:rsidR="00487997" w:rsidRPr="00BE5FCA" w:rsidRDefault="00000000">
      <w:pPr>
        <w:pStyle w:val="Ttulo2"/>
        <w:rPr>
          <w:rFonts w:ascii="Verdana" w:hAnsi="Verdana"/>
          <w:sz w:val="18"/>
          <w:szCs w:val="18"/>
        </w:rPr>
      </w:pPr>
      <w:r w:rsidRPr="00BE5FCA">
        <w:rPr>
          <w:rFonts w:ascii="Verdana" w:hAnsi="Verdana"/>
          <w:sz w:val="18"/>
          <w:szCs w:val="18"/>
        </w:rPr>
        <w:t>24.3. Aceptación de entregables para el pago</w:t>
      </w:r>
    </w:p>
    <w:p w14:paraId="71EBC9A4"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La USPEC, para los fines del pago al contratista, recibirá los informes y soportes suficientes de las actividades, productos o gestiones contratadas que hayan sido terminadas por el contratista y que, a juicio de la supervisión, cumplan con los requisitos del contrato. El informe deberá ser avalado por la supervisión de la USPEC.</w:t>
      </w:r>
    </w:p>
    <w:p w14:paraId="7DA37F4D"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pago se hará de acuerdo con los procedimientos indicados en el respectivo contrato, y solo se pagarán los documentos entregados a satisfacción.</w:t>
      </w:r>
    </w:p>
    <w:p w14:paraId="0457AE61" w14:textId="77777777" w:rsidR="00487997" w:rsidRPr="00BE5FCA" w:rsidRDefault="00000000">
      <w:pPr>
        <w:pStyle w:val="Ttulo2"/>
        <w:rPr>
          <w:rFonts w:ascii="Verdana" w:hAnsi="Verdana"/>
          <w:sz w:val="18"/>
          <w:szCs w:val="18"/>
        </w:rPr>
      </w:pPr>
      <w:r w:rsidRPr="00BE5FCA">
        <w:rPr>
          <w:rFonts w:ascii="Verdana" w:hAnsi="Verdana"/>
          <w:sz w:val="18"/>
          <w:szCs w:val="18"/>
        </w:rPr>
        <w:t>24.4. Procedimientos objetables o negligencia del contratista</w:t>
      </w:r>
    </w:p>
    <w:p w14:paraId="32C96707"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 xml:space="preserve">La supervisión del contrato exigirá al contratista el cambio de procedimientos o personal, así como la disposición de medidas que considere necesarias por razones de seguridad, riesgo de perjuicios o para garantizar la buena calidad, uniformidad y correcta ejecución del contrato. El contratista aceptará los </w:t>
      </w:r>
      <w:r w:rsidRPr="00BE5FCA">
        <w:rPr>
          <w:rFonts w:ascii="Verdana" w:hAnsi="Verdana"/>
          <w:sz w:val="18"/>
          <w:szCs w:val="18"/>
        </w:rPr>
        <w:lastRenderedPageBreak/>
        <w:t>requerimientos y asumirá los sobrecostos que demande su incumplimiento. El atraso o suspensión de trabajos no será motivo de modificación del programa general financiero ni del plazo del contrato.</w:t>
      </w:r>
    </w:p>
    <w:p w14:paraId="73823C53" w14:textId="77777777" w:rsidR="00487997" w:rsidRPr="00BE5FCA" w:rsidRDefault="00000000">
      <w:pPr>
        <w:pStyle w:val="Ttulo1"/>
        <w:rPr>
          <w:rFonts w:ascii="Verdana" w:hAnsi="Verdana"/>
          <w:sz w:val="18"/>
          <w:szCs w:val="18"/>
        </w:rPr>
      </w:pPr>
      <w:r w:rsidRPr="00BE5FCA">
        <w:rPr>
          <w:rFonts w:ascii="Verdana" w:hAnsi="Verdana"/>
          <w:sz w:val="18"/>
          <w:szCs w:val="18"/>
        </w:rPr>
        <w:t>25. FASE DE CIERRE DEL PROYECTO</w:t>
      </w:r>
    </w:p>
    <w:p w14:paraId="6651329D"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Esta fase comprende la finalización y cierre del contrato, posterior a la correcta y total ejecución de las actividades contractuales. El contratista de la consultoría adelantará las actividades y gestiones pertinentes para obtener la liquidación del contrato. Deberá entregar, dentro del informe final, los siguientes documentos:</w:t>
      </w:r>
    </w:p>
    <w:p w14:paraId="540F919E"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Compilación de los documentos realizados en el desarrollo de la consultoría.</w:t>
      </w:r>
    </w:p>
    <w:p w14:paraId="74523968"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Directorio en el que se señalen direcciones y teléfonos de profesionales, subcontratistas y proveedores involucrados en la ejecución del contrato.</w:t>
      </w:r>
    </w:p>
    <w:p w14:paraId="117130E9"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de recibo del contrato por parte de la USPEC.</w:t>
      </w:r>
    </w:p>
    <w:p w14:paraId="3E6E244D" w14:textId="77777777" w:rsidR="00487997" w:rsidRPr="00BE5FCA" w:rsidRDefault="00000000">
      <w:pPr>
        <w:pStyle w:val="Prrafodelista"/>
        <w:numPr>
          <w:ilvl w:val="0"/>
          <w:numId w:val="2"/>
        </w:numPr>
        <w:spacing w:after="80" w:line="280" w:lineRule="auto"/>
        <w:jc w:val="both"/>
        <w:rPr>
          <w:rFonts w:ascii="Verdana" w:hAnsi="Verdana"/>
          <w:sz w:val="18"/>
          <w:szCs w:val="18"/>
        </w:rPr>
      </w:pPr>
      <w:r w:rsidRPr="00BE5FCA">
        <w:rPr>
          <w:rFonts w:ascii="Verdana" w:hAnsi="Verdana"/>
          <w:sz w:val="18"/>
          <w:szCs w:val="18"/>
        </w:rPr>
        <w:t>Acta de liquidación del mismo.</w:t>
      </w:r>
    </w:p>
    <w:p w14:paraId="227366A8" w14:textId="77777777" w:rsidR="00487997" w:rsidRPr="00BE5FCA" w:rsidRDefault="00000000">
      <w:pPr>
        <w:pStyle w:val="Ttulo1"/>
        <w:rPr>
          <w:rFonts w:ascii="Verdana" w:hAnsi="Verdana"/>
          <w:sz w:val="18"/>
          <w:szCs w:val="18"/>
        </w:rPr>
      </w:pPr>
      <w:r w:rsidRPr="00BE5FCA">
        <w:rPr>
          <w:rFonts w:ascii="Verdana" w:hAnsi="Verdana"/>
          <w:sz w:val="18"/>
          <w:szCs w:val="18"/>
        </w:rPr>
        <w:t>26. ENTREGA DOCUMENTAL</w:t>
      </w:r>
    </w:p>
    <w:p w14:paraId="4035F5DA"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contratista de la consultoría debe entregar a la USPEC la totalidad de los documentos generados en el marco del contrato, entre estos y sin limitarse a: actas, información general del contrato, correspondencia enviada y recibida, informes presentados, programación del contrato, documentos elaborados para determinar la figura óptima de prestación del Servicio, acreditación de pagos de seguridad social, pólizas y paz y salvos, entre otros.</w:t>
      </w:r>
    </w:p>
    <w:p w14:paraId="71257639" w14:textId="77777777" w:rsidR="00487997" w:rsidRPr="00BE5FCA" w:rsidRDefault="00000000">
      <w:pPr>
        <w:pStyle w:val="Ttulo1"/>
        <w:rPr>
          <w:rFonts w:ascii="Verdana" w:hAnsi="Verdana"/>
          <w:sz w:val="18"/>
          <w:szCs w:val="18"/>
        </w:rPr>
      </w:pPr>
      <w:r w:rsidRPr="00BE5FCA">
        <w:rPr>
          <w:rFonts w:ascii="Verdana" w:hAnsi="Verdana"/>
          <w:sz w:val="18"/>
          <w:szCs w:val="18"/>
        </w:rPr>
        <w:t>27. LIQUIDACIÓN DEL CONTRATO</w:t>
      </w:r>
    </w:p>
    <w:p w14:paraId="4535543B"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Para el cierre se requiere se haga entrega de lo previsto en el numeral 21 del presente Anexo Técnico. Adicionalmente, el contratista debe encontrarse a paz y salvo por todo concepto y debe tener el balance administrativo, técnico, legal y financiero del contrato aprobado por la supervisión, para proceder al cierre y liquidación del mismo.</w:t>
      </w:r>
    </w:p>
    <w:p w14:paraId="29ED2816" w14:textId="77777777" w:rsidR="00487997" w:rsidRPr="00BE5FCA" w:rsidRDefault="00000000">
      <w:pPr>
        <w:pStyle w:val="Ttulo1"/>
        <w:rPr>
          <w:rFonts w:ascii="Verdana" w:hAnsi="Verdana"/>
          <w:sz w:val="18"/>
          <w:szCs w:val="18"/>
        </w:rPr>
      </w:pPr>
      <w:r w:rsidRPr="00BE5FCA">
        <w:rPr>
          <w:rFonts w:ascii="Verdana" w:hAnsi="Verdana"/>
          <w:sz w:val="18"/>
          <w:szCs w:val="18"/>
        </w:rPr>
        <w:t>28. ACEPTACIÓN DE LAS ESPECIFICACIONES TÉCNICAS</w:t>
      </w:r>
    </w:p>
    <w:p w14:paraId="0A27A6DE" w14:textId="77777777" w:rsidR="00487997" w:rsidRPr="00BE5FCA" w:rsidRDefault="00000000">
      <w:pPr>
        <w:spacing w:after="120" w:line="300" w:lineRule="auto"/>
        <w:jc w:val="both"/>
        <w:rPr>
          <w:rFonts w:ascii="Verdana" w:hAnsi="Verdana"/>
          <w:sz w:val="18"/>
          <w:szCs w:val="18"/>
        </w:rPr>
      </w:pPr>
      <w:r w:rsidRPr="00BE5FCA">
        <w:rPr>
          <w:rFonts w:ascii="Verdana" w:hAnsi="Verdana"/>
          <w:sz w:val="18"/>
          <w:szCs w:val="18"/>
        </w:rPr>
        <w:t>El oferente, mediante firma de la oferta por parte del representante legal, acepta el cumplimiento de todas las condiciones establecidas en el presente Anexo Técnico en caso de ser escogido como la oferta más favorable.</w:t>
      </w:r>
    </w:p>
    <w:sectPr w:rsidR="00487997" w:rsidRPr="00BE5FCA">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F2356" w14:textId="77777777" w:rsidR="008F10C4" w:rsidRDefault="008F10C4">
      <w:r>
        <w:separator/>
      </w:r>
    </w:p>
  </w:endnote>
  <w:endnote w:type="continuationSeparator" w:id="0">
    <w:p w14:paraId="4CBB5568" w14:textId="77777777" w:rsidR="008F10C4" w:rsidRDefault="008F1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Aptos Display">
    <w:panose1 w:val="020B0604020202020204"/>
    <w:charset w:val="00"/>
    <w:family w:val="swiss"/>
    <w:pitch w:val="variable"/>
    <w:sig w:usb0="20000287" w:usb1="00000003" w:usb2="00000000" w:usb3="00000000" w:csb0="0000019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7AEEB" w14:textId="77777777" w:rsidR="00487997" w:rsidRDefault="00000000">
    <w:pPr>
      <w:jc w:val="center"/>
    </w:pPr>
    <w:r>
      <w:rPr>
        <w:color w:val="808080"/>
        <w:sz w:val="18"/>
        <w:szCs w:val="18"/>
      </w:rPr>
      <w:t xml:space="preserve">Página </w:t>
    </w:r>
    <w:r>
      <w:rPr>
        <w:color w:val="808080"/>
        <w:sz w:val="18"/>
        <w:szCs w:val="18"/>
      </w:rPr>
      <w:fldChar w:fldCharType="begin"/>
    </w:r>
    <w:r>
      <w:rPr>
        <w:color w:val="808080"/>
        <w:sz w:val="18"/>
        <w:szCs w:val="18"/>
      </w:rPr>
      <w:instrText>PAGE</w:instrText>
    </w:r>
    <w:r>
      <w:rPr>
        <w:color w:val="808080"/>
        <w:sz w:val="18"/>
        <w:szCs w:val="18"/>
      </w:rPr>
      <w:fldChar w:fldCharType="separate"/>
    </w:r>
    <w:r w:rsidR="00BE5FCA">
      <w:rPr>
        <w:noProof/>
        <w:color w:val="808080"/>
        <w:sz w:val="18"/>
        <w:szCs w:val="18"/>
      </w:rPr>
      <w:t>1</w:t>
    </w:r>
    <w:r>
      <w:rPr>
        <w:color w:val="808080"/>
        <w:sz w:val="18"/>
        <w:szCs w:val="18"/>
      </w:rPr>
      <w:fldChar w:fldCharType="end"/>
    </w:r>
    <w:r>
      <w:rPr>
        <w:color w:val="808080"/>
        <w:sz w:val="18"/>
        <w:szCs w:val="18"/>
      </w:rPr>
      <w:t xml:space="preserve"> de </w:t>
    </w:r>
    <w:r>
      <w:rPr>
        <w:color w:val="808080"/>
        <w:sz w:val="18"/>
        <w:szCs w:val="18"/>
      </w:rPr>
      <w:fldChar w:fldCharType="begin"/>
    </w:r>
    <w:r>
      <w:rPr>
        <w:color w:val="808080"/>
        <w:sz w:val="18"/>
        <w:szCs w:val="18"/>
      </w:rPr>
      <w:instrText>NUMPAGES</w:instrText>
    </w:r>
    <w:r>
      <w:rPr>
        <w:color w:val="808080"/>
        <w:sz w:val="18"/>
        <w:szCs w:val="18"/>
      </w:rPr>
      <w:fldChar w:fldCharType="separate"/>
    </w:r>
    <w:r w:rsidR="00BE5FCA">
      <w:rPr>
        <w:noProof/>
        <w:color w:val="808080"/>
        <w:sz w:val="18"/>
        <w:szCs w:val="18"/>
      </w:rPr>
      <w:t>2</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B6E10" w14:textId="77777777" w:rsidR="008F10C4" w:rsidRDefault="008F10C4">
      <w:r>
        <w:separator/>
      </w:r>
    </w:p>
  </w:footnote>
  <w:footnote w:type="continuationSeparator" w:id="0">
    <w:p w14:paraId="42D974B0" w14:textId="77777777" w:rsidR="008F10C4" w:rsidRDefault="008F1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B70A0" w14:textId="30B999DE" w:rsidR="00487997" w:rsidRDefault="00BE5FCA" w:rsidP="00BE5FCA">
    <w:r>
      <w:rPr>
        <w:noProof/>
        <w:lang w:eastAsia="es-CO"/>
      </w:rPr>
      <w:drawing>
        <wp:anchor distT="0" distB="0" distL="114300" distR="114300" simplePos="0" relativeHeight="251659264" behindDoc="0" locked="0" layoutInCell="1" allowOverlap="1" wp14:anchorId="177EC417" wp14:editId="1D71D382">
          <wp:simplePos x="0" y="0"/>
          <wp:positionH relativeFrom="margin">
            <wp:posOffset>2440940</wp:posOffset>
          </wp:positionH>
          <wp:positionV relativeFrom="paragraph">
            <wp:posOffset>-250825</wp:posOffset>
          </wp:positionV>
          <wp:extent cx="971550" cy="826770"/>
          <wp:effectExtent l="0" t="0" r="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8267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13A4F"/>
    <w:multiLevelType w:val="hybridMultilevel"/>
    <w:tmpl w:val="46A6E108"/>
    <w:lvl w:ilvl="0" w:tplc="9404DF52">
      <w:start w:val="1"/>
      <w:numFmt w:val="bullet"/>
      <w:lvlText w:val="•"/>
      <w:lvlJc w:val="left"/>
      <w:pPr>
        <w:ind w:left="720" w:hanging="360"/>
      </w:pPr>
    </w:lvl>
    <w:lvl w:ilvl="1" w:tplc="D2EE7FB2">
      <w:start w:val="1"/>
      <w:numFmt w:val="bullet"/>
      <w:lvlText w:val="○"/>
      <w:lvlJc w:val="left"/>
      <w:pPr>
        <w:ind w:left="1440" w:hanging="360"/>
      </w:pPr>
    </w:lvl>
    <w:lvl w:ilvl="2" w:tplc="2C2E2FF4">
      <w:numFmt w:val="decimal"/>
      <w:lvlText w:val=""/>
      <w:lvlJc w:val="left"/>
    </w:lvl>
    <w:lvl w:ilvl="3" w:tplc="0FB28756">
      <w:numFmt w:val="decimal"/>
      <w:lvlText w:val=""/>
      <w:lvlJc w:val="left"/>
    </w:lvl>
    <w:lvl w:ilvl="4" w:tplc="69509AFC">
      <w:numFmt w:val="decimal"/>
      <w:lvlText w:val=""/>
      <w:lvlJc w:val="left"/>
    </w:lvl>
    <w:lvl w:ilvl="5" w:tplc="308A8430">
      <w:numFmt w:val="decimal"/>
      <w:lvlText w:val=""/>
      <w:lvlJc w:val="left"/>
    </w:lvl>
    <w:lvl w:ilvl="6" w:tplc="C1C05E38">
      <w:numFmt w:val="decimal"/>
      <w:lvlText w:val=""/>
      <w:lvlJc w:val="left"/>
    </w:lvl>
    <w:lvl w:ilvl="7" w:tplc="1EDA0A8E">
      <w:numFmt w:val="decimal"/>
      <w:lvlText w:val=""/>
      <w:lvlJc w:val="left"/>
    </w:lvl>
    <w:lvl w:ilvl="8" w:tplc="368262F4">
      <w:numFmt w:val="decimal"/>
      <w:lvlText w:val=""/>
      <w:lvlJc w:val="left"/>
    </w:lvl>
  </w:abstractNum>
  <w:abstractNum w:abstractNumId="1" w15:restartNumberingAfterBreak="0">
    <w:nsid w:val="29335378"/>
    <w:multiLevelType w:val="hybridMultilevel"/>
    <w:tmpl w:val="EA2C44BE"/>
    <w:lvl w:ilvl="0" w:tplc="A16C142C">
      <w:start w:val="1"/>
      <w:numFmt w:val="bullet"/>
      <w:lvlText w:val="●"/>
      <w:lvlJc w:val="left"/>
      <w:pPr>
        <w:ind w:left="720" w:hanging="360"/>
      </w:pPr>
    </w:lvl>
    <w:lvl w:ilvl="1" w:tplc="5784E9BE">
      <w:start w:val="1"/>
      <w:numFmt w:val="bullet"/>
      <w:lvlText w:val="○"/>
      <w:lvlJc w:val="left"/>
      <w:pPr>
        <w:ind w:left="1440" w:hanging="360"/>
      </w:pPr>
    </w:lvl>
    <w:lvl w:ilvl="2" w:tplc="AA9A7C44">
      <w:start w:val="1"/>
      <w:numFmt w:val="bullet"/>
      <w:lvlText w:val="■"/>
      <w:lvlJc w:val="left"/>
      <w:pPr>
        <w:ind w:left="2160" w:hanging="360"/>
      </w:pPr>
    </w:lvl>
    <w:lvl w:ilvl="3" w:tplc="C316AE40">
      <w:start w:val="1"/>
      <w:numFmt w:val="bullet"/>
      <w:lvlText w:val="●"/>
      <w:lvlJc w:val="left"/>
      <w:pPr>
        <w:ind w:left="2880" w:hanging="360"/>
      </w:pPr>
    </w:lvl>
    <w:lvl w:ilvl="4" w:tplc="75FCC262">
      <w:start w:val="1"/>
      <w:numFmt w:val="bullet"/>
      <w:lvlText w:val="○"/>
      <w:lvlJc w:val="left"/>
      <w:pPr>
        <w:ind w:left="3600" w:hanging="360"/>
      </w:pPr>
    </w:lvl>
    <w:lvl w:ilvl="5" w:tplc="C6DEC50A">
      <w:start w:val="1"/>
      <w:numFmt w:val="bullet"/>
      <w:lvlText w:val="■"/>
      <w:lvlJc w:val="left"/>
      <w:pPr>
        <w:ind w:left="4320" w:hanging="360"/>
      </w:pPr>
    </w:lvl>
    <w:lvl w:ilvl="6" w:tplc="B1A45226">
      <w:start w:val="1"/>
      <w:numFmt w:val="bullet"/>
      <w:lvlText w:val="●"/>
      <w:lvlJc w:val="left"/>
      <w:pPr>
        <w:ind w:left="5040" w:hanging="360"/>
      </w:pPr>
    </w:lvl>
    <w:lvl w:ilvl="7" w:tplc="089A7608">
      <w:start w:val="1"/>
      <w:numFmt w:val="bullet"/>
      <w:lvlText w:val="●"/>
      <w:lvlJc w:val="left"/>
      <w:pPr>
        <w:ind w:left="5760" w:hanging="360"/>
      </w:pPr>
    </w:lvl>
    <w:lvl w:ilvl="8" w:tplc="87541558">
      <w:start w:val="1"/>
      <w:numFmt w:val="bullet"/>
      <w:lvlText w:val="●"/>
      <w:lvlJc w:val="left"/>
      <w:pPr>
        <w:ind w:left="6480" w:hanging="360"/>
      </w:pPr>
    </w:lvl>
  </w:abstractNum>
  <w:abstractNum w:abstractNumId="2" w15:restartNumberingAfterBreak="0">
    <w:nsid w:val="455A5AC0"/>
    <w:multiLevelType w:val="hybridMultilevel"/>
    <w:tmpl w:val="722A3248"/>
    <w:lvl w:ilvl="0" w:tplc="480C590A">
      <w:start w:val="1"/>
      <w:numFmt w:val="decimal"/>
      <w:lvlText w:val="%1."/>
      <w:lvlJc w:val="left"/>
      <w:pPr>
        <w:ind w:left="720" w:hanging="360"/>
      </w:pPr>
    </w:lvl>
    <w:lvl w:ilvl="1" w:tplc="6850515E">
      <w:numFmt w:val="decimal"/>
      <w:lvlText w:val=""/>
      <w:lvlJc w:val="left"/>
    </w:lvl>
    <w:lvl w:ilvl="2" w:tplc="D250D6AA">
      <w:numFmt w:val="decimal"/>
      <w:lvlText w:val=""/>
      <w:lvlJc w:val="left"/>
    </w:lvl>
    <w:lvl w:ilvl="3" w:tplc="B9268998">
      <w:numFmt w:val="decimal"/>
      <w:lvlText w:val=""/>
      <w:lvlJc w:val="left"/>
    </w:lvl>
    <w:lvl w:ilvl="4" w:tplc="0586331E">
      <w:numFmt w:val="decimal"/>
      <w:lvlText w:val=""/>
      <w:lvlJc w:val="left"/>
    </w:lvl>
    <w:lvl w:ilvl="5" w:tplc="84F674AC">
      <w:numFmt w:val="decimal"/>
      <w:lvlText w:val=""/>
      <w:lvlJc w:val="left"/>
    </w:lvl>
    <w:lvl w:ilvl="6" w:tplc="5E0673A0">
      <w:numFmt w:val="decimal"/>
      <w:lvlText w:val=""/>
      <w:lvlJc w:val="left"/>
    </w:lvl>
    <w:lvl w:ilvl="7" w:tplc="32BA8D60">
      <w:numFmt w:val="decimal"/>
      <w:lvlText w:val=""/>
      <w:lvlJc w:val="left"/>
    </w:lvl>
    <w:lvl w:ilvl="8" w:tplc="19AC1B38">
      <w:numFmt w:val="decimal"/>
      <w:lvlText w:val=""/>
      <w:lvlJc w:val="left"/>
    </w:lvl>
  </w:abstractNum>
  <w:num w:numId="1" w16cid:durableId="252322046">
    <w:abstractNumId w:val="1"/>
    <w:lvlOverride w:ilvl="0">
      <w:startOverride w:val="1"/>
    </w:lvlOverride>
  </w:num>
  <w:num w:numId="2" w16cid:durableId="13771181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997"/>
    <w:rsid w:val="00072B81"/>
    <w:rsid w:val="000E1CD0"/>
    <w:rsid w:val="002A093F"/>
    <w:rsid w:val="003613B8"/>
    <w:rsid w:val="003A1ED8"/>
    <w:rsid w:val="00415D50"/>
    <w:rsid w:val="00421647"/>
    <w:rsid w:val="00424F9E"/>
    <w:rsid w:val="00457D58"/>
    <w:rsid w:val="00487997"/>
    <w:rsid w:val="004E209C"/>
    <w:rsid w:val="004F1E7E"/>
    <w:rsid w:val="005118E2"/>
    <w:rsid w:val="0055773B"/>
    <w:rsid w:val="005F6677"/>
    <w:rsid w:val="006275B5"/>
    <w:rsid w:val="00636024"/>
    <w:rsid w:val="00650385"/>
    <w:rsid w:val="006505AD"/>
    <w:rsid w:val="00695999"/>
    <w:rsid w:val="006D2E57"/>
    <w:rsid w:val="006D3F90"/>
    <w:rsid w:val="00763B30"/>
    <w:rsid w:val="00811AAB"/>
    <w:rsid w:val="0085073A"/>
    <w:rsid w:val="008F10C4"/>
    <w:rsid w:val="00A85744"/>
    <w:rsid w:val="00AA19D6"/>
    <w:rsid w:val="00AB1BBE"/>
    <w:rsid w:val="00B11543"/>
    <w:rsid w:val="00B457E9"/>
    <w:rsid w:val="00B837E3"/>
    <w:rsid w:val="00BE5FCA"/>
    <w:rsid w:val="00CF4AF8"/>
    <w:rsid w:val="00DD2B86"/>
    <w:rsid w:val="00EF24D4"/>
    <w:rsid w:val="00F30A58"/>
    <w:rsid w:val="00F34C69"/>
    <w:rsid w:val="00F3601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145F13B7"/>
  <w15:docId w15:val="{23F09FFE-2D12-634A-B779-C831BA4E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360" w:after="180"/>
      <w:outlineLvl w:val="0"/>
    </w:pPr>
    <w:rPr>
      <w:b/>
      <w:bCs/>
      <w:color w:val="1F3864"/>
      <w:sz w:val="28"/>
      <w:szCs w:val="28"/>
    </w:rPr>
  </w:style>
  <w:style w:type="paragraph" w:styleId="Ttulo2">
    <w:name w:val="heading 2"/>
    <w:uiPriority w:val="9"/>
    <w:unhideWhenUsed/>
    <w:qFormat/>
    <w:pPr>
      <w:spacing w:before="240" w:after="120"/>
      <w:outlineLvl w:val="1"/>
    </w:pPr>
    <w:rPr>
      <w:b/>
      <w:bCs/>
      <w:color w:val="1F3864"/>
      <w:sz w:val="24"/>
      <w:szCs w:val="24"/>
    </w:rPr>
  </w:style>
  <w:style w:type="paragraph" w:styleId="Ttulo3">
    <w:name w:val="heading 3"/>
    <w:uiPriority w:val="9"/>
    <w:unhideWhenUsed/>
    <w:qFormat/>
    <w:pPr>
      <w:spacing w:before="180" w:after="100"/>
      <w:outlineLvl w:val="2"/>
    </w:pPr>
    <w:rPr>
      <w:b/>
      <w:bCs/>
      <w:color w:val="2E75B6"/>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BE5FCA"/>
    <w:pPr>
      <w:tabs>
        <w:tab w:val="center" w:pos="4680"/>
        <w:tab w:val="right" w:pos="9360"/>
      </w:tabs>
    </w:pPr>
  </w:style>
  <w:style w:type="character" w:customStyle="1" w:styleId="EncabezadoCar">
    <w:name w:val="Encabezado Car"/>
    <w:basedOn w:val="Fuentedeprrafopredeter"/>
    <w:link w:val="Encabezado"/>
    <w:uiPriority w:val="99"/>
    <w:rsid w:val="00BE5FCA"/>
  </w:style>
  <w:style w:type="paragraph" w:styleId="Piedepgina">
    <w:name w:val="footer"/>
    <w:basedOn w:val="Normal"/>
    <w:link w:val="PiedepginaCar"/>
    <w:uiPriority w:val="99"/>
    <w:unhideWhenUsed/>
    <w:rsid w:val="00BE5FCA"/>
    <w:pPr>
      <w:tabs>
        <w:tab w:val="center" w:pos="4680"/>
        <w:tab w:val="right" w:pos="9360"/>
      </w:tabs>
    </w:pPr>
  </w:style>
  <w:style w:type="character" w:customStyle="1" w:styleId="PiedepginaCar">
    <w:name w:val="Pie de página Car"/>
    <w:basedOn w:val="Fuentedeprrafopredeter"/>
    <w:link w:val="Piedepgina"/>
    <w:uiPriority w:val="99"/>
    <w:rsid w:val="00BE5FCA"/>
  </w:style>
  <w:style w:type="paragraph" w:customStyle="1" w:styleId="font-claude-response-body">
    <w:name w:val="font-claude-response-body"/>
    <w:basedOn w:val="Normal"/>
    <w:rsid w:val="00421647"/>
    <w:pPr>
      <w:spacing w:before="100" w:beforeAutospacing="1" w:after="100" w:afterAutospacing="1"/>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421647"/>
    <w:rPr>
      <w:b/>
      <w:bCs/>
    </w:rPr>
  </w:style>
  <w:style w:type="character" w:customStyle="1" w:styleId="apple-converted-space">
    <w:name w:val="apple-converted-space"/>
    <w:basedOn w:val="Fuentedeprrafopredeter"/>
    <w:rsid w:val="00421647"/>
  </w:style>
  <w:style w:type="paragraph" w:customStyle="1" w:styleId="p1">
    <w:name w:val="p1"/>
    <w:basedOn w:val="Normal"/>
    <w:rsid w:val="00072B81"/>
    <w:rPr>
      <w:rFonts w:ascii="Arial Narrow" w:eastAsia="Times New Roman" w:hAnsi="Arial Narrow" w:cs="Times New Roman"/>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30</Pages>
  <Words>12923</Words>
  <Characters>71079</Characters>
  <Application>Microsoft Office Word</Application>
  <DocSecurity>0</DocSecurity>
  <Lines>592</Lines>
  <Paragraphs>167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83835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ARC</cp:lastModifiedBy>
  <cp:revision>12</cp:revision>
  <dcterms:created xsi:type="dcterms:W3CDTF">2026-05-26T13:29:00Z</dcterms:created>
  <dcterms:modified xsi:type="dcterms:W3CDTF">2026-06-23T18:12:00Z</dcterms:modified>
  <cp:category/>
</cp:coreProperties>
</file>