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5779DE45" w:rsidR="00545461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6213BC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950DD59" w14:textId="29207C04" w:rsidR="006213BC" w:rsidRDefault="006213BC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4898AFD0" w14:textId="6142F58D" w:rsidR="006213BC" w:rsidRPr="006213BC" w:rsidRDefault="006213BC" w:rsidP="006213BC">
      <w:pPr>
        <w:rPr>
          <w:rFonts w:ascii="Arial" w:hAnsi="Arial" w:cs="Arial"/>
          <w:b/>
          <w:bCs/>
          <w:color w:val="000000" w:themeColor="text1"/>
          <w:sz w:val="20"/>
          <w:szCs w:val="20"/>
          <w:lang w:eastAsia="es-CO"/>
        </w:rPr>
      </w:pPr>
      <w: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OBJETO: </w:t>
      </w:r>
      <w:r w:rsidRPr="006213BC">
        <w:rPr>
          <w:rFonts w:ascii="Arial" w:hAnsi="Arial" w:cs="Arial"/>
          <w:b/>
          <w:bCs/>
          <w:color w:val="000000" w:themeColor="text1"/>
          <w:sz w:val="20"/>
          <w:szCs w:val="20"/>
          <w:lang w:eastAsia="es-CO"/>
        </w:rPr>
        <w:t>“</w:t>
      </w:r>
      <w:r w:rsidR="007D39A4" w:rsidRPr="00BE692A">
        <w:rPr>
          <w:rStyle w:val="Textoennegrita"/>
          <w:rFonts w:ascii="Arial" w:hAnsi="Arial" w:cs="Arial"/>
          <w:color w:val="000000"/>
          <w:sz w:val="20"/>
          <w:szCs w:val="20"/>
        </w:rPr>
        <w:t>CELEBRACIÓN DÍA DEL CAMPESINO EN EL MUNICIPIO DE BARICHARA, EN HOMENAJE A SU LABOR, LA RIQUEZA CULTURAL Y LA IDENTIDAD DE NUESTRO PUEBLO</w:t>
      </w:r>
      <w:r w:rsidR="007D39A4">
        <w:rPr>
          <w:rStyle w:val="Textoennegrita"/>
          <w:rFonts w:ascii="Arial" w:hAnsi="Arial" w:cs="Arial"/>
          <w:color w:val="000000"/>
          <w:sz w:val="20"/>
          <w:szCs w:val="20"/>
        </w:rPr>
        <w:t>”</w:t>
      </w:r>
      <w:r w:rsidRPr="006213BC">
        <w:rPr>
          <w:rFonts w:ascii="Arial" w:hAnsi="Arial" w:cs="Arial"/>
          <w:b/>
          <w:bCs/>
          <w:color w:val="000000" w:themeColor="text1"/>
          <w:sz w:val="20"/>
          <w:szCs w:val="20"/>
          <w:lang w:eastAsia="es-CO"/>
        </w:rPr>
        <w:t>.”</w:t>
      </w:r>
    </w:p>
    <w:p w14:paraId="249DA1EB" w14:textId="77777777" w:rsidR="006213BC" w:rsidRPr="006213BC" w:rsidRDefault="006213BC" w:rsidP="006213BC">
      <w:pPr>
        <w:rPr>
          <w:rFonts w:ascii="Arial" w:hAnsi="Arial" w:cs="Arial"/>
          <w:b/>
          <w:bCs/>
          <w:color w:val="000000" w:themeColor="text1"/>
          <w:sz w:val="20"/>
          <w:szCs w:val="20"/>
          <w:lang w:eastAsia="es-CO"/>
        </w:rPr>
      </w:pPr>
    </w:p>
    <w:p w14:paraId="0C561828" w14:textId="040ED89D" w:rsidR="008E030B" w:rsidRPr="008E030B" w:rsidRDefault="008E030B" w:rsidP="006213BC">
      <w:pPr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</w:pPr>
    </w:p>
    <w:p w14:paraId="582D3B80" w14:textId="77777777" w:rsidR="006213BC" w:rsidRPr="006213BC" w:rsidRDefault="008E030B" w:rsidP="006213BC">
      <w:pPr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</w:pPr>
      <w:r w:rsidRPr="008E030B"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 xml:space="preserve">PRESUPUESTO OFICIAL: </w:t>
      </w:r>
      <w:r w:rsidR="006213BC" w:rsidRPr="006213BC">
        <w:rPr>
          <w:rFonts w:ascii="Arial" w:hAnsi="Arial" w:cs="Arial"/>
          <w:b/>
          <w:bCs/>
          <w:color w:val="000000" w:themeColor="text1"/>
          <w:sz w:val="20"/>
          <w:szCs w:val="20"/>
          <w:lang w:eastAsia="es-CO"/>
        </w:rPr>
        <w:t>SESENTA Y OCHO MILLONES SEISCIENTOS SESENTA Y UN MIL TRESCIENTOS CINCO PESOS ($68.661.305,00) M/CTE</w:t>
      </w:r>
      <w:r w:rsidR="006213BC" w:rsidRPr="006213BC"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>. incluido IVA y demás costos directos e indirectos.</w:t>
      </w:r>
    </w:p>
    <w:p w14:paraId="797BE4F4" w14:textId="53A76728" w:rsidR="008E030B" w:rsidRPr="008E030B" w:rsidRDefault="008E030B" w:rsidP="008E030B">
      <w:pPr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</w:pPr>
    </w:p>
    <w:p w14:paraId="210B67C4" w14:textId="77777777" w:rsidR="008E030B" w:rsidRPr="008E030B" w:rsidRDefault="008E030B" w:rsidP="008E030B">
      <w:pPr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</w:pPr>
    </w:p>
    <w:p w14:paraId="4D989F3F" w14:textId="469E8A39" w:rsidR="008E030B" w:rsidRPr="008E030B" w:rsidRDefault="008E030B" w:rsidP="008E030B">
      <w:pPr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</w:pPr>
      <w:r w:rsidRPr="008E030B"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 xml:space="preserve">PLAZO: </w:t>
      </w:r>
      <w:r w:rsidR="007D39A4"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 xml:space="preserve">DIEZ (10) DIEZ </w:t>
      </w:r>
      <w:r w:rsidR="006213BC" w:rsidRPr="006213BC"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 xml:space="preserve"> </w:t>
      </w:r>
      <w:r w:rsidR="007D39A4"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>DÍAS</w:t>
      </w:r>
      <w:r w:rsidRPr="008E030B"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>.</w:t>
      </w:r>
    </w:p>
    <w:p w14:paraId="732213F1" w14:textId="77777777" w:rsidR="008E030B" w:rsidRPr="008E030B" w:rsidRDefault="008E030B" w:rsidP="008E030B">
      <w:pPr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</w:pPr>
    </w:p>
    <w:p w14:paraId="77031AF6" w14:textId="250AF235" w:rsidR="0058222E" w:rsidRPr="008E030B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"/>
        <w:gridCol w:w="293"/>
        <w:gridCol w:w="292"/>
        <w:gridCol w:w="292"/>
        <w:gridCol w:w="292"/>
        <w:gridCol w:w="850"/>
        <w:gridCol w:w="914"/>
        <w:gridCol w:w="292"/>
        <w:gridCol w:w="292"/>
        <w:gridCol w:w="292"/>
        <w:gridCol w:w="658"/>
        <w:gridCol w:w="878"/>
        <w:gridCol w:w="1199"/>
        <w:gridCol w:w="774"/>
        <w:gridCol w:w="542"/>
        <w:gridCol w:w="676"/>
        <w:gridCol w:w="623"/>
        <w:gridCol w:w="623"/>
        <w:gridCol w:w="878"/>
        <w:gridCol w:w="804"/>
        <w:gridCol w:w="804"/>
        <w:gridCol w:w="984"/>
      </w:tblGrid>
      <w:tr w:rsidR="00716FAF" w:rsidRPr="00CD14D0" w14:paraId="765FF960" w14:textId="77777777" w:rsidTr="007D39A4">
        <w:trPr>
          <w:cantSplit/>
          <w:trHeight w:val="1286"/>
          <w:tblHeader/>
        </w:trPr>
        <w:tc>
          <w:tcPr>
            <w:tcW w:w="114" w:type="pct"/>
            <w:vMerge w:val="restart"/>
            <w:shd w:val="clear" w:color="000000" w:fill="D9D9D9"/>
            <w:vAlign w:val="center"/>
            <w:hideMark/>
          </w:tcPr>
          <w:p w14:paraId="5E6B99A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lastRenderedPageBreak/>
              <w:t>No.</w:t>
            </w:r>
          </w:p>
        </w:tc>
        <w:tc>
          <w:tcPr>
            <w:tcW w:w="109" w:type="pct"/>
            <w:vMerge w:val="restart"/>
            <w:shd w:val="clear" w:color="000000" w:fill="D9D9D9"/>
            <w:textDirection w:val="btLr"/>
            <w:vAlign w:val="center"/>
            <w:hideMark/>
          </w:tcPr>
          <w:p w14:paraId="60F17DF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Clase</w:t>
            </w:r>
          </w:p>
        </w:tc>
        <w:tc>
          <w:tcPr>
            <w:tcW w:w="109" w:type="pct"/>
            <w:vMerge w:val="restart"/>
            <w:shd w:val="clear" w:color="000000" w:fill="D9D9D9"/>
            <w:textDirection w:val="btLr"/>
            <w:vAlign w:val="center"/>
            <w:hideMark/>
          </w:tcPr>
          <w:p w14:paraId="2B79793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Fuente</w:t>
            </w:r>
          </w:p>
        </w:tc>
        <w:tc>
          <w:tcPr>
            <w:tcW w:w="109" w:type="pct"/>
            <w:vMerge w:val="restart"/>
            <w:shd w:val="clear" w:color="000000" w:fill="D9D9D9"/>
            <w:textDirection w:val="btLr"/>
            <w:vAlign w:val="center"/>
            <w:hideMark/>
          </w:tcPr>
          <w:p w14:paraId="6E2B233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Etapa</w:t>
            </w:r>
          </w:p>
        </w:tc>
        <w:tc>
          <w:tcPr>
            <w:tcW w:w="109" w:type="pct"/>
            <w:vMerge w:val="restart"/>
            <w:shd w:val="clear" w:color="000000" w:fill="D9D9D9"/>
            <w:textDirection w:val="btLr"/>
            <w:vAlign w:val="center"/>
            <w:hideMark/>
          </w:tcPr>
          <w:p w14:paraId="07F1F93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Tipo</w:t>
            </w:r>
          </w:p>
        </w:tc>
        <w:tc>
          <w:tcPr>
            <w:tcW w:w="313" w:type="pct"/>
            <w:vMerge w:val="restart"/>
            <w:shd w:val="clear" w:color="000000" w:fill="D9D9D9"/>
            <w:textDirection w:val="btLr"/>
            <w:vAlign w:val="center"/>
            <w:hideMark/>
          </w:tcPr>
          <w:p w14:paraId="68F1F0A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Descripción (Que puede pasar y, cómo puede ocurrir)</w:t>
            </w:r>
          </w:p>
        </w:tc>
        <w:tc>
          <w:tcPr>
            <w:tcW w:w="336" w:type="pct"/>
            <w:vMerge w:val="restart"/>
            <w:shd w:val="clear" w:color="000000" w:fill="D9D9D9"/>
            <w:textDirection w:val="btLr"/>
            <w:vAlign w:val="center"/>
            <w:hideMark/>
          </w:tcPr>
          <w:p w14:paraId="24AAB37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Consecuencia de la ocurrencia del evento</w:t>
            </w:r>
          </w:p>
        </w:tc>
        <w:tc>
          <w:tcPr>
            <w:tcW w:w="109" w:type="pct"/>
            <w:vMerge w:val="restart"/>
            <w:shd w:val="clear" w:color="000000" w:fill="D9D9D9"/>
            <w:textDirection w:val="btLr"/>
            <w:vAlign w:val="center"/>
            <w:hideMark/>
          </w:tcPr>
          <w:p w14:paraId="43B4239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109" w:type="pct"/>
            <w:vMerge w:val="restart"/>
            <w:shd w:val="clear" w:color="000000" w:fill="D9D9D9"/>
            <w:textDirection w:val="btLr"/>
            <w:vAlign w:val="center"/>
            <w:hideMark/>
          </w:tcPr>
          <w:p w14:paraId="70C7252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109" w:type="pct"/>
            <w:vMerge w:val="restart"/>
            <w:shd w:val="clear" w:color="000000" w:fill="D9D9D9"/>
            <w:textDirection w:val="btLr"/>
            <w:vAlign w:val="center"/>
            <w:hideMark/>
          </w:tcPr>
          <w:p w14:paraId="22E8872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Valoración del riesgo</w:t>
            </w:r>
          </w:p>
        </w:tc>
        <w:tc>
          <w:tcPr>
            <w:tcW w:w="242" w:type="pct"/>
            <w:vMerge w:val="restart"/>
            <w:shd w:val="clear" w:color="000000" w:fill="D9D9D9"/>
            <w:textDirection w:val="btLr"/>
            <w:vAlign w:val="center"/>
            <w:hideMark/>
          </w:tcPr>
          <w:p w14:paraId="4D95E27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323" w:type="pct"/>
            <w:vMerge w:val="restart"/>
            <w:shd w:val="clear" w:color="000000" w:fill="D9D9D9"/>
            <w:textDirection w:val="btLr"/>
            <w:vAlign w:val="center"/>
            <w:hideMark/>
          </w:tcPr>
          <w:p w14:paraId="0A1E06B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¿A quién se le asigna?</w:t>
            </w:r>
          </w:p>
        </w:tc>
        <w:tc>
          <w:tcPr>
            <w:tcW w:w="441" w:type="pct"/>
            <w:vMerge w:val="restart"/>
            <w:shd w:val="clear" w:color="000000" w:fill="D9D9D9"/>
            <w:textDirection w:val="btLr"/>
            <w:vAlign w:val="center"/>
            <w:hideMark/>
          </w:tcPr>
          <w:p w14:paraId="3CF53EC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Tratamiento/Controles a ser implementados</w:t>
            </w:r>
          </w:p>
        </w:tc>
        <w:tc>
          <w:tcPr>
            <w:tcW w:w="962" w:type="pct"/>
            <w:gridSpan w:val="4"/>
            <w:shd w:val="clear" w:color="000000" w:fill="D9D9D9"/>
            <w:vAlign w:val="center"/>
            <w:hideMark/>
          </w:tcPr>
          <w:p w14:paraId="27762206" w14:textId="77777777" w:rsidR="00716FAF" w:rsidRPr="00CD14D0" w:rsidRDefault="00716FAF" w:rsidP="007D39A4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Impacto después del tratamiento</w:t>
            </w:r>
          </w:p>
        </w:tc>
        <w:tc>
          <w:tcPr>
            <w:tcW w:w="229" w:type="pct"/>
            <w:vMerge w:val="restart"/>
            <w:shd w:val="clear" w:color="000000" w:fill="D9D9D9"/>
            <w:vAlign w:val="center"/>
            <w:hideMark/>
          </w:tcPr>
          <w:p w14:paraId="7A040FD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¿Afecta la ejecución</w:t>
            </w: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br/>
              <w:t xml:space="preserve"> del contrato?</w:t>
            </w:r>
          </w:p>
        </w:tc>
        <w:tc>
          <w:tcPr>
            <w:tcW w:w="323" w:type="pct"/>
            <w:vMerge w:val="restart"/>
            <w:shd w:val="clear" w:color="000000" w:fill="D9D9D9"/>
            <w:textDirection w:val="btLr"/>
            <w:vAlign w:val="center"/>
            <w:hideMark/>
          </w:tcPr>
          <w:p w14:paraId="08E0151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Persona responsable por implementar el tratamiento</w:t>
            </w:r>
          </w:p>
        </w:tc>
        <w:tc>
          <w:tcPr>
            <w:tcW w:w="296" w:type="pct"/>
            <w:vMerge w:val="restart"/>
            <w:shd w:val="clear" w:color="000000" w:fill="D9D9D9"/>
            <w:textDirection w:val="btLr"/>
            <w:vAlign w:val="center"/>
            <w:hideMark/>
          </w:tcPr>
          <w:p w14:paraId="17956AD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Fecha estimada en que se completa el tratamiento</w:t>
            </w:r>
          </w:p>
        </w:tc>
        <w:tc>
          <w:tcPr>
            <w:tcW w:w="658" w:type="pct"/>
            <w:gridSpan w:val="2"/>
            <w:shd w:val="clear" w:color="000000" w:fill="D9D9D9"/>
            <w:vAlign w:val="center"/>
            <w:hideMark/>
          </w:tcPr>
          <w:p w14:paraId="5A2FC9DD" w14:textId="77777777" w:rsidR="00716FAF" w:rsidRPr="00CD14D0" w:rsidRDefault="00716FAF" w:rsidP="007D39A4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Monitoreo y revisión</w:t>
            </w:r>
          </w:p>
        </w:tc>
      </w:tr>
      <w:tr w:rsidR="00716FAF" w:rsidRPr="00CD14D0" w14:paraId="00B7B6A8" w14:textId="77777777" w:rsidTr="007D39A4">
        <w:trPr>
          <w:trHeight w:val="495"/>
          <w:tblHeader/>
        </w:trPr>
        <w:tc>
          <w:tcPr>
            <w:tcW w:w="114" w:type="pct"/>
            <w:vMerge/>
            <w:vAlign w:val="center"/>
            <w:hideMark/>
          </w:tcPr>
          <w:p w14:paraId="5AEECCC3" w14:textId="77777777" w:rsidR="00716FAF" w:rsidRPr="00CD14D0" w:rsidRDefault="00716FAF" w:rsidP="007D39A4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9" w:type="pct"/>
            <w:vMerge/>
            <w:vAlign w:val="center"/>
            <w:hideMark/>
          </w:tcPr>
          <w:p w14:paraId="16323C78" w14:textId="77777777" w:rsidR="00716FAF" w:rsidRPr="00CD14D0" w:rsidRDefault="00716FAF" w:rsidP="007D39A4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9" w:type="pct"/>
            <w:vMerge/>
            <w:vAlign w:val="center"/>
            <w:hideMark/>
          </w:tcPr>
          <w:p w14:paraId="20468317" w14:textId="77777777" w:rsidR="00716FAF" w:rsidRPr="00CD14D0" w:rsidRDefault="00716FAF" w:rsidP="007D39A4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9" w:type="pct"/>
            <w:vMerge/>
            <w:vAlign w:val="center"/>
            <w:hideMark/>
          </w:tcPr>
          <w:p w14:paraId="4C1FC55F" w14:textId="77777777" w:rsidR="00716FAF" w:rsidRPr="00CD14D0" w:rsidRDefault="00716FAF" w:rsidP="007D39A4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9" w:type="pct"/>
            <w:vMerge/>
            <w:vAlign w:val="center"/>
            <w:hideMark/>
          </w:tcPr>
          <w:p w14:paraId="79E3BA4E" w14:textId="77777777" w:rsidR="00716FAF" w:rsidRPr="00CD14D0" w:rsidRDefault="00716FAF" w:rsidP="007D39A4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14:paraId="306F38A6" w14:textId="77777777" w:rsidR="00716FAF" w:rsidRPr="00CD14D0" w:rsidRDefault="00716FAF" w:rsidP="007D39A4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336" w:type="pct"/>
            <w:vMerge/>
            <w:vAlign w:val="center"/>
            <w:hideMark/>
          </w:tcPr>
          <w:p w14:paraId="35DD0AF4" w14:textId="77777777" w:rsidR="00716FAF" w:rsidRPr="00CD14D0" w:rsidRDefault="00716FAF" w:rsidP="007D39A4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9" w:type="pct"/>
            <w:vMerge/>
            <w:vAlign w:val="center"/>
            <w:hideMark/>
          </w:tcPr>
          <w:p w14:paraId="7BF9F386" w14:textId="77777777" w:rsidR="00716FAF" w:rsidRPr="00CD14D0" w:rsidRDefault="00716FAF" w:rsidP="007D39A4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9" w:type="pct"/>
            <w:vMerge/>
            <w:vAlign w:val="center"/>
            <w:hideMark/>
          </w:tcPr>
          <w:p w14:paraId="3F00676C" w14:textId="77777777" w:rsidR="00716FAF" w:rsidRPr="00CD14D0" w:rsidRDefault="00716FAF" w:rsidP="007D39A4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09" w:type="pct"/>
            <w:vMerge/>
            <w:vAlign w:val="center"/>
            <w:hideMark/>
          </w:tcPr>
          <w:p w14:paraId="0D8C6AF0" w14:textId="77777777" w:rsidR="00716FAF" w:rsidRPr="00CD14D0" w:rsidRDefault="00716FAF" w:rsidP="007D39A4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42" w:type="pct"/>
            <w:vMerge/>
            <w:vAlign w:val="center"/>
            <w:hideMark/>
          </w:tcPr>
          <w:p w14:paraId="5EEF1E5A" w14:textId="77777777" w:rsidR="00716FAF" w:rsidRPr="00CD14D0" w:rsidRDefault="00716FAF" w:rsidP="007D39A4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323" w:type="pct"/>
            <w:vMerge/>
            <w:vAlign w:val="center"/>
            <w:hideMark/>
          </w:tcPr>
          <w:p w14:paraId="166C4022" w14:textId="77777777" w:rsidR="00716FAF" w:rsidRPr="00CD14D0" w:rsidRDefault="00716FAF" w:rsidP="007D39A4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441" w:type="pct"/>
            <w:vMerge/>
            <w:vAlign w:val="center"/>
            <w:hideMark/>
          </w:tcPr>
          <w:p w14:paraId="51E51F3C" w14:textId="77777777" w:rsidR="00716FAF" w:rsidRPr="00CD14D0" w:rsidRDefault="00716FAF" w:rsidP="007D39A4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85" w:type="pct"/>
            <w:shd w:val="clear" w:color="000000" w:fill="D9D9D9"/>
            <w:vAlign w:val="center"/>
            <w:hideMark/>
          </w:tcPr>
          <w:p w14:paraId="5DEC143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199" w:type="pct"/>
            <w:shd w:val="clear" w:color="000000" w:fill="D9D9D9"/>
            <w:vAlign w:val="center"/>
            <w:hideMark/>
          </w:tcPr>
          <w:p w14:paraId="44CF7C0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248" w:type="pct"/>
            <w:shd w:val="clear" w:color="000000" w:fill="D9D9D9"/>
            <w:vAlign w:val="center"/>
            <w:hideMark/>
          </w:tcPr>
          <w:p w14:paraId="66D53B4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Valoración del Riesgo</w:t>
            </w:r>
          </w:p>
        </w:tc>
        <w:tc>
          <w:tcPr>
            <w:tcW w:w="229" w:type="pct"/>
            <w:shd w:val="clear" w:color="000000" w:fill="D9D9D9"/>
            <w:vAlign w:val="center"/>
            <w:hideMark/>
          </w:tcPr>
          <w:p w14:paraId="1D4F275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229" w:type="pct"/>
            <w:vMerge/>
            <w:vAlign w:val="center"/>
            <w:hideMark/>
          </w:tcPr>
          <w:p w14:paraId="00A5490B" w14:textId="77777777" w:rsidR="00716FAF" w:rsidRPr="00CD14D0" w:rsidRDefault="00716FAF" w:rsidP="007D39A4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323" w:type="pct"/>
            <w:vMerge/>
            <w:vAlign w:val="center"/>
            <w:hideMark/>
          </w:tcPr>
          <w:p w14:paraId="5FEFD7F4" w14:textId="77777777" w:rsidR="00716FAF" w:rsidRPr="00CD14D0" w:rsidRDefault="00716FAF" w:rsidP="007D39A4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96" w:type="pct"/>
            <w:vMerge/>
            <w:vAlign w:val="center"/>
            <w:hideMark/>
          </w:tcPr>
          <w:p w14:paraId="0F3C84E2" w14:textId="77777777" w:rsidR="00716FAF" w:rsidRPr="00CD14D0" w:rsidRDefault="00716FAF" w:rsidP="007D39A4">
            <w:pPr>
              <w:spacing w:line="240" w:lineRule="auto"/>
              <w:contextualSpacing w:val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96" w:type="pct"/>
            <w:shd w:val="clear" w:color="000000" w:fill="D9D9D9"/>
            <w:vAlign w:val="center"/>
            <w:hideMark/>
          </w:tcPr>
          <w:p w14:paraId="1FC29DD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>¿Cómo se realiza el monitoreo?</w:t>
            </w:r>
          </w:p>
        </w:tc>
        <w:tc>
          <w:tcPr>
            <w:tcW w:w="362" w:type="pct"/>
            <w:shd w:val="clear" w:color="000000" w:fill="D9D9D9"/>
            <w:vAlign w:val="center"/>
            <w:hideMark/>
          </w:tcPr>
          <w:p w14:paraId="082EA68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t xml:space="preserve">Periodicidad </w:t>
            </w:r>
            <w:r w:rsidRPr="00CD14D0"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eastAsia="es-CO"/>
              </w:rPr>
              <w:br/>
              <w:t>¿Cuándo?</w:t>
            </w:r>
          </w:p>
        </w:tc>
      </w:tr>
      <w:tr w:rsidR="00716FAF" w:rsidRPr="00CD14D0" w14:paraId="28EA0AB5" w14:textId="77777777" w:rsidTr="007D39A4">
        <w:trPr>
          <w:trHeight w:val="1800"/>
        </w:trPr>
        <w:tc>
          <w:tcPr>
            <w:tcW w:w="114" w:type="pct"/>
            <w:shd w:val="clear" w:color="auto" w:fill="auto"/>
            <w:vAlign w:val="center"/>
            <w:hideMark/>
          </w:tcPr>
          <w:p w14:paraId="22E6F93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11F27C1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1E8F083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703AC1E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192D27D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Económicos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745E9428" w14:textId="77777777" w:rsidR="00716FAF" w:rsidRPr="00CD14D0" w:rsidRDefault="00716FAF" w:rsidP="007D39A4">
            <w:pPr>
              <w:spacing w:line="240" w:lineRule="auto"/>
              <w:contextualSpacing w:val="0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Inadecuado análisis económico estimativo del valor del contrato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6B66CB0C" w14:textId="77777777" w:rsidR="00716FAF" w:rsidRPr="00CD14D0" w:rsidRDefault="00716FAF" w:rsidP="007D39A4">
            <w:pPr>
              <w:spacing w:line="240" w:lineRule="auto"/>
              <w:contextualSpacing w:val="0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Los precios no van a ser acordes al objeto contratado, afectando la ejecución y entregables del mismo.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618889C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4E19E82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52EC636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51AF5A7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4F2D4E9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82D7AEF" w14:textId="77777777" w:rsidR="00716FAF" w:rsidRPr="00CD14D0" w:rsidRDefault="00716FAF" w:rsidP="007D39A4">
            <w:pPr>
              <w:spacing w:line="240" w:lineRule="auto"/>
              <w:contextualSpacing w:val="0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Estructurar el presupuesto en función del alcance del contrato de modo que se puedan prever todas las posibles variables que puedan incidir en la estructura de costos. Y análisis realizado en el estudio del sector.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23D1E88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46D19A3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72162BC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5799B46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3EA9AD4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0E6A486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1E69553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Evaluación de la propuesta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49F5F93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Evaluación de la propuesta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7C677B1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05A96BED" w14:textId="77777777" w:rsidTr="007D39A4">
        <w:trPr>
          <w:trHeight w:val="1620"/>
        </w:trPr>
        <w:tc>
          <w:tcPr>
            <w:tcW w:w="114" w:type="pct"/>
            <w:shd w:val="clear" w:color="auto" w:fill="auto"/>
            <w:vAlign w:val="center"/>
            <w:hideMark/>
          </w:tcPr>
          <w:p w14:paraId="35A9843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4342103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5875E15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3D52464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186002A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365315E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Inadecuada descripción del bien o servicio requerido 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2C7C89E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Los bienes y servicios contratados no corresponden con las necesidades y requerimientos del proyecto.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40C318D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179DCE1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1BF8599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2190EA4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4F77FD5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93E7C6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Verificar la coherencia y consistencia de todos los documentos que hagan parte del proceso precontractual y su estructuración de acuerdo con el alcance de los elementos adquiridos.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7D380D3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0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6A5F792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6BB7B15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011B778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15C63C5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71064A9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196999C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Evaluación de la propuesta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33C573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Evaluación de la propuesta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3CEA5AC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6B376FF4" w14:textId="77777777" w:rsidTr="007D39A4">
        <w:trPr>
          <w:trHeight w:val="1620"/>
        </w:trPr>
        <w:tc>
          <w:tcPr>
            <w:tcW w:w="114" w:type="pct"/>
            <w:shd w:val="clear" w:color="auto" w:fill="auto"/>
            <w:vAlign w:val="center"/>
            <w:hideMark/>
          </w:tcPr>
          <w:p w14:paraId="4F9E0F3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7DBB23B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0F57440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21D8D0A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15CA4F6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0D559C2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Inadecuada elaboración de estudios y diseños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28546DA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Los bienes y servicios contratados no corresponden con las necesidades y requerimientos del proyecto.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4A00095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7E74499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4E381C0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5997B08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2B5BF42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1B3209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Verificar la coherencia y consistencia de todos los documentos que hagan parte del proceso precontractual y su estructuración de acuerdo con el alcance de los </w:t>
            </w: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lastRenderedPageBreak/>
              <w:t>elementos adquiridos.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4FF6FEB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lastRenderedPageBreak/>
              <w:t>0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519606C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038FB4E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3B1CA26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548EBC4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02DADE5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21909FE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Evaluación de la propuesta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4454054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Evaluación de la propuesta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665BCF9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50B093A0" w14:textId="77777777" w:rsidTr="007D39A4">
        <w:trPr>
          <w:trHeight w:val="1440"/>
        </w:trPr>
        <w:tc>
          <w:tcPr>
            <w:tcW w:w="114" w:type="pct"/>
            <w:shd w:val="clear" w:color="auto" w:fill="auto"/>
            <w:vAlign w:val="center"/>
            <w:hideMark/>
          </w:tcPr>
          <w:p w14:paraId="48CEC1E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lastRenderedPageBreak/>
              <w:t>4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3EF181E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521048B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55C356B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41E3C04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5954CE1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Requisitos habilitantes que impidan la selección objetiva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2573482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Inconvenientes para la selección de proveedor contratista que impidan su normal desarrollo y que pueden llegar a generar inconvenientes en las obligaciones contractuales.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52A5084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203B06B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137CCD6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35DFDF9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6891D6D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DEC8D7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Verificación constante por el supervisor del contrato conforme a la oferta económica presentada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36FAE18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0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51AA915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1797AC2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30B30D7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6018266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19873D8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744F34C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Evaluación de la propuesta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1DA8E25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Evaluación de la propuesta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72FF8C2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077BC095" w14:textId="77777777" w:rsidTr="007D39A4">
        <w:trPr>
          <w:trHeight w:val="1800"/>
        </w:trPr>
        <w:tc>
          <w:tcPr>
            <w:tcW w:w="114" w:type="pct"/>
            <w:shd w:val="clear" w:color="auto" w:fill="auto"/>
            <w:vAlign w:val="center"/>
            <w:hideMark/>
          </w:tcPr>
          <w:p w14:paraId="211C4AD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55704BF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501FE4A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7292C56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03AC2D9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Económicos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7F5D57E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Apertura de procesos sin disponibilidad presupuestal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3B027AF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Demora en la ejecución de las actividades contratadas, hasta la rescisión o desistimiento del contrato por parte del contratista.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6934DA6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2BAB9ED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71F9C73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165C87C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76D1043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B9B19D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Estructurar el presupuesto en función del alcance del contrato de modo que se puedan prever todas las posibles variables que puedan incidir en la estructura de costos. Y análisis </w:t>
            </w: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lastRenderedPageBreak/>
              <w:t>realizado en el estudio del sector.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183BADD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lastRenderedPageBreak/>
              <w:t>2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4487FAC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2FAD561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27CBFB4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5774C87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363B2AA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16DF8BE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Evaluación de la propuesta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1906EAD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Evaluación de la propuesta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396C36B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52C623F6" w14:textId="77777777" w:rsidTr="007D39A4">
        <w:trPr>
          <w:trHeight w:val="1020"/>
        </w:trPr>
        <w:tc>
          <w:tcPr>
            <w:tcW w:w="114" w:type="pct"/>
            <w:shd w:val="clear" w:color="auto" w:fill="auto"/>
            <w:vAlign w:val="center"/>
            <w:hideMark/>
          </w:tcPr>
          <w:p w14:paraId="3197CD2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lastRenderedPageBreak/>
              <w:t>6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27A60D6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285D507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1EE568A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61EBE28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315EEA9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Inadecuada evaluación de las ofertas y/o verificación de requisitos habilitantes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215A01D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Demoras en el proceso de selección, reclamaciones de los proponentes y posibles demandas.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15045E6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63A781F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2C30EE8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6C3C04D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55937F3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br/>
              <w:t xml:space="preserve"> Y ENTIDAD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684D87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Verificación constante por el supervisor del contrato conforme a la oferta económica presentada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01714BD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0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72780FB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02FF9C5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231CEE0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27E530A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1E8875E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741FBC5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Etapa precontractual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08A246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Etapa precontractual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4EA2B35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7CCB6261" w14:textId="77777777" w:rsidTr="007D39A4">
        <w:trPr>
          <w:trHeight w:val="1080"/>
        </w:trPr>
        <w:tc>
          <w:tcPr>
            <w:tcW w:w="114" w:type="pct"/>
            <w:shd w:val="clear" w:color="auto" w:fill="auto"/>
            <w:vAlign w:val="center"/>
            <w:hideMark/>
          </w:tcPr>
          <w:p w14:paraId="165E6B2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3F40DE3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369A3FF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5694F25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2B211CD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305C30E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Contestación inoportuna a todas las observaciones formuladas a los documentos de la contratación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5BCD151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Desistimientos y perdida de interés de los proponentes.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65AEE0E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00F6FE0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1E7CDD1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37398C5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35C9258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0B0A3D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Verificación constante por el supervisor del contrato conforme a la oferta económica presentada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1389A6F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22D6953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1D2640C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5F8F9E1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23B0DCB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5310407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31868D0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Etapa precontractual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11DCC69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Etapa precontractual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5DBB7D8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7EDD316A" w14:textId="77777777" w:rsidTr="007D39A4">
        <w:trPr>
          <w:trHeight w:val="1020"/>
        </w:trPr>
        <w:tc>
          <w:tcPr>
            <w:tcW w:w="114" w:type="pct"/>
            <w:shd w:val="clear" w:color="auto" w:fill="auto"/>
            <w:vAlign w:val="center"/>
            <w:hideMark/>
          </w:tcPr>
          <w:p w14:paraId="218A283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4C366F8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5F61267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2D0DABA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007FDCC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4445520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No publicación de la documentación del proceso de selección en el SECOP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32679B1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Sanciones y/o multas por prevaricato por omisión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4BB4FB5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791C52A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4E9D085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7956131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7626AA7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465E30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Verificación constante por el supervisor del contrato conforme a la oferta económica presentada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13C2867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28AE3D2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3F6DEA6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76C618F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28B92B6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62C3D12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D3AEBB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Etapa precontractual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287136E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Etapa precontractual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1A530B1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53EDA7F9" w14:textId="77777777" w:rsidTr="007D39A4">
        <w:trPr>
          <w:trHeight w:val="1260"/>
        </w:trPr>
        <w:tc>
          <w:tcPr>
            <w:tcW w:w="114" w:type="pct"/>
            <w:shd w:val="clear" w:color="auto" w:fill="auto"/>
            <w:vAlign w:val="center"/>
            <w:hideMark/>
          </w:tcPr>
          <w:p w14:paraId="06BDBB5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lastRenderedPageBreak/>
              <w:t>9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37C836E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16EEBD9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5FEB3D5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5E9E02E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6EE179B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confabulación de los proponentes (Colusión)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5B07EEC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Perjuicios económicos, afectando los precios del contrato, al limitar la libre competencia en el mercado.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5A5FF4E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2E42122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37BE9D9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26B13BC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784FB79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542AAF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Probada la conducta colusoria rechazar del proceso de selección la oferta de los proponentes implicados y dar parte a las autoridades pertinentes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09A6A06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-2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58653A6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3E7D91B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0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724B608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50C33FC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6D73D28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F602ED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Etapa precontractual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77F248D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Etapa precontractual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24E0822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3D1BB0AC" w14:textId="77777777" w:rsidTr="007D39A4">
        <w:trPr>
          <w:trHeight w:val="1620"/>
        </w:trPr>
        <w:tc>
          <w:tcPr>
            <w:tcW w:w="114" w:type="pct"/>
            <w:shd w:val="clear" w:color="auto" w:fill="auto"/>
            <w:vAlign w:val="center"/>
            <w:hideMark/>
          </w:tcPr>
          <w:p w14:paraId="5F51CFD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10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609EBFB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452DEF8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0E4AE74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6A979BC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5541283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Selección de ofertas con precios artificialmente bajos.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3FAFD16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Los bienes y servicios entregados no cuenten con la calidad requerida, generando afectaciones y la exposición a otros riesgos colaterales.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5700D14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556881F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254F4C1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6E26898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57781B2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5B75A4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Verificación del análisis del sector para determinar el valor del presupuesto de los elementos a adquirir y así evitar precios artificialmente bajos contemplados en el mercado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5610045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0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3F83DC5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40A9DCA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4F83296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75D8C88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1892015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344B45A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Etapa precontractual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46BBA44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Etapa precontractual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27993F3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1FDD4160" w14:textId="77777777" w:rsidTr="007D39A4">
        <w:trPr>
          <w:trHeight w:val="1620"/>
        </w:trPr>
        <w:tc>
          <w:tcPr>
            <w:tcW w:w="114" w:type="pct"/>
            <w:shd w:val="clear" w:color="auto" w:fill="auto"/>
            <w:vAlign w:val="center"/>
            <w:hideMark/>
          </w:tcPr>
          <w:p w14:paraId="6A55821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11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6D6C6A6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733A8DD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285F5EC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CONTRATACIÓN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6DC38F4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025D276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Declarar desierto el proceso de contratación, por falta de proponentes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4ABCAD3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No cumplimiento de las necesidades en el tiempo previstos de la entidad.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434F312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501D081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04CC6EA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31BD4EF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468B14D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br/>
              <w:t xml:space="preserve"> Y ENTIDAD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0ABAEB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Verificación del análisis del sector para determinar el valor del presupuesto de los elementos adquiridos y así evitar precios artificialmente bajos o desinterés por parte del proponente.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355B3D5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0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084CDA5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-1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0760399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-1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118EC38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2CEFF22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0C2A83E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56135A2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legalización del contrato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3F75B80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legalización del contrato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22227B3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7A39D3C9" w14:textId="77777777" w:rsidTr="007D39A4">
        <w:trPr>
          <w:trHeight w:val="1620"/>
        </w:trPr>
        <w:tc>
          <w:tcPr>
            <w:tcW w:w="114" w:type="pct"/>
            <w:shd w:val="clear" w:color="auto" w:fill="auto"/>
            <w:vAlign w:val="center"/>
            <w:hideMark/>
          </w:tcPr>
          <w:p w14:paraId="0621BE4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lastRenderedPageBreak/>
              <w:t>12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578E027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7E02349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35A7C9F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CONTRATACIÓN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00FBC53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55C8FF6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Adjudicar el contrato a un proponente que no pueda suministrar bienes o los insumos y servicios sean de mala calidad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1AFB165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La baja calidad de bienes provoca fallas mecánicas, así como retrasos o incluso que el trabajo se detenga, además de la exposición a nuevos riesgos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2D95F46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6CCF097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5DAAC41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7B327B0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5AA79ED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B85F83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Verificación del análisis del sector para determinar el valor del presupuesto de los elementos adquiridos y así evitar precios artificialmente bajos o desinterés por parte del proponente.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0D90732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799F88D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7851BE3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72FAB4E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16FB881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4AA0C9C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15698E9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legalización del contrato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D9012A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legalización del contrato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6B280AF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433AB62C" w14:textId="77777777" w:rsidTr="007D39A4">
        <w:trPr>
          <w:trHeight w:val="1620"/>
        </w:trPr>
        <w:tc>
          <w:tcPr>
            <w:tcW w:w="114" w:type="pct"/>
            <w:shd w:val="clear" w:color="auto" w:fill="auto"/>
            <w:vAlign w:val="center"/>
            <w:hideMark/>
          </w:tcPr>
          <w:p w14:paraId="177EC46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13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75424D8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0BA6372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029D87E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CONTRATACIÓN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7072F15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04A0B92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Suspensión del proceso de adjudicación antes de la firma del contrato.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24ECAA6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Retrasos en la ejecución del contrato. Incremento en costos. Reprogramación de actividades.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2652B81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4E6E2A4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73595F7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46AFC7A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608BE5E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200AA2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Estructuración de un proceso de selección en cumplimiento de la ley aplicable y con apego a las reglas que gobiernan el proceso, para evitar que se configuren las causales de suspensión previstas en la ley.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1E8BCFE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74B41DB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3CE41FC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16A35D7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1445B87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51C14D1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7FB86D1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legalización del contrato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613DC22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legalización del contrato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194D3D7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2B79858D" w14:textId="77777777" w:rsidTr="007D39A4">
        <w:trPr>
          <w:trHeight w:val="1275"/>
        </w:trPr>
        <w:tc>
          <w:tcPr>
            <w:tcW w:w="114" w:type="pct"/>
            <w:shd w:val="clear" w:color="auto" w:fill="auto"/>
            <w:vAlign w:val="center"/>
            <w:hideMark/>
          </w:tcPr>
          <w:p w14:paraId="3E6B909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14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3F96220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7DA4637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268804C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CONTRATACIÓN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4B2B08C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4CFD6C2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Falta o aceptación de garantías que no se ajustan a lo contemplado en el contrato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312AD92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Perdidas económicas por incumplimiento de las obligaciones por parte del contratista.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53DA785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7F47E8D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04BC594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48B98BE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EXTREMO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1138DC9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D740F4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Verificación constante por el supervisor del contrato conforme a la oferta económica presentada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787B295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27EE46A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7B18355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6AC4882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10A7355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79B59B2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470EE80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legalización del contrato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21E78CD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legalización del contrato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4B12CE1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2EAD6827" w14:textId="77777777" w:rsidTr="007D39A4">
        <w:trPr>
          <w:trHeight w:val="1620"/>
        </w:trPr>
        <w:tc>
          <w:tcPr>
            <w:tcW w:w="114" w:type="pct"/>
            <w:shd w:val="clear" w:color="auto" w:fill="auto"/>
            <w:vAlign w:val="center"/>
            <w:hideMark/>
          </w:tcPr>
          <w:p w14:paraId="70053E5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lastRenderedPageBreak/>
              <w:t>15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1435CB2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6EBF638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3F59C2A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CONTRATACIÓN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718E4D4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7B375BE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Demora en el cumplimiento de los requisitos previos necesarios para la firma del acta de inicio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15CCC4D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Demoras en el inicio de la ejecución del contrato. Reprogramación de actividades. Incremento en costos.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6BA860E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359AF80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152A0AA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08E8321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4ED577E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br/>
              <w:t xml:space="preserve"> Y ENTIDAD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E6524C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Exigir al contratista adjudicatario el cumplimiento de los requisitos contractuales. Requerir la participación del Supervisor/Interventor. Contar con póliza de Seriedad de la oferta.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3940633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0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762B4A7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75D4790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73337AD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18FDB6E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585F439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59B0D91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legalización del contrato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7085FE8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legalización del contrato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5F828EC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0C14271F" w14:textId="77777777" w:rsidTr="007D39A4">
        <w:trPr>
          <w:trHeight w:val="1620"/>
        </w:trPr>
        <w:tc>
          <w:tcPr>
            <w:tcW w:w="114" w:type="pct"/>
            <w:shd w:val="clear" w:color="auto" w:fill="auto"/>
            <w:vAlign w:val="center"/>
            <w:hideMark/>
          </w:tcPr>
          <w:p w14:paraId="4D81688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16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7894AE8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7AF871E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28372E6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67FBB36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3E1F5B8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Fallas, demoras o falta en el suministro maquinaria, equipos, materiales, herramientas o demás bienes necesarios para la ejecución del contrato.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5407185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Retrasos en la ejecución del contrato. Reprogramación de actividades. Incremento en costos.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2F3DBAB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6E2FE02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3DB73FC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3A16F98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1E6FA56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C28655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Incluir en el plan operativo el cronograma de entrega de los bienes requeridos para ejecutar las labores. Designar un responsable de la coordinación del personal que va a realizar las obras.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74C3773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0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09C0776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37B28EB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58195DC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602F01E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066871E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6FE772B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ejecución mediante seguimiento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1D293D6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ejecución mediante seguimiento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5225B81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75896567" w14:textId="77777777" w:rsidTr="007D39A4">
        <w:trPr>
          <w:trHeight w:val="1800"/>
        </w:trPr>
        <w:tc>
          <w:tcPr>
            <w:tcW w:w="114" w:type="pct"/>
            <w:shd w:val="clear" w:color="auto" w:fill="auto"/>
            <w:vAlign w:val="center"/>
            <w:hideMark/>
          </w:tcPr>
          <w:p w14:paraId="7C2D7EC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17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786603D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7CAF387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6916C8F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2A29409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Sociales o políticos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0B9FC0E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Obstrucción de la realización de los trabajos por acciones de grupo con intereses en contra de las actividades derivadas del contrato.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0AB8A59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Retrasos en la ejecución del contrato. Reprogramación de actividades. Suspensión de los trabajos. Riesgo Reputacional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68B5E18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249AF1E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673F2BA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7D7A350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5451307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9BC7CA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El Contratista debe velar por la ejecución del programa de gestión social para informar permanentemente a la comunidad donde se desarrollarán las obras, el alcance, magnitud, impacto y beneficio de estas.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5F05DF9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-2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7F5F790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-1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0CB3AF5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-3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645B026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1278538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2D28622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149D69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ejecución mediante seguimiento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8BA650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ejecución mediante seguimiento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71C389C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3EF2211A" w14:textId="77777777" w:rsidTr="007D39A4">
        <w:trPr>
          <w:trHeight w:val="2340"/>
        </w:trPr>
        <w:tc>
          <w:tcPr>
            <w:tcW w:w="114" w:type="pct"/>
            <w:shd w:val="clear" w:color="auto" w:fill="auto"/>
            <w:vAlign w:val="center"/>
            <w:hideMark/>
          </w:tcPr>
          <w:p w14:paraId="33041B6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lastRenderedPageBreak/>
              <w:t>18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3F9B0E9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3A8A783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6D33926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6E8455E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65DF784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Demoras, reprocesos o suspensión de obra por falta de trámites ante autoridades para obtención de permisos ambientales, legalización de terrenos (Embargos, servidumbres o propiedad)  o condiciones jurídicas del uso de suelos que afecten la ejecución de la obra.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4915DFA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Reprogramación de actividades. Demoras en la ejecución del contrato. Incremento en costos. Duplicación de actividades.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673316A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2DF851C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2A66A5C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3EF26C4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7530C75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B5C55D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Incluir en el plan operativo como ítem crítico de control la verificación de los inicios de los procesos de trámite de licencias y permisos con las entidades públicas y el avance de estos.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5056992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-1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253DA0D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484F483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-1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249355F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43554CE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3A741CE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13857B6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ejecución mediante seguimiento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2DAC0D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ejecución mediante seguimiento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1D25672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1EAF05BA" w14:textId="77777777" w:rsidTr="007D39A4">
        <w:trPr>
          <w:trHeight w:val="2700"/>
        </w:trPr>
        <w:tc>
          <w:tcPr>
            <w:tcW w:w="114" w:type="pct"/>
            <w:shd w:val="clear" w:color="auto" w:fill="auto"/>
            <w:vAlign w:val="center"/>
            <w:hideMark/>
          </w:tcPr>
          <w:p w14:paraId="69ECB13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lastRenderedPageBreak/>
              <w:t>19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3856A15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6E780F5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0EF2930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0AFEE2B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Operacionales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6F4B326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Demoras y/o rechazo de la obra por discrepancias entre el Contratista de obra y el Interventor del contrato. 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32DAA48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Reprogramación de actividades. Demoras en la ejecución del contrato. Incremento en costos.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08E62DD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0179CC2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3898CFD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596AAB12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6C31C4C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C56EE1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El Interventor deberá informar al área responsable en el FDL</w:t>
            </w: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SF</w:t>
            </w: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 que el Contratista no le permite realizar sus funciones de control, mediciones y/o levantamiento de información. La superv</w:t>
            </w: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</w:t>
            </w: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ción del contra</w:t>
            </w: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to del FDLSF</w:t>
            </w: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 exigirá el apoyo del Contratista para que el Interventor pueda realizar sus labores.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3DF7F20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6C0D711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0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5AB8DBD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00D7C35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706EC05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63D4D51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76FFCDD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ejecución mediante seguimiento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4E89707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ejecución mediante seguimiento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09ABCB9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26FCDAC4" w14:textId="77777777" w:rsidTr="007D39A4">
        <w:trPr>
          <w:trHeight w:val="2160"/>
        </w:trPr>
        <w:tc>
          <w:tcPr>
            <w:tcW w:w="114" w:type="pct"/>
            <w:shd w:val="clear" w:color="auto" w:fill="auto"/>
            <w:vAlign w:val="center"/>
            <w:hideMark/>
          </w:tcPr>
          <w:p w14:paraId="3B7B732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20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09FE97E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0716843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05DAD8C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  <w:hideMark/>
          </w:tcPr>
          <w:p w14:paraId="37BBC10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Reputacional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14:paraId="38E92F37" w14:textId="77777777" w:rsidR="00716FAF" w:rsidRPr="00CD14D0" w:rsidRDefault="00716FAF" w:rsidP="007D39A4">
            <w:pPr>
              <w:spacing w:line="240" w:lineRule="auto"/>
              <w:contextualSpacing w:val="0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Corrupción, por acción u omisión, uso indebido del poder, de los recursos o de la información, lesionando los intereses de una entidad y en consecuencia del Estado, para la obtención de un beneficio particular.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14:paraId="64C52C9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Sobre costos al valor de contrato y suspensión del contrato. Riesgo Reputacional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7B4D88DB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6888232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09" w:type="pct"/>
            <w:shd w:val="clear" w:color="auto" w:fill="auto"/>
            <w:vAlign w:val="center"/>
            <w:hideMark/>
          </w:tcPr>
          <w:p w14:paraId="49B8A6A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4BDDD2D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EXTREMO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17EF811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br/>
              <w:t xml:space="preserve"> Y ENTIDAD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A372AA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Como medida de carácter preventivo no se establecen o definen mecanismos concretos para desarrollarla, En cambio, se exige que la participación ciudadana sea un criterio básico en la formulación y aplicación de las políticas contra la corrupción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14:paraId="116C8C2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99" w:type="pct"/>
            <w:shd w:val="clear" w:color="auto" w:fill="auto"/>
            <w:vAlign w:val="center"/>
            <w:hideMark/>
          </w:tcPr>
          <w:p w14:paraId="0C49B08D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14:paraId="0206D8C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5BB7360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  <w:hideMark/>
          </w:tcPr>
          <w:p w14:paraId="1EA0FF1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14:paraId="2167F87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ENTIDAD Y CONTRATISTA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2CB2D90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ejecución mediante seguimiento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643C8A1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ejecución mediante seguimiento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018A056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En la ocurrencia del evento</w:t>
            </w:r>
          </w:p>
        </w:tc>
      </w:tr>
      <w:tr w:rsidR="00716FAF" w:rsidRPr="00CD14D0" w14:paraId="2389040C" w14:textId="77777777" w:rsidTr="007D39A4">
        <w:trPr>
          <w:trHeight w:val="2160"/>
        </w:trPr>
        <w:tc>
          <w:tcPr>
            <w:tcW w:w="114" w:type="pct"/>
            <w:shd w:val="clear" w:color="auto" w:fill="auto"/>
            <w:vAlign w:val="center"/>
          </w:tcPr>
          <w:p w14:paraId="4D614F1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lastRenderedPageBreak/>
              <w:t>21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</w:tcPr>
          <w:p w14:paraId="29243269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</w:tcPr>
          <w:p w14:paraId="6CAEAA7A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</w:tcPr>
          <w:p w14:paraId="03CEFD5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 xml:space="preserve">Ejecución </w:t>
            </w:r>
          </w:p>
        </w:tc>
        <w:tc>
          <w:tcPr>
            <w:tcW w:w="109" w:type="pct"/>
            <w:shd w:val="clear" w:color="auto" w:fill="auto"/>
            <w:textDirection w:val="btLr"/>
            <w:vAlign w:val="center"/>
          </w:tcPr>
          <w:p w14:paraId="36D99F30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Riesgo Económico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55BCD133" w14:textId="77777777" w:rsidR="00716FAF" w:rsidRPr="00CD14D0" w:rsidRDefault="00716FAF" w:rsidP="007D39A4">
            <w:pPr>
              <w:spacing w:line="240" w:lineRule="auto"/>
              <w:contextualSpacing w:val="0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801F5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Salida del mercado de insumos o materias primas fundamentales para la elaboración de las obras objeto del contrato.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47B2666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1801F5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Impacto negativo en el cumplimiento del objeto contractual</w:t>
            </w:r>
          </w:p>
        </w:tc>
        <w:tc>
          <w:tcPr>
            <w:tcW w:w="109" w:type="pct"/>
            <w:shd w:val="clear" w:color="auto" w:fill="auto"/>
            <w:vAlign w:val="center"/>
          </w:tcPr>
          <w:p w14:paraId="22100F5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9" w:type="pct"/>
            <w:shd w:val="clear" w:color="auto" w:fill="auto"/>
            <w:vAlign w:val="center"/>
          </w:tcPr>
          <w:p w14:paraId="5D29F2E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09" w:type="pct"/>
            <w:shd w:val="clear" w:color="auto" w:fill="auto"/>
            <w:vAlign w:val="center"/>
          </w:tcPr>
          <w:p w14:paraId="2D58170E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42" w:type="pct"/>
            <w:shd w:val="clear" w:color="auto" w:fill="auto"/>
            <w:vAlign w:val="center"/>
          </w:tcPr>
          <w:p w14:paraId="27794217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323" w:type="pct"/>
            <w:shd w:val="clear" w:color="auto" w:fill="auto"/>
            <w:vAlign w:val="center"/>
          </w:tcPr>
          <w:p w14:paraId="71E9233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CONTRATISTA</w:t>
            </w:r>
            <w:r w:rsidRPr="00CD14D0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br/>
              <w:t xml:space="preserve"> Y ENTIDAD</w:t>
            </w:r>
          </w:p>
        </w:tc>
        <w:tc>
          <w:tcPr>
            <w:tcW w:w="441" w:type="pct"/>
            <w:shd w:val="clear" w:color="auto" w:fill="auto"/>
            <w:vAlign w:val="center"/>
          </w:tcPr>
          <w:p w14:paraId="17F85A3C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5367DB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Recopilación de datos estadísticos e información a partir de las fuentes oficiales durante la etapa precontractual y contractual</w:t>
            </w:r>
          </w:p>
        </w:tc>
        <w:tc>
          <w:tcPr>
            <w:tcW w:w="285" w:type="pct"/>
            <w:shd w:val="clear" w:color="auto" w:fill="auto"/>
            <w:vAlign w:val="center"/>
          </w:tcPr>
          <w:p w14:paraId="2DAA6945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99" w:type="pct"/>
            <w:shd w:val="clear" w:color="auto" w:fill="auto"/>
            <w:vAlign w:val="center"/>
          </w:tcPr>
          <w:p w14:paraId="7D953BC1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48" w:type="pct"/>
            <w:shd w:val="clear" w:color="auto" w:fill="auto"/>
            <w:vAlign w:val="center"/>
          </w:tcPr>
          <w:p w14:paraId="61224416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29" w:type="pct"/>
            <w:shd w:val="clear" w:color="auto" w:fill="auto"/>
            <w:vAlign w:val="center"/>
          </w:tcPr>
          <w:p w14:paraId="7A9AEC43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29" w:type="pct"/>
            <w:shd w:val="clear" w:color="auto" w:fill="auto"/>
            <w:vAlign w:val="center"/>
          </w:tcPr>
          <w:p w14:paraId="2466B23D" w14:textId="77777777" w:rsidR="00716FAF" w:rsidRPr="00CD14D0" w:rsidRDefault="00716FAF" w:rsidP="007D39A4">
            <w:pPr>
              <w:spacing w:line="240" w:lineRule="auto"/>
              <w:contextualSpacing w:val="0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5367DB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Si el insumo es materia prima básica puede afectarla, mientras se acuerda solución alterna.</w:t>
            </w:r>
          </w:p>
        </w:tc>
        <w:tc>
          <w:tcPr>
            <w:tcW w:w="323" w:type="pct"/>
            <w:shd w:val="clear" w:color="auto" w:fill="auto"/>
            <w:vAlign w:val="center"/>
          </w:tcPr>
          <w:p w14:paraId="12D09738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5367DB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Gestores y/o Supervisores, Interventor, Contratista</w:t>
            </w:r>
          </w:p>
        </w:tc>
        <w:tc>
          <w:tcPr>
            <w:tcW w:w="296" w:type="pct"/>
            <w:shd w:val="clear" w:color="auto" w:fill="auto"/>
            <w:vAlign w:val="center"/>
          </w:tcPr>
          <w:p w14:paraId="6745F6A4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5367DB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Al inicio de la ejecución del contrato</w:t>
            </w:r>
          </w:p>
        </w:tc>
        <w:tc>
          <w:tcPr>
            <w:tcW w:w="296" w:type="pct"/>
            <w:shd w:val="clear" w:color="auto" w:fill="auto"/>
            <w:vAlign w:val="center"/>
          </w:tcPr>
          <w:p w14:paraId="0213CD5F" w14:textId="77777777" w:rsidR="00716FAF" w:rsidRPr="00CD14D0" w:rsidRDefault="00716FAF" w:rsidP="007D39A4">
            <w:pPr>
              <w:spacing w:line="240" w:lineRule="auto"/>
              <w:contextualSpacing w:val="0"/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5367DB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 la terminación de la ejecución del contrato</w:t>
            </w:r>
          </w:p>
        </w:tc>
        <w:tc>
          <w:tcPr>
            <w:tcW w:w="362" w:type="pct"/>
            <w:shd w:val="clear" w:color="auto" w:fill="auto"/>
            <w:vAlign w:val="center"/>
          </w:tcPr>
          <w:p w14:paraId="4CBA562E" w14:textId="77777777" w:rsidR="00716FAF" w:rsidRPr="00CD14D0" w:rsidRDefault="00716FAF" w:rsidP="007D39A4">
            <w:pPr>
              <w:spacing w:line="240" w:lineRule="auto"/>
              <w:contextualSpacing w:val="0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</w:pPr>
            <w:r w:rsidRPr="005367DB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eastAsia="es-CO"/>
              </w:rPr>
              <w:t>Atención al comportamiento del suministro de materias primas e insumos en el mercado. Retroalimentación n en los procedimientos adelantados por los responsables del tratamiento</w:t>
            </w:r>
          </w:p>
        </w:tc>
      </w:tr>
    </w:tbl>
    <w:p w14:paraId="168C9C57" w14:textId="2D8BA45A" w:rsidR="00D70D7B" w:rsidRDefault="00D70D7B" w:rsidP="008E030B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612CD212" w14:textId="387697D4" w:rsidR="008E030B" w:rsidRDefault="008E030B" w:rsidP="008E030B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9266467" w14:textId="75D52A9C" w:rsidR="008E030B" w:rsidRDefault="008E030B" w:rsidP="008E030B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0DD0AA72" w14:textId="4B7FE304" w:rsidR="008E030B" w:rsidRDefault="008E030B" w:rsidP="008E030B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F1681B7" w14:textId="0853A6B1" w:rsidR="006213BC" w:rsidRPr="006213BC" w:rsidRDefault="006213BC" w:rsidP="006213BC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6213BC">
        <w:rPr>
          <w:rFonts w:ascii="Arial" w:eastAsia="SimSun" w:hAnsi="Arial" w:cs="Arial"/>
          <w:kern w:val="3"/>
          <w:sz w:val="20"/>
          <w:szCs w:val="20"/>
          <w:lang w:eastAsia="zh-CN" w:bidi="hi-IN"/>
        </w:rPr>
        <w:t>BARICHARA, Santander, 2</w:t>
      </w:r>
      <w:r w:rsidR="007D39A4">
        <w:rPr>
          <w:rFonts w:ascii="Arial" w:eastAsia="SimSun" w:hAnsi="Arial" w:cs="Arial"/>
          <w:kern w:val="3"/>
          <w:sz w:val="20"/>
          <w:szCs w:val="20"/>
          <w:lang w:eastAsia="zh-CN" w:bidi="hi-IN"/>
        </w:rPr>
        <w:t>6 de   junio</w:t>
      </w:r>
      <w:r w:rsidRPr="006213BC">
        <w:rPr>
          <w:rFonts w:ascii="Arial" w:eastAsia="SimSun" w:hAnsi="Arial" w:cs="Arial"/>
          <w:kern w:val="3"/>
          <w:sz w:val="20"/>
          <w:szCs w:val="20"/>
          <w:lang w:eastAsia="zh-CN" w:bidi="hi-IN"/>
        </w:rPr>
        <w:t xml:space="preserve"> de 2026.</w:t>
      </w:r>
    </w:p>
    <w:p w14:paraId="3D7AFC95" w14:textId="77777777" w:rsidR="006213BC" w:rsidRPr="006213BC" w:rsidRDefault="006213BC" w:rsidP="006213BC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3238B553" w14:textId="13545446" w:rsidR="006213BC" w:rsidRPr="006213BC" w:rsidRDefault="003A7970" w:rsidP="006213BC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>ORIGINAL FIRMADO</w:t>
      </w:r>
    </w:p>
    <w:p w14:paraId="4490F8C9" w14:textId="77777777" w:rsidR="006213BC" w:rsidRPr="006213BC" w:rsidRDefault="006213BC" w:rsidP="006213BC">
      <w:pPr>
        <w:tabs>
          <w:tab w:val="left" w:pos="6690"/>
        </w:tabs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lang w:eastAsia="zh-CN" w:bidi="hi-IN"/>
        </w:rPr>
      </w:pPr>
      <w:r w:rsidRPr="006213BC">
        <w:rPr>
          <w:rFonts w:ascii="Arial" w:eastAsia="SimSun" w:hAnsi="Arial" w:cs="Arial"/>
          <w:b/>
          <w:kern w:val="3"/>
          <w:sz w:val="20"/>
          <w:szCs w:val="20"/>
          <w:lang w:eastAsia="zh-CN" w:bidi="hi-IN"/>
        </w:rPr>
        <w:t>SANDRA MILENA RANGEL CANO</w:t>
      </w:r>
    </w:p>
    <w:p w14:paraId="08A50360" w14:textId="59DE821B" w:rsidR="006213BC" w:rsidRPr="006213BC" w:rsidRDefault="006213BC" w:rsidP="006213BC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6213BC">
        <w:rPr>
          <w:rFonts w:ascii="Arial" w:eastAsia="SimSun" w:hAnsi="Arial" w:cs="Arial"/>
          <w:bCs/>
          <w:kern w:val="3"/>
          <w:sz w:val="20"/>
          <w:szCs w:val="20"/>
          <w:lang w:eastAsia="zh-CN" w:bidi="hi-IN"/>
        </w:rPr>
        <w:t xml:space="preserve">Secretaria de Desarrollo Social y Comunitario </w:t>
      </w:r>
    </w:p>
    <w:p w14:paraId="49786F40" w14:textId="77777777" w:rsidR="008E030B" w:rsidRPr="006213BC" w:rsidRDefault="008E030B" w:rsidP="006213BC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16"/>
          <w:szCs w:val="16"/>
          <w:lang w:eastAsia="zh-CN" w:bidi="hi-IN"/>
        </w:rPr>
      </w:pPr>
      <w:bookmarkStart w:id="0" w:name="_GoBack"/>
      <w:bookmarkEnd w:id="0"/>
    </w:p>
    <w:sectPr w:rsidR="008E030B" w:rsidRPr="006213BC" w:rsidSect="00716FAF">
      <w:headerReference w:type="default" r:id="rId11"/>
      <w:footerReference w:type="default" r:id="rId12"/>
      <w:pgSz w:w="15840" w:h="12240" w:orient="landscape" w:code="1"/>
      <w:pgMar w:top="2127" w:right="1134" w:bottom="2268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9DF3B9" w14:textId="77777777" w:rsidR="005D5F39" w:rsidRDefault="005D5F39" w:rsidP="00091875">
      <w:pPr>
        <w:spacing w:line="240" w:lineRule="auto"/>
      </w:pPr>
      <w:r>
        <w:separator/>
      </w:r>
    </w:p>
  </w:endnote>
  <w:endnote w:type="continuationSeparator" w:id="0">
    <w:p w14:paraId="6E458FD6" w14:textId="77777777" w:rsidR="005D5F39" w:rsidRDefault="005D5F39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34A1479D" w:rsidR="007D39A4" w:rsidRDefault="007D39A4">
        <w:pPr>
          <w:pStyle w:val="Piedepgina"/>
          <w:jc w:val="right"/>
        </w:pPr>
        <w:r>
          <w:rPr>
            <w:noProof/>
            <w:lang w:val="en-US"/>
          </w:rPr>
          <w:drawing>
            <wp:anchor distT="0" distB="0" distL="114300" distR="114300" simplePos="0" relativeHeight="251657728" behindDoc="1" locked="0" layoutInCell="0" allowOverlap="1" wp14:anchorId="40F1278C" wp14:editId="76860131">
              <wp:simplePos x="0" y="0"/>
              <wp:positionH relativeFrom="page">
                <wp:posOffset>403860</wp:posOffset>
              </wp:positionH>
              <wp:positionV relativeFrom="page">
                <wp:posOffset>5486400</wp:posOffset>
              </wp:positionV>
              <wp:extent cx="9502140" cy="2186352"/>
              <wp:effectExtent l="0" t="0" r="3810" b="4445"/>
              <wp:wrapNone/>
              <wp:docPr id="1984033863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8377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508220" cy="2187751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56B6126B" w14:textId="2CB06A02" w:rsidR="007D39A4" w:rsidRDefault="007D39A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2925" w:rsidRPr="002B2925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7D39A4" w:rsidRDefault="007D39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1DFC3D" w14:textId="77777777" w:rsidR="005D5F39" w:rsidRDefault="005D5F39" w:rsidP="00091875">
      <w:pPr>
        <w:spacing w:line="240" w:lineRule="auto"/>
      </w:pPr>
      <w:r>
        <w:separator/>
      </w:r>
    </w:p>
  </w:footnote>
  <w:footnote w:type="continuationSeparator" w:id="0">
    <w:p w14:paraId="7D1A9CB4" w14:textId="77777777" w:rsidR="005D5F39" w:rsidRDefault="005D5F39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1B4C24" w14:textId="108AECD2" w:rsidR="007D39A4" w:rsidRDefault="005D5F39" w:rsidP="749F36F0">
    <w:pPr>
      <w:pStyle w:val="Encabezado"/>
    </w:pPr>
    <w:r>
      <w:rPr>
        <w:noProof/>
        <w:lang w:eastAsia="es-CO"/>
      </w:rPr>
      <w:pict w14:anchorId="3FD64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557861" o:spid="_x0000_s2049" type="#_x0000_t75" style="position:absolute;left:0;text-align:left;margin-left:470.15pt;margin-top:-101.55pt;width:260.4pt;height:220.45pt;z-index:-251657728;mso-position-horizontal-relative:margin;mso-position-vertical-relative:margin" o:allowincell="f">
          <v:imagedata r:id="rId1" o:title="1" cropbottom="50955f" cropleft="37039f"/>
          <w10:wrap anchorx="margin" anchory="margin"/>
        </v:shape>
      </w:pict>
    </w:r>
    <w:r w:rsidR="007D39A4">
      <w:rPr>
        <w:noProof/>
        <w:lang w:val="en-US"/>
      </w:rPr>
      <w:drawing>
        <wp:anchor distT="0" distB="0" distL="114300" distR="114300" simplePos="0" relativeHeight="251656704" behindDoc="1" locked="0" layoutInCell="1" allowOverlap="1" wp14:anchorId="48C58037" wp14:editId="60D14903">
          <wp:simplePos x="0" y="0"/>
          <wp:positionH relativeFrom="margin">
            <wp:posOffset>-45720</wp:posOffset>
          </wp:positionH>
          <wp:positionV relativeFrom="paragraph">
            <wp:posOffset>-358140</wp:posOffset>
          </wp:positionV>
          <wp:extent cx="2133600" cy="1179031"/>
          <wp:effectExtent l="0" t="0" r="0" b="0"/>
          <wp:wrapNone/>
          <wp:docPr id="1106440262" name="Imagen 11064402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scudo-de-Barichara-Final-horizontal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3600" cy="11790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A4A10"/>
    <w:rsid w:val="002B2925"/>
    <w:rsid w:val="002D1AFB"/>
    <w:rsid w:val="003322F8"/>
    <w:rsid w:val="003558EC"/>
    <w:rsid w:val="00374B32"/>
    <w:rsid w:val="00375454"/>
    <w:rsid w:val="0039239D"/>
    <w:rsid w:val="003A7970"/>
    <w:rsid w:val="003B7338"/>
    <w:rsid w:val="003E331F"/>
    <w:rsid w:val="003E4428"/>
    <w:rsid w:val="003F50E3"/>
    <w:rsid w:val="004338C5"/>
    <w:rsid w:val="004D7C35"/>
    <w:rsid w:val="004E4A4F"/>
    <w:rsid w:val="00507FAA"/>
    <w:rsid w:val="00511F46"/>
    <w:rsid w:val="00513343"/>
    <w:rsid w:val="00540CF2"/>
    <w:rsid w:val="00545461"/>
    <w:rsid w:val="00556B8B"/>
    <w:rsid w:val="005752CE"/>
    <w:rsid w:val="0058222E"/>
    <w:rsid w:val="005D5F39"/>
    <w:rsid w:val="005E5030"/>
    <w:rsid w:val="00602088"/>
    <w:rsid w:val="00610F80"/>
    <w:rsid w:val="006213BC"/>
    <w:rsid w:val="00624AC2"/>
    <w:rsid w:val="00686C25"/>
    <w:rsid w:val="00687FD8"/>
    <w:rsid w:val="00697703"/>
    <w:rsid w:val="006A3288"/>
    <w:rsid w:val="006B4FEE"/>
    <w:rsid w:val="006E6D9B"/>
    <w:rsid w:val="007115DA"/>
    <w:rsid w:val="00716FAF"/>
    <w:rsid w:val="00721886"/>
    <w:rsid w:val="0074478B"/>
    <w:rsid w:val="00762556"/>
    <w:rsid w:val="0076567A"/>
    <w:rsid w:val="0077727E"/>
    <w:rsid w:val="007A656B"/>
    <w:rsid w:val="007B33E6"/>
    <w:rsid w:val="007C5B18"/>
    <w:rsid w:val="007C702A"/>
    <w:rsid w:val="007D39A4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B3069"/>
    <w:rsid w:val="008E030B"/>
    <w:rsid w:val="008E39CA"/>
    <w:rsid w:val="009321E7"/>
    <w:rsid w:val="009771F1"/>
    <w:rsid w:val="009C4C36"/>
    <w:rsid w:val="009E77AD"/>
    <w:rsid w:val="009F3A90"/>
    <w:rsid w:val="00A1437D"/>
    <w:rsid w:val="00A411F2"/>
    <w:rsid w:val="00A802EF"/>
    <w:rsid w:val="00A9107A"/>
    <w:rsid w:val="00AB154C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26832"/>
    <w:rsid w:val="00E26909"/>
    <w:rsid w:val="00E56873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A68B43E-DE04-4488-856C-329FC9CDF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2051</Words>
  <Characters>11692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USUARIO</cp:lastModifiedBy>
  <cp:revision>2</cp:revision>
  <cp:lastPrinted>2026-06-30T17:15:00Z</cp:lastPrinted>
  <dcterms:created xsi:type="dcterms:W3CDTF">2026-06-30T19:51:00Z</dcterms:created>
  <dcterms:modified xsi:type="dcterms:W3CDTF">2026-06-30T19:51:00Z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