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58212C">
      <w:pPr>
        <w:rPr>
          <w:rFonts w:ascii="Arial" w:hAnsi="Arial" w:cs="Arial"/>
          <w:b/>
          <w:bCs/>
          <w:sz w:val="22"/>
          <w:lang w:val="es-CO"/>
        </w:rPr>
      </w:pPr>
      <w:r>
        <w:rPr>
          <w:rFonts w:ascii="Arial" w:hAnsi="Arial" w:cs="Arial"/>
          <w:b/>
          <w:bCs/>
          <w:sz w:val="22"/>
          <w:lang w:val="es-CO"/>
        </w:rPr>
        <w:t xml:space="preserve">ANEXO 5- MINUTA </w:t>
      </w:r>
    </w:p>
    <w:p w14:paraId="414ACD22">
      <w:pPr>
        <w:rPr>
          <w:rFonts w:ascii="Arial" w:hAnsi="Arial" w:cs="Arial"/>
          <w:sz w:val="22"/>
          <w:highlight w:val="darkGray"/>
          <w:lang w:val="es-CO"/>
        </w:rPr>
      </w:pPr>
    </w:p>
    <w:p w14:paraId="715B789A">
      <w:pPr>
        <w:rPr>
          <w:rFonts w:ascii="Arial" w:hAnsi="Arial" w:cs="Arial"/>
          <w:sz w:val="22"/>
          <w:highlight w:val="lightGray"/>
          <w:lang w:val="es-CO"/>
        </w:rPr>
      </w:pPr>
      <w:r>
        <w:rPr>
          <w:rFonts w:ascii="Arial" w:hAnsi="Arial" w:cs="Arial"/>
          <w:sz w:val="22"/>
          <w:highlight w:val="lightGray"/>
          <w:lang w:val="es-CO"/>
        </w:rPr>
        <w:t>[La Entidad debe incluir el contenido mínimo del presente documento. Podrá incorporar condiciones adicionales que no contradigan lo dispuesto en este Anexo. En todo caso, tales condiciones deben obedecer a las necesidades de ejecución del contrato, definidas por la Entidad. En algunas cláusulas la Entidad podrá (i) escoger entre ciertas opciones de cláusula, (ii) combinar alternativas o (iii) construir su propia cláusula, esto se  indicará de manera clara cuando a ello haya lugar]</w:t>
      </w:r>
    </w:p>
    <w:p w14:paraId="0CC0EFA5">
      <w:pPr>
        <w:rPr>
          <w:rFonts w:ascii="Arial" w:hAnsi="Arial" w:cs="Arial"/>
          <w:b/>
          <w:sz w:val="22"/>
          <w:highlight w:val="lightGray"/>
          <w:lang w:val="es-CO"/>
        </w:rPr>
      </w:pPr>
    </w:p>
    <w:p w14:paraId="63320247">
      <w:pPr>
        <w:rPr>
          <w:rFonts w:ascii="Arial" w:hAnsi="Arial" w:cs="Arial"/>
          <w:sz w:val="22"/>
          <w:highlight w:val="lightGray"/>
          <w:lang w:val="es-CO"/>
        </w:rPr>
      </w:pPr>
      <w:r>
        <w:rPr>
          <w:rFonts w:ascii="Arial" w:hAnsi="Arial" w:cs="Arial"/>
          <w:sz w:val="22"/>
          <w:highlight w:val="lightGray"/>
          <w:lang w:val="es-CO"/>
        </w:rPr>
        <w:t>[La Entidad podrá ajustar el contenido del “Anexo 5- Minuta del Contrato” cuando el contrato se celebre por medio de la plataforma del SECOP II, de tal forma que se evite la duplicidad de información. De este modo, las cláusulas que están en el SECOP II no se incluirán en esta minuta de contrato, sin perjuicio de atender su contenido.]</w:t>
      </w:r>
    </w:p>
    <w:p w14:paraId="51973C77">
      <w:pPr>
        <w:rPr>
          <w:rFonts w:ascii="Arial" w:hAnsi="Arial" w:cs="Arial"/>
          <w:b/>
          <w:sz w:val="22"/>
          <w:highlight w:val="darkGray"/>
          <w:lang w:val="es-CO"/>
        </w:rPr>
      </w:pPr>
    </w:p>
    <w:p w14:paraId="64F3FB5D">
      <w:pPr>
        <w:pStyle w:val="11"/>
        <w:spacing w:after="0" w:line="240" w:lineRule="auto"/>
        <w:jc w:val="both"/>
        <w:rPr>
          <w:rFonts w:cs="Arial"/>
          <w:color w:val="auto"/>
          <w:sz w:val="22"/>
        </w:rPr>
      </w:pPr>
      <w:r>
        <w:rPr>
          <w:rFonts w:cs="Arial"/>
          <w:color w:val="auto"/>
          <w:sz w:val="22"/>
        </w:rPr>
        <w:t>TABLA DE CONTENIDO</w:t>
      </w:r>
    </w:p>
    <w:p w14:paraId="581DB175">
      <w:pPr>
        <w:rPr>
          <w:rFonts w:ascii="Arial" w:hAnsi="Arial" w:cs="Arial"/>
          <w:sz w:val="22"/>
          <w:lang w:val="es-CO"/>
        </w:rPr>
      </w:pPr>
    </w:p>
    <w:p w14:paraId="20C75E2E">
      <w:pPr>
        <w:pStyle w:val="37"/>
        <w:numPr>
          <w:ilvl w:val="0"/>
          <w:numId w:val="0"/>
        </w:numPr>
        <w:spacing w:before="0" w:after="0"/>
        <w:rPr>
          <w:rFonts w:ascii="Arial" w:hAnsi="Arial" w:cs="Arial"/>
          <w:sz w:val="22"/>
        </w:rPr>
      </w:pPr>
      <w:r>
        <w:rPr>
          <w:rFonts w:ascii="Arial" w:hAnsi="Arial" w:cs="Arial"/>
          <w:sz w:val="22"/>
        </w:rPr>
        <w:t>CLÁUSULA 1.</w:t>
      </w:r>
      <w:r>
        <w:rPr>
          <w:rFonts w:ascii="Arial" w:hAnsi="Arial" w:cs="Arial"/>
          <w:sz w:val="22"/>
        </w:rPr>
        <w:tab/>
      </w:r>
      <w:r>
        <w:rPr>
          <w:rFonts w:ascii="Arial" w:hAnsi="Arial" w:cs="Arial"/>
          <w:sz w:val="22"/>
        </w:rPr>
        <w:tab/>
      </w:r>
      <w:r>
        <w:rPr>
          <w:rFonts w:ascii="Arial" w:hAnsi="Arial" w:cs="Arial"/>
          <w:sz w:val="22"/>
        </w:rPr>
        <w:t>DEFINICIONES</w:t>
      </w:r>
    </w:p>
    <w:p w14:paraId="23731BAE">
      <w:pPr>
        <w:pStyle w:val="37"/>
        <w:numPr>
          <w:ilvl w:val="0"/>
          <w:numId w:val="0"/>
        </w:numPr>
        <w:spacing w:before="0" w:after="0"/>
        <w:rPr>
          <w:rFonts w:ascii="Arial" w:hAnsi="Arial" w:cs="Arial"/>
          <w:sz w:val="22"/>
        </w:rPr>
      </w:pPr>
      <w:r>
        <w:rPr>
          <w:rFonts w:ascii="Arial" w:hAnsi="Arial" w:cs="Arial"/>
          <w:sz w:val="22"/>
        </w:rPr>
        <w:t xml:space="preserve">CLÁUSULA 2. </w:t>
      </w:r>
      <w:r>
        <w:rPr>
          <w:rFonts w:ascii="Arial" w:hAnsi="Arial" w:cs="Arial"/>
          <w:sz w:val="22"/>
        </w:rPr>
        <w:tab/>
      </w:r>
      <w:r>
        <w:rPr>
          <w:rFonts w:ascii="Arial" w:hAnsi="Arial" w:cs="Arial"/>
          <w:sz w:val="22"/>
        </w:rPr>
        <w:tab/>
      </w:r>
      <w:r>
        <w:rPr>
          <w:rFonts w:ascii="Arial" w:hAnsi="Arial" w:cs="Arial"/>
          <w:sz w:val="22"/>
        </w:rPr>
        <w:t>OBJETO</w:t>
      </w:r>
    </w:p>
    <w:p w14:paraId="542E9082">
      <w:pPr>
        <w:pStyle w:val="37"/>
        <w:numPr>
          <w:ilvl w:val="0"/>
          <w:numId w:val="0"/>
        </w:numPr>
        <w:spacing w:before="0" w:after="0"/>
        <w:rPr>
          <w:rFonts w:ascii="Arial" w:hAnsi="Arial" w:cs="Arial"/>
          <w:sz w:val="22"/>
        </w:rPr>
      </w:pPr>
      <w:r>
        <w:rPr>
          <w:rFonts w:ascii="Arial" w:hAnsi="Arial" w:cs="Arial"/>
          <w:sz w:val="22"/>
        </w:rPr>
        <w:t>CLÁUSULA 3.</w:t>
      </w:r>
      <w:r>
        <w:rPr>
          <w:rFonts w:ascii="Arial" w:hAnsi="Arial" w:cs="Arial"/>
          <w:sz w:val="22"/>
        </w:rPr>
        <w:tab/>
      </w:r>
      <w:r>
        <w:rPr>
          <w:rFonts w:ascii="Arial" w:hAnsi="Arial" w:cs="Arial"/>
          <w:sz w:val="22"/>
        </w:rPr>
        <w:tab/>
      </w:r>
      <w:r>
        <w:rPr>
          <w:rFonts w:ascii="Arial" w:hAnsi="Arial" w:cs="Arial"/>
          <w:sz w:val="22"/>
        </w:rPr>
        <w:t>ALCANCE DEL OBJETO</w:t>
      </w:r>
    </w:p>
    <w:p w14:paraId="65EC15F2">
      <w:pPr>
        <w:pStyle w:val="37"/>
        <w:numPr>
          <w:ilvl w:val="0"/>
          <w:numId w:val="0"/>
        </w:numPr>
        <w:spacing w:before="0" w:after="0"/>
        <w:rPr>
          <w:rFonts w:ascii="Arial" w:hAnsi="Arial" w:cs="Arial"/>
          <w:sz w:val="22"/>
        </w:rPr>
      </w:pPr>
      <w:r>
        <w:rPr>
          <w:rFonts w:ascii="Arial" w:hAnsi="Arial" w:cs="Arial"/>
          <w:sz w:val="22"/>
        </w:rPr>
        <w:t>CLÁUSULA 4.</w:t>
      </w:r>
      <w:r>
        <w:rPr>
          <w:rFonts w:ascii="Arial" w:hAnsi="Arial" w:cs="Arial"/>
          <w:sz w:val="22"/>
        </w:rPr>
        <w:tab/>
      </w:r>
      <w:r>
        <w:rPr>
          <w:rFonts w:ascii="Arial" w:hAnsi="Arial" w:cs="Arial"/>
          <w:sz w:val="22"/>
        </w:rPr>
        <w:tab/>
      </w:r>
      <w:r>
        <w:rPr>
          <w:rFonts w:ascii="Arial" w:hAnsi="Arial" w:cs="Arial"/>
          <w:sz w:val="22"/>
        </w:rPr>
        <w:t>PLAZO DEL CONTRATO</w:t>
      </w:r>
    </w:p>
    <w:p w14:paraId="4276194B">
      <w:pPr>
        <w:pStyle w:val="37"/>
        <w:numPr>
          <w:ilvl w:val="0"/>
          <w:numId w:val="0"/>
        </w:numPr>
        <w:spacing w:before="0" w:after="0"/>
        <w:rPr>
          <w:rFonts w:ascii="Arial" w:hAnsi="Arial" w:cs="Arial"/>
          <w:sz w:val="22"/>
        </w:rPr>
      </w:pPr>
      <w:r>
        <w:rPr>
          <w:rFonts w:ascii="Arial" w:hAnsi="Arial" w:cs="Arial"/>
          <w:sz w:val="22"/>
        </w:rPr>
        <w:t>CLÁUSULA 5.</w:t>
      </w:r>
      <w:r>
        <w:rPr>
          <w:rFonts w:ascii="Arial" w:hAnsi="Arial" w:cs="Arial"/>
          <w:sz w:val="22"/>
        </w:rPr>
        <w:tab/>
      </w:r>
      <w:r>
        <w:rPr>
          <w:rFonts w:ascii="Arial" w:hAnsi="Arial" w:cs="Arial"/>
          <w:sz w:val="22"/>
        </w:rPr>
        <w:tab/>
      </w:r>
      <w:r>
        <w:rPr>
          <w:rFonts w:ascii="Arial" w:hAnsi="Arial" w:cs="Arial"/>
          <w:sz w:val="22"/>
        </w:rPr>
        <w:t>VALOR DEL CONTRATO</w:t>
      </w:r>
    </w:p>
    <w:p w14:paraId="75214848">
      <w:pPr>
        <w:pStyle w:val="37"/>
        <w:numPr>
          <w:ilvl w:val="0"/>
          <w:numId w:val="0"/>
        </w:numPr>
        <w:spacing w:before="0" w:after="0"/>
        <w:rPr>
          <w:rFonts w:ascii="Arial" w:hAnsi="Arial" w:cs="Arial"/>
          <w:sz w:val="22"/>
        </w:rPr>
      </w:pPr>
      <w:r>
        <w:rPr>
          <w:rFonts w:ascii="Arial" w:hAnsi="Arial" w:cs="Arial"/>
          <w:sz w:val="22"/>
        </w:rPr>
        <w:t>CLÁUSULA 6.</w:t>
      </w:r>
      <w:r>
        <w:rPr>
          <w:rFonts w:ascii="Arial" w:hAnsi="Arial" w:cs="Arial"/>
          <w:sz w:val="22"/>
        </w:rPr>
        <w:tab/>
      </w:r>
      <w:r>
        <w:rPr>
          <w:rFonts w:ascii="Arial" w:hAnsi="Arial" w:cs="Arial"/>
          <w:sz w:val="22"/>
        </w:rPr>
        <w:tab/>
      </w:r>
      <w:r>
        <w:rPr>
          <w:rFonts w:ascii="Arial" w:hAnsi="Arial" w:cs="Arial"/>
          <w:sz w:val="22"/>
        </w:rPr>
        <w:t>ANTICIPO O PAGO ANTICIPADO</w:t>
      </w:r>
    </w:p>
    <w:p w14:paraId="772E6FE3">
      <w:pPr>
        <w:pStyle w:val="37"/>
        <w:numPr>
          <w:ilvl w:val="0"/>
          <w:numId w:val="0"/>
        </w:numPr>
        <w:spacing w:before="0" w:after="0"/>
        <w:rPr>
          <w:rFonts w:ascii="Arial" w:hAnsi="Arial" w:cs="Arial"/>
          <w:sz w:val="22"/>
        </w:rPr>
      </w:pPr>
      <w:r>
        <w:rPr>
          <w:rFonts w:ascii="Arial" w:hAnsi="Arial" w:cs="Arial"/>
          <w:sz w:val="22"/>
        </w:rPr>
        <w:t>CLÁUSULA 7.</w:t>
      </w:r>
      <w:r>
        <w:rPr>
          <w:rFonts w:ascii="Arial" w:hAnsi="Arial" w:cs="Arial"/>
          <w:sz w:val="22"/>
        </w:rPr>
        <w:tab/>
      </w:r>
      <w:r>
        <w:rPr>
          <w:rFonts w:ascii="Arial" w:hAnsi="Arial" w:cs="Arial"/>
          <w:sz w:val="22"/>
        </w:rPr>
        <w:tab/>
      </w:r>
      <w:r>
        <w:rPr>
          <w:rFonts w:ascii="Arial" w:hAnsi="Arial" w:cs="Arial"/>
          <w:sz w:val="22"/>
        </w:rPr>
        <w:t>APROPIACIÓN PRESUPUESTAL</w:t>
      </w:r>
    </w:p>
    <w:p w14:paraId="62C70772">
      <w:pPr>
        <w:pStyle w:val="37"/>
        <w:numPr>
          <w:ilvl w:val="0"/>
          <w:numId w:val="0"/>
        </w:numPr>
        <w:spacing w:before="0" w:after="0"/>
        <w:rPr>
          <w:rFonts w:ascii="Arial" w:hAnsi="Arial" w:cs="Arial"/>
          <w:sz w:val="22"/>
          <w:lang w:val="pt-BR"/>
        </w:rPr>
      </w:pPr>
      <w:r>
        <w:rPr>
          <w:rFonts w:ascii="Arial" w:hAnsi="Arial" w:cs="Arial"/>
          <w:sz w:val="22"/>
          <w:lang w:val="pt-BR"/>
        </w:rPr>
        <w:t>CLÁUSULA 8.</w:t>
      </w:r>
      <w:r>
        <w:rPr>
          <w:rFonts w:ascii="Arial" w:hAnsi="Arial" w:cs="Arial"/>
          <w:sz w:val="22"/>
          <w:lang w:val="pt-BR"/>
        </w:rPr>
        <w:tab/>
      </w:r>
      <w:r>
        <w:rPr>
          <w:rFonts w:ascii="Arial" w:hAnsi="Arial" w:cs="Arial"/>
          <w:sz w:val="22"/>
          <w:lang w:val="pt-BR"/>
        </w:rPr>
        <w:tab/>
      </w:r>
      <w:r>
        <w:rPr>
          <w:rFonts w:ascii="Arial" w:hAnsi="Arial" w:cs="Arial"/>
          <w:sz w:val="22"/>
          <w:lang w:val="pt-BR"/>
        </w:rPr>
        <w:t>FORMA DE PAGO</w:t>
      </w:r>
    </w:p>
    <w:p w14:paraId="089CEB31">
      <w:pPr>
        <w:pStyle w:val="37"/>
        <w:numPr>
          <w:ilvl w:val="0"/>
          <w:numId w:val="0"/>
        </w:numPr>
        <w:spacing w:before="0" w:after="0"/>
        <w:rPr>
          <w:rFonts w:ascii="Arial" w:hAnsi="Arial" w:cs="Arial"/>
          <w:sz w:val="22"/>
        </w:rPr>
      </w:pPr>
      <w:r>
        <w:rPr>
          <w:rFonts w:ascii="Arial" w:hAnsi="Arial" w:cs="Arial"/>
          <w:sz w:val="22"/>
          <w:lang w:val="pt-BR"/>
        </w:rPr>
        <w:t>CLÁUSULA 9.</w:t>
      </w:r>
      <w:r>
        <w:rPr>
          <w:rFonts w:ascii="Arial" w:hAnsi="Arial" w:cs="Arial"/>
          <w:sz w:val="22"/>
          <w:lang w:val="pt-BR"/>
        </w:rPr>
        <w:tab/>
      </w:r>
      <w:r>
        <w:rPr>
          <w:rFonts w:ascii="Arial" w:hAnsi="Arial" w:cs="Arial"/>
          <w:sz w:val="22"/>
          <w:lang w:val="pt-BR"/>
        </w:rPr>
        <w:tab/>
      </w:r>
      <w:r>
        <w:rPr>
          <w:rFonts w:ascii="Arial" w:hAnsi="Arial" w:cs="Arial"/>
          <w:sz w:val="22"/>
        </w:rPr>
        <w:t>OBLIGACIONES GENERALES DEL CONTRATISTA</w:t>
      </w:r>
    </w:p>
    <w:p w14:paraId="49F466CA">
      <w:pPr>
        <w:pStyle w:val="37"/>
        <w:numPr>
          <w:ilvl w:val="0"/>
          <w:numId w:val="0"/>
        </w:numPr>
        <w:spacing w:before="0" w:after="0"/>
        <w:rPr>
          <w:rFonts w:ascii="Arial" w:hAnsi="Arial" w:cs="Arial"/>
          <w:sz w:val="22"/>
        </w:rPr>
      </w:pPr>
      <w:r>
        <w:rPr>
          <w:rFonts w:ascii="Arial" w:hAnsi="Arial" w:cs="Arial"/>
          <w:sz w:val="22"/>
        </w:rPr>
        <w:t xml:space="preserve">CLÁUSULA 10. </w:t>
      </w:r>
      <w:r>
        <w:rPr>
          <w:rFonts w:ascii="Arial" w:hAnsi="Arial" w:cs="Arial"/>
          <w:sz w:val="22"/>
        </w:rPr>
        <w:tab/>
      </w:r>
      <w:r>
        <w:rPr>
          <w:rFonts w:ascii="Arial" w:hAnsi="Arial" w:cs="Arial"/>
          <w:sz w:val="22"/>
        </w:rPr>
        <w:t>OBLIGACIONES ESPECÍFICAS DEL CONTRATISTA</w:t>
      </w:r>
    </w:p>
    <w:p w14:paraId="168BCE4F">
      <w:pPr>
        <w:pStyle w:val="37"/>
        <w:numPr>
          <w:ilvl w:val="0"/>
          <w:numId w:val="0"/>
        </w:numPr>
        <w:spacing w:before="0" w:after="0"/>
        <w:rPr>
          <w:rFonts w:ascii="Arial" w:hAnsi="Arial" w:cs="Arial"/>
          <w:sz w:val="22"/>
        </w:rPr>
      </w:pPr>
      <w:r>
        <w:rPr>
          <w:rFonts w:ascii="Arial" w:hAnsi="Arial" w:cs="Arial"/>
          <w:sz w:val="22"/>
        </w:rPr>
        <w:t>CLÁUSULA 11.</w:t>
      </w:r>
      <w:r>
        <w:rPr>
          <w:rFonts w:ascii="Arial" w:hAnsi="Arial" w:cs="Arial"/>
          <w:sz w:val="22"/>
        </w:rPr>
        <w:tab/>
      </w:r>
      <w:r>
        <w:rPr>
          <w:rFonts w:ascii="Arial" w:hAnsi="Arial" w:cs="Arial"/>
          <w:sz w:val="22"/>
        </w:rPr>
        <w:t>DERECHOS DEL CONTRATISTA</w:t>
      </w:r>
    </w:p>
    <w:p w14:paraId="42BAA977">
      <w:pPr>
        <w:pStyle w:val="37"/>
        <w:numPr>
          <w:ilvl w:val="0"/>
          <w:numId w:val="0"/>
        </w:numPr>
        <w:spacing w:before="0" w:after="0"/>
        <w:rPr>
          <w:rFonts w:ascii="Arial" w:hAnsi="Arial" w:cs="Arial"/>
          <w:sz w:val="22"/>
        </w:rPr>
      </w:pPr>
      <w:r>
        <w:rPr>
          <w:rFonts w:ascii="Arial" w:hAnsi="Arial" w:cs="Arial"/>
          <w:sz w:val="22"/>
        </w:rPr>
        <w:t>CLÁUSULA 12.</w:t>
      </w:r>
      <w:r>
        <w:rPr>
          <w:rFonts w:ascii="Arial" w:hAnsi="Arial" w:cs="Arial"/>
          <w:sz w:val="22"/>
        </w:rPr>
        <w:tab/>
      </w:r>
      <w:r>
        <w:rPr>
          <w:rFonts w:ascii="Arial" w:hAnsi="Arial" w:cs="Arial"/>
          <w:sz w:val="22"/>
        </w:rPr>
        <w:t>OBLIGACIONES DE LA ENTIDAD</w:t>
      </w:r>
    </w:p>
    <w:p w14:paraId="287A147B">
      <w:pPr>
        <w:pStyle w:val="37"/>
        <w:numPr>
          <w:ilvl w:val="0"/>
          <w:numId w:val="0"/>
        </w:numPr>
        <w:spacing w:before="0" w:after="0"/>
        <w:rPr>
          <w:rFonts w:ascii="Arial" w:hAnsi="Arial" w:cs="Arial"/>
          <w:sz w:val="22"/>
        </w:rPr>
      </w:pPr>
      <w:r>
        <w:rPr>
          <w:rFonts w:ascii="Arial" w:hAnsi="Arial" w:cs="Arial"/>
          <w:sz w:val="22"/>
        </w:rPr>
        <w:t>CLÁUSULA 13.</w:t>
      </w:r>
      <w:r>
        <w:rPr>
          <w:rFonts w:ascii="Arial" w:hAnsi="Arial" w:cs="Arial"/>
          <w:sz w:val="22"/>
        </w:rPr>
        <w:tab/>
      </w:r>
      <w:r>
        <w:rPr>
          <w:rFonts w:ascii="Arial" w:hAnsi="Arial" w:cs="Arial"/>
          <w:sz w:val="22"/>
        </w:rPr>
        <w:t>RESPONSABILIDAD</w:t>
      </w:r>
    </w:p>
    <w:p w14:paraId="669BC8C6">
      <w:pPr>
        <w:pStyle w:val="37"/>
        <w:numPr>
          <w:ilvl w:val="0"/>
          <w:numId w:val="0"/>
        </w:numPr>
        <w:spacing w:before="0" w:after="0"/>
        <w:rPr>
          <w:rFonts w:ascii="Arial" w:hAnsi="Arial" w:cs="Arial"/>
          <w:sz w:val="22"/>
        </w:rPr>
      </w:pPr>
      <w:r>
        <w:rPr>
          <w:rFonts w:ascii="Arial" w:hAnsi="Arial" w:cs="Arial"/>
          <w:sz w:val="22"/>
        </w:rPr>
        <w:t>CLÁUSULA 14.</w:t>
      </w:r>
      <w:r>
        <w:rPr>
          <w:rFonts w:ascii="Arial" w:hAnsi="Arial" w:cs="Arial"/>
          <w:sz w:val="22"/>
        </w:rPr>
        <w:tab/>
      </w:r>
      <w:r>
        <w:rPr>
          <w:rFonts w:ascii="Arial" w:hAnsi="Arial" w:cs="Arial"/>
          <w:sz w:val="22"/>
        </w:rPr>
        <w:t>INDEMNIDAD</w:t>
      </w:r>
    </w:p>
    <w:p w14:paraId="25CD9BBF">
      <w:pPr>
        <w:pStyle w:val="37"/>
        <w:numPr>
          <w:ilvl w:val="0"/>
          <w:numId w:val="0"/>
        </w:numPr>
        <w:spacing w:before="0" w:after="0"/>
        <w:rPr>
          <w:rFonts w:ascii="Arial" w:hAnsi="Arial" w:cs="Arial"/>
          <w:sz w:val="22"/>
        </w:rPr>
      </w:pPr>
      <w:r>
        <w:rPr>
          <w:rFonts w:ascii="Arial" w:hAnsi="Arial" w:cs="Arial"/>
          <w:sz w:val="22"/>
        </w:rPr>
        <w:t>CLÁUSULA 15.</w:t>
      </w:r>
      <w:r>
        <w:rPr>
          <w:rFonts w:ascii="Arial" w:hAnsi="Arial" w:cs="Arial"/>
          <w:sz w:val="22"/>
        </w:rPr>
        <w:tab/>
      </w:r>
      <w:r>
        <w:rPr>
          <w:rFonts w:ascii="Arial" w:hAnsi="Arial" w:cs="Arial"/>
          <w:sz w:val="22"/>
        </w:rPr>
        <w:t>MULTAS</w:t>
      </w:r>
    </w:p>
    <w:p w14:paraId="56A6C40B">
      <w:pPr>
        <w:pStyle w:val="37"/>
        <w:numPr>
          <w:ilvl w:val="0"/>
          <w:numId w:val="0"/>
        </w:numPr>
        <w:spacing w:before="0" w:after="0"/>
        <w:rPr>
          <w:rFonts w:ascii="Arial" w:hAnsi="Arial" w:cs="Arial"/>
          <w:sz w:val="22"/>
        </w:rPr>
      </w:pPr>
      <w:r>
        <w:rPr>
          <w:rFonts w:ascii="Arial" w:hAnsi="Arial" w:cs="Arial"/>
          <w:sz w:val="22"/>
        </w:rPr>
        <w:t>CLÁUSULA 16.</w:t>
      </w:r>
      <w:r>
        <w:rPr>
          <w:rFonts w:ascii="Arial" w:hAnsi="Arial" w:cs="Arial"/>
          <w:sz w:val="22"/>
        </w:rPr>
        <w:tab/>
      </w:r>
      <w:r>
        <w:rPr>
          <w:rFonts w:ascii="Arial" w:hAnsi="Arial" w:cs="Arial"/>
          <w:sz w:val="22"/>
        </w:rPr>
        <w:t>CLÁUSULA PENAL</w:t>
      </w:r>
    </w:p>
    <w:p w14:paraId="7D5A669D">
      <w:pPr>
        <w:pStyle w:val="37"/>
        <w:numPr>
          <w:ilvl w:val="0"/>
          <w:numId w:val="0"/>
        </w:numPr>
        <w:spacing w:before="0" w:after="0"/>
        <w:rPr>
          <w:rFonts w:ascii="Arial" w:hAnsi="Arial" w:cs="Arial"/>
          <w:sz w:val="22"/>
        </w:rPr>
      </w:pPr>
      <w:r>
        <w:rPr>
          <w:rFonts w:ascii="Arial" w:hAnsi="Arial" w:cs="Arial"/>
          <w:sz w:val="22"/>
        </w:rPr>
        <w:t>CLÁUSULA 17.</w:t>
      </w:r>
      <w:r>
        <w:rPr>
          <w:rFonts w:ascii="Arial" w:hAnsi="Arial" w:cs="Arial"/>
          <w:sz w:val="22"/>
        </w:rPr>
        <w:tab/>
      </w:r>
      <w:r>
        <w:rPr>
          <w:rFonts w:ascii="Arial" w:hAnsi="Arial" w:cs="Arial"/>
          <w:sz w:val="22"/>
        </w:rPr>
        <w:t>GARANTÍAS</w:t>
      </w:r>
    </w:p>
    <w:p w14:paraId="6CD61B51">
      <w:pPr>
        <w:pStyle w:val="37"/>
        <w:numPr>
          <w:ilvl w:val="0"/>
          <w:numId w:val="0"/>
        </w:numPr>
        <w:spacing w:before="0" w:after="0"/>
        <w:rPr>
          <w:rFonts w:ascii="Arial" w:hAnsi="Arial" w:cs="Arial"/>
          <w:sz w:val="22"/>
        </w:rPr>
      </w:pPr>
      <w:r>
        <w:rPr>
          <w:rFonts w:ascii="Arial" w:hAnsi="Arial" w:cs="Arial"/>
          <w:sz w:val="22"/>
        </w:rPr>
        <w:t>CLÁUSULA 18.</w:t>
      </w:r>
      <w:r>
        <w:rPr>
          <w:rFonts w:ascii="Arial" w:hAnsi="Arial" w:cs="Arial"/>
          <w:sz w:val="22"/>
        </w:rPr>
        <w:tab/>
      </w:r>
      <w:r>
        <w:rPr>
          <w:rFonts w:ascii="Arial" w:hAnsi="Arial" w:cs="Arial"/>
          <w:sz w:val="22"/>
        </w:rPr>
        <w:t>INDEPENDENCIA DEL CONTRATISTA</w:t>
      </w:r>
    </w:p>
    <w:p w14:paraId="24ED8A30">
      <w:pPr>
        <w:pStyle w:val="37"/>
        <w:numPr>
          <w:ilvl w:val="0"/>
          <w:numId w:val="0"/>
        </w:numPr>
        <w:spacing w:before="0" w:after="0"/>
        <w:ind w:left="2124" w:hanging="2124"/>
        <w:rPr>
          <w:rFonts w:ascii="Arial" w:hAnsi="Arial" w:cs="Arial"/>
          <w:sz w:val="22"/>
        </w:rPr>
      </w:pPr>
      <w:r>
        <w:rPr>
          <w:rFonts w:ascii="Arial" w:hAnsi="Arial" w:cs="Arial"/>
          <w:sz w:val="22"/>
        </w:rPr>
        <w:t>CLÁUSULA 19.</w:t>
      </w:r>
      <w:r>
        <w:rPr>
          <w:rFonts w:ascii="Arial" w:hAnsi="Arial" w:cs="Arial"/>
          <w:sz w:val="22"/>
        </w:rPr>
        <w:tab/>
      </w:r>
      <w:r>
        <w:rPr>
          <w:rFonts w:ascii="Arial" w:hAnsi="Arial" w:cs="Arial"/>
          <w:sz w:val="22"/>
        </w:rPr>
        <w:t>INEXISTENCIA DE RELACIÓN LABORAL ENTRE LA ENTIDAD Y EL CONTRATISTA</w:t>
      </w:r>
    </w:p>
    <w:p w14:paraId="147E40D3">
      <w:pPr>
        <w:pStyle w:val="37"/>
        <w:numPr>
          <w:ilvl w:val="0"/>
          <w:numId w:val="0"/>
        </w:numPr>
        <w:spacing w:before="0" w:after="0"/>
        <w:ind w:left="2124" w:hanging="2124"/>
        <w:rPr>
          <w:rFonts w:ascii="Arial" w:hAnsi="Arial" w:cs="Arial"/>
          <w:sz w:val="22"/>
        </w:rPr>
      </w:pPr>
      <w:r>
        <w:rPr>
          <w:rFonts w:ascii="Arial" w:hAnsi="Arial" w:cs="Arial"/>
          <w:sz w:val="22"/>
        </w:rPr>
        <w:t>CLÁUSULA 20.</w:t>
      </w:r>
      <w:r>
        <w:rPr>
          <w:rFonts w:ascii="Arial" w:hAnsi="Arial" w:cs="Arial"/>
          <w:sz w:val="22"/>
        </w:rPr>
        <w:tab/>
      </w:r>
      <w:r>
        <w:rPr>
          <w:rFonts w:ascii="Arial" w:hAnsi="Arial" w:cs="Arial"/>
          <w:sz w:val="22"/>
        </w:rPr>
        <w:t xml:space="preserve">CESIÓN </w:t>
      </w:r>
    </w:p>
    <w:p w14:paraId="0748783E">
      <w:pPr>
        <w:pStyle w:val="37"/>
        <w:numPr>
          <w:ilvl w:val="0"/>
          <w:numId w:val="0"/>
        </w:numPr>
        <w:spacing w:before="0" w:after="0"/>
        <w:ind w:left="2124" w:hanging="2124"/>
        <w:rPr>
          <w:rFonts w:ascii="Arial" w:hAnsi="Arial" w:cs="Arial"/>
          <w:sz w:val="22"/>
        </w:rPr>
      </w:pPr>
      <w:r>
        <w:rPr>
          <w:rFonts w:ascii="Arial" w:hAnsi="Arial" w:cs="Arial"/>
          <w:sz w:val="22"/>
        </w:rPr>
        <w:t>CLÁUSULA 21.</w:t>
      </w:r>
      <w:r>
        <w:rPr>
          <w:rFonts w:ascii="Arial" w:hAnsi="Arial" w:cs="Arial"/>
          <w:sz w:val="22"/>
        </w:rPr>
        <w:tab/>
      </w:r>
      <w:r>
        <w:rPr>
          <w:rFonts w:ascii="Arial" w:hAnsi="Arial" w:cs="Arial"/>
          <w:sz w:val="22"/>
        </w:rPr>
        <w:t>LIQUIDACIÓN</w:t>
      </w:r>
    </w:p>
    <w:p w14:paraId="378DA57F">
      <w:pPr>
        <w:pStyle w:val="37"/>
        <w:numPr>
          <w:ilvl w:val="0"/>
          <w:numId w:val="0"/>
        </w:numPr>
        <w:spacing w:before="0" w:after="0"/>
        <w:ind w:left="2124" w:hanging="2124"/>
        <w:rPr>
          <w:rFonts w:ascii="Arial" w:hAnsi="Arial" w:cs="Arial"/>
          <w:sz w:val="22"/>
        </w:rPr>
      </w:pPr>
      <w:r>
        <w:rPr>
          <w:rFonts w:ascii="Arial" w:hAnsi="Arial" w:cs="Arial"/>
          <w:sz w:val="22"/>
        </w:rPr>
        <w:t>CLÁUSULA 22.</w:t>
      </w:r>
      <w:r>
        <w:rPr>
          <w:rFonts w:ascii="Arial" w:hAnsi="Arial" w:cs="Arial"/>
          <w:sz w:val="22"/>
        </w:rPr>
        <w:tab/>
      </w:r>
      <w:r>
        <w:rPr>
          <w:rFonts w:ascii="Arial" w:hAnsi="Arial" w:cs="Arial"/>
          <w:sz w:val="22"/>
        </w:rPr>
        <w:t>SUSCRIPCIÓN, PERFECCIONAMIENTO Y EJECUCIÓN</w:t>
      </w:r>
    </w:p>
    <w:p w14:paraId="4899E844">
      <w:pPr>
        <w:pStyle w:val="37"/>
        <w:numPr>
          <w:ilvl w:val="0"/>
          <w:numId w:val="0"/>
        </w:numPr>
        <w:spacing w:before="0" w:after="0"/>
        <w:ind w:left="2124" w:hanging="2124"/>
        <w:rPr>
          <w:rFonts w:ascii="Arial" w:hAnsi="Arial" w:cs="Arial"/>
          <w:sz w:val="22"/>
        </w:rPr>
      </w:pPr>
      <w:r>
        <w:rPr>
          <w:rFonts w:ascii="Arial" w:hAnsi="Arial" w:cs="Arial"/>
          <w:sz w:val="22"/>
        </w:rPr>
        <w:t>CLÁUSULA 23.</w:t>
      </w:r>
      <w:r>
        <w:rPr>
          <w:rFonts w:ascii="Arial" w:hAnsi="Arial" w:cs="Arial"/>
          <w:sz w:val="22"/>
        </w:rPr>
        <w:tab/>
      </w:r>
      <w:r>
        <w:rPr>
          <w:rFonts w:ascii="Arial" w:hAnsi="Arial" w:cs="Arial"/>
          <w:sz w:val="22"/>
        </w:rPr>
        <w:t xml:space="preserve">LUGAR DE EJECUCIÓN Y DOMICILIO CONTRACTUAL </w:t>
      </w:r>
    </w:p>
    <w:p w14:paraId="5631A7DD">
      <w:pPr>
        <w:pStyle w:val="37"/>
        <w:numPr>
          <w:ilvl w:val="0"/>
          <w:numId w:val="0"/>
        </w:numPr>
        <w:spacing w:before="0" w:after="0"/>
        <w:rPr>
          <w:rFonts w:ascii="Arial" w:hAnsi="Arial" w:cs="Arial"/>
          <w:sz w:val="22"/>
        </w:rPr>
      </w:pPr>
      <w:r>
        <w:rPr>
          <w:rFonts w:ascii="Arial" w:hAnsi="Arial" w:cs="Arial"/>
          <w:sz w:val="22"/>
        </w:rPr>
        <w:t>CLÁUSULA 24.</w:t>
      </w:r>
      <w:r>
        <w:rPr>
          <w:rFonts w:ascii="Arial" w:hAnsi="Arial" w:cs="Arial"/>
          <w:sz w:val="22"/>
        </w:rPr>
        <w:tab/>
      </w:r>
      <w:r>
        <w:rPr>
          <w:rFonts w:ascii="Arial" w:hAnsi="Arial" w:cs="Arial"/>
          <w:sz w:val="22"/>
        </w:rPr>
        <w:t>DOCUMENTOS</w:t>
      </w:r>
    </w:p>
    <w:p w14:paraId="46FF7ACF">
      <w:pPr>
        <w:rPr>
          <w:rFonts w:ascii="Arial" w:hAnsi="Arial" w:cs="Arial"/>
          <w:b/>
          <w:sz w:val="22"/>
          <w:lang w:val="es-CO"/>
        </w:rPr>
      </w:pPr>
      <w:r>
        <w:rPr>
          <w:rFonts w:ascii="Arial" w:hAnsi="Arial" w:cs="Arial"/>
          <w:b/>
          <w:sz w:val="22"/>
          <w:lang w:val="es-CO"/>
        </w:rPr>
        <w:br w:type="page"/>
      </w:r>
    </w:p>
    <w:p w14:paraId="353867BE">
      <w:pPr>
        <w:spacing w:line="257" w:lineRule="auto"/>
        <w:rPr>
          <w:rFonts w:ascii="Arial" w:hAnsi="Arial" w:eastAsia="Arial" w:cs="Arial"/>
          <w:sz w:val="22"/>
          <w:lang w:val="es-CO"/>
        </w:rPr>
      </w:pPr>
      <w:r>
        <w:rPr>
          <w:rFonts w:ascii="Arial" w:hAnsi="Arial" w:cs="Arial"/>
          <w:sz w:val="22"/>
          <w:lang w:val="es-CO"/>
        </w:rPr>
        <w:t xml:space="preserve">Entre </w:t>
      </w:r>
      <w:r>
        <w:rPr>
          <w:rFonts w:ascii="Arial" w:hAnsi="Arial" w:cs="Arial"/>
          <w:sz w:val="22"/>
          <w:highlight w:val="lightGray"/>
          <w:lang w:val="es-CO"/>
        </w:rPr>
        <w:t>[Nombre de la Entidad]</w:t>
      </w:r>
      <w:r>
        <w:rPr>
          <w:rFonts w:ascii="Arial" w:hAnsi="Arial" w:cs="Arial"/>
          <w:sz w:val="22"/>
          <w:lang w:val="es-CO"/>
        </w:rPr>
        <w:t xml:space="preserve"> (en adelante la “Entidad”) por medio de su representante legal, por una parte; y por la otra </w:t>
      </w:r>
      <w:r>
        <w:rPr>
          <w:rFonts w:ascii="Arial" w:hAnsi="Arial" w:cs="Arial"/>
          <w:sz w:val="22"/>
          <w:highlight w:val="lightGray"/>
          <w:lang w:val="es-CO"/>
        </w:rPr>
        <w:t>[Nombre del Contratista]</w:t>
      </w:r>
      <w:r>
        <w:rPr>
          <w:rFonts w:ascii="Arial" w:hAnsi="Arial" w:cs="Arial"/>
          <w:sz w:val="22"/>
          <w:lang w:val="es-CO"/>
        </w:rPr>
        <w:t xml:space="preserve"> (en adelante el “Contratista”) en mi condición de </w:t>
      </w:r>
      <w:r>
        <w:rPr>
          <w:rFonts w:ascii="Arial" w:hAnsi="Arial" w:cs="Arial"/>
          <w:sz w:val="22"/>
          <w:highlight w:val="lightGray"/>
          <w:lang w:val="es-CO"/>
        </w:rPr>
        <w:t>[Indicar si actúa como persona natural (nombre propio) o como representante legal],</w:t>
      </w:r>
      <w:r>
        <w:rPr>
          <w:rFonts w:ascii="Arial" w:hAnsi="Arial" w:cs="Arial"/>
          <w:sz w:val="22"/>
          <w:lang w:val="es-CO"/>
        </w:rPr>
        <w:t xml:space="preserve"> identificado como aparece en el “Formato 1 – Carta de Presentación” de la oferta hemos convenido celebrar el presente Contrato de Contratista, previas las siguientes consideraciones:</w:t>
      </w:r>
    </w:p>
    <w:p w14:paraId="70073752">
      <w:pPr>
        <w:spacing w:line="257" w:lineRule="auto"/>
        <w:rPr>
          <w:rFonts w:ascii="Arial" w:hAnsi="Arial" w:cs="Arial"/>
          <w:sz w:val="22"/>
          <w:lang w:val="es-CO"/>
        </w:rPr>
      </w:pPr>
    </w:p>
    <w:p w14:paraId="66A54A8F">
      <w:pPr>
        <w:pStyle w:val="31"/>
        <w:numPr>
          <w:ilvl w:val="0"/>
          <w:numId w:val="6"/>
        </w:numPr>
        <w:rPr>
          <w:rFonts w:ascii="Arial" w:hAnsi="Arial" w:cs="Arial"/>
          <w:sz w:val="22"/>
        </w:rPr>
      </w:pPr>
      <w:r>
        <w:rPr>
          <w:rFonts w:ascii="Arial" w:hAnsi="Arial" w:cs="Arial"/>
          <w:sz w:val="22"/>
        </w:rPr>
        <w:t xml:space="preserve">Que mediante </w:t>
      </w:r>
      <w:r>
        <w:rPr>
          <w:rFonts w:ascii="Arial" w:hAnsi="Arial" w:cs="Arial"/>
          <w:sz w:val="22"/>
          <w:highlight w:val="lightGray"/>
        </w:rPr>
        <w:t>[la Resolución xxxxx del xxx de xxx de 2026</w:t>
      </w:r>
      <w:r>
        <w:rPr>
          <w:rFonts w:ascii="Arial" w:hAnsi="Arial" w:cs="Arial"/>
          <w:sz w:val="22"/>
        </w:rPr>
        <w:t xml:space="preserve"> la Entidad abrió el Procedimiento de Contratación </w:t>
      </w:r>
      <w:r>
        <w:rPr>
          <w:rFonts w:ascii="Arial" w:hAnsi="Arial" w:cs="Arial"/>
          <w:sz w:val="22"/>
          <w:highlight w:val="lightGray"/>
        </w:rPr>
        <w:t>[Incluir el número del proceso]</w:t>
      </w:r>
      <w:r>
        <w:rPr>
          <w:rFonts w:ascii="Arial" w:hAnsi="Arial" w:cs="Arial"/>
          <w:sz w:val="22"/>
        </w:rPr>
        <w:t>.</w:t>
      </w:r>
    </w:p>
    <w:p w14:paraId="32C82A74">
      <w:pPr>
        <w:pStyle w:val="31"/>
        <w:contextualSpacing w:val="0"/>
        <w:rPr>
          <w:rFonts w:ascii="Arial" w:hAnsi="Arial" w:cs="Arial"/>
          <w:sz w:val="22"/>
        </w:rPr>
      </w:pPr>
    </w:p>
    <w:p w14:paraId="6D017276">
      <w:pPr>
        <w:pStyle w:val="31"/>
        <w:numPr>
          <w:ilvl w:val="0"/>
          <w:numId w:val="6"/>
        </w:numPr>
        <w:rPr>
          <w:rFonts w:ascii="Arial" w:hAnsi="Arial" w:cs="Arial"/>
          <w:sz w:val="22"/>
        </w:rPr>
      </w:pPr>
      <w:r>
        <w:rPr>
          <w:rFonts w:ascii="Arial" w:hAnsi="Arial" w:cs="Arial"/>
          <w:sz w:val="22"/>
        </w:rPr>
        <w:t xml:space="preserve">Que a través de la Resolución </w:t>
      </w:r>
      <w:r>
        <w:rPr>
          <w:rFonts w:ascii="Arial" w:hAnsi="Arial" w:cs="Arial"/>
          <w:sz w:val="22"/>
          <w:highlight w:val="lightGray"/>
        </w:rPr>
        <w:t>[xxxxx del xxx de xxx de 20xx]</w:t>
      </w:r>
      <w:r>
        <w:rPr>
          <w:rFonts w:ascii="Arial" w:hAnsi="Arial" w:cs="Arial"/>
          <w:sz w:val="22"/>
        </w:rPr>
        <w:t xml:space="preserve"> la Entidad adjudicó el contrato al oferente </w:t>
      </w:r>
      <w:r>
        <w:rPr>
          <w:rFonts w:ascii="Arial" w:hAnsi="Arial" w:cs="Arial"/>
          <w:sz w:val="22"/>
          <w:highlight w:val="lightGray"/>
        </w:rPr>
        <w:t>[Indicar el nombre del oferente adjudicatario]</w:t>
      </w:r>
      <w:r>
        <w:rPr>
          <w:rFonts w:ascii="Arial" w:hAnsi="Arial" w:cs="Arial"/>
          <w:sz w:val="22"/>
        </w:rPr>
        <w:t>.</w:t>
      </w:r>
    </w:p>
    <w:p w14:paraId="4B8E6229">
      <w:pPr>
        <w:rPr>
          <w:rFonts w:ascii="Arial" w:hAnsi="Arial" w:cs="Arial"/>
          <w:sz w:val="22"/>
          <w:lang w:val="es-CO"/>
        </w:rPr>
      </w:pPr>
    </w:p>
    <w:p w14:paraId="60CEE78E">
      <w:pPr>
        <w:autoSpaceDE w:val="0"/>
        <w:autoSpaceDN w:val="0"/>
        <w:adjustRightInd w:val="0"/>
        <w:rPr>
          <w:rFonts w:ascii="Arial" w:hAnsi="Arial" w:cs="Arial"/>
          <w:sz w:val="22"/>
          <w:lang w:val="es-CO"/>
        </w:rPr>
      </w:pPr>
      <w:r>
        <w:rPr>
          <w:rFonts w:ascii="Arial" w:hAnsi="Arial" w:cs="Arial"/>
          <w:sz w:val="22"/>
        </w:rPr>
        <w:t xml:space="preserve">Con base en las anteriores consideraciones, la Entidad y el Contratista (individualmente la “Parte”, conjuntamente las “Partes”), convienen </w:t>
      </w:r>
      <w:r>
        <w:rPr>
          <w:rFonts w:ascii="Arial" w:hAnsi="Arial" w:cs="Arial"/>
          <w:sz w:val="22"/>
          <w:lang w:val="es-CO"/>
        </w:rPr>
        <w:t>las siguientes cláusulas.</w:t>
      </w:r>
    </w:p>
    <w:p w14:paraId="1E5F24A0">
      <w:pPr>
        <w:autoSpaceDE w:val="0"/>
        <w:autoSpaceDN w:val="0"/>
        <w:adjustRightInd w:val="0"/>
        <w:rPr>
          <w:rFonts w:ascii="Arial" w:hAnsi="Arial" w:cs="Arial"/>
          <w:sz w:val="22"/>
        </w:rPr>
      </w:pPr>
    </w:p>
    <w:p w14:paraId="250372F8">
      <w:pPr>
        <w:pStyle w:val="37"/>
        <w:spacing w:before="0" w:after="0"/>
        <w:ind w:left="283" w:hanging="357"/>
        <w:outlineLvl w:val="0"/>
        <w:rPr>
          <w:rFonts w:ascii="Arial" w:hAnsi="Arial" w:cs="Arial"/>
          <w:sz w:val="22"/>
        </w:rPr>
      </w:pPr>
      <w:r>
        <w:rPr>
          <w:rFonts w:ascii="Arial" w:hAnsi="Arial" w:cs="Arial"/>
          <w:sz w:val="22"/>
        </w:rPr>
        <w:t>DEFINICIONES</w:t>
      </w:r>
    </w:p>
    <w:p w14:paraId="3DA1AF0A">
      <w:pPr>
        <w:pStyle w:val="37"/>
        <w:numPr>
          <w:ilvl w:val="0"/>
          <w:numId w:val="0"/>
        </w:numPr>
        <w:spacing w:before="0" w:after="0"/>
        <w:ind w:left="720"/>
        <w:rPr>
          <w:rFonts w:ascii="Arial" w:hAnsi="Arial" w:cs="Arial"/>
          <w:sz w:val="22"/>
        </w:rPr>
      </w:pPr>
    </w:p>
    <w:p w14:paraId="4E9A6A07">
      <w:pPr>
        <w:rPr>
          <w:rFonts w:ascii="Arial" w:hAnsi="Arial" w:cs="Arial"/>
          <w:sz w:val="22"/>
        </w:rPr>
      </w:pPr>
      <w:r>
        <w:rPr>
          <w:rFonts w:ascii="Arial" w:hAnsi="Arial" w:cs="Arial"/>
          <w:sz w:val="22"/>
        </w:rPr>
        <w:t>Las expresiones utilizadas en el contrato con mayúscula inicial deben entenderse con el significado que se les asigna</w:t>
      </w:r>
      <w:r>
        <w:rPr>
          <w:rFonts w:ascii="Arial" w:hAnsi="Arial" w:cs="Arial"/>
          <w:color w:val="FF0000"/>
          <w:sz w:val="22"/>
        </w:rPr>
        <w:t>.</w:t>
      </w:r>
    </w:p>
    <w:p w14:paraId="62B97AC0">
      <w:pPr>
        <w:ind w:left="142"/>
        <w:rPr>
          <w:rFonts w:ascii="Arial" w:hAnsi="Arial" w:cs="Arial"/>
          <w:sz w:val="22"/>
        </w:rPr>
      </w:pPr>
    </w:p>
    <w:p w14:paraId="30ACBF23">
      <w:pPr>
        <w:pStyle w:val="37"/>
        <w:spacing w:before="0" w:after="0"/>
        <w:ind w:left="283" w:hanging="357"/>
        <w:outlineLvl w:val="0"/>
        <w:rPr>
          <w:rFonts w:ascii="Arial" w:hAnsi="Arial" w:cs="Arial"/>
          <w:b w:val="0"/>
          <w:sz w:val="22"/>
        </w:rPr>
      </w:pPr>
      <w:r>
        <w:rPr>
          <w:rFonts w:ascii="Arial" w:hAnsi="Arial" w:cs="Arial"/>
          <w:sz w:val="22"/>
        </w:rPr>
        <w:t xml:space="preserve">OBJETO </w:t>
      </w:r>
    </w:p>
    <w:p w14:paraId="20DC7087">
      <w:pPr>
        <w:pStyle w:val="37"/>
        <w:numPr>
          <w:ilvl w:val="0"/>
          <w:numId w:val="0"/>
        </w:numPr>
        <w:spacing w:before="0" w:after="0"/>
        <w:ind w:left="720"/>
        <w:rPr>
          <w:rFonts w:ascii="Arial" w:hAnsi="Arial" w:cs="Arial"/>
          <w:sz w:val="22"/>
        </w:rPr>
      </w:pPr>
    </w:p>
    <w:p w14:paraId="78374E92">
      <w:pPr>
        <w:rPr>
          <w:rFonts w:ascii="Arial" w:hAnsi="Arial" w:cs="Arial"/>
          <w:sz w:val="22"/>
        </w:rPr>
      </w:pPr>
      <w:r>
        <w:rPr>
          <w:rFonts w:ascii="Arial" w:hAnsi="Arial" w:cs="Arial"/>
          <w:sz w:val="22"/>
        </w:rPr>
        <w:t xml:space="preserve">El objeto del contrato es la: </w:t>
      </w:r>
      <w:r>
        <w:rPr>
          <w:rFonts w:ascii="Arial" w:hAnsi="Arial" w:cs="Arial"/>
          <w:bCs/>
          <w:sz w:val="22"/>
        </w:rPr>
        <w:t>EJECUCIÓN DEL PROYECTO DENOMINADO IMPLEMENTACIÓN DEL PROGRAMA DE CONTROL BIOMÉDICO Y BIOMECÁNICO PARA DEPORTISTAS DEL DEPARTAMENTO DE BOLÍVAR EN EL MARCO DE LA PREPARACIÓN DE LOS JUEGOS DEPORTIVOS NACIONALES DEL AÑO 2027 BOLÍVAR</w:t>
      </w:r>
      <w:r>
        <w:rPr>
          <w:rFonts w:ascii="Arial" w:hAnsi="Arial" w:cs="Arial"/>
          <w:sz w:val="22"/>
        </w:rPr>
        <w:t>”</w:t>
      </w:r>
      <w:r>
        <w:rPr>
          <w:rFonts w:ascii="Arial" w:hAnsi="Arial" w:cs="Arial" w:eastAsiaTheme="majorEastAsia"/>
          <w:iCs/>
          <w:sz w:val="22"/>
        </w:rPr>
        <w:t>.</w:t>
      </w:r>
      <w:r>
        <w:rPr>
          <w:rFonts w:ascii="Arial" w:hAnsi="Arial" w:cs="Arial"/>
          <w:sz w:val="22"/>
          <w:highlight w:val="lightGray"/>
        </w:rPr>
        <w:t xml:space="preserve"> </w:t>
      </w:r>
    </w:p>
    <w:p w14:paraId="44CF8526">
      <w:pPr>
        <w:rPr>
          <w:rFonts w:ascii="Arial" w:hAnsi="Arial" w:cs="Arial"/>
          <w:sz w:val="22"/>
        </w:rPr>
      </w:pPr>
    </w:p>
    <w:p w14:paraId="01FDFDD6">
      <w:pPr>
        <w:pStyle w:val="37"/>
        <w:spacing w:before="0" w:after="0"/>
        <w:ind w:left="283" w:hanging="357"/>
        <w:outlineLvl w:val="0"/>
        <w:rPr>
          <w:rFonts w:ascii="Arial" w:hAnsi="Arial" w:cs="Arial"/>
          <w:sz w:val="22"/>
        </w:rPr>
      </w:pPr>
      <w:r>
        <w:rPr>
          <w:rFonts w:ascii="Arial" w:hAnsi="Arial" w:cs="Arial"/>
          <w:sz w:val="22"/>
        </w:rPr>
        <w:t>ALCANCE DEL OBJETO</w:t>
      </w:r>
    </w:p>
    <w:p w14:paraId="549A0F5C">
      <w:pPr>
        <w:spacing w:before="100" w:beforeAutospacing="1" w:after="100" w:afterAutospacing="1"/>
        <w:rPr>
          <w:rFonts w:ascii="Arial" w:hAnsi="Arial" w:eastAsia="Times New Roman" w:cs="Arial"/>
          <w:sz w:val="22"/>
          <w:lang w:val="es-ES" w:eastAsia="es-ES"/>
        </w:rPr>
      </w:pPr>
      <w:r>
        <w:rPr>
          <w:rFonts w:ascii="Arial" w:hAnsi="Arial" w:eastAsia="Times New Roman" w:cs="Arial"/>
          <w:sz w:val="22"/>
          <w:lang w:val="es-ES" w:eastAsia="es-ES"/>
        </w:rPr>
        <w:t xml:space="preserve">El </w:t>
      </w:r>
      <w:r>
        <w:rPr>
          <w:rFonts w:ascii="Arial" w:hAnsi="Arial" w:eastAsia="Times New Roman" w:cs="Arial"/>
          <w:b/>
          <w:bCs/>
          <w:sz w:val="22"/>
          <w:lang w:val="es-ES" w:eastAsia="es-ES"/>
        </w:rPr>
        <w:t>Contratista</w:t>
      </w:r>
      <w:r>
        <w:rPr>
          <w:rFonts w:ascii="Arial" w:hAnsi="Arial" w:eastAsia="Times New Roman" w:cs="Arial"/>
          <w:sz w:val="22"/>
          <w:lang w:val="es-ES" w:eastAsia="es-ES"/>
        </w:rPr>
        <w:t xml:space="preserve"> deberá ejecutar el contrato de conformidad con las especificaciones y características técnicas señaladas en los Documentos del Proceso de </w:t>
      </w:r>
      <w:r>
        <w:rPr>
          <w:rFonts w:hint="default" w:ascii="Arial" w:hAnsi="Arial" w:eastAsia="Times New Roman" w:cs="Arial"/>
          <w:sz w:val="22"/>
          <w:lang w:val="es-CO" w:eastAsia="es-ES"/>
        </w:rPr>
        <w:t>Licitación LPPS-SP-023-2026</w:t>
      </w:r>
      <w:r>
        <w:rPr>
          <w:rFonts w:ascii="Arial" w:hAnsi="Arial" w:eastAsia="Times New Roman" w:cs="Arial"/>
          <w:sz w:val="22"/>
          <w:lang w:val="es-ES" w:eastAsia="es-ES"/>
        </w:rPr>
        <w:t>, los cuales hacen parte integral de este contrato.</w:t>
      </w:r>
    </w:p>
    <w:p w14:paraId="12B04808">
      <w:pPr>
        <w:spacing w:before="100" w:beforeAutospacing="1" w:after="100" w:afterAutospacing="1"/>
        <w:rPr>
          <w:rFonts w:ascii="Arial" w:hAnsi="Arial" w:eastAsia="Times New Roman" w:cs="Arial"/>
          <w:sz w:val="22"/>
          <w:lang w:val="es-ES" w:eastAsia="es-ES"/>
        </w:rPr>
      </w:pPr>
      <w:r>
        <w:rPr>
          <w:rFonts w:ascii="Arial" w:hAnsi="Arial" w:eastAsia="Times New Roman" w:cs="Arial"/>
          <w:sz w:val="22"/>
          <w:lang w:val="es-ES" w:eastAsia="es-ES"/>
        </w:rPr>
        <w:t>El Contratista se obliga con la Entidad a ejecutar, a los precios cotizados en la propuesta, según se estimaron por la Entidad y con sus propios medios —</w:t>
      </w:r>
      <w:r>
        <w:rPr>
          <w:rFonts w:hint="default" w:ascii="Arial" w:hAnsi="Arial" w:eastAsia="Times New Roman" w:cs="Arial"/>
          <w:sz w:val="22"/>
          <w:lang w:val="es-CO" w:eastAsia="es-ES"/>
        </w:rPr>
        <w:t xml:space="preserve">servicios para la evaluación </w:t>
      </w:r>
      <w:r>
        <w:rPr>
          <w:rFonts w:ascii="Arial" w:hAnsi="Arial" w:eastAsia="Times New Roman" w:cs="Arial"/>
          <w:sz w:val="22"/>
          <w:lang w:val="es-ES" w:eastAsia="es-ES"/>
        </w:rPr>
        <w:t xml:space="preserve">biomédicos y biomecánicos, laboratorios, insumos y personal especializado— en forma independiente y con plena autonomía técnica y administrativa, hasta su total terminación y aceptación final, las actividades propias de la </w:t>
      </w:r>
      <w:r>
        <w:rPr>
          <w:rFonts w:ascii="Arial" w:hAnsi="Arial" w:eastAsia="Times New Roman" w:cs="Arial"/>
          <w:b/>
          <w:bCs/>
          <w:sz w:val="22"/>
          <w:lang w:val="es-ES" w:eastAsia="es-ES"/>
        </w:rPr>
        <w:t>implementación del Programa de Control Biomédico y Biomecánico para Deportistas del Departamento de Bolívar</w:t>
      </w:r>
      <w:r>
        <w:rPr>
          <w:rFonts w:ascii="Arial" w:hAnsi="Arial" w:eastAsia="Times New Roman" w:cs="Arial"/>
          <w:sz w:val="22"/>
          <w:lang w:val="es-ES" w:eastAsia="es-ES"/>
        </w:rPr>
        <w:t>, en el marco de la preparación de los Juegos Deportivos Nacionales 2027, de conformidad con la legislación vigente, el Pliego de Condiciones, el Anexo Técnico y los estudios y diseños que soportan el programa.</w:t>
      </w:r>
    </w:p>
    <w:p w14:paraId="6E1B9B1F">
      <w:pPr>
        <w:rPr>
          <w:rFonts w:ascii="Arial" w:hAnsi="Arial" w:cs="Arial"/>
          <w:sz w:val="22"/>
        </w:rPr>
      </w:pPr>
      <w:r>
        <w:rPr>
          <w:rFonts w:ascii="Arial" w:hAnsi="Arial" w:cs="Arial"/>
          <w:sz w:val="22"/>
        </w:rPr>
        <w:t>El contratista asume de forma obligatoria los Riesgos previsibles identificados y asignados el Pliego de Condiciones en la “Matriz 3 – Riesgos” y aceptados con la presentación de la propuesta.</w:t>
      </w:r>
    </w:p>
    <w:p w14:paraId="7D353C50">
      <w:pPr>
        <w:rPr>
          <w:rFonts w:ascii="Arial" w:hAnsi="Arial" w:cs="Arial"/>
          <w:sz w:val="22"/>
        </w:rPr>
      </w:pPr>
    </w:p>
    <w:p w14:paraId="1E638012">
      <w:pPr>
        <w:pStyle w:val="37"/>
        <w:spacing w:before="0" w:after="0"/>
        <w:ind w:left="283" w:hanging="357"/>
        <w:outlineLvl w:val="0"/>
        <w:rPr>
          <w:rFonts w:ascii="Arial" w:hAnsi="Arial" w:cs="Arial"/>
          <w:sz w:val="22"/>
        </w:rPr>
      </w:pPr>
      <w:r>
        <w:rPr>
          <w:rFonts w:ascii="Arial" w:hAnsi="Arial" w:cs="Arial"/>
          <w:sz w:val="22"/>
        </w:rPr>
        <w:t>PLAZO DEL CONTRATO</w:t>
      </w:r>
    </w:p>
    <w:p w14:paraId="0B448C5F">
      <w:pPr>
        <w:pStyle w:val="37"/>
        <w:numPr>
          <w:ilvl w:val="0"/>
          <w:numId w:val="0"/>
        </w:numPr>
        <w:spacing w:before="0" w:after="0"/>
        <w:ind w:left="720"/>
        <w:rPr>
          <w:rFonts w:ascii="Arial" w:hAnsi="Arial" w:cs="Arial"/>
          <w:sz w:val="22"/>
        </w:rPr>
      </w:pPr>
      <w:r>
        <w:rPr>
          <w:rFonts w:ascii="Arial" w:hAnsi="Arial" w:cs="Arial"/>
          <w:sz w:val="22"/>
        </w:rPr>
        <w:t xml:space="preserve"> </w:t>
      </w:r>
    </w:p>
    <w:p w14:paraId="7DED986A">
      <w:pPr>
        <w:rPr>
          <w:rFonts w:ascii="Arial" w:hAnsi="Arial" w:cs="Arial"/>
          <w:sz w:val="22"/>
        </w:rPr>
      </w:pPr>
      <w:r>
        <w:rPr>
          <w:rFonts w:ascii="Arial" w:hAnsi="Arial" w:cs="Arial"/>
          <w:sz w:val="22"/>
        </w:rPr>
        <w:t>El plazo estimado para la ejecución del contrato será de cuatro (4) meses, contados a partir de la suscripción del acta inicio</w:t>
      </w:r>
      <w:r>
        <w:rPr>
          <w:rFonts w:hint="default" w:ascii="Arial" w:hAnsi="Arial" w:cs="Arial"/>
          <w:sz w:val="22"/>
          <w:lang w:val="es-CO"/>
        </w:rPr>
        <w:t xml:space="preserve"> sin excedre el 31 de diciembre de 2026</w:t>
      </w:r>
      <w:r>
        <w:rPr>
          <w:rFonts w:ascii="Arial" w:hAnsi="Arial" w:cs="Arial"/>
          <w:sz w:val="22"/>
        </w:rPr>
        <w:t>, previo el cumplimiento de los requisitos de perfeccionamiento y ejecución del mismo y aprobación de los documentos previstos en el Pliego de Condiciones.</w:t>
      </w:r>
    </w:p>
    <w:p w14:paraId="1EFD1D43">
      <w:pPr>
        <w:rPr>
          <w:rFonts w:ascii="Arial" w:hAnsi="Arial" w:cs="Arial"/>
          <w:sz w:val="22"/>
        </w:rPr>
      </w:pPr>
    </w:p>
    <w:p w14:paraId="6F584577">
      <w:pPr>
        <w:rPr>
          <w:rFonts w:ascii="Arial" w:hAnsi="Arial" w:cs="Arial"/>
          <w:sz w:val="22"/>
        </w:rPr>
      </w:pPr>
      <w:r>
        <w:rPr>
          <w:rFonts w:ascii="Arial" w:hAnsi="Arial" w:cs="Arial"/>
          <w:sz w:val="22"/>
        </w:rPr>
        <w:t>Excepcionalmente, por causas que constituyan fuerza mayor o caso fortuito, las partes de común acuerdo podrán suspender el plazo de ejecución del contrato, siempre que la naturaleza de las obligaciones lo admita, no se contraríen normas de orden público y se adopten medidas para superar las causas que motivaron la suspensión en el menor tiempo posible.</w:t>
      </w:r>
    </w:p>
    <w:p w14:paraId="286DD3ED">
      <w:pPr>
        <w:rPr>
          <w:rFonts w:ascii="Arial" w:hAnsi="Arial" w:cs="Arial"/>
          <w:sz w:val="22"/>
        </w:rPr>
      </w:pPr>
    </w:p>
    <w:p w14:paraId="186801F1">
      <w:pPr>
        <w:pStyle w:val="37"/>
        <w:spacing w:before="0" w:after="0"/>
        <w:ind w:left="284" w:hanging="284"/>
        <w:outlineLvl w:val="0"/>
        <w:rPr>
          <w:rFonts w:ascii="Arial" w:hAnsi="Arial" w:cs="Arial"/>
          <w:sz w:val="22"/>
        </w:rPr>
      </w:pPr>
      <w:r>
        <w:rPr>
          <w:rFonts w:ascii="Arial" w:hAnsi="Arial" w:cs="Arial"/>
          <w:sz w:val="22"/>
        </w:rPr>
        <w:t>VALOR DEL CONTRATO</w:t>
      </w:r>
    </w:p>
    <w:p w14:paraId="691F4208">
      <w:pPr>
        <w:pStyle w:val="37"/>
        <w:numPr>
          <w:ilvl w:val="0"/>
          <w:numId w:val="0"/>
        </w:numPr>
        <w:spacing w:before="0" w:after="0"/>
        <w:ind w:left="720"/>
        <w:rPr>
          <w:rFonts w:ascii="Arial" w:hAnsi="Arial" w:cs="Arial"/>
          <w:sz w:val="22"/>
        </w:rPr>
      </w:pPr>
    </w:p>
    <w:p w14:paraId="1B1713C8">
      <w:pPr>
        <w:rPr>
          <w:rFonts w:ascii="Arial" w:hAnsi="Arial" w:cs="Arial"/>
          <w:sz w:val="22"/>
        </w:rPr>
      </w:pPr>
      <w:r>
        <w:rPr>
          <w:rFonts w:ascii="Arial" w:hAnsi="Arial" w:cs="Arial"/>
          <w:sz w:val="22"/>
        </w:rPr>
        <w:t xml:space="preserve">El valor del contrato es hasta por la suma de </w:t>
      </w:r>
      <w:r>
        <w:rPr>
          <w:rFonts w:ascii="Arial" w:hAnsi="Arial" w:cs="Arial"/>
          <w:sz w:val="22"/>
          <w:highlight w:val="lightGray"/>
        </w:rPr>
        <w:t>[valor estimado del contrato tanto en letras como en números]</w:t>
      </w:r>
      <w:r>
        <w:rPr>
          <w:rFonts w:ascii="Arial" w:hAnsi="Arial" w:cs="Arial"/>
          <w:sz w:val="22"/>
        </w:rPr>
        <w:t xml:space="preserve">, equivalentes a </w:t>
      </w:r>
      <w:r>
        <w:rPr>
          <w:rFonts w:ascii="Arial" w:hAnsi="Arial" w:cs="Arial"/>
          <w:sz w:val="22"/>
          <w:highlight w:val="lightGray"/>
        </w:rPr>
        <w:t>[número de salarios mínimos]</w:t>
      </w:r>
      <w:r>
        <w:rPr>
          <w:rFonts w:ascii="Arial" w:hAnsi="Arial" w:cs="Arial"/>
          <w:sz w:val="22"/>
        </w:rPr>
        <w:t xml:space="preserve"> SMMLV para el año de suscripción del contrato </w:t>
      </w:r>
      <w:r>
        <w:rPr>
          <w:rFonts w:ascii="Arial" w:hAnsi="Arial" w:cs="Arial"/>
          <w:sz w:val="22"/>
          <w:highlight w:val="lightGray"/>
        </w:rPr>
        <w:t>[incluir año]</w:t>
      </w:r>
      <w:r>
        <w:rPr>
          <w:rFonts w:ascii="Arial" w:hAnsi="Arial" w:cs="Arial"/>
          <w:sz w:val="22"/>
        </w:rPr>
        <w:t xml:space="preserve"> suma que se discrimina de la siguiente manera: </w:t>
      </w:r>
    </w:p>
    <w:p w14:paraId="4A4AD081">
      <w:pPr>
        <w:rPr>
          <w:rFonts w:ascii="Arial" w:hAnsi="Arial" w:cs="Arial"/>
          <w:sz w:val="22"/>
        </w:rPr>
      </w:pPr>
    </w:p>
    <w:p w14:paraId="545B32CC">
      <w:pPr>
        <w:rPr>
          <w:rFonts w:ascii="Arial" w:hAnsi="Arial" w:cs="Arial"/>
          <w:sz w:val="22"/>
        </w:rPr>
      </w:pPr>
      <w:r>
        <w:rPr>
          <w:rFonts w:ascii="Arial" w:hAnsi="Arial" w:cs="Arial"/>
          <w:sz w:val="22"/>
          <w:highlight w:val="lightGray"/>
        </w:rPr>
        <w:t>[Incorporar disposiciones particulares del valor del contrato incluyendo tributos y contribuciones especiales aplicables al contrato]</w:t>
      </w:r>
      <w:r>
        <w:rPr>
          <w:rFonts w:ascii="Arial" w:hAnsi="Arial" w:cs="Arial"/>
          <w:sz w:val="22"/>
        </w:rPr>
        <w:t xml:space="preserve"> </w:t>
      </w:r>
    </w:p>
    <w:p w14:paraId="320A37B5">
      <w:pPr>
        <w:rPr>
          <w:rFonts w:ascii="Arial" w:hAnsi="Arial" w:cs="Arial"/>
          <w:sz w:val="22"/>
        </w:rPr>
      </w:pPr>
      <w:r>
        <w:rPr>
          <w:rFonts w:ascii="Arial" w:hAnsi="Arial" w:cs="Arial"/>
          <w:sz w:val="22"/>
        </w:rPr>
        <w:t xml:space="preserve"> </w:t>
      </w:r>
    </w:p>
    <w:p w14:paraId="7E031A2A">
      <w:pPr>
        <w:rPr>
          <w:rFonts w:ascii="Arial" w:hAnsi="Arial" w:cs="Arial"/>
          <w:sz w:val="22"/>
        </w:rPr>
      </w:pPr>
      <w:r>
        <w:rPr>
          <w:rFonts w:ascii="Arial" w:hAnsi="Arial" w:cs="Arial"/>
          <w:sz w:val="22"/>
        </w:rPr>
        <w:t>El Contratista con la suscripción del contrato acepta que en el evento en que el valor total a pagar tenga centavos, estos se ajusten o aproximen al Peso, ya sea por exceso o por defecto, si la suma es mayor o menor a cincuenta (50) centavos. Lo anterior, sin que sobrepase el valor total establecido en el contrato.</w:t>
      </w:r>
    </w:p>
    <w:p w14:paraId="3A3468BE">
      <w:pPr>
        <w:rPr>
          <w:rFonts w:ascii="Arial" w:hAnsi="Arial" w:cs="Arial"/>
          <w:sz w:val="22"/>
        </w:rPr>
      </w:pPr>
    </w:p>
    <w:p w14:paraId="3D38CA80">
      <w:pPr>
        <w:pStyle w:val="37"/>
        <w:spacing w:before="0" w:after="0"/>
        <w:ind w:left="0" w:firstLine="0"/>
        <w:outlineLvl w:val="0"/>
        <w:rPr>
          <w:rFonts w:ascii="Arial" w:hAnsi="Arial" w:cs="Arial"/>
          <w:sz w:val="22"/>
        </w:rPr>
      </w:pPr>
      <w:r>
        <w:rPr>
          <w:rFonts w:ascii="Arial" w:hAnsi="Arial" w:cs="Arial"/>
          <w:sz w:val="22"/>
        </w:rPr>
        <w:t>ANTICIPO O PAGO ANTICIPADO</w:t>
      </w:r>
    </w:p>
    <w:p w14:paraId="273F3BF6">
      <w:pPr>
        <w:pStyle w:val="37"/>
        <w:numPr>
          <w:ilvl w:val="0"/>
          <w:numId w:val="0"/>
        </w:numPr>
        <w:spacing w:before="0" w:after="0"/>
        <w:rPr>
          <w:rFonts w:ascii="Arial" w:hAnsi="Arial" w:cs="Arial"/>
          <w:sz w:val="22"/>
        </w:rPr>
      </w:pPr>
      <w:r>
        <w:rPr>
          <w:rFonts w:ascii="Arial" w:hAnsi="Arial" w:cs="Arial"/>
          <w:sz w:val="22"/>
        </w:rPr>
        <w:t xml:space="preserve"> </w:t>
      </w:r>
    </w:p>
    <w:p w14:paraId="2BAF1439">
      <w:pPr>
        <w:rPr>
          <w:rFonts w:ascii="Arial" w:hAnsi="Arial" w:cs="Arial"/>
          <w:sz w:val="22"/>
        </w:rPr>
      </w:pPr>
      <w:r>
        <w:rPr>
          <w:rFonts w:ascii="Arial" w:hAnsi="Arial" w:cs="Arial"/>
          <w:sz w:val="22"/>
        </w:rPr>
        <w:t>Para el presente contrato la Entidad no entregará al Contratista Anticipo Pago Anticipado.</w:t>
      </w:r>
    </w:p>
    <w:p w14:paraId="365ACDAE">
      <w:pPr>
        <w:rPr>
          <w:rFonts w:ascii="Arial" w:hAnsi="Arial" w:cs="Arial"/>
          <w:sz w:val="22"/>
          <w:highlight w:val="lightGray"/>
        </w:rPr>
      </w:pPr>
    </w:p>
    <w:p w14:paraId="15EFDE7A">
      <w:pPr>
        <w:rPr>
          <w:rFonts w:ascii="Arial" w:hAnsi="Arial" w:cs="Arial"/>
          <w:sz w:val="22"/>
        </w:rPr>
      </w:pPr>
    </w:p>
    <w:p w14:paraId="2F4471E9">
      <w:pPr>
        <w:pStyle w:val="37"/>
        <w:spacing w:before="0" w:after="0"/>
        <w:ind w:left="0" w:firstLine="0"/>
        <w:outlineLvl w:val="0"/>
        <w:rPr>
          <w:rFonts w:ascii="Arial" w:hAnsi="Arial" w:cs="Arial"/>
          <w:b w:val="0"/>
          <w:sz w:val="22"/>
        </w:rPr>
      </w:pPr>
      <w:r>
        <w:rPr>
          <w:rFonts w:ascii="Arial" w:hAnsi="Arial" w:cs="Arial"/>
          <w:sz w:val="22"/>
        </w:rPr>
        <w:t xml:space="preserve">APROPIACIÓN PRESUPUESTAL </w:t>
      </w:r>
    </w:p>
    <w:p w14:paraId="6C1E17D8">
      <w:pPr>
        <w:pStyle w:val="37"/>
        <w:numPr>
          <w:ilvl w:val="0"/>
          <w:numId w:val="0"/>
        </w:numPr>
        <w:spacing w:before="0" w:after="0"/>
        <w:ind w:left="720"/>
        <w:rPr>
          <w:rFonts w:ascii="Arial" w:hAnsi="Arial" w:cs="Arial"/>
          <w:sz w:val="22"/>
        </w:rPr>
      </w:pPr>
    </w:p>
    <w:p w14:paraId="0E9A2050">
      <w:pPr>
        <w:rPr>
          <w:rFonts w:ascii="Arial" w:hAnsi="Arial" w:cs="Arial"/>
          <w:sz w:val="22"/>
        </w:rPr>
      </w:pPr>
      <w:r>
        <w:rPr>
          <w:rFonts w:ascii="Arial" w:hAnsi="Arial" w:cs="Arial"/>
          <w:sz w:val="22"/>
        </w:rPr>
        <w:t xml:space="preserve">El pago de la suma estipulada en este contrato se sujetará al Certificado de Disponibilidad Presupuestal correspondiente </w:t>
      </w:r>
      <w:r>
        <w:rPr>
          <w:rFonts w:ascii="Arial" w:hAnsi="Arial" w:cs="Arial"/>
          <w:sz w:val="22"/>
          <w:highlight w:val="lightGray"/>
        </w:rPr>
        <w:t>[y específicamente a la apropiación presupuestal contenida en el registro presupuestal, en los casos que la Entidad cuente con dicho registro para el momento de la suscripción del contrato.]</w:t>
      </w:r>
    </w:p>
    <w:p w14:paraId="61895BC5">
      <w:pPr>
        <w:rPr>
          <w:rFonts w:ascii="Arial" w:hAnsi="Arial" w:cs="Arial"/>
          <w:sz w:val="22"/>
        </w:rPr>
      </w:pPr>
    </w:p>
    <w:p w14:paraId="29D2A438">
      <w:pPr>
        <w:rPr>
          <w:rFonts w:ascii="Arial" w:hAnsi="Arial" w:cs="Arial"/>
          <w:sz w:val="22"/>
          <w:highlight w:val="lightGray"/>
        </w:rPr>
      </w:pPr>
      <w:r>
        <w:rPr>
          <w:rFonts w:ascii="Arial" w:hAnsi="Arial" w:cs="Arial"/>
          <w:sz w:val="22"/>
          <w:highlight w:val="lightGray"/>
        </w:rPr>
        <w:t xml:space="preserve">[Incluir datos de asignación presupuestal.] </w:t>
      </w:r>
    </w:p>
    <w:p w14:paraId="35290AAA">
      <w:pPr>
        <w:rPr>
          <w:rFonts w:ascii="Arial" w:hAnsi="Arial" w:cs="Arial"/>
          <w:sz w:val="22"/>
          <w:highlight w:val="lightGray"/>
        </w:rPr>
      </w:pPr>
    </w:p>
    <w:p w14:paraId="276D06B9">
      <w:pPr>
        <w:rPr>
          <w:rFonts w:ascii="Arial" w:hAnsi="Arial" w:cs="Arial"/>
          <w:sz w:val="22"/>
          <w:highlight w:val="lightGray"/>
        </w:rPr>
      </w:pPr>
      <w:r>
        <w:rPr>
          <w:rFonts w:ascii="Arial" w:hAnsi="Arial" w:cs="Arial"/>
          <w:sz w:val="22"/>
          <w:highlight w:val="lightGray"/>
        </w:rPr>
        <w:t xml:space="preserve">[incluir cualquier otra fuente de recursos que amparen el contrato.] </w:t>
      </w:r>
    </w:p>
    <w:p w14:paraId="0D8A3D73">
      <w:pPr>
        <w:rPr>
          <w:rFonts w:ascii="Arial" w:hAnsi="Arial" w:cs="Arial"/>
          <w:sz w:val="22"/>
          <w:highlight w:val="lightGray"/>
        </w:rPr>
      </w:pPr>
    </w:p>
    <w:p w14:paraId="1C33CE12">
      <w:pPr>
        <w:rPr>
          <w:rFonts w:ascii="Arial" w:hAnsi="Arial" w:cs="Arial"/>
          <w:sz w:val="22"/>
          <w:highlight w:val="lightGray"/>
        </w:rPr>
      </w:pPr>
      <w:r>
        <w:rPr>
          <w:rFonts w:ascii="Arial" w:hAnsi="Arial" w:cs="Arial"/>
          <w:sz w:val="22"/>
          <w:highlight w:val="lightGray"/>
        </w:rPr>
        <w:t>[Si el contrato incluye vigencias futuras, la Entidad deberá señalar lo siguiente:]</w:t>
      </w:r>
    </w:p>
    <w:p w14:paraId="6266B314">
      <w:pPr>
        <w:rPr>
          <w:rFonts w:ascii="Arial" w:hAnsi="Arial" w:cs="Arial"/>
          <w:sz w:val="22"/>
          <w:highlight w:val="lightGray"/>
        </w:rPr>
      </w:pPr>
    </w:p>
    <w:p w14:paraId="6F05789F">
      <w:pPr>
        <w:rPr>
          <w:rFonts w:ascii="Arial" w:hAnsi="Arial" w:cs="Arial"/>
          <w:sz w:val="22"/>
        </w:rPr>
      </w:pPr>
      <w:r>
        <w:rPr>
          <w:rFonts w:ascii="Arial" w:hAnsi="Arial" w:cs="Arial"/>
          <w:sz w:val="22"/>
          <w:highlight w:val="lightGray"/>
        </w:rPr>
        <w:t>[Para la atención del compromiso derivado del contrato fueron aprobadas vigencias futuras mediante el radicado (incluir número de radicado) del (incluir día) de (incluir mes) de (incluir año) del (Entidad que autoriza las vigencias futuras), el cual señala la autorización del cupo para la asunción de obligaciones con cargo a apropiación de vigencias futuras (ordinarias o excepcionales según sea el caso).]</w:t>
      </w:r>
      <w:r>
        <w:rPr>
          <w:rFonts w:ascii="Arial" w:hAnsi="Arial" w:cs="Arial"/>
          <w:sz w:val="22"/>
        </w:rPr>
        <w:t xml:space="preserve"> </w:t>
      </w:r>
    </w:p>
    <w:p w14:paraId="50455934">
      <w:pPr>
        <w:rPr>
          <w:rFonts w:ascii="Arial" w:hAnsi="Arial" w:cs="Arial"/>
          <w:sz w:val="22"/>
        </w:rPr>
      </w:pPr>
    </w:p>
    <w:p w14:paraId="20D51BDE">
      <w:pPr>
        <w:pStyle w:val="37"/>
        <w:spacing w:before="0" w:after="0"/>
        <w:ind w:left="0" w:firstLine="0"/>
        <w:outlineLvl w:val="0"/>
        <w:rPr>
          <w:rFonts w:ascii="Arial" w:hAnsi="Arial" w:cs="Arial"/>
          <w:sz w:val="22"/>
        </w:rPr>
      </w:pPr>
      <w:r>
        <w:rPr>
          <w:rFonts w:ascii="Arial" w:hAnsi="Arial" w:cs="Arial"/>
          <w:sz w:val="22"/>
        </w:rPr>
        <w:t>FORMA DE PAGO</w:t>
      </w:r>
    </w:p>
    <w:p w14:paraId="0309E668">
      <w:pPr>
        <w:pStyle w:val="37"/>
        <w:numPr>
          <w:ilvl w:val="0"/>
          <w:numId w:val="0"/>
        </w:numPr>
        <w:spacing w:before="0" w:after="0"/>
        <w:rPr>
          <w:rFonts w:ascii="Arial" w:hAnsi="Arial" w:cs="Arial"/>
          <w:sz w:val="22"/>
        </w:rPr>
      </w:pPr>
    </w:p>
    <w:p w14:paraId="00851536">
      <w:pPr>
        <w:pStyle w:val="57"/>
        <w:widowControl/>
        <w:tabs>
          <w:tab w:val="left" w:pos="9078"/>
          <w:tab w:val="left" w:pos="9340"/>
        </w:tabs>
        <w:jc w:val="both"/>
        <w:rPr>
          <w:rFonts w:hint="default" w:ascii="Arial" w:hAnsi="Arial" w:cs="Arial" w:eastAsiaTheme="minorHAnsi"/>
          <w:kern w:val="0"/>
          <w:sz w:val="22"/>
          <w:szCs w:val="22"/>
          <w:lang w:eastAsia="en-US" w:bidi="ar-SA"/>
        </w:rPr>
      </w:pPr>
      <w:r>
        <w:rPr>
          <w:rFonts w:hint="default" w:ascii="Arial" w:hAnsi="Arial" w:cs="Arial" w:eastAsiaTheme="minorHAnsi"/>
          <w:kern w:val="0"/>
          <w:sz w:val="22"/>
          <w:szCs w:val="22"/>
          <w:lang w:eastAsia="en-US" w:bidi="ar-SA"/>
        </w:rPr>
        <w:t>El Departamento realizará los pagos a favor del AL CONTRATISTA, como a continuación se indica:</w:t>
      </w:r>
    </w:p>
    <w:p w14:paraId="456964A9">
      <w:pPr>
        <w:pStyle w:val="57"/>
        <w:widowControl/>
        <w:tabs>
          <w:tab w:val="left" w:pos="9078"/>
          <w:tab w:val="left" w:pos="9340"/>
        </w:tabs>
        <w:jc w:val="both"/>
        <w:rPr>
          <w:rFonts w:hint="default" w:ascii="Arial" w:hAnsi="Arial" w:cs="Arial" w:eastAsiaTheme="minorHAnsi"/>
          <w:kern w:val="0"/>
          <w:sz w:val="22"/>
          <w:szCs w:val="22"/>
          <w:lang w:eastAsia="en-US" w:bidi="ar-SA"/>
        </w:rPr>
      </w:pPr>
    </w:p>
    <w:p w14:paraId="77BF1524">
      <w:pPr>
        <w:keepNext w:val="0"/>
        <w:keepLines w:val="0"/>
        <w:widowControl/>
        <w:suppressLineNumbers w:val="0"/>
        <w:spacing w:before="0" w:beforeAutospacing="0" w:after="0" w:afterAutospacing="0"/>
        <w:ind w:left="0" w:right="0"/>
        <w:jc w:val="both"/>
        <w:rPr>
          <w:rFonts w:hint="default" w:ascii="Arial" w:hAnsi="Arial" w:cs="Arial" w:eastAsiaTheme="minorHAnsi"/>
          <w:kern w:val="0"/>
          <w:sz w:val="22"/>
          <w:szCs w:val="22"/>
          <w:lang w:eastAsia="en-US" w:bidi="ar-SA"/>
        </w:rPr>
      </w:pPr>
      <w:r>
        <w:rPr>
          <w:rFonts w:hint="default" w:ascii="Arial" w:hAnsi="Arial" w:cs="Arial" w:eastAsiaTheme="minorHAnsi"/>
          <w:kern w:val="0"/>
          <w:sz w:val="22"/>
          <w:szCs w:val="22"/>
          <w:lang w:eastAsia="zh-CN" w:bidi="ar-SA"/>
        </w:rPr>
        <w:t>La Entidad hará al Contratista pagos de acuerdo con las actividades y resultados  obtenidos según el plan de trabajo, revisados y aceptados a satisfacción por el supervisor correspondiente al período facturado, las cuales además deben ser verificables documentalmente y evidencias y estarán soportadas en informes detallados del contratista.</w:t>
      </w:r>
    </w:p>
    <w:p w14:paraId="5A11A72E">
      <w:pPr>
        <w:keepNext w:val="0"/>
        <w:keepLines w:val="0"/>
        <w:widowControl/>
        <w:suppressLineNumbers w:val="0"/>
        <w:spacing w:before="0" w:beforeAutospacing="0" w:after="0" w:afterAutospacing="0"/>
        <w:ind w:left="0" w:right="0"/>
        <w:jc w:val="both"/>
        <w:rPr>
          <w:rFonts w:hint="default" w:ascii="Arial" w:hAnsi="Arial" w:cs="Arial" w:eastAsiaTheme="minorHAnsi"/>
          <w:kern w:val="0"/>
          <w:sz w:val="22"/>
          <w:szCs w:val="22"/>
          <w:lang w:eastAsia="en-US" w:bidi="ar-SA"/>
        </w:rPr>
      </w:pPr>
      <w:r>
        <w:rPr>
          <w:rFonts w:hint="default" w:ascii="Arial" w:hAnsi="Arial" w:cs="Arial" w:eastAsiaTheme="minorHAnsi"/>
          <w:kern w:val="0"/>
          <w:sz w:val="22"/>
          <w:szCs w:val="22"/>
          <w:lang w:eastAsia="zh-CN" w:bidi="ar-SA"/>
        </w:rPr>
        <w:t xml:space="preserve"> </w:t>
      </w:r>
    </w:p>
    <w:p w14:paraId="55FBAAAD">
      <w:pPr>
        <w:keepNext w:val="0"/>
        <w:keepLines w:val="0"/>
        <w:widowControl/>
        <w:suppressLineNumbers w:val="0"/>
        <w:tabs>
          <w:tab w:val="left" w:pos="2160"/>
          <w:tab w:val="center" w:pos="3540"/>
          <w:tab w:val="center" w:pos="31680"/>
        </w:tabs>
        <w:spacing w:before="0" w:beforeAutospacing="0" w:after="0" w:afterAutospacing="0"/>
        <w:ind w:left="0" w:right="0"/>
        <w:jc w:val="both"/>
        <w:rPr>
          <w:rFonts w:hint="default" w:ascii="Arial" w:hAnsi="Arial" w:cs="Arial" w:eastAsiaTheme="minorHAnsi"/>
          <w:kern w:val="0"/>
          <w:sz w:val="22"/>
          <w:szCs w:val="22"/>
          <w:lang w:eastAsia="en-US" w:bidi="ar-SA"/>
        </w:rPr>
      </w:pPr>
      <w:r>
        <w:rPr>
          <w:rFonts w:hint="default" w:ascii="Arial" w:hAnsi="Arial" w:cs="Arial" w:eastAsiaTheme="minorHAnsi"/>
          <w:kern w:val="0"/>
          <w:sz w:val="22"/>
          <w:szCs w:val="22"/>
          <w:lang w:eastAsia="zh-CN" w:bidi="ar-SA"/>
        </w:rPr>
        <w:t xml:space="preserve">No obstante lo anterior, cuando el Contrato se encuentre en una ejecución del 30%, se La Entidad se pagará el 30 % del valor del contrato. </w:t>
      </w:r>
    </w:p>
    <w:p w14:paraId="141D61EF">
      <w:pPr>
        <w:keepNext w:val="0"/>
        <w:keepLines w:val="0"/>
        <w:widowControl/>
        <w:suppressLineNumbers w:val="0"/>
        <w:tabs>
          <w:tab w:val="left" w:pos="2160"/>
          <w:tab w:val="center" w:pos="3540"/>
          <w:tab w:val="center" w:pos="31680"/>
        </w:tabs>
        <w:spacing w:before="0" w:beforeAutospacing="0" w:after="0" w:afterAutospacing="0"/>
        <w:ind w:left="0" w:right="0"/>
        <w:jc w:val="both"/>
        <w:rPr>
          <w:rFonts w:hint="default" w:ascii="Arial" w:hAnsi="Arial" w:cs="Arial" w:eastAsiaTheme="minorHAnsi"/>
          <w:kern w:val="0"/>
          <w:sz w:val="22"/>
          <w:szCs w:val="22"/>
          <w:lang w:eastAsia="en-US" w:bidi="ar-SA"/>
        </w:rPr>
      </w:pPr>
    </w:p>
    <w:p w14:paraId="0170644D">
      <w:pPr>
        <w:keepNext w:val="0"/>
        <w:keepLines w:val="0"/>
        <w:widowControl/>
        <w:suppressLineNumbers w:val="0"/>
        <w:tabs>
          <w:tab w:val="left" w:pos="2160"/>
          <w:tab w:val="center" w:pos="3540"/>
          <w:tab w:val="center" w:pos="31680"/>
        </w:tabs>
        <w:spacing w:before="0" w:beforeAutospacing="0" w:after="0" w:afterAutospacing="0"/>
        <w:ind w:left="0" w:right="0"/>
        <w:jc w:val="both"/>
        <w:rPr>
          <w:rFonts w:hint="default" w:ascii="Arial" w:hAnsi="Arial" w:cs="Arial" w:eastAsiaTheme="minorHAnsi"/>
          <w:kern w:val="0"/>
          <w:sz w:val="22"/>
          <w:szCs w:val="22"/>
          <w:lang w:eastAsia="en-US" w:bidi="ar-SA"/>
        </w:rPr>
      </w:pPr>
      <w:r>
        <w:rPr>
          <w:rFonts w:hint="default" w:ascii="Arial" w:hAnsi="Arial" w:cs="Arial" w:eastAsiaTheme="minorHAnsi"/>
          <w:kern w:val="0"/>
          <w:sz w:val="22"/>
          <w:szCs w:val="22"/>
          <w:lang w:eastAsia="zh-CN" w:bidi="ar-SA"/>
        </w:rPr>
        <w:t>El resto se pagará por actas mensuales de avance, hasta llegar al 90% de ejecución del contrato</w:t>
      </w:r>
    </w:p>
    <w:p w14:paraId="5885CCF1">
      <w:pPr>
        <w:keepNext w:val="0"/>
        <w:keepLines w:val="0"/>
        <w:widowControl/>
        <w:suppressLineNumbers w:val="0"/>
        <w:tabs>
          <w:tab w:val="left" w:pos="2160"/>
          <w:tab w:val="center" w:pos="3540"/>
          <w:tab w:val="center" w:pos="31680"/>
        </w:tabs>
        <w:spacing w:before="0" w:beforeAutospacing="0" w:after="0" w:afterAutospacing="0"/>
        <w:ind w:left="0" w:right="0"/>
        <w:jc w:val="both"/>
        <w:rPr>
          <w:rFonts w:hint="default" w:ascii="Arial" w:hAnsi="Arial" w:cs="Arial" w:eastAsiaTheme="minorHAnsi"/>
          <w:kern w:val="0"/>
          <w:sz w:val="22"/>
          <w:szCs w:val="22"/>
          <w:lang w:eastAsia="en-US" w:bidi="ar-SA"/>
        </w:rPr>
      </w:pPr>
    </w:p>
    <w:p w14:paraId="4B27DCA1">
      <w:pPr>
        <w:keepNext w:val="0"/>
        <w:keepLines w:val="0"/>
        <w:widowControl/>
        <w:suppressLineNumbers w:val="0"/>
        <w:tabs>
          <w:tab w:val="left" w:pos="2160"/>
          <w:tab w:val="center" w:pos="3540"/>
          <w:tab w:val="center" w:pos="31680"/>
        </w:tabs>
        <w:spacing w:before="0" w:beforeAutospacing="0" w:after="0" w:afterAutospacing="0"/>
        <w:ind w:left="0" w:right="0"/>
        <w:jc w:val="both"/>
        <w:rPr>
          <w:rFonts w:hint="default" w:ascii="Arial" w:hAnsi="Arial" w:cs="Arial" w:eastAsiaTheme="minorHAnsi"/>
          <w:kern w:val="0"/>
          <w:sz w:val="22"/>
          <w:szCs w:val="22"/>
          <w:lang w:eastAsia="en-US" w:bidi="ar-SA"/>
        </w:rPr>
      </w:pPr>
      <w:r>
        <w:rPr>
          <w:rFonts w:hint="default" w:ascii="Arial" w:hAnsi="Arial" w:cs="Arial" w:eastAsiaTheme="minorHAnsi"/>
          <w:kern w:val="0"/>
          <w:sz w:val="22"/>
          <w:szCs w:val="22"/>
          <w:lang w:eastAsia="zh-CN" w:bidi="ar-SA"/>
        </w:rPr>
        <w:t>El último pago que la Entidad realizará al contratista, cuyo monto no podrá ser inferior al diez por ciento (10 %) del valor total del Contrato, una vez finalizado el plazo del contrato.</w:t>
      </w:r>
    </w:p>
    <w:p w14:paraId="36C25BCF">
      <w:pPr>
        <w:keepNext w:val="0"/>
        <w:keepLines w:val="0"/>
        <w:widowControl/>
        <w:suppressLineNumbers w:val="0"/>
        <w:tabs>
          <w:tab w:val="left" w:pos="2160"/>
          <w:tab w:val="center" w:pos="3540"/>
          <w:tab w:val="center" w:pos="31680"/>
        </w:tabs>
        <w:spacing w:before="0" w:beforeAutospacing="0" w:after="0" w:afterAutospacing="0"/>
        <w:ind w:left="0" w:right="0"/>
        <w:jc w:val="both"/>
        <w:rPr>
          <w:rFonts w:hint="default" w:ascii="Arial" w:hAnsi="Arial" w:cs="Arial" w:eastAsiaTheme="minorHAnsi"/>
          <w:kern w:val="0"/>
          <w:sz w:val="22"/>
          <w:szCs w:val="22"/>
          <w:lang w:eastAsia="en-US" w:bidi="ar-SA"/>
        </w:rPr>
      </w:pPr>
    </w:p>
    <w:p w14:paraId="168F064F">
      <w:pPr>
        <w:keepNext w:val="0"/>
        <w:keepLines w:val="0"/>
        <w:widowControl/>
        <w:suppressLineNumbers w:val="0"/>
        <w:spacing w:before="0" w:beforeAutospacing="0" w:after="0" w:afterAutospacing="0"/>
        <w:ind w:left="0" w:right="0"/>
        <w:jc w:val="both"/>
        <w:rPr>
          <w:rFonts w:hint="default" w:ascii="Arial" w:hAnsi="Arial" w:cs="Arial" w:eastAsiaTheme="minorHAnsi"/>
          <w:kern w:val="0"/>
          <w:sz w:val="22"/>
          <w:szCs w:val="22"/>
          <w:lang w:eastAsia="en-US" w:bidi="ar-SA"/>
        </w:rPr>
      </w:pPr>
      <w:r>
        <w:rPr>
          <w:rFonts w:hint="default" w:ascii="Arial" w:hAnsi="Arial" w:cs="Arial" w:eastAsiaTheme="minorHAnsi"/>
          <w:kern w:val="0"/>
          <w:sz w:val="22"/>
          <w:szCs w:val="22"/>
          <w:lang w:eastAsia="zh-CN" w:bidi="ar-SA"/>
        </w:rPr>
        <w:t xml:space="preserve">Cada pago al contratista se efectuará dentro de los treinta (30) días hábiles siguientes a la presentación de la factura, acompañada del informe  de avance del plan de trabajo y el recibo a satisfacción por el supervisor designado y de la certificación de encontrarse al día con los aportes al Sistema de la Seguridad Social y Parafiscales, de conformidad con lo señalado en el parágrafo 1 del artículo 23 de la Ley 1150 de 2007. </w:t>
      </w:r>
    </w:p>
    <w:p w14:paraId="242F235E">
      <w:pPr>
        <w:keepNext w:val="0"/>
        <w:keepLines w:val="0"/>
        <w:widowControl/>
        <w:suppressLineNumbers w:val="0"/>
        <w:spacing w:before="0" w:beforeAutospacing="0" w:after="0" w:afterAutospacing="0"/>
        <w:ind w:left="0" w:right="0"/>
        <w:jc w:val="left"/>
        <w:rPr>
          <w:rFonts w:hint="default" w:ascii="Arial" w:hAnsi="Arial" w:cs="Arial" w:eastAsiaTheme="minorHAnsi"/>
          <w:b/>
          <w:sz w:val="22"/>
          <w:szCs w:val="22"/>
          <w:lang w:eastAsia="en-US" w:bidi="ar-SA"/>
        </w:rPr>
      </w:pPr>
      <w:r>
        <w:rPr>
          <w:rFonts w:hint="eastAsia" w:ascii="Arial" w:hAnsi="Arial" w:cs="Arial" w:eastAsiaTheme="minorHAnsi"/>
          <w:kern w:val="0"/>
          <w:sz w:val="22"/>
          <w:szCs w:val="22"/>
          <w:lang w:eastAsia="zh-CN" w:bidi="ar-SA"/>
        </w:rPr>
        <w:t xml:space="preserve"> </w:t>
      </w:r>
    </w:p>
    <w:p w14:paraId="220AD33B">
      <w:pPr>
        <w:keepNext w:val="0"/>
        <w:keepLines w:val="0"/>
        <w:widowControl/>
        <w:suppressLineNumbers w:val="0"/>
        <w:spacing w:before="0" w:beforeAutospacing="0" w:after="0" w:afterAutospacing="0"/>
        <w:ind w:left="0" w:right="0"/>
        <w:jc w:val="both"/>
        <w:rPr>
          <w:rFonts w:hint="default" w:ascii="Arial" w:hAnsi="Arial" w:cs="Arial" w:eastAsiaTheme="minorHAnsi"/>
          <w:kern w:val="0"/>
          <w:sz w:val="22"/>
          <w:szCs w:val="22"/>
          <w:lang w:eastAsia="en-US" w:bidi="ar-SA"/>
        </w:rPr>
      </w:pPr>
      <w:r>
        <w:rPr>
          <w:rFonts w:hint="default" w:ascii="Arial" w:hAnsi="Arial" w:cs="Arial" w:eastAsiaTheme="minorHAnsi"/>
          <w:b/>
          <w:sz w:val="22"/>
          <w:szCs w:val="22"/>
          <w:lang w:eastAsia="zh-CN" w:bidi="ar-SA"/>
        </w:rPr>
        <w:t>Parágrafo</w:t>
      </w:r>
      <w:r>
        <w:rPr>
          <w:rFonts w:hint="default" w:ascii="Arial" w:hAnsi="Arial" w:cs="Arial" w:eastAsiaTheme="minorHAnsi"/>
          <w:kern w:val="0"/>
          <w:sz w:val="22"/>
          <w:szCs w:val="22"/>
          <w:lang w:eastAsia="zh-CN" w:bidi="ar-SA"/>
        </w:rPr>
        <w:t xml:space="preserve"> La Entidad no se hace responsable por las demoras presentadas en el trámite para el pago al Contratista cuando ellas fueren ocasionadas por encontrarse incompleta la documentación de soporte o no ajustarse a cualquiera de las condiciones establecidas en el contrato.</w:t>
      </w:r>
    </w:p>
    <w:p w14:paraId="669BE768">
      <w:pPr>
        <w:keepNext w:val="0"/>
        <w:keepLines w:val="0"/>
        <w:widowControl/>
        <w:suppressLineNumbers w:val="0"/>
        <w:spacing w:before="0" w:beforeAutospacing="0" w:after="0" w:afterAutospacing="0"/>
        <w:ind w:left="0" w:right="0"/>
        <w:jc w:val="both"/>
        <w:rPr>
          <w:rFonts w:hint="default" w:ascii="Arial" w:hAnsi="Arial" w:cs="Arial" w:eastAsiaTheme="minorHAnsi"/>
          <w:kern w:val="0"/>
          <w:sz w:val="22"/>
          <w:szCs w:val="22"/>
          <w:lang w:eastAsia="en-US" w:bidi="ar-SA"/>
        </w:rPr>
      </w:pPr>
      <w:r>
        <w:rPr>
          <w:rFonts w:hint="default" w:ascii="Arial" w:hAnsi="Arial" w:cs="Arial" w:eastAsiaTheme="minorHAnsi"/>
          <w:kern w:val="0"/>
          <w:sz w:val="22"/>
          <w:szCs w:val="22"/>
          <w:lang w:eastAsia="zh-CN" w:bidi="ar-SA"/>
        </w:rPr>
        <w:t>La Entidad hará las retenciones a que haya lugar sobre cada pago, de acuerdo con las disposiciones legales vigentes sobre la materia.</w:t>
      </w:r>
    </w:p>
    <w:p w14:paraId="0272CE57">
      <w:pPr>
        <w:keepNext w:val="0"/>
        <w:keepLines w:val="0"/>
        <w:widowControl/>
        <w:suppressLineNumbers w:val="0"/>
        <w:spacing w:before="0" w:beforeAutospacing="0" w:after="0" w:afterAutospacing="0"/>
        <w:ind w:left="0" w:right="0"/>
        <w:jc w:val="both"/>
        <w:rPr>
          <w:rFonts w:hint="default" w:ascii="Arial" w:hAnsi="Arial" w:cs="Arial" w:eastAsiaTheme="minorHAnsi"/>
          <w:kern w:val="0"/>
          <w:sz w:val="22"/>
          <w:szCs w:val="22"/>
          <w:lang w:eastAsia="en-US" w:bidi="ar-SA"/>
        </w:rPr>
      </w:pPr>
      <w:r>
        <w:rPr>
          <w:rFonts w:hint="default" w:ascii="Arial" w:hAnsi="Arial" w:cs="Arial" w:eastAsiaTheme="minorHAnsi"/>
          <w:kern w:val="0"/>
          <w:sz w:val="22"/>
          <w:szCs w:val="22"/>
          <w:lang w:eastAsia="zh-CN" w:bidi="ar-SA"/>
        </w:rPr>
        <w:t>El Contratista deberá acreditar, para cada pago derivado del contrato que se encuentra al día en el pago de aportes parafiscales relativos al Sistema de Seguridad Social Integral, así como los propios del Sena, ICBF y Cajas de Compensación Familiar, cuando corresponda.</w:t>
      </w:r>
    </w:p>
    <w:p w14:paraId="50672584">
      <w:pPr>
        <w:keepNext w:val="0"/>
        <w:keepLines w:val="0"/>
        <w:widowControl/>
        <w:suppressLineNumbers w:val="0"/>
        <w:spacing w:before="0" w:beforeAutospacing="0" w:after="0" w:afterAutospacing="0"/>
        <w:ind w:left="0" w:right="0"/>
        <w:jc w:val="left"/>
        <w:rPr>
          <w:rFonts w:hint="default" w:ascii="Arial" w:hAnsi="Arial" w:cs="Arial" w:eastAsiaTheme="minorHAnsi"/>
          <w:kern w:val="0"/>
          <w:sz w:val="22"/>
          <w:szCs w:val="22"/>
          <w:lang w:eastAsia="en-US" w:bidi="ar-SA"/>
        </w:rPr>
      </w:pPr>
      <w:r>
        <w:rPr>
          <w:rFonts w:hint="default" w:ascii="Arial" w:hAnsi="Arial" w:cs="Arial" w:eastAsiaTheme="minorHAnsi"/>
          <w:kern w:val="0"/>
          <w:sz w:val="22"/>
          <w:szCs w:val="22"/>
          <w:lang w:eastAsia="zh-CN" w:bidi="ar-SA"/>
        </w:rPr>
        <w:t>El contratista previo a la realización del primer pago, deberá cancelar el valor de las estampillas   equivalente al valor contrato.</w:t>
      </w:r>
    </w:p>
    <w:p w14:paraId="73D36CE8">
      <w:pPr>
        <w:pStyle w:val="19"/>
        <w:widowControl/>
        <w:tabs>
          <w:tab w:val="left" w:pos="9078"/>
          <w:tab w:val="left" w:pos="9340"/>
        </w:tabs>
        <w:ind w:right="0"/>
        <w:jc w:val="both"/>
        <w:rPr>
          <w:rFonts w:hint="default" w:ascii="Arial" w:hAnsi="Arial" w:cs="Arial" w:eastAsiaTheme="minorHAnsi"/>
          <w:kern w:val="0"/>
          <w:sz w:val="22"/>
          <w:szCs w:val="22"/>
          <w:lang w:eastAsia="en-US" w:bidi="ar-SA"/>
        </w:rPr>
      </w:pPr>
    </w:p>
    <w:p w14:paraId="72D2460E">
      <w:pPr>
        <w:pStyle w:val="19"/>
        <w:widowControl/>
        <w:tabs>
          <w:tab w:val="left" w:pos="9078"/>
          <w:tab w:val="left" w:pos="9340"/>
        </w:tabs>
        <w:ind w:right="0"/>
        <w:jc w:val="both"/>
        <w:rPr>
          <w:rFonts w:hint="default" w:ascii="Arial" w:hAnsi="Arial" w:cs="Arial" w:eastAsiaTheme="minorHAnsi"/>
          <w:kern w:val="0"/>
          <w:sz w:val="22"/>
          <w:szCs w:val="22"/>
          <w:lang w:eastAsia="en-US" w:bidi="ar-SA"/>
        </w:rPr>
      </w:pPr>
      <w:r>
        <w:rPr>
          <w:rFonts w:hint="default" w:ascii="Arial" w:hAnsi="Arial" w:cs="Arial" w:eastAsiaTheme="minorHAnsi"/>
          <w:kern w:val="0"/>
          <w:sz w:val="22"/>
          <w:szCs w:val="22"/>
          <w:lang w:eastAsia="en-US" w:bidi="ar-SA"/>
        </w:rPr>
        <w:t>El contratista deberá presentar para cada período, su solicitud de pago por   el valor total del corte correspondiente, aportando todos los documentos que soporten dicha solicitud:</w:t>
      </w:r>
    </w:p>
    <w:p w14:paraId="11C66CAA">
      <w:pPr>
        <w:pStyle w:val="19"/>
        <w:widowControl/>
        <w:tabs>
          <w:tab w:val="left" w:pos="9078"/>
          <w:tab w:val="left" w:pos="9340"/>
        </w:tabs>
        <w:ind w:right="0"/>
        <w:jc w:val="both"/>
        <w:rPr>
          <w:rFonts w:hint="default" w:ascii="Arial" w:hAnsi="Arial" w:cs="Arial" w:eastAsiaTheme="minorHAnsi"/>
          <w:kern w:val="0"/>
          <w:sz w:val="22"/>
          <w:szCs w:val="22"/>
          <w:lang w:eastAsia="en-US" w:bidi="ar-SA"/>
        </w:rPr>
      </w:pPr>
      <w:r>
        <w:rPr>
          <w:rFonts w:hint="default" w:ascii="Arial" w:hAnsi="Arial" w:cs="Arial" w:eastAsiaTheme="minorHAnsi"/>
          <w:kern w:val="0"/>
          <w:sz w:val="22"/>
          <w:szCs w:val="22"/>
          <w:lang w:eastAsia="en-US" w:bidi="ar-SA"/>
        </w:rPr>
        <w:drawing>
          <wp:anchor distT="0" distB="0" distL="114300" distR="114300" simplePos="0" relativeHeight="251659264" behindDoc="0" locked="0" layoutInCell="1" allowOverlap="1">
            <wp:simplePos x="0" y="0"/>
            <wp:positionH relativeFrom="page">
              <wp:posOffset>45085</wp:posOffset>
            </wp:positionH>
            <wp:positionV relativeFrom="page">
              <wp:posOffset>-8076565</wp:posOffset>
            </wp:positionV>
            <wp:extent cx="6654800" cy="3148330"/>
            <wp:effectExtent l="0" t="0" r="12700" b="13970"/>
            <wp:wrapNone/>
            <wp:docPr id="1"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5"/>
                    <pic:cNvPicPr>
                      <a:picLocks noChangeAspect="1"/>
                    </pic:cNvPicPr>
                  </pic:nvPicPr>
                  <pic:blipFill>
                    <a:blip r:embed="rId10"/>
                    <a:srcRect t="3189" b="7838"/>
                    <a:stretch>
                      <a:fillRect/>
                    </a:stretch>
                  </pic:blipFill>
                  <pic:spPr>
                    <a:xfrm>
                      <a:off x="0" y="0"/>
                      <a:ext cx="6654800" cy="3148330"/>
                    </a:xfrm>
                    <a:prstGeom prst="rect">
                      <a:avLst/>
                    </a:prstGeom>
                    <a:noFill/>
                    <a:ln>
                      <a:noFill/>
                    </a:ln>
                  </pic:spPr>
                </pic:pic>
              </a:graphicData>
            </a:graphic>
          </wp:anchor>
        </w:drawing>
      </w:r>
    </w:p>
    <w:p w14:paraId="68CE4B3B">
      <w:pPr>
        <w:pStyle w:val="56"/>
        <w:keepNext w:val="0"/>
        <w:keepLines w:val="0"/>
        <w:widowControl w:val="0"/>
        <w:numPr>
          <w:ilvl w:val="0"/>
          <w:numId w:val="7"/>
        </w:numPr>
        <w:suppressLineNumbers w:val="0"/>
        <w:tabs>
          <w:tab w:val="left" w:pos="1620"/>
          <w:tab w:val="left" w:pos="9078"/>
          <w:tab w:val="left" w:pos="9340"/>
        </w:tabs>
        <w:autoSpaceDE w:val="0"/>
        <w:autoSpaceDN w:val="0"/>
        <w:spacing w:before="0" w:beforeAutospacing="0" w:after="0" w:afterAutospacing="0" w:line="240" w:lineRule="auto"/>
        <w:ind w:left="720" w:right="0" w:hanging="360"/>
        <w:jc w:val="both"/>
        <w:rPr>
          <w:rFonts w:hint="default" w:ascii="Arial" w:hAnsi="Arial" w:cs="Arial" w:eastAsiaTheme="minorHAnsi"/>
          <w:kern w:val="0"/>
          <w:sz w:val="22"/>
          <w:szCs w:val="22"/>
          <w:lang w:eastAsia="en-US" w:bidi="ar-SA"/>
        </w:rPr>
      </w:pPr>
      <w:r>
        <w:rPr>
          <w:rFonts w:hint="default" w:ascii="Arial" w:hAnsi="Arial" w:cs="Arial" w:eastAsiaTheme="minorHAnsi"/>
          <w:kern w:val="0"/>
          <w:sz w:val="22"/>
          <w:szCs w:val="22"/>
          <w:lang w:eastAsia="en-US" w:bidi="ar-SA"/>
        </w:rPr>
        <w:t>Factura</w:t>
      </w:r>
    </w:p>
    <w:p w14:paraId="0F5C8745">
      <w:pPr>
        <w:pStyle w:val="56"/>
        <w:keepNext w:val="0"/>
        <w:keepLines w:val="0"/>
        <w:widowControl w:val="0"/>
        <w:numPr>
          <w:ilvl w:val="0"/>
          <w:numId w:val="7"/>
        </w:numPr>
        <w:suppressLineNumbers w:val="0"/>
        <w:tabs>
          <w:tab w:val="left" w:pos="1620"/>
          <w:tab w:val="left" w:pos="9078"/>
          <w:tab w:val="left" w:pos="9340"/>
        </w:tabs>
        <w:autoSpaceDE w:val="0"/>
        <w:autoSpaceDN w:val="0"/>
        <w:spacing w:before="0" w:beforeAutospacing="0" w:after="0" w:afterAutospacing="0" w:line="240" w:lineRule="auto"/>
        <w:ind w:left="720" w:right="0" w:hanging="360"/>
        <w:jc w:val="both"/>
        <w:rPr>
          <w:rFonts w:hint="default" w:ascii="Arial" w:hAnsi="Arial" w:cs="Arial" w:eastAsiaTheme="minorHAnsi"/>
          <w:kern w:val="0"/>
          <w:sz w:val="22"/>
          <w:szCs w:val="22"/>
          <w:lang w:eastAsia="en-US" w:bidi="ar-SA"/>
        </w:rPr>
      </w:pPr>
      <w:r>
        <w:rPr>
          <w:rFonts w:hint="default" w:ascii="Arial" w:hAnsi="Arial" w:cs="Arial" w:eastAsiaTheme="minorHAnsi"/>
          <w:kern w:val="0"/>
          <w:sz w:val="22"/>
          <w:szCs w:val="22"/>
          <w:lang w:eastAsia="en-US" w:bidi="ar-SA"/>
        </w:rPr>
        <w:t>Certificación de aportes parafiscales suscrito por Revisor Fiscal o Representante Legal según sea el caso, para las personas jurídicas</w:t>
      </w:r>
    </w:p>
    <w:p w14:paraId="5FE04267">
      <w:pPr>
        <w:pStyle w:val="56"/>
        <w:keepNext w:val="0"/>
        <w:keepLines w:val="0"/>
        <w:widowControl w:val="0"/>
        <w:numPr>
          <w:ilvl w:val="0"/>
          <w:numId w:val="7"/>
        </w:numPr>
        <w:suppressLineNumbers w:val="0"/>
        <w:tabs>
          <w:tab w:val="left" w:pos="1620"/>
          <w:tab w:val="left" w:pos="9078"/>
          <w:tab w:val="left" w:pos="9340"/>
        </w:tabs>
        <w:autoSpaceDE w:val="0"/>
        <w:autoSpaceDN w:val="0"/>
        <w:spacing w:before="0" w:beforeAutospacing="0" w:after="0" w:afterAutospacing="0" w:line="240" w:lineRule="auto"/>
        <w:ind w:left="720" w:right="0" w:hanging="360"/>
        <w:jc w:val="both"/>
        <w:rPr>
          <w:rFonts w:hint="default" w:ascii="Arial" w:hAnsi="Arial" w:cs="Arial" w:eastAsiaTheme="minorHAnsi"/>
          <w:kern w:val="0"/>
          <w:sz w:val="22"/>
          <w:szCs w:val="22"/>
          <w:lang w:eastAsia="en-US" w:bidi="ar-SA"/>
        </w:rPr>
      </w:pPr>
      <w:r>
        <w:rPr>
          <w:rFonts w:hint="default" w:ascii="Arial" w:hAnsi="Arial" w:cs="Arial" w:eastAsiaTheme="minorHAnsi"/>
          <w:kern w:val="0"/>
          <w:sz w:val="22"/>
          <w:szCs w:val="22"/>
          <w:lang w:eastAsia="en-US" w:bidi="ar-SA"/>
        </w:rPr>
        <w:t>Planillas de pago de seguridad social para personas naturales.</w:t>
      </w:r>
    </w:p>
    <w:p w14:paraId="3BF27F55">
      <w:pPr>
        <w:pStyle w:val="56"/>
        <w:keepNext w:val="0"/>
        <w:keepLines w:val="0"/>
        <w:widowControl w:val="0"/>
        <w:numPr>
          <w:ilvl w:val="0"/>
          <w:numId w:val="7"/>
        </w:numPr>
        <w:suppressLineNumbers w:val="0"/>
        <w:tabs>
          <w:tab w:val="left" w:pos="1620"/>
          <w:tab w:val="left" w:pos="9078"/>
          <w:tab w:val="left" w:pos="9340"/>
        </w:tabs>
        <w:autoSpaceDE w:val="0"/>
        <w:autoSpaceDN w:val="0"/>
        <w:spacing w:before="0" w:beforeAutospacing="0" w:after="0" w:afterAutospacing="0" w:line="240" w:lineRule="auto"/>
        <w:ind w:left="720" w:right="0" w:hanging="360"/>
        <w:jc w:val="both"/>
        <w:rPr>
          <w:rFonts w:hint="default" w:ascii="Arial" w:hAnsi="Arial" w:cs="Arial" w:eastAsiaTheme="minorHAnsi"/>
          <w:kern w:val="0"/>
          <w:sz w:val="22"/>
          <w:szCs w:val="22"/>
          <w:lang w:eastAsia="en-US" w:bidi="ar-SA"/>
        </w:rPr>
      </w:pPr>
      <w:r>
        <w:rPr>
          <w:rFonts w:hint="default" w:ascii="Arial" w:hAnsi="Arial" w:cs="Arial" w:eastAsiaTheme="minorHAnsi"/>
          <w:kern w:val="0"/>
          <w:sz w:val="22"/>
          <w:szCs w:val="22"/>
          <w:lang w:eastAsia="en-US" w:bidi="ar-SA"/>
        </w:rPr>
        <w:t>RUT actualizado según últimas disposiciones de la DIAN.</w:t>
      </w:r>
    </w:p>
    <w:p w14:paraId="557D3F4E">
      <w:pPr>
        <w:pStyle w:val="56"/>
        <w:keepNext w:val="0"/>
        <w:keepLines w:val="0"/>
        <w:widowControl w:val="0"/>
        <w:numPr>
          <w:ilvl w:val="0"/>
          <w:numId w:val="7"/>
        </w:numPr>
        <w:suppressLineNumbers w:val="0"/>
        <w:tabs>
          <w:tab w:val="left" w:pos="1620"/>
          <w:tab w:val="left" w:pos="9078"/>
          <w:tab w:val="left" w:pos="9340"/>
        </w:tabs>
        <w:autoSpaceDE w:val="0"/>
        <w:autoSpaceDN w:val="0"/>
        <w:spacing w:before="0" w:beforeAutospacing="0" w:after="0" w:afterAutospacing="0" w:line="240" w:lineRule="auto"/>
        <w:ind w:left="720" w:right="0" w:hanging="360"/>
        <w:jc w:val="both"/>
        <w:rPr>
          <w:rFonts w:hint="default" w:ascii="Arial" w:hAnsi="Arial" w:cs="Arial" w:eastAsiaTheme="minorHAnsi"/>
          <w:kern w:val="0"/>
          <w:sz w:val="22"/>
          <w:szCs w:val="22"/>
          <w:lang w:eastAsia="en-US" w:bidi="ar-SA"/>
        </w:rPr>
      </w:pPr>
      <w:r>
        <w:rPr>
          <w:rFonts w:hint="default" w:ascii="Arial" w:hAnsi="Arial" w:cs="Arial" w:eastAsiaTheme="minorHAnsi"/>
          <w:kern w:val="0"/>
          <w:sz w:val="22"/>
          <w:szCs w:val="22"/>
          <w:lang w:eastAsia="en-US" w:bidi="ar-SA"/>
        </w:rPr>
        <w:t>Certificación bancaria (para el primer pago).</w:t>
      </w:r>
    </w:p>
    <w:p w14:paraId="660ABD84">
      <w:pPr>
        <w:pStyle w:val="56"/>
        <w:keepNext w:val="0"/>
        <w:keepLines w:val="0"/>
        <w:widowControl w:val="0"/>
        <w:numPr>
          <w:ilvl w:val="0"/>
          <w:numId w:val="7"/>
        </w:numPr>
        <w:suppressLineNumbers w:val="0"/>
        <w:tabs>
          <w:tab w:val="left" w:pos="1620"/>
          <w:tab w:val="left" w:pos="9078"/>
          <w:tab w:val="left" w:pos="9340"/>
        </w:tabs>
        <w:autoSpaceDE w:val="0"/>
        <w:autoSpaceDN w:val="0"/>
        <w:spacing w:before="0" w:beforeAutospacing="0" w:after="0" w:afterAutospacing="0" w:line="240" w:lineRule="auto"/>
        <w:ind w:left="720" w:right="0" w:hanging="360"/>
        <w:jc w:val="both"/>
        <w:rPr>
          <w:rFonts w:hint="default" w:ascii="Arial" w:hAnsi="Arial" w:cs="Arial" w:eastAsiaTheme="minorHAnsi"/>
          <w:kern w:val="0"/>
          <w:sz w:val="22"/>
          <w:szCs w:val="22"/>
          <w:lang w:val="es-MX" w:eastAsia="en-US" w:bidi="ar-SA"/>
        </w:rPr>
      </w:pPr>
      <w:r>
        <w:rPr>
          <w:rFonts w:hint="default" w:ascii="Arial" w:hAnsi="Arial" w:cs="Arial" w:eastAsiaTheme="minorHAnsi"/>
          <w:kern w:val="0"/>
          <w:sz w:val="22"/>
          <w:szCs w:val="22"/>
          <w:lang w:eastAsia="en-US" w:bidi="ar-SA"/>
        </w:rPr>
        <w:t>Informe de avance (según se determine contractualmente).</w:t>
      </w:r>
    </w:p>
    <w:p w14:paraId="0000383F">
      <w:pPr>
        <w:pStyle w:val="56"/>
        <w:keepNext w:val="0"/>
        <w:keepLines w:val="0"/>
        <w:widowControl w:val="0"/>
        <w:numPr>
          <w:ilvl w:val="0"/>
          <w:numId w:val="7"/>
        </w:numPr>
        <w:suppressLineNumbers w:val="0"/>
        <w:tabs>
          <w:tab w:val="left" w:pos="1620"/>
          <w:tab w:val="left" w:pos="9078"/>
          <w:tab w:val="left" w:pos="9340"/>
        </w:tabs>
        <w:autoSpaceDE w:val="0"/>
        <w:autoSpaceDN w:val="0"/>
        <w:spacing w:before="0" w:beforeAutospacing="0" w:after="0" w:afterAutospacing="0" w:line="240" w:lineRule="auto"/>
        <w:ind w:left="720" w:right="0" w:hanging="360"/>
        <w:jc w:val="both"/>
        <w:rPr>
          <w:rFonts w:hint="default" w:ascii="Arial" w:hAnsi="Arial" w:cs="Arial" w:eastAsiaTheme="minorHAnsi"/>
          <w:kern w:val="0"/>
          <w:sz w:val="22"/>
          <w:szCs w:val="22"/>
          <w:lang w:val="es-MX" w:eastAsia="en-US" w:bidi="ar-SA"/>
        </w:rPr>
      </w:pPr>
      <w:r>
        <w:rPr>
          <w:rFonts w:hint="default" w:ascii="Arial" w:hAnsi="Arial" w:cs="Arial" w:eastAsiaTheme="minorHAnsi"/>
          <w:kern w:val="0"/>
          <w:sz w:val="22"/>
          <w:szCs w:val="22"/>
          <w:lang w:eastAsia="en-US" w:bidi="ar-SA"/>
        </w:rPr>
        <w:t>Todos aquellos que se consideren necesarios para soportar el pago</w:t>
      </w:r>
    </w:p>
    <w:p w14:paraId="4747A992">
      <w:pPr>
        <w:rPr>
          <w:rFonts w:hint="default" w:ascii="Arial" w:hAnsi="Arial" w:cs="Arial" w:eastAsiaTheme="minorHAnsi"/>
          <w:kern w:val="0"/>
          <w:sz w:val="22"/>
          <w:szCs w:val="22"/>
          <w:lang w:val="es-MX" w:eastAsia="en-US" w:bidi="ar-SA"/>
        </w:rPr>
      </w:pPr>
      <w:r>
        <w:rPr>
          <w:rFonts w:hint="default" w:ascii="Arial" w:hAnsi="Arial" w:cs="Arial" w:eastAsiaTheme="minorHAnsi"/>
          <w:kern w:val="0"/>
          <w:sz w:val="22"/>
          <w:szCs w:val="22"/>
          <w:lang w:val="es-MX" w:eastAsia="en-US" w:bidi="ar-SA"/>
        </w:rPr>
        <w:t xml:space="preserve"> </w:t>
      </w:r>
    </w:p>
    <w:p w14:paraId="14D847C2">
      <w:pPr>
        <w:pStyle w:val="37"/>
        <w:spacing w:before="0" w:after="0"/>
        <w:ind w:left="0" w:firstLine="0"/>
        <w:outlineLvl w:val="0"/>
        <w:rPr>
          <w:rFonts w:ascii="Arial" w:hAnsi="Arial" w:cs="Arial"/>
          <w:sz w:val="22"/>
        </w:rPr>
      </w:pPr>
      <w:r>
        <w:rPr>
          <w:rFonts w:ascii="Arial" w:hAnsi="Arial" w:cs="Arial"/>
          <w:sz w:val="22"/>
        </w:rPr>
        <w:t>OBLIGACIONES GENERALES DEL CONTRATISTA</w:t>
      </w:r>
    </w:p>
    <w:p w14:paraId="79B24E36">
      <w:pPr>
        <w:rPr>
          <w:rFonts w:ascii="Arial" w:hAnsi="Arial" w:cs="Arial"/>
          <w:sz w:val="22"/>
        </w:rPr>
      </w:pPr>
    </w:p>
    <w:p w14:paraId="486F5E3C">
      <w:pPr>
        <w:rPr>
          <w:rFonts w:ascii="Arial" w:hAnsi="Arial" w:cs="Arial"/>
          <w:sz w:val="22"/>
        </w:rPr>
      </w:pPr>
      <w:r>
        <w:rPr>
          <w:rFonts w:ascii="Arial" w:hAnsi="Arial" w:cs="Arial"/>
          <w:sz w:val="22"/>
        </w:rPr>
        <w:t>Además de las derivadas de la esencia y naturaleza del contrato, la ley, las obligaciones y condiciones señaladas en el Pliego de Condiciones y demás Documentos del Proceso, vigente durante la ejecución del contrato, el Contratista se obliga a:</w:t>
      </w:r>
    </w:p>
    <w:p w14:paraId="0FC9B610">
      <w:pPr>
        <w:numPr>
          <w:ilvl w:val="0"/>
          <w:numId w:val="8"/>
        </w:numPr>
        <w:spacing w:before="100" w:beforeAutospacing="1" w:after="100" w:afterAutospacing="1"/>
        <w:rPr>
          <w:rFonts w:ascii="Arial" w:hAnsi="Arial" w:eastAsia="Times New Roman" w:cs="Arial"/>
          <w:sz w:val="22"/>
          <w:lang w:val="es-ES" w:eastAsia="es-ES"/>
        </w:rPr>
      </w:pPr>
      <w:r>
        <w:rPr>
          <w:rFonts w:ascii="Arial" w:hAnsi="Arial" w:eastAsia="Times New Roman" w:cs="Arial"/>
          <w:sz w:val="22"/>
          <w:lang w:val="es-ES" w:eastAsia="es-ES"/>
        </w:rPr>
        <w:t>Cumplir con el objeto del contrato en la forma y tiempo pactados.</w:t>
      </w:r>
    </w:p>
    <w:p w14:paraId="485A3BEA">
      <w:pPr>
        <w:numPr>
          <w:ilvl w:val="0"/>
          <w:numId w:val="8"/>
        </w:numPr>
        <w:spacing w:before="100" w:beforeAutospacing="1" w:after="100" w:afterAutospacing="1"/>
        <w:rPr>
          <w:rFonts w:ascii="Arial" w:hAnsi="Arial" w:eastAsia="Times New Roman" w:cs="Arial"/>
          <w:sz w:val="22"/>
          <w:lang w:val="es-ES" w:eastAsia="es-ES"/>
        </w:rPr>
      </w:pPr>
      <w:r>
        <w:rPr>
          <w:rFonts w:ascii="Arial" w:hAnsi="Arial" w:eastAsia="Times New Roman" w:cs="Arial"/>
          <w:sz w:val="22"/>
          <w:lang w:val="es-ES" w:eastAsia="es-ES"/>
        </w:rPr>
        <w:t>Mantener reserva y confidencialidad sobre la información obtenida durante y después de la ejecución.</w:t>
      </w:r>
    </w:p>
    <w:p w14:paraId="48B96392">
      <w:pPr>
        <w:numPr>
          <w:ilvl w:val="0"/>
          <w:numId w:val="8"/>
        </w:numPr>
        <w:spacing w:before="100" w:beforeAutospacing="1" w:after="100" w:afterAutospacing="1"/>
        <w:rPr>
          <w:rFonts w:ascii="Arial" w:hAnsi="Arial" w:eastAsia="Times New Roman" w:cs="Arial"/>
          <w:sz w:val="22"/>
          <w:lang w:val="es-ES" w:eastAsia="es-ES"/>
        </w:rPr>
      </w:pPr>
      <w:r>
        <w:rPr>
          <w:rFonts w:ascii="Arial" w:hAnsi="Arial" w:eastAsia="Times New Roman" w:cs="Arial"/>
          <w:sz w:val="22"/>
          <w:lang w:val="es-ES" w:eastAsia="es-ES"/>
        </w:rPr>
        <w:t>Brindar trato respetuoso a funcionarios y terceros.</w:t>
      </w:r>
    </w:p>
    <w:p w14:paraId="0B2DA2BF">
      <w:pPr>
        <w:numPr>
          <w:ilvl w:val="0"/>
          <w:numId w:val="8"/>
        </w:numPr>
        <w:spacing w:before="100" w:beforeAutospacing="1" w:after="100" w:afterAutospacing="1"/>
        <w:rPr>
          <w:rFonts w:ascii="Arial" w:hAnsi="Arial" w:eastAsia="Times New Roman" w:cs="Arial"/>
          <w:sz w:val="22"/>
          <w:lang w:val="es-ES" w:eastAsia="es-ES"/>
        </w:rPr>
      </w:pPr>
      <w:r>
        <w:rPr>
          <w:rFonts w:ascii="Arial" w:hAnsi="Arial" w:eastAsia="Times New Roman" w:cs="Arial"/>
          <w:sz w:val="22"/>
          <w:lang w:val="es-ES" w:eastAsia="es-ES"/>
        </w:rPr>
        <w:t>Responder civil y penalmente por obligaciones y hechos imputables (Ley 80/1993, art. 52).</w:t>
      </w:r>
    </w:p>
    <w:p w14:paraId="70C93088">
      <w:pPr>
        <w:numPr>
          <w:ilvl w:val="0"/>
          <w:numId w:val="8"/>
        </w:numPr>
        <w:spacing w:before="100" w:beforeAutospacing="1" w:after="100" w:afterAutospacing="1"/>
        <w:rPr>
          <w:rFonts w:ascii="Arial" w:hAnsi="Arial" w:eastAsia="Times New Roman" w:cs="Arial"/>
          <w:sz w:val="22"/>
          <w:lang w:val="es-ES" w:eastAsia="es-ES"/>
        </w:rPr>
      </w:pPr>
      <w:r>
        <w:rPr>
          <w:rFonts w:ascii="Arial" w:hAnsi="Arial" w:eastAsia="Times New Roman" w:cs="Arial"/>
          <w:sz w:val="22"/>
          <w:lang w:val="es-ES" w:eastAsia="es-ES"/>
        </w:rPr>
        <w:t>Cumplir obligaciones de seguridad social y normatividad laboral (Ley 100/1993, Ley 797/2003, Decreto 1703/2002, Decreto 510/2003, Ley 1562/2012).</w:t>
      </w:r>
    </w:p>
    <w:p w14:paraId="7157C59E">
      <w:pPr>
        <w:numPr>
          <w:ilvl w:val="0"/>
          <w:numId w:val="8"/>
        </w:numPr>
        <w:spacing w:before="100" w:beforeAutospacing="1" w:after="100" w:afterAutospacing="1"/>
        <w:rPr>
          <w:rFonts w:ascii="Arial" w:hAnsi="Arial" w:eastAsia="Times New Roman" w:cs="Arial"/>
          <w:sz w:val="22"/>
          <w:lang w:val="es-ES" w:eastAsia="es-ES"/>
        </w:rPr>
      </w:pPr>
      <w:r>
        <w:rPr>
          <w:rFonts w:ascii="Arial" w:hAnsi="Arial" w:eastAsia="Times New Roman" w:cs="Arial"/>
          <w:sz w:val="22"/>
          <w:lang w:val="es-ES" w:eastAsia="es-ES"/>
        </w:rPr>
        <w:t>Asistir a reuniones, inducciones y entrenamientos convocados por la Gobernación.</w:t>
      </w:r>
    </w:p>
    <w:p w14:paraId="4F45341C">
      <w:pPr>
        <w:numPr>
          <w:ilvl w:val="0"/>
          <w:numId w:val="8"/>
        </w:numPr>
        <w:spacing w:before="100" w:beforeAutospacing="1" w:after="100" w:afterAutospacing="1"/>
        <w:rPr>
          <w:rFonts w:ascii="Arial" w:hAnsi="Arial" w:eastAsia="Times New Roman" w:cs="Arial"/>
          <w:sz w:val="22"/>
          <w:lang w:val="es-ES" w:eastAsia="es-ES"/>
        </w:rPr>
      </w:pPr>
      <w:r>
        <w:rPr>
          <w:rFonts w:ascii="Arial" w:hAnsi="Arial" w:eastAsia="Times New Roman" w:cs="Arial"/>
          <w:sz w:val="22"/>
          <w:lang w:val="es-ES" w:eastAsia="es-ES"/>
        </w:rPr>
        <w:t>Procesar y transmitir información de manera íntegra y coherente, solo a personas autorizadas.</w:t>
      </w:r>
    </w:p>
    <w:p w14:paraId="2CECFDCD">
      <w:pPr>
        <w:numPr>
          <w:ilvl w:val="0"/>
          <w:numId w:val="8"/>
        </w:numPr>
        <w:spacing w:before="100" w:beforeAutospacing="1" w:after="100" w:afterAutospacing="1"/>
        <w:rPr>
          <w:rFonts w:ascii="Arial" w:hAnsi="Arial" w:eastAsia="Times New Roman" w:cs="Arial"/>
          <w:sz w:val="22"/>
          <w:lang w:val="es-ES" w:eastAsia="es-ES"/>
        </w:rPr>
      </w:pPr>
      <w:r>
        <w:rPr>
          <w:rFonts w:ascii="Arial" w:hAnsi="Arial" w:eastAsia="Times New Roman" w:cs="Arial"/>
          <w:sz w:val="22"/>
          <w:lang w:val="es-ES" w:eastAsia="es-ES"/>
        </w:rPr>
        <w:t>Constituir y entregar pólizas de calidad, cumplimiento y demás requeridas.</w:t>
      </w:r>
    </w:p>
    <w:p w14:paraId="1AD15CF8">
      <w:pPr>
        <w:numPr>
          <w:ilvl w:val="0"/>
          <w:numId w:val="8"/>
        </w:numPr>
        <w:spacing w:before="100" w:beforeAutospacing="1" w:after="100" w:afterAutospacing="1"/>
        <w:rPr>
          <w:rFonts w:ascii="Arial" w:hAnsi="Arial" w:eastAsia="Times New Roman" w:cs="Arial"/>
          <w:sz w:val="22"/>
          <w:lang w:val="es-ES" w:eastAsia="es-ES"/>
        </w:rPr>
      </w:pPr>
      <w:r>
        <w:rPr>
          <w:rFonts w:ascii="Arial" w:hAnsi="Arial" w:eastAsia="Times New Roman" w:cs="Arial"/>
          <w:sz w:val="22"/>
          <w:lang w:val="es-ES" w:eastAsia="es-ES"/>
        </w:rPr>
        <w:t>Observar normas de salud ocupacional, bioseguridad y seguridad industrial (Resolución 312/2019).</w:t>
      </w:r>
    </w:p>
    <w:p w14:paraId="6CE8521C">
      <w:pPr>
        <w:numPr>
          <w:ilvl w:val="0"/>
          <w:numId w:val="8"/>
        </w:numPr>
        <w:spacing w:before="100" w:beforeAutospacing="1" w:after="100" w:afterAutospacing="1"/>
        <w:rPr>
          <w:rFonts w:ascii="Arial" w:hAnsi="Arial" w:eastAsia="Times New Roman" w:cs="Arial"/>
          <w:sz w:val="22"/>
          <w:lang w:val="es-ES" w:eastAsia="es-ES"/>
        </w:rPr>
      </w:pPr>
      <w:r>
        <w:rPr>
          <w:rFonts w:ascii="Arial" w:hAnsi="Arial" w:eastAsia="Times New Roman" w:cs="Arial"/>
          <w:sz w:val="22"/>
          <w:lang w:val="es-ES" w:eastAsia="es-ES"/>
        </w:rPr>
        <w:t>Cumplir obligaciones tributarias, ambientales y laborales respecto del personal.</w:t>
      </w:r>
    </w:p>
    <w:p w14:paraId="27A2E8F8">
      <w:pPr>
        <w:numPr>
          <w:ilvl w:val="0"/>
          <w:numId w:val="8"/>
        </w:numPr>
        <w:spacing w:before="100" w:beforeAutospacing="1" w:after="100" w:afterAutospacing="1"/>
        <w:rPr>
          <w:rFonts w:ascii="Arial" w:hAnsi="Arial" w:eastAsia="Times New Roman" w:cs="Arial"/>
          <w:sz w:val="22"/>
          <w:lang w:val="es-ES" w:eastAsia="es-ES"/>
        </w:rPr>
      </w:pPr>
      <w:r>
        <w:rPr>
          <w:rFonts w:ascii="Arial" w:hAnsi="Arial" w:eastAsia="Times New Roman" w:cs="Arial"/>
          <w:sz w:val="22"/>
          <w:lang w:val="es-ES" w:eastAsia="es-ES"/>
        </w:rPr>
        <w:t>Manejar con confidencialidad la información producida durante el contrato.</w:t>
      </w:r>
    </w:p>
    <w:p w14:paraId="2FD0420B">
      <w:pPr>
        <w:numPr>
          <w:ilvl w:val="0"/>
          <w:numId w:val="8"/>
        </w:numPr>
        <w:spacing w:before="100" w:beforeAutospacing="1" w:after="100" w:afterAutospacing="1"/>
        <w:rPr>
          <w:rFonts w:ascii="Arial" w:hAnsi="Arial" w:eastAsia="Times New Roman" w:cs="Arial"/>
          <w:sz w:val="22"/>
          <w:lang w:val="es-ES" w:eastAsia="es-ES"/>
        </w:rPr>
      </w:pPr>
      <w:r>
        <w:rPr>
          <w:rFonts w:ascii="Arial" w:hAnsi="Arial" w:eastAsia="Times New Roman" w:cs="Arial"/>
          <w:sz w:val="22"/>
          <w:lang w:val="es-ES" w:eastAsia="es-ES"/>
        </w:rPr>
        <w:t>Reportar información relacionada con la ejecución cuando sea requerida.</w:t>
      </w:r>
    </w:p>
    <w:p w14:paraId="63827291">
      <w:pPr>
        <w:numPr>
          <w:ilvl w:val="0"/>
          <w:numId w:val="8"/>
        </w:numPr>
        <w:spacing w:before="100" w:beforeAutospacing="1" w:after="100" w:afterAutospacing="1"/>
        <w:rPr>
          <w:rFonts w:ascii="Arial" w:hAnsi="Arial" w:eastAsia="Times New Roman" w:cs="Arial"/>
          <w:sz w:val="22"/>
          <w:lang w:val="es-ES" w:eastAsia="es-ES"/>
        </w:rPr>
      </w:pPr>
      <w:r>
        <w:rPr>
          <w:rFonts w:ascii="Arial" w:hAnsi="Arial" w:eastAsia="Times New Roman" w:cs="Arial"/>
          <w:sz w:val="22"/>
          <w:lang w:val="es-ES" w:eastAsia="es-ES"/>
        </w:rPr>
        <w:t>Informar sobre riesgos, investigaciones o situaciones que afecten la ejecución.</w:t>
      </w:r>
    </w:p>
    <w:p w14:paraId="1E7204F6">
      <w:pPr>
        <w:numPr>
          <w:ilvl w:val="0"/>
          <w:numId w:val="8"/>
        </w:numPr>
        <w:spacing w:before="100" w:beforeAutospacing="1" w:after="100" w:afterAutospacing="1"/>
        <w:rPr>
          <w:rFonts w:ascii="Arial" w:hAnsi="Arial" w:eastAsia="Times New Roman" w:cs="Arial"/>
          <w:sz w:val="22"/>
          <w:lang w:val="es-ES" w:eastAsia="es-ES"/>
        </w:rPr>
      </w:pPr>
      <w:r>
        <w:rPr>
          <w:rFonts w:ascii="Arial" w:hAnsi="Arial" w:eastAsia="Times New Roman" w:cs="Arial"/>
          <w:sz w:val="22"/>
          <w:lang w:val="es-ES" w:eastAsia="es-ES"/>
        </w:rPr>
        <w:t>Cumplir protocolos de transparencia y pactos éticos.</w:t>
      </w:r>
    </w:p>
    <w:p w14:paraId="17351481">
      <w:pPr>
        <w:numPr>
          <w:ilvl w:val="0"/>
          <w:numId w:val="8"/>
        </w:numPr>
        <w:spacing w:before="100" w:beforeAutospacing="1" w:after="100" w:afterAutospacing="1"/>
        <w:rPr>
          <w:rFonts w:ascii="Arial" w:hAnsi="Arial" w:eastAsia="Times New Roman" w:cs="Arial"/>
          <w:sz w:val="22"/>
          <w:lang w:val="es-ES" w:eastAsia="es-ES"/>
        </w:rPr>
      </w:pPr>
      <w:r>
        <w:rPr>
          <w:rFonts w:ascii="Arial" w:hAnsi="Arial" w:eastAsia="Times New Roman" w:cs="Arial"/>
          <w:sz w:val="22"/>
          <w:lang w:val="es-ES" w:eastAsia="es-ES"/>
        </w:rPr>
        <w:t>Identificar oportunidades para vincular personal local.</w:t>
      </w:r>
    </w:p>
    <w:p w14:paraId="6A60691C">
      <w:pPr>
        <w:numPr>
          <w:ilvl w:val="0"/>
          <w:numId w:val="8"/>
        </w:numPr>
        <w:spacing w:before="100" w:beforeAutospacing="1" w:after="100" w:afterAutospacing="1"/>
        <w:rPr>
          <w:rFonts w:ascii="Arial" w:hAnsi="Arial" w:eastAsia="Times New Roman" w:cs="Arial"/>
          <w:sz w:val="22"/>
          <w:lang w:val="es-ES" w:eastAsia="es-ES"/>
        </w:rPr>
      </w:pPr>
      <w:r>
        <w:rPr>
          <w:rFonts w:ascii="Arial" w:hAnsi="Arial" w:eastAsia="Times New Roman" w:cs="Arial"/>
          <w:sz w:val="22"/>
          <w:lang w:val="es-ES" w:eastAsia="es-ES"/>
        </w:rPr>
        <w:t>Informar presencia de comunidades étnicas para garantizar consulta previa (Ley 21/1991, Convenio OIT 169).</w:t>
      </w:r>
    </w:p>
    <w:p w14:paraId="0FAD459F">
      <w:pPr>
        <w:numPr>
          <w:ilvl w:val="0"/>
          <w:numId w:val="8"/>
        </w:numPr>
        <w:spacing w:before="100" w:beforeAutospacing="1" w:after="100" w:afterAutospacing="1"/>
        <w:rPr>
          <w:rFonts w:ascii="Arial" w:hAnsi="Arial" w:eastAsia="Times New Roman" w:cs="Arial"/>
          <w:sz w:val="22"/>
          <w:lang w:val="es-ES" w:eastAsia="es-ES"/>
        </w:rPr>
      </w:pPr>
      <w:r>
        <w:rPr>
          <w:rFonts w:ascii="Arial" w:hAnsi="Arial" w:eastAsia="Times New Roman" w:cs="Arial"/>
          <w:sz w:val="22"/>
          <w:lang w:val="es-ES" w:eastAsia="es-ES"/>
        </w:rPr>
        <w:t>Las demás inherentes a la naturaleza del contrato.</w:t>
      </w:r>
    </w:p>
    <w:p w14:paraId="1962C590">
      <w:pPr>
        <w:rPr>
          <w:rFonts w:ascii="Arial" w:hAnsi="Arial" w:cs="Arial"/>
          <w:sz w:val="22"/>
        </w:rPr>
      </w:pPr>
    </w:p>
    <w:p w14:paraId="0732DB25">
      <w:pPr>
        <w:pStyle w:val="37"/>
        <w:tabs>
          <w:tab w:val="left" w:pos="1560"/>
        </w:tabs>
        <w:spacing w:before="0" w:after="0"/>
        <w:ind w:left="425" w:hanging="357"/>
        <w:outlineLvl w:val="0"/>
        <w:rPr>
          <w:rFonts w:ascii="Arial" w:hAnsi="Arial" w:cs="Arial"/>
          <w:sz w:val="22"/>
        </w:rPr>
      </w:pPr>
      <w:r>
        <w:rPr>
          <w:rFonts w:ascii="Arial" w:hAnsi="Arial" w:cs="Arial"/>
          <w:sz w:val="22"/>
        </w:rPr>
        <w:t>OBLIGACIONES ESPECÍFICAS DEL CONTRATISTA</w:t>
      </w:r>
    </w:p>
    <w:p w14:paraId="70866922">
      <w:pPr>
        <w:pStyle w:val="37"/>
        <w:numPr>
          <w:ilvl w:val="0"/>
          <w:numId w:val="0"/>
        </w:numPr>
        <w:tabs>
          <w:tab w:val="left" w:pos="1560"/>
        </w:tabs>
        <w:spacing w:before="0" w:after="0"/>
        <w:ind w:left="644" w:hanging="360"/>
        <w:outlineLvl w:val="0"/>
        <w:rPr>
          <w:rFonts w:ascii="Arial" w:hAnsi="Arial" w:cs="Arial"/>
          <w:sz w:val="22"/>
        </w:rPr>
      </w:pPr>
    </w:p>
    <w:p w14:paraId="2711B115">
      <w:pPr>
        <w:numPr>
          <w:ilvl w:val="0"/>
          <w:numId w:val="9"/>
        </w:numPr>
        <w:spacing w:before="100" w:beforeAutospacing="1" w:after="100" w:afterAutospacing="1"/>
        <w:rPr>
          <w:rFonts w:ascii="Arial" w:hAnsi="Arial" w:eastAsia="Times New Roman" w:cs="Arial"/>
          <w:sz w:val="22"/>
          <w:lang w:val="es-ES" w:eastAsia="es-ES"/>
        </w:rPr>
      </w:pPr>
      <w:r>
        <w:rPr>
          <w:rFonts w:ascii="Arial" w:hAnsi="Arial" w:eastAsia="Times New Roman" w:cs="Arial"/>
          <w:sz w:val="22"/>
          <w:lang w:val="es-ES" w:eastAsia="es-ES"/>
        </w:rPr>
        <w:t xml:space="preserve">Realizar gestiones administrativas, técnicas, logísticas y financieras para el proyecto de inversión </w:t>
      </w:r>
      <w:r>
        <w:rPr>
          <w:rFonts w:ascii="Arial" w:hAnsi="Arial" w:eastAsia="Times New Roman" w:cs="Arial"/>
          <w:b/>
          <w:bCs/>
          <w:sz w:val="22"/>
          <w:lang w:val="es-ES" w:eastAsia="es-ES"/>
        </w:rPr>
        <w:t>Programa de Control Biomédico y Biomecánico para Deportistas de Bolívar – Juegos Nacionales 2027</w:t>
      </w:r>
      <w:r>
        <w:rPr>
          <w:rFonts w:ascii="Arial" w:hAnsi="Arial" w:eastAsia="Times New Roman" w:cs="Arial"/>
          <w:sz w:val="22"/>
          <w:lang w:val="es-ES" w:eastAsia="es-ES"/>
        </w:rPr>
        <w:t>.</w:t>
      </w:r>
    </w:p>
    <w:p w14:paraId="6CC3487F">
      <w:pPr>
        <w:numPr>
          <w:ilvl w:val="0"/>
          <w:numId w:val="9"/>
        </w:numPr>
        <w:spacing w:before="100" w:beforeAutospacing="1" w:after="100" w:afterAutospacing="1"/>
        <w:rPr>
          <w:rFonts w:ascii="Arial" w:hAnsi="Arial" w:eastAsia="Times New Roman" w:cs="Arial"/>
          <w:sz w:val="22"/>
          <w:lang w:val="es-ES" w:eastAsia="es-ES"/>
        </w:rPr>
      </w:pPr>
      <w:r>
        <w:rPr>
          <w:rFonts w:ascii="Arial" w:hAnsi="Arial" w:eastAsia="Times New Roman" w:cs="Arial"/>
          <w:sz w:val="22"/>
          <w:lang w:val="es-ES" w:eastAsia="es-ES"/>
        </w:rPr>
        <w:t>Presentar un plan de trabajo inicial con actividades y tiempos.</w:t>
      </w:r>
    </w:p>
    <w:p w14:paraId="1AC1101F">
      <w:pPr>
        <w:numPr>
          <w:ilvl w:val="0"/>
          <w:numId w:val="9"/>
        </w:numPr>
        <w:spacing w:before="100" w:beforeAutospacing="1" w:after="100" w:afterAutospacing="1"/>
        <w:rPr>
          <w:rFonts w:ascii="Arial" w:hAnsi="Arial" w:eastAsia="Times New Roman" w:cs="Arial"/>
          <w:sz w:val="22"/>
          <w:lang w:val="es-ES" w:eastAsia="es-ES"/>
        </w:rPr>
      </w:pPr>
      <w:r>
        <w:rPr>
          <w:rFonts w:ascii="Arial" w:hAnsi="Arial" w:eastAsia="Times New Roman" w:cs="Arial"/>
          <w:sz w:val="22"/>
          <w:lang w:val="es-ES" w:eastAsia="es-ES"/>
        </w:rPr>
        <w:t>Coordinar, dirigir y ejecutar actividades organizacionales aplicando experiencia en deporte y recreación.</w:t>
      </w:r>
    </w:p>
    <w:p w14:paraId="6AA88C16">
      <w:pPr>
        <w:numPr>
          <w:ilvl w:val="0"/>
          <w:numId w:val="9"/>
        </w:numPr>
        <w:spacing w:before="100" w:beforeAutospacing="1" w:after="100" w:afterAutospacing="1"/>
        <w:rPr>
          <w:rFonts w:ascii="Arial" w:hAnsi="Arial" w:eastAsia="Times New Roman" w:cs="Arial"/>
          <w:sz w:val="22"/>
          <w:lang w:val="es-ES" w:eastAsia="es-ES"/>
        </w:rPr>
      </w:pPr>
      <w:r>
        <w:rPr>
          <w:rFonts w:ascii="Arial" w:hAnsi="Arial" w:eastAsia="Times New Roman" w:cs="Arial"/>
          <w:sz w:val="22"/>
          <w:lang w:val="es-ES" w:eastAsia="es-ES"/>
        </w:rPr>
        <w:t>Cumplir con todas las actividades del Anexo Técnico del pliego de condiciones</w:t>
      </w:r>
    </w:p>
    <w:p w14:paraId="7B9442F6">
      <w:pPr>
        <w:numPr>
          <w:ilvl w:val="0"/>
          <w:numId w:val="9"/>
        </w:numPr>
        <w:spacing w:before="100" w:beforeAutospacing="1" w:after="100" w:afterAutospacing="1"/>
        <w:rPr>
          <w:rFonts w:ascii="Arial" w:hAnsi="Arial" w:eastAsia="Times New Roman" w:cs="Arial"/>
          <w:sz w:val="22"/>
          <w:lang w:val="es-ES" w:eastAsia="es-ES"/>
        </w:rPr>
      </w:pPr>
      <w:r>
        <w:rPr>
          <w:rFonts w:ascii="Arial" w:hAnsi="Arial" w:eastAsia="Times New Roman" w:cs="Arial"/>
          <w:sz w:val="22"/>
          <w:lang w:val="es-ES" w:eastAsia="es-ES"/>
        </w:rPr>
        <w:t>Presentar informes técnico-administrativos al Supervisor, con registros fotográficos/videográficos y actas finales.</w:t>
      </w:r>
    </w:p>
    <w:p w14:paraId="01D9BF12">
      <w:pPr>
        <w:numPr>
          <w:ilvl w:val="0"/>
          <w:numId w:val="9"/>
        </w:numPr>
        <w:spacing w:before="100" w:beforeAutospacing="1" w:after="100" w:afterAutospacing="1"/>
        <w:rPr>
          <w:rFonts w:ascii="Arial" w:hAnsi="Arial" w:eastAsia="Times New Roman" w:cs="Arial"/>
          <w:sz w:val="22"/>
          <w:lang w:val="es-ES" w:eastAsia="es-ES"/>
        </w:rPr>
      </w:pPr>
      <w:r>
        <w:rPr>
          <w:rFonts w:ascii="Arial" w:hAnsi="Arial" w:eastAsia="Times New Roman" w:cs="Arial"/>
          <w:sz w:val="22"/>
          <w:lang w:val="es-ES" w:eastAsia="es-ES"/>
        </w:rPr>
        <w:t>Adelantar los procesos contractuales necesarios para cumplir objetivos del programa objeto del contrato.</w:t>
      </w:r>
    </w:p>
    <w:p w14:paraId="1983D801">
      <w:pPr>
        <w:numPr>
          <w:ilvl w:val="0"/>
          <w:numId w:val="9"/>
        </w:numPr>
        <w:spacing w:before="100" w:beforeAutospacing="1" w:after="100" w:afterAutospacing="1"/>
        <w:rPr>
          <w:rFonts w:ascii="Arial" w:hAnsi="Arial" w:eastAsia="Times New Roman" w:cs="Arial"/>
          <w:sz w:val="22"/>
          <w:lang w:val="es-ES" w:eastAsia="es-ES"/>
        </w:rPr>
      </w:pPr>
      <w:r>
        <w:rPr>
          <w:rFonts w:ascii="Arial" w:hAnsi="Arial" w:eastAsia="Times New Roman" w:cs="Arial"/>
          <w:sz w:val="22"/>
          <w:lang w:val="es-ES" w:eastAsia="es-ES"/>
        </w:rPr>
        <w:t>Destinar recursos financieros, humanos, físicos y tecnológicos para el contrato.</w:t>
      </w:r>
    </w:p>
    <w:p w14:paraId="72025642">
      <w:pPr>
        <w:numPr>
          <w:ilvl w:val="0"/>
          <w:numId w:val="9"/>
        </w:numPr>
        <w:spacing w:before="100" w:beforeAutospacing="1" w:after="100" w:afterAutospacing="1"/>
        <w:rPr>
          <w:rFonts w:ascii="Arial" w:hAnsi="Arial" w:eastAsia="Times New Roman" w:cs="Arial"/>
          <w:sz w:val="22"/>
          <w:lang w:val="es-ES" w:eastAsia="es-ES"/>
        </w:rPr>
      </w:pPr>
      <w:r>
        <w:rPr>
          <w:rFonts w:ascii="Arial" w:hAnsi="Arial" w:eastAsia="Times New Roman" w:cs="Arial"/>
          <w:sz w:val="22"/>
          <w:lang w:val="es-ES" w:eastAsia="es-ES"/>
        </w:rPr>
        <w:t>Usar los recursos entregados únicamente para el objeto del contrato, según presupuesto aprobado.</w:t>
      </w:r>
    </w:p>
    <w:p w14:paraId="5EB42626">
      <w:pPr>
        <w:numPr>
          <w:ilvl w:val="0"/>
          <w:numId w:val="9"/>
        </w:numPr>
        <w:spacing w:before="100" w:beforeAutospacing="1" w:after="100" w:afterAutospacing="1"/>
        <w:rPr>
          <w:rFonts w:ascii="Arial" w:hAnsi="Arial" w:eastAsia="Times New Roman" w:cs="Arial"/>
          <w:sz w:val="22"/>
          <w:lang w:val="es-ES" w:eastAsia="es-ES"/>
        </w:rPr>
      </w:pPr>
      <w:r>
        <w:rPr>
          <w:rFonts w:ascii="Arial" w:hAnsi="Arial" w:eastAsia="Times New Roman" w:cs="Arial"/>
          <w:sz w:val="22"/>
          <w:lang w:val="es-ES" w:eastAsia="es-ES"/>
        </w:rPr>
        <w:t>Reintegrar a la Tesorería Departamental los recursos no comprometidos o ejecutados, con rendimientos financieros.</w:t>
      </w:r>
    </w:p>
    <w:p w14:paraId="40286987">
      <w:pPr>
        <w:numPr>
          <w:ilvl w:val="0"/>
          <w:numId w:val="9"/>
        </w:numPr>
        <w:spacing w:before="100" w:beforeAutospacing="1" w:after="100" w:afterAutospacing="1"/>
        <w:rPr>
          <w:rFonts w:ascii="Arial" w:hAnsi="Arial" w:eastAsia="Times New Roman" w:cs="Arial"/>
          <w:sz w:val="22"/>
          <w:lang w:val="es-ES" w:eastAsia="es-ES"/>
        </w:rPr>
      </w:pPr>
      <w:r>
        <w:rPr>
          <w:rFonts w:ascii="Arial" w:hAnsi="Arial" w:eastAsia="Times New Roman" w:cs="Arial"/>
          <w:sz w:val="22"/>
          <w:lang w:val="es-ES" w:eastAsia="es-ES"/>
        </w:rPr>
        <w:t>Dar créditos a la Gobernación de Bolívar e incluir su logotipo en materiales y sistemas de información.</w:t>
      </w:r>
    </w:p>
    <w:p w14:paraId="69654532">
      <w:pPr>
        <w:numPr>
          <w:ilvl w:val="0"/>
          <w:numId w:val="9"/>
        </w:numPr>
        <w:spacing w:before="100" w:beforeAutospacing="1" w:after="100" w:afterAutospacing="1"/>
        <w:rPr>
          <w:rFonts w:ascii="Arial" w:hAnsi="Arial" w:eastAsia="Times New Roman" w:cs="Arial"/>
          <w:sz w:val="22"/>
          <w:lang w:val="es-ES" w:eastAsia="es-ES"/>
        </w:rPr>
      </w:pPr>
      <w:r>
        <w:rPr>
          <w:rFonts w:ascii="Arial" w:hAnsi="Arial" w:eastAsia="Times New Roman" w:cs="Arial"/>
          <w:sz w:val="22"/>
          <w:lang w:val="es-ES" w:eastAsia="es-ES"/>
        </w:rPr>
        <w:t>Las demás inherentes a la ejecución del objeto convenido.</w:t>
      </w:r>
    </w:p>
    <w:p w14:paraId="047B3F2A">
      <w:pPr>
        <w:pStyle w:val="37"/>
        <w:numPr>
          <w:ilvl w:val="0"/>
          <w:numId w:val="0"/>
        </w:numPr>
        <w:tabs>
          <w:tab w:val="left" w:pos="1560"/>
        </w:tabs>
        <w:spacing w:before="0" w:after="0"/>
        <w:ind w:left="66"/>
        <w:rPr>
          <w:rFonts w:ascii="Arial" w:hAnsi="Arial" w:cs="Arial"/>
          <w:color w:val="3B3A3A" w:themeColor="accent2" w:themeShade="BF"/>
          <w:sz w:val="22"/>
        </w:rPr>
      </w:pPr>
    </w:p>
    <w:p w14:paraId="1E750A95">
      <w:pPr>
        <w:pStyle w:val="37"/>
        <w:tabs>
          <w:tab w:val="left" w:pos="1560"/>
        </w:tabs>
        <w:spacing w:before="0" w:after="0"/>
        <w:ind w:left="425" w:hanging="357"/>
        <w:outlineLvl w:val="0"/>
        <w:rPr>
          <w:rFonts w:ascii="Arial" w:hAnsi="Arial" w:cs="Arial"/>
          <w:sz w:val="22"/>
        </w:rPr>
      </w:pPr>
      <w:r>
        <w:rPr>
          <w:rFonts w:ascii="Arial" w:hAnsi="Arial" w:cs="Arial"/>
          <w:sz w:val="22"/>
        </w:rPr>
        <w:t>DERECHOS DEL CONTRATISTA</w:t>
      </w:r>
    </w:p>
    <w:p w14:paraId="4C85C10C">
      <w:pPr>
        <w:rPr>
          <w:rFonts w:ascii="Arial" w:hAnsi="Arial" w:cs="Arial"/>
          <w:sz w:val="22"/>
        </w:rPr>
      </w:pPr>
    </w:p>
    <w:p w14:paraId="4B105449">
      <w:pPr>
        <w:rPr>
          <w:rFonts w:ascii="Arial" w:hAnsi="Arial" w:cs="Arial"/>
          <w:sz w:val="22"/>
        </w:rPr>
      </w:pPr>
      <w:r>
        <w:rPr>
          <w:rFonts w:ascii="Arial" w:hAnsi="Arial" w:cs="Arial"/>
          <w:sz w:val="22"/>
        </w:rPr>
        <w:t xml:space="preserve">El Contratista tiene derecho a: </w:t>
      </w:r>
    </w:p>
    <w:p w14:paraId="4C7E6031">
      <w:pPr>
        <w:rPr>
          <w:rFonts w:ascii="Arial" w:hAnsi="Arial" w:cs="Arial"/>
          <w:b/>
          <w:sz w:val="22"/>
        </w:rPr>
      </w:pPr>
    </w:p>
    <w:p w14:paraId="273D1251">
      <w:pPr>
        <w:rPr>
          <w:rFonts w:ascii="Arial" w:hAnsi="Arial" w:cs="Arial"/>
          <w:sz w:val="22"/>
        </w:rPr>
      </w:pPr>
      <w:r>
        <w:rPr>
          <w:rFonts w:ascii="Arial" w:hAnsi="Arial" w:cs="Arial"/>
          <w:b/>
          <w:sz w:val="22"/>
        </w:rPr>
        <w:t>1</w:t>
      </w:r>
      <w:r>
        <w:rPr>
          <w:rFonts w:ascii="Arial" w:hAnsi="Arial" w:cs="Arial"/>
          <w:sz w:val="22"/>
        </w:rPr>
        <w:t>. Recibir una remuneración por la ejecución del Contrato en los términos pactados en la cláusula 8 del presente contrato.</w:t>
      </w:r>
    </w:p>
    <w:p w14:paraId="6CF47115">
      <w:pPr>
        <w:rPr>
          <w:rFonts w:ascii="Arial" w:hAnsi="Arial" w:cs="Arial"/>
          <w:sz w:val="22"/>
        </w:rPr>
      </w:pPr>
      <w:r>
        <w:rPr>
          <w:rFonts w:ascii="Arial" w:hAnsi="Arial" w:cs="Arial"/>
          <w:b/>
          <w:sz w:val="22"/>
        </w:rPr>
        <w:t>2</w:t>
      </w:r>
      <w:r>
        <w:rPr>
          <w:rFonts w:ascii="Arial" w:hAnsi="Arial" w:cs="Arial"/>
          <w:sz w:val="22"/>
        </w:rPr>
        <w:t>. Acceder a la información necesaria para la correcta ejecución de las actividades del programa objeto del contrato.</w:t>
      </w:r>
    </w:p>
    <w:p w14:paraId="78A333A7">
      <w:pPr>
        <w:rPr>
          <w:rFonts w:ascii="Arial" w:hAnsi="Arial" w:cs="Arial"/>
          <w:sz w:val="22"/>
        </w:rPr>
      </w:pPr>
      <w:r>
        <w:rPr>
          <w:rFonts w:ascii="Arial" w:hAnsi="Arial" w:cs="Arial"/>
          <w:b/>
          <w:sz w:val="22"/>
        </w:rPr>
        <w:t>3.</w:t>
      </w:r>
      <w:r>
        <w:rPr>
          <w:rFonts w:ascii="Arial" w:hAnsi="Arial" w:cs="Arial"/>
          <w:sz w:val="22"/>
        </w:rPr>
        <w:t xml:space="preserve"> Obtener certificaciones o constancias de cumplimiento una vez finalizado el contrato.  </w:t>
      </w:r>
    </w:p>
    <w:p w14:paraId="280185C8">
      <w:pPr>
        <w:pStyle w:val="31"/>
        <w:ind w:left="426"/>
        <w:rPr>
          <w:rFonts w:ascii="Arial" w:hAnsi="Arial" w:cs="Arial"/>
          <w:sz w:val="22"/>
        </w:rPr>
      </w:pPr>
    </w:p>
    <w:p w14:paraId="30A5BFF6">
      <w:pPr>
        <w:pStyle w:val="37"/>
        <w:spacing w:before="0" w:after="0"/>
        <w:ind w:left="425" w:hanging="357"/>
        <w:outlineLvl w:val="0"/>
        <w:rPr>
          <w:rFonts w:ascii="Arial" w:hAnsi="Arial" w:cs="Arial"/>
          <w:sz w:val="22"/>
        </w:rPr>
      </w:pPr>
      <w:r>
        <w:rPr>
          <w:rFonts w:ascii="Arial" w:hAnsi="Arial" w:cs="Arial"/>
          <w:sz w:val="22"/>
        </w:rPr>
        <w:t>OBLIGACIONES DE LA ENTIDAD</w:t>
      </w:r>
    </w:p>
    <w:p w14:paraId="05BC5510">
      <w:pPr>
        <w:rPr>
          <w:rFonts w:ascii="Arial" w:hAnsi="Arial" w:cs="Arial"/>
          <w:sz w:val="22"/>
        </w:rPr>
      </w:pPr>
    </w:p>
    <w:p w14:paraId="744F106C">
      <w:pPr>
        <w:rPr>
          <w:rFonts w:ascii="Arial" w:hAnsi="Arial" w:cs="Arial"/>
          <w:sz w:val="22"/>
        </w:rPr>
      </w:pPr>
      <w:r>
        <w:rPr>
          <w:rFonts w:ascii="Arial" w:hAnsi="Arial" w:cs="Arial"/>
          <w:sz w:val="22"/>
        </w:rPr>
        <w:t xml:space="preserve">La Entidad está obligada a: </w:t>
      </w:r>
    </w:p>
    <w:p w14:paraId="1835E969">
      <w:pPr>
        <w:rPr>
          <w:rFonts w:ascii="Arial" w:hAnsi="Arial" w:cs="Arial"/>
          <w:sz w:val="22"/>
        </w:rPr>
      </w:pPr>
    </w:p>
    <w:p w14:paraId="67482374">
      <w:pPr>
        <w:pStyle w:val="20"/>
        <w:numPr>
          <w:ilvl w:val="6"/>
          <w:numId w:val="10"/>
        </w:numPr>
        <w:spacing w:after="0"/>
        <w:ind w:left="426" w:hanging="426"/>
        <w:rPr>
          <w:rFonts w:ascii="Arial" w:hAnsi="Arial" w:cs="Arial"/>
          <w:color w:val="auto"/>
          <w:sz w:val="22"/>
          <w:szCs w:val="22"/>
        </w:rPr>
      </w:pPr>
      <w:r>
        <w:rPr>
          <w:rFonts w:ascii="Arial" w:hAnsi="Arial" w:cs="Arial"/>
          <w:color w:val="auto"/>
          <w:sz w:val="22"/>
          <w:szCs w:val="22"/>
        </w:rPr>
        <w:t xml:space="preserve">Cumplir con las condiciones establecidas en los Documentos del Proceso de Contratación. </w:t>
      </w:r>
    </w:p>
    <w:p w14:paraId="55850FD3">
      <w:pPr>
        <w:pStyle w:val="20"/>
        <w:numPr>
          <w:ilvl w:val="6"/>
          <w:numId w:val="10"/>
        </w:numPr>
        <w:spacing w:after="0"/>
        <w:ind w:left="426" w:hanging="426"/>
        <w:rPr>
          <w:rFonts w:ascii="Arial" w:hAnsi="Arial" w:cs="Arial"/>
          <w:color w:val="auto"/>
          <w:sz w:val="22"/>
          <w:szCs w:val="22"/>
        </w:rPr>
      </w:pPr>
      <w:r>
        <w:rPr>
          <w:rFonts w:ascii="Arial" w:hAnsi="Arial" w:cs="Arial"/>
          <w:color w:val="auto"/>
          <w:sz w:val="22"/>
          <w:szCs w:val="22"/>
        </w:rPr>
        <w:t>Pagar la remuneración por la ejecución del contratista en los términos pactados en la Cláusula 8 del presente contrato.</w:t>
      </w:r>
    </w:p>
    <w:p w14:paraId="6CBD0710">
      <w:pPr>
        <w:pStyle w:val="53"/>
        <w:ind w:left="142" w:right="38"/>
        <w:jc w:val="both"/>
        <w:rPr>
          <w:rFonts w:ascii="Arial" w:hAnsi="Arial" w:cs="Arial"/>
        </w:rPr>
      </w:pPr>
      <w:r>
        <w:rPr>
          <w:rFonts w:ascii="Arial" w:hAnsi="Arial" w:cs="Arial"/>
        </w:rPr>
        <w:t>3. Efectuar</w:t>
      </w:r>
      <w:r>
        <w:rPr>
          <w:rFonts w:ascii="Arial" w:hAnsi="Arial" w:cs="Arial"/>
          <w:spacing w:val="-6"/>
        </w:rPr>
        <w:t xml:space="preserve"> </w:t>
      </w:r>
      <w:r>
        <w:rPr>
          <w:rFonts w:ascii="Arial" w:hAnsi="Arial" w:cs="Arial"/>
        </w:rPr>
        <w:t>los</w:t>
      </w:r>
      <w:r>
        <w:rPr>
          <w:rFonts w:ascii="Arial" w:hAnsi="Arial" w:cs="Arial"/>
          <w:spacing w:val="-6"/>
        </w:rPr>
        <w:t xml:space="preserve"> </w:t>
      </w:r>
      <w:r>
        <w:rPr>
          <w:rFonts w:ascii="Arial" w:hAnsi="Arial" w:cs="Arial"/>
        </w:rPr>
        <w:t>descuentos</w:t>
      </w:r>
      <w:r>
        <w:rPr>
          <w:rFonts w:ascii="Arial" w:hAnsi="Arial" w:cs="Arial"/>
          <w:spacing w:val="-6"/>
        </w:rPr>
        <w:t xml:space="preserve"> </w:t>
      </w:r>
      <w:r>
        <w:rPr>
          <w:rFonts w:ascii="Arial" w:hAnsi="Arial" w:cs="Arial"/>
        </w:rPr>
        <w:t>de</w:t>
      </w:r>
      <w:r>
        <w:rPr>
          <w:rFonts w:ascii="Arial" w:hAnsi="Arial" w:cs="Arial"/>
          <w:spacing w:val="-6"/>
        </w:rPr>
        <w:t xml:space="preserve"> </w:t>
      </w:r>
      <w:r>
        <w:rPr>
          <w:rFonts w:ascii="Arial" w:hAnsi="Arial" w:cs="Arial"/>
        </w:rPr>
        <w:t>impuestos</w:t>
      </w:r>
      <w:r>
        <w:rPr>
          <w:rFonts w:ascii="Arial" w:hAnsi="Arial" w:cs="Arial"/>
          <w:spacing w:val="-6"/>
        </w:rPr>
        <w:t xml:space="preserve"> </w:t>
      </w:r>
      <w:r>
        <w:rPr>
          <w:rFonts w:ascii="Arial" w:hAnsi="Arial" w:cs="Arial"/>
        </w:rPr>
        <w:t>de</w:t>
      </w:r>
      <w:r>
        <w:rPr>
          <w:rFonts w:ascii="Arial" w:hAnsi="Arial" w:cs="Arial"/>
          <w:spacing w:val="-6"/>
        </w:rPr>
        <w:t xml:space="preserve"> </w:t>
      </w:r>
      <w:r>
        <w:rPr>
          <w:rFonts w:ascii="Arial" w:hAnsi="Arial" w:cs="Arial"/>
        </w:rPr>
        <w:t xml:space="preserve">ley, tasas y contribuciones a que haya lugar de conformidad con la normatividad legal </w:t>
      </w:r>
      <w:r>
        <w:rPr>
          <w:rFonts w:ascii="Arial" w:hAnsi="Arial" w:cs="Arial"/>
          <w:spacing w:val="-2"/>
        </w:rPr>
        <w:t>vigente.</w:t>
      </w:r>
    </w:p>
    <w:p w14:paraId="2AC4E2DB">
      <w:pPr>
        <w:pStyle w:val="53"/>
        <w:numPr>
          <w:ilvl w:val="0"/>
          <w:numId w:val="11"/>
        </w:numPr>
        <w:tabs>
          <w:tab w:val="left" w:pos="415"/>
          <w:tab w:val="left" w:pos="417"/>
        </w:tabs>
        <w:ind w:right="39"/>
        <w:jc w:val="both"/>
        <w:rPr>
          <w:rFonts w:ascii="Arial" w:hAnsi="Arial" w:cs="Arial"/>
        </w:rPr>
      </w:pPr>
      <w:r>
        <w:rPr>
          <w:rFonts w:ascii="Arial" w:hAnsi="Arial" w:cs="Arial"/>
        </w:rPr>
        <w:t>Supervisar</w:t>
      </w:r>
      <w:r>
        <w:rPr>
          <w:rFonts w:ascii="Arial" w:hAnsi="Arial" w:cs="Arial"/>
          <w:spacing w:val="40"/>
        </w:rPr>
        <w:t xml:space="preserve"> </w:t>
      </w:r>
      <w:r>
        <w:rPr>
          <w:rFonts w:ascii="Arial" w:hAnsi="Arial" w:cs="Arial"/>
        </w:rPr>
        <w:t>la</w:t>
      </w:r>
      <w:r>
        <w:rPr>
          <w:rFonts w:ascii="Arial" w:hAnsi="Arial" w:cs="Arial"/>
          <w:spacing w:val="40"/>
        </w:rPr>
        <w:t xml:space="preserve"> </w:t>
      </w:r>
      <w:r>
        <w:rPr>
          <w:rFonts w:ascii="Arial" w:hAnsi="Arial" w:cs="Arial"/>
        </w:rPr>
        <w:t>correcta</w:t>
      </w:r>
      <w:r>
        <w:rPr>
          <w:rFonts w:ascii="Arial" w:hAnsi="Arial" w:cs="Arial"/>
          <w:spacing w:val="40"/>
        </w:rPr>
        <w:t xml:space="preserve"> </w:t>
      </w:r>
      <w:r>
        <w:rPr>
          <w:rFonts w:ascii="Arial" w:hAnsi="Arial" w:cs="Arial"/>
        </w:rPr>
        <w:t>ejecución</w:t>
      </w:r>
      <w:r>
        <w:rPr>
          <w:rFonts w:ascii="Arial" w:hAnsi="Arial" w:cs="Arial"/>
          <w:spacing w:val="40"/>
        </w:rPr>
        <w:t xml:space="preserve"> </w:t>
      </w:r>
      <w:r>
        <w:rPr>
          <w:rFonts w:ascii="Arial" w:hAnsi="Arial" w:cs="Arial"/>
        </w:rPr>
        <w:t>del</w:t>
      </w:r>
      <w:r>
        <w:rPr>
          <w:rFonts w:ascii="Arial" w:hAnsi="Arial" w:cs="Arial"/>
          <w:spacing w:val="40"/>
        </w:rPr>
        <w:t xml:space="preserve"> </w:t>
      </w:r>
      <w:r>
        <w:rPr>
          <w:rFonts w:ascii="Arial" w:hAnsi="Arial" w:cs="Arial"/>
        </w:rPr>
        <w:t>contrato</w:t>
      </w:r>
      <w:r>
        <w:rPr>
          <w:rFonts w:ascii="Arial" w:hAnsi="Arial" w:cs="Arial"/>
          <w:spacing w:val="40"/>
        </w:rPr>
        <w:t xml:space="preserve"> por parte del co</w:t>
      </w:r>
      <w:r>
        <w:rPr>
          <w:rFonts w:ascii="Arial" w:hAnsi="Arial" w:cs="Arial"/>
        </w:rPr>
        <w:t>ntratista</w:t>
      </w:r>
      <w:r>
        <w:rPr>
          <w:rFonts w:ascii="Arial" w:hAnsi="Arial" w:cs="Arial"/>
          <w:spacing w:val="40"/>
        </w:rPr>
        <w:t xml:space="preserve"> </w:t>
      </w:r>
    </w:p>
    <w:p w14:paraId="5E3FB0B7">
      <w:pPr>
        <w:pStyle w:val="53"/>
        <w:numPr>
          <w:ilvl w:val="0"/>
          <w:numId w:val="11"/>
        </w:numPr>
        <w:tabs>
          <w:tab w:val="left" w:pos="415"/>
          <w:tab w:val="left" w:pos="417"/>
        </w:tabs>
        <w:ind w:right="37"/>
        <w:jc w:val="both"/>
        <w:rPr>
          <w:rFonts w:ascii="Arial" w:hAnsi="Arial" w:cs="Arial"/>
        </w:rPr>
      </w:pPr>
      <w:r>
        <w:rPr>
          <w:rFonts w:ascii="Arial" w:hAnsi="Arial" w:cs="Arial"/>
        </w:rPr>
        <w:t>Suministrar oportunamente la información y el apoyo que requiera el Contratista a para el cumplimiento de sus obligaciones contractuales.</w:t>
      </w:r>
    </w:p>
    <w:p w14:paraId="4C6B4F6C">
      <w:pPr>
        <w:pStyle w:val="53"/>
        <w:numPr>
          <w:ilvl w:val="0"/>
          <w:numId w:val="11"/>
        </w:numPr>
        <w:tabs>
          <w:tab w:val="left" w:pos="415"/>
          <w:tab w:val="left" w:pos="417"/>
        </w:tabs>
        <w:ind w:right="37"/>
        <w:jc w:val="both"/>
        <w:rPr>
          <w:rFonts w:ascii="Arial" w:hAnsi="Arial" w:cs="Arial"/>
        </w:rPr>
      </w:pPr>
      <w:r>
        <w:rPr>
          <w:rFonts w:ascii="Arial" w:hAnsi="Arial" w:cs="Arial"/>
        </w:rPr>
        <w:t>Solicitar al Contratista, en cualquier tiempo, las informaciones que requiera en relación con el contrato y con el cumplimiento de las obligaciones de éste.</w:t>
      </w:r>
    </w:p>
    <w:p w14:paraId="4BD2AE23">
      <w:pPr>
        <w:pStyle w:val="53"/>
        <w:numPr>
          <w:ilvl w:val="0"/>
          <w:numId w:val="11"/>
        </w:numPr>
        <w:ind w:right="38"/>
        <w:jc w:val="both"/>
        <w:rPr>
          <w:rFonts w:ascii="Arial" w:hAnsi="Arial" w:cs="Arial"/>
        </w:rPr>
      </w:pPr>
      <w:r>
        <w:rPr>
          <w:rFonts w:ascii="Arial" w:hAnsi="Arial" w:cs="Arial"/>
        </w:rPr>
        <w:t>Cumplir</w:t>
      </w:r>
      <w:r>
        <w:rPr>
          <w:rFonts w:ascii="Arial" w:hAnsi="Arial" w:cs="Arial"/>
          <w:spacing w:val="-8"/>
        </w:rPr>
        <w:t xml:space="preserve"> </w:t>
      </w:r>
      <w:r>
        <w:rPr>
          <w:rFonts w:ascii="Arial" w:hAnsi="Arial" w:cs="Arial"/>
        </w:rPr>
        <w:t>con</w:t>
      </w:r>
      <w:r>
        <w:rPr>
          <w:rFonts w:ascii="Arial" w:hAnsi="Arial" w:cs="Arial"/>
          <w:spacing w:val="-5"/>
        </w:rPr>
        <w:t xml:space="preserve"> </w:t>
      </w:r>
      <w:r>
        <w:rPr>
          <w:rFonts w:ascii="Arial" w:hAnsi="Arial" w:cs="Arial"/>
        </w:rPr>
        <w:t>las</w:t>
      </w:r>
      <w:r>
        <w:rPr>
          <w:rFonts w:ascii="Arial" w:hAnsi="Arial" w:cs="Arial"/>
          <w:spacing w:val="-5"/>
        </w:rPr>
        <w:t xml:space="preserve"> </w:t>
      </w:r>
      <w:r>
        <w:rPr>
          <w:rFonts w:ascii="Arial" w:hAnsi="Arial" w:cs="Arial"/>
        </w:rPr>
        <w:t>demás</w:t>
      </w:r>
      <w:r>
        <w:rPr>
          <w:rFonts w:ascii="Arial" w:hAnsi="Arial" w:cs="Arial"/>
          <w:spacing w:val="-5"/>
        </w:rPr>
        <w:t xml:space="preserve"> </w:t>
      </w:r>
      <w:r>
        <w:rPr>
          <w:rFonts w:ascii="Arial" w:hAnsi="Arial" w:cs="Arial"/>
        </w:rPr>
        <w:t>obligaciones</w:t>
      </w:r>
      <w:r>
        <w:rPr>
          <w:rFonts w:ascii="Arial" w:hAnsi="Arial" w:cs="Arial"/>
          <w:spacing w:val="-5"/>
        </w:rPr>
        <w:t xml:space="preserve"> </w:t>
      </w:r>
      <w:r>
        <w:rPr>
          <w:rFonts w:ascii="Arial" w:hAnsi="Arial" w:cs="Arial"/>
        </w:rPr>
        <w:t>que</w:t>
      </w:r>
      <w:r>
        <w:rPr>
          <w:rFonts w:ascii="Arial" w:hAnsi="Arial" w:cs="Arial"/>
          <w:spacing w:val="-5"/>
        </w:rPr>
        <w:t xml:space="preserve"> </w:t>
      </w:r>
      <w:r>
        <w:rPr>
          <w:rFonts w:ascii="Arial" w:hAnsi="Arial" w:cs="Arial"/>
        </w:rPr>
        <w:t>surjan</w:t>
      </w:r>
      <w:r>
        <w:rPr>
          <w:rFonts w:ascii="Arial" w:hAnsi="Arial" w:cs="Arial"/>
          <w:spacing w:val="-5"/>
        </w:rPr>
        <w:t xml:space="preserve"> </w:t>
      </w:r>
      <w:r>
        <w:rPr>
          <w:rFonts w:ascii="Arial" w:hAnsi="Arial" w:cs="Arial"/>
        </w:rPr>
        <w:t>de</w:t>
      </w:r>
      <w:r>
        <w:rPr>
          <w:rFonts w:ascii="Arial" w:hAnsi="Arial" w:cs="Arial"/>
          <w:spacing w:val="-5"/>
        </w:rPr>
        <w:t xml:space="preserve"> </w:t>
      </w:r>
      <w:r>
        <w:rPr>
          <w:rFonts w:ascii="Arial" w:hAnsi="Arial" w:cs="Arial"/>
        </w:rPr>
        <w:t>la</w:t>
      </w:r>
      <w:r>
        <w:rPr>
          <w:rFonts w:ascii="Arial" w:hAnsi="Arial" w:cs="Arial"/>
          <w:spacing w:val="-8"/>
        </w:rPr>
        <w:t xml:space="preserve"> </w:t>
      </w:r>
      <w:r>
        <w:rPr>
          <w:rFonts w:ascii="Arial" w:hAnsi="Arial" w:cs="Arial"/>
        </w:rPr>
        <w:t>naturaleza</w:t>
      </w:r>
      <w:r>
        <w:rPr>
          <w:rFonts w:ascii="Arial" w:hAnsi="Arial" w:cs="Arial"/>
          <w:spacing w:val="-5"/>
        </w:rPr>
        <w:t xml:space="preserve"> </w:t>
      </w:r>
      <w:r>
        <w:rPr>
          <w:rFonts w:ascii="Arial" w:hAnsi="Arial" w:cs="Arial"/>
        </w:rPr>
        <w:t>del</w:t>
      </w:r>
      <w:r>
        <w:rPr>
          <w:rFonts w:ascii="Arial" w:hAnsi="Arial" w:cs="Arial"/>
          <w:spacing w:val="-5"/>
        </w:rPr>
        <w:t xml:space="preserve"> </w:t>
      </w:r>
      <w:r>
        <w:rPr>
          <w:rFonts w:ascii="Arial" w:hAnsi="Arial" w:cs="Arial"/>
          <w:spacing w:val="-2"/>
        </w:rPr>
        <w:t>contrato.</w:t>
      </w:r>
    </w:p>
    <w:p w14:paraId="6C6F4EA0">
      <w:pPr>
        <w:rPr>
          <w:rFonts w:ascii="Arial" w:hAnsi="Arial" w:cs="Arial"/>
          <w:sz w:val="22"/>
        </w:rPr>
      </w:pPr>
    </w:p>
    <w:p w14:paraId="6FF209B3">
      <w:pPr>
        <w:pStyle w:val="37"/>
        <w:tabs>
          <w:tab w:val="left" w:pos="1560"/>
        </w:tabs>
        <w:spacing w:before="0" w:after="0"/>
        <w:ind w:left="425" w:hanging="357"/>
        <w:outlineLvl w:val="0"/>
        <w:rPr>
          <w:rFonts w:ascii="Arial" w:hAnsi="Arial" w:cs="Arial"/>
          <w:sz w:val="22"/>
        </w:rPr>
      </w:pPr>
      <w:r>
        <w:rPr>
          <w:rFonts w:ascii="Arial" w:hAnsi="Arial" w:cs="Arial"/>
          <w:sz w:val="22"/>
        </w:rPr>
        <w:t>RESPONSABILIDAD</w:t>
      </w:r>
    </w:p>
    <w:p w14:paraId="51F4D8ED">
      <w:pPr>
        <w:pStyle w:val="37"/>
        <w:numPr>
          <w:ilvl w:val="0"/>
          <w:numId w:val="0"/>
        </w:numPr>
        <w:spacing w:before="0" w:after="0"/>
        <w:ind w:left="720"/>
        <w:rPr>
          <w:rFonts w:ascii="Arial" w:hAnsi="Arial" w:cs="Arial"/>
          <w:sz w:val="22"/>
        </w:rPr>
      </w:pPr>
    </w:p>
    <w:p w14:paraId="62F7DD1E">
      <w:pPr>
        <w:rPr>
          <w:rFonts w:ascii="Arial" w:hAnsi="Arial" w:cs="Arial"/>
          <w:sz w:val="22"/>
        </w:rPr>
      </w:pPr>
      <w:r>
        <w:rPr>
          <w:rFonts w:ascii="Arial" w:hAnsi="Arial" w:cs="Arial"/>
          <w:sz w:val="22"/>
        </w:rPr>
        <w:t>El Contratista es responsable de cumplir las obligaciones pactadas en el contrato. Además, responderá por los daños generados a la Entidad en la ejecución del contrato, causados por sus contratistas o empleados y sus subcontratistas.</w:t>
      </w:r>
    </w:p>
    <w:p w14:paraId="75194F35">
      <w:pPr>
        <w:rPr>
          <w:rFonts w:ascii="Arial" w:hAnsi="Arial" w:cs="Arial"/>
          <w:sz w:val="22"/>
        </w:rPr>
      </w:pPr>
    </w:p>
    <w:p w14:paraId="273D887B">
      <w:pPr>
        <w:pStyle w:val="37"/>
        <w:tabs>
          <w:tab w:val="left" w:pos="1560"/>
        </w:tabs>
        <w:spacing w:before="0" w:after="0"/>
        <w:ind w:left="425" w:hanging="357"/>
        <w:outlineLvl w:val="0"/>
        <w:rPr>
          <w:rFonts w:ascii="Arial" w:hAnsi="Arial" w:cs="Arial"/>
          <w:sz w:val="22"/>
        </w:rPr>
      </w:pPr>
      <w:r>
        <w:rPr>
          <w:rFonts w:ascii="Arial" w:hAnsi="Arial" w:cs="Arial"/>
          <w:sz w:val="22"/>
        </w:rPr>
        <w:t>INDEMNIDAD</w:t>
      </w:r>
    </w:p>
    <w:p w14:paraId="13BB7B05">
      <w:pPr>
        <w:spacing w:before="100" w:beforeAutospacing="1" w:after="100" w:afterAutospacing="1"/>
        <w:rPr>
          <w:rFonts w:ascii="Arial" w:hAnsi="Arial" w:eastAsia="Times New Roman" w:cs="Arial"/>
          <w:sz w:val="22"/>
          <w:lang w:eastAsia="es-ES"/>
        </w:rPr>
      </w:pPr>
      <w:r>
        <w:rPr>
          <w:rFonts w:ascii="Arial" w:hAnsi="Arial" w:cs="Arial"/>
          <w:sz w:val="22"/>
        </w:rPr>
        <w:t>EL CONTRATISTA se obliga a mantener indemne a la ENTIDAD frente a cualquier reclamación, demanda, acción judicial o extrajudicial, sanción, multa o responsabilidad que se derive directa o indirectamente de la ejecución del presente contrato, incluyendo los costos, gastos y honorarios profesionales que se generen en razón de tales reclamaciones. En consecuencia, EL CONTRATISTA asumirá íntegramente las consecuencias económicas y jurídicas que se originen por actos u omisiones propios o de sus empleados, agentes o subcontratistas, sin que ello implique responsabilidad alguna para la ENTIDAD</w:t>
      </w:r>
    </w:p>
    <w:p w14:paraId="4B181E6A">
      <w:pPr>
        <w:rPr>
          <w:rFonts w:ascii="Arial" w:hAnsi="Arial" w:cs="Arial"/>
          <w:sz w:val="22"/>
        </w:rPr>
      </w:pPr>
    </w:p>
    <w:p w14:paraId="5D7A0F73">
      <w:pPr>
        <w:pStyle w:val="37"/>
        <w:tabs>
          <w:tab w:val="left" w:pos="1560"/>
        </w:tabs>
        <w:spacing w:before="0" w:after="0"/>
        <w:ind w:left="425" w:hanging="357"/>
        <w:outlineLvl w:val="0"/>
        <w:rPr>
          <w:rFonts w:ascii="Arial" w:hAnsi="Arial" w:cs="Arial"/>
          <w:sz w:val="22"/>
        </w:rPr>
      </w:pPr>
      <w:r>
        <w:rPr>
          <w:rFonts w:ascii="Arial" w:hAnsi="Arial" w:cs="Arial"/>
          <w:sz w:val="22"/>
          <w:lang w:val="es-MX"/>
        </w:rPr>
        <w:t xml:space="preserve">  </w:t>
      </w:r>
      <w:r>
        <w:rPr>
          <w:rFonts w:ascii="Arial" w:hAnsi="Arial" w:cs="Arial"/>
          <w:sz w:val="22"/>
        </w:rPr>
        <w:t xml:space="preserve">MULTAS </w:t>
      </w:r>
    </w:p>
    <w:p w14:paraId="46230817">
      <w:pPr>
        <w:rPr>
          <w:rFonts w:ascii="Arial" w:hAnsi="Arial" w:cs="Arial"/>
          <w:sz w:val="22"/>
          <w:lang w:val="es-CO"/>
        </w:rPr>
      </w:pPr>
      <w:bookmarkStart w:id="0" w:name="_Hlk509453512"/>
    </w:p>
    <w:bookmarkEnd w:id="0"/>
    <w:p w14:paraId="2154B3C7">
      <w:pPr>
        <w:rPr>
          <w:rFonts w:ascii="Arial" w:hAnsi="Arial" w:cs="Arial"/>
          <w:sz w:val="22"/>
          <w:lang w:val="es-CO"/>
        </w:rPr>
      </w:pPr>
      <w:r>
        <w:rPr>
          <w:rFonts w:ascii="Arial" w:hAnsi="Arial" w:cs="Arial"/>
          <w:sz w:val="22"/>
          <w:lang w:val="es-CO"/>
        </w:rPr>
        <w:t>Se causarán multas equivalentes a un (1) SMMLV, por cada día calendario transcurrido a partir del tercer día hábil siguiente al momento en que se verifique la existencia de investigaciones penales, medidas de aseguramiento o condenas proferidas en Colombia o en el extranjero en contra de cualquiera del equipo de trabajo del Contratista, sin que estas hayan sido notificadas a la Entidad. La sumatoria de estas multas no podrá ser superior al diez por ciento (10 %) del valor del contrato.</w:t>
      </w:r>
    </w:p>
    <w:p w14:paraId="4981A0B3">
      <w:pPr>
        <w:spacing w:before="100" w:beforeAutospacing="1" w:after="100" w:afterAutospacing="1"/>
        <w:rPr>
          <w:rFonts w:ascii="Arial" w:hAnsi="Arial" w:eastAsia="Times New Roman" w:cs="Arial"/>
          <w:sz w:val="22"/>
          <w:lang w:eastAsia="es-ES"/>
        </w:rPr>
      </w:pPr>
      <w:r>
        <w:rPr>
          <w:rFonts w:ascii="Arial" w:hAnsi="Arial" w:eastAsia="Times New Roman" w:cs="Arial"/>
          <w:sz w:val="22"/>
          <w:lang w:eastAsia="es-ES"/>
        </w:rPr>
        <w:t xml:space="preserve">El incumplimiento de la obligación de vincular al menos el </w:t>
      </w:r>
      <w:r>
        <w:rPr>
          <w:rFonts w:ascii="Arial" w:hAnsi="Arial" w:eastAsia="Times New Roman" w:cs="Arial"/>
          <w:bCs/>
          <w:sz w:val="22"/>
          <w:lang w:eastAsia="es-ES"/>
        </w:rPr>
        <w:t>cuarenta por ciento (40 %)</w:t>
      </w:r>
      <w:r>
        <w:rPr>
          <w:rFonts w:ascii="Arial" w:hAnsi="Arial" w:eastAsia="Times New Roman" w:cs="Arial"/>
          <w:sz w:val="22"/>
          <w:lang w:eastAsia="es-ES"/>
        </w:rPr>
        <w:t xml:space="preserve"> de personal colombiano causará multas equivalentes a </w:t>
      </w:r>
      <w:r>
        <w:rPr>
          <w:rFonts w:ascii="Arial" w:hAnsi="Arial" w:eastAsia="Times New Roman" w:cs="Arial"/>
          <w:bCs/>
          <w:sz w:val="22"/>
          <w:lang w:eastAsia="es-ES"/>
        </w:rPr>
        <w:t>un (1) SMMLV</w:t>
      </w:r>
      <w:r>
        <w:rPr>
          <w:rFonts w:ascii="Arial" w:hAnsi="Arial" w:eastAsia="Times New Roman" w:cs="Arial"/>
          <w:sz w:val="22"/>
          <w:lang w:eastAsia="es-ES"/>
        </w:rPr>
        <w:t xml:space="preserve"> por cada día de incumplimiento.</w:t>
      </w:r>
    </w:p>
    <w:p w14:paraId="0CFED0D7">
      <w:pPr>
        <w:spacing w:before="100" w:beforeAutospacing="1" w:after="100" w:afterAutospacing="1"/>
        <w:rPr>
          <w:rFonts w:ascii="Arial" w:hAnsi="Arial" w:eastAsia="Times New Roman" w:cs="Arial"/>
          <w:sz w:val="22"/>
          <w:lang w:eastAsia="es-ES"/>
        </w:rPr>
      </w:pPr>
      <w:r>
        <w:rPr>
          <w:rFonts w:ascii="Arial" w:hAnsi="Arial" w:eastAsia="Times New Roman" w:cs="Arial"/>
          <w:sz w:val="22"/>
          <w:lang w:eastAsia="es-ES"/>
        </w:rPr>
        <w:t xml:space="preserve">El incumplimiento de la obligación de vincular como mínimo el noventa por ciento (90 %) de personal calificado de origen colombiano causará multas equivalentes a </w:t>
      </w:r>
      <w:r>
        <w:rPr>
          <w:rFonts w:ascii="Arial" w:hAnsi="Arial" w:eastAsia="Times New Roman" w:cs="Arial"/>
          <w:bCs/>
          <w:sz w:val="22"/>
          <w:lang w:eastAsia="es-ES"/>
        </w:rPr>
        <w:t>un (1) SMMLV</w:t>
      </w:r>
      <w:r>
        <w:rPr>
          <w:rFonts w:ascii="Arial" w:hAnsi="Arial" w:eastAsia="Times New Roman" w:cs="Arial"/>
          <w:sz w:val="22"/>
          <w:lang w:eastAsia="es-ES"/>
        </w:rPr>
        <w:t xml:space="preserve"> por cada día de incumplimiento.</w:t>
      </w:r>
    </w:p>
    <w:p w14:paraId="269E8B78">
      <w:pPr>
        <w:spacing w:before="100" w:beforeAutospacing="1" w:after="100" w:afterAutospacing="1"/>
        <w:rPr>
          <w:rFonts w:ascii="Arial" w:hAnsi="Arial" w:eastAsia="Times New Roman" w:cs="Arial"/>
          <w:sz w:val="22"/>
          <w:lang w:eastAsia="es-ES"/>
        </w:rPr>
      </w:pPr>
      <w:r>
        <w:rPr>
          <w:rFonts w:ascii="Arial" w:hAnsi="Arial" w:eastAsia="Times New Roman" w:cs="Arial"/>
          <w:bCs/>
          <w:sz w:val="22"/>
          <w:lang w:eastAsia="es-ES"/>
        </w:rPr>
        <w:t>Incumplimientos generales durante la ejecución del contrato</w:t>
      </w:r>
      <w:r>
        <w:rPr>
          <w:rFonts w:ascii="Arial" w:hAnsi="Arial" w:eastAsia="Times New Roman" w:cs="Arial"/>
          <w:sz w:val="22"/>
          <w:lang w:eastAsia="es-ES"/>
        </w:rPr>
        <w:t xml:space="preserve"> se causarán las siguientes multas:</w:t>
      </w:r>
    </w:p>
    <w:p w14:paraId="2B593963">
      <w:pPr>
        <w:pStyle w:val="31"/>
        <w:numPr>
          <w:ilvl w:val="0"/>
          <w:numId w:val="12"/>
        </w:numPr>
        <w:spacing w:before="100" w:beforeAutospacing="1" w:after="100" w:afterAutospacing="1"/>
        <w:rPr>
          <w:rFonts w:ascii="Arial" w:hAnsi="Arial" w:eastAsia="Times New Roman" w:cs="Arial"/>
          <w:sz w:val="22"/>
          <w:lang w:eastAsia="es-ES"/>
        </w:rPr>
      </w:pPr>
      <w:r>
        <w:rPr>
          <w:rFonts w:ascii="Arial" w:hAnsi="Arial" w:eastAsia="Times New Roman" w:cs="Arial"/>
          <w:sz w:val="22"/>
          <w:lang w:eastAsia="es-ES"/>
        </w:rPr>
        <w:t xml:space="preserve">Por atraso o incumplimiento del plan de trabajo: multa equivalente al </w:t>
      </w:r>
      <w:r>
        <w:rPr>
          <w:rFonts w:ascii="Arial" w:hAnsi="Arial" w:eastAsia="Times New Roman" w:cs="Arial"/>
          <w:bCs/>
          <w:sz w:val="22"/>
          <w:lang w:eastAsia="es-ES"/>
        </w:rPr>
        <w:t>0,5 % del valor del contrato</w:t>
      </w:r>
      <w:r>
        <w:rPr>
          <w:rFonts w:ascii="Arial" w:hAnsi="Arial" w:eastAsia="Times New Roman" w:cs="Arial"/>
          <w:sz w:val="22"/>
          <w:lang w:eastAsia="es-ES"/>
        </w:rPr>
        <w:t>, por cada día calendario de atraso.</w:t>
      </w:r>
    </w:p>
    <w:p w14:paraId="18FB46AF">
      <w:pPr>
        <w:pStyle w:val="31"/>
        <w:numPr>
          <w:ilvl w:val="0"/>
          <w:numId w:val="12"/>
        </w:numPr>
        <w:spacing w:before="100" w:beforeAutospacing="1" w:after="100" w:afterAutospacing="1"/>
        <w:rPr>
          <w:rFonts w:ascii="Arial" w:hAnsi="Arial" w:eastAsia="Times New Roman" w:cs="Arial"/>
          <w:sz w:val="22"/>
          <w:lang w:eastAsia="es-ES"/>
        </w:rPr>
      </w:pPr>
      <w:r>
        <w:rPr>
          <w:rFonts w:ascii="Arial" w:hAnsi="Arial" w:eastAsia="Times New Roman" w:cs="Arial"/>
          <w:sz w:val="22"/>
          <w:lang w:eastAsia="es-ES"/>
        </w:rPr>
        <w:t xml:space="preserve">Por no mantener vigentes, renovar, prorrogar o adicionar las garantías en los plazos y montos establecidos: multa equivalente al </w:t>
      </w:r>
      <w:r>
        <w:rPr>
          <w:rFonts w:ascii="Arial" w:hAnsi="Arial" w:eastAsia="Times New Roman" w:cs="Arial"/>
          <w:bCs/>
          <w:sz w:val="22"/>
          <w:lang w:eastAsia="es-ES"/>
        </w:rPr>
        <w:t>0,5 % del valor del contrato</w:t>
      </w:r>
      <w:r>
        <w:rPr>
          <w:rFonts w:ascii="Arial" w:hAnsi="Arial" w:eastAsia="Times New Roman" w:cs="Arial"/>
          <w:sz w:val="22"/>
          <w:lang w:eastAsia="es-ES"/>
        </w:rPr>
        <w:t>, por cada día de atraso.</w:t>
      </w:r>
    </w:p>
    <w:p w14:paraId="7AD3787E">
      <w:pPr>
        <w:pStyle w:val="31"/>
        <w:numPr>
          <w:ilvl w:val="0"/>
          <w:numId w:val="13"/>
        </w:numPr>
        <w:spacing w:before="100" w:beforeAutospacing="1" w:after="100" w:afterAutospacing="1"/>
        <w:rPr>
          <w:rFonts w:ascii="Arial" w:hAnsi="Arial" w:eastAsia="Times New Roman" w:cs="Arial"/>
          <w:sz w:val="22"/>
          <w:lang w:eastAsia="es-ES"/>
        </w:rPr>
      </w:pPr>
      <w:r>
        <w:rPr>
          <w:rFonts w:ascii="Arial" w:hAnsi="Arial" w:eastAsia="Times New Roman" w:cs="Arial"/>
          <w:sz w:val="22"/>
          <w:lang w:eastAsia="es-ES"/>
        </w:rPr>
        <w:t xml:space="preserve">Por no entregar información completa solicitada por el supervisor dentro de los plazos razonables: multa equivalente al </w:t>
      </w:r>
      <w:r>
        <w:rPr>
          <w:rFonts w:ascii="Arial" w:hAnsi="Arial" w:eastAsia="Times New Roman" w:cs="Arial"/>
          <w:bCs/>
          <w:sz w:val="22"/>
          <w:lang w:eastAsia="es-ES"/>
        </w:rPr>
        <w:t>0,5 % del valor del contrato</w:t>
      </w:r>
      <w:r>
        <w:rPr>
          <w:rFonts w:ascii="Arial" w:hAnsi="Arial" w:eastAsia="Times New Roman" w:cs="Arial"/>
          <w:sz w:val="22"/>
          <w:lang w:eastAsia="es-ES"/>
        </w:rPr>
        <w:t>, por cada día de atraso.</w:t>
      </w:r>
    </w:p>
    <w:p w14:paraId="1DC28092">
      <w:pPr>
        <w:pStyle w:val="31"/>
        <w:numPr>
          <w:ilvl w:val="0"/>
          <w:numId w:val="12"/>
        </w:numPr>
        <w:spacing w:before="100" w:beforeAutospacing="1" w:after="100" w:afterAutospacing="1"/>
        <w:rPr>
          <w:rFonts w:ascii="Arial" w:hAnsi="Arial" w:eastAsia="Times New Roman" w:cs="Arial"/>
          <w:sz w:val="22"/>
          <w:lang w:eastAsia="es-ES"/>
        </w:rPr>
      </w:pPr>
      <w:r>
        <w:rPr>
          <w:rFonts w:ascii="Arial" w:hAnsi="Arial" w:eastAsia="Times New Roman" w:cs="Arial"/>
          <w:sz w:val="22"/>
          <w:lang w:eastAsia="es-ES"/>
        </w:rPr>
        <w:t xml:space="preserve">Por atraso en la firma del acta de inicio o en el inicio efectivo de la ejecución: multa diaria equivalente al </w:t>
      </w:r>
      <w:r>
        <w:rPr>
          <w:rFonts w:ascii="Arial" w:hAnsi="Arial" w:eastAsia="Times New Roman" w:cs="Arial"/>
          <w:bCs/>
          <w:sz w:val="22"/>
          <w:lang w:eastAsia="es-ES"/>
        </w:rPr>
        <w:t>0,5 % del valor del contrato</w:t>
      </w:r>
      <w:r>
        <w:rPr>
          <w:rFonts w:ascii="Arial" w:hAnsi="Arial" w:eastAsia="Times New Roman" w:cs="Arial"/>
          <w:sz w:val="22"/>
          <w:lang w:eastAsia="es-ES"/>
        </w:rPr>
        <w:t>.</w:t>
      </w:r>
    </w:p>
    <w:p w14:paraId="49CB3230">
      <w:pPr>
        <w:pStyle w:val="31"/>
        <w:numPr>
          <w:ilvl w:val="0"/>
          <w:numId w:val="12"/>
        </w:numPr>
        <w:spacing w:before="100" w:beforeAutospacing="1" w:after="100" w:afterAutospacing="1"/>
        <w:rPr>
          <w:rFonts w:ascii="Arial" w:hAnsi="Arial" w:eastAsia="Times New Roman" w:cs="Arial"/>
          <w:sz w:val="22"/>
          <w:lang w:eastAsia="es-ES"/>
        </w:rPr>
      </w:pPr>
      <w:r>
        <w:rPr>
          <w:rFonts w:ascii="Arial" w:hAnsi="Arial" w:eastAsia="Times New Roman" w:cs="Arial"/>
          <w:sz w:val="22"/>
          <w:lang w:eastAsia="es-ES"/>
        </w:rPr>
        <w:t xml:space="preserve">Por no entregar soportes de formación académica y experiencia del equipo de trabajo en el plazo definido: multa equivalente al </w:t>
      </w:r>
      <w:r>
        <w:rPr>
          <w:rFonts w:ascii="Arial" w:hAnsi="Arial" w:eastAsia="Times New Roman" w:cs="Arial"/>
          <w:bCs/>
          <w:sz w:val="22"/>
          <w:lang w:eastAsia="es-ES"/>
        </w:rPr>
        <w:t>0,5 % del valor del contrato</w:t>
      </w:r>
      <w:r>
        <w:rPr>
          <w:rFonts w:ascii="Arial" w:hAnsi="Arial" w:eastAsia="Times New Roman" w:cs="Arial"/>
          <w:sz w:val="22"/>
          <w:lang w:eastAsia="es-ES"/>
        </w:rPr>
        <w:t>, por cada día de atraso.</w:t>
      </w:r>
    </w:p>
    <w:p w14:paraId="13512A6A">
      <w:pPr>
        <w:pStyle w:val="31"/>
        <w:numPr>
          <w:ilvl w:val="0"/>
          <w:numId w:val="12"/>
        </w:numPr>
        <w:spacing w:before="100" w:beforeAutospacing="1" w:after="100" w:afterAutospacing="1"/>
        <w:rPr>
          <w:rFonts w:ascii="Arial" w:hAnsi="Arial" w:eastAsia="Times New Roman" w:cs="Arial"/>
          <w:sz w:val="22"/>
          <w:lang w:eastAsia="es-ES"/>
        </w:rPr>
      </w:pPr>
      <w:r>
        <w:rPr>
          <w:rFonts w:ascii="Arial" w:hAnsi="Arial" w:eastAsia="Times New Roman" w:cs="Arial"/>
          <w:sz w:val="22"/>
          <w:lang w:eastAsia="es-ES"/>
        </w:rPr>
        <w:t xml:space="preserve">Por no entregar documentos en papel certificado con sello ambiental colombiano, reciclado o sostenible: multa equivalente al </w:t>
      </w:r>
      <w:r>
        <w:rPr>
          <w:rFonts w:ascii="Arial" w:hAnsi="Arial" w:eastAsia="Times New Roman" w:cs="Arial"/>
          <w:bCs/>
          <w:sz w:val="22"/>
          <w:lang w:eastAsia="es-ES"/>
        </w:rPr>
        <w:t>1 % del valor total del contrato</w:t>
      </w:r>
      <w:r>
        <w:rPr>
          <w:rFonts w:ascii="Arial" w:hAnsi="Arial" w:eastAsia="Times New Roman" w:cs="Arial"/>
          <w:sz w:val="22"/>
          <w:lang w:eastAsia="es-ES"/>
        </w:rPr>
        <w:t>.</w:t>
      </w:r>
    </w:p>
    <w:p w14:paraId="2BD4E938">
      <w:pPr>
        <w:pStyle w:val="31"/>
        <w:numPr>
          <w:ilvl w:val="0"/>
          <w:numId w:val="12"/>
        </w:numPr>
        <w:spacing w:before="100" w:beforeAutospacing="1" w:after="100" w:afterAutospacing="1"/>
        <w:rPr>
          <w:rFonts w:ascii="Arial" w:hAnsi="Arial" w:eastAsia="Times New Roman" w:cs="Arial"/>
          <w:sz w:val="22"/>
          <w:lang w:eastAsia="es-ES"/>
        </w:rPr>
      </w:pPr>
      <w:r>
        <w:rPr>
          <w:rFonts w:ascii="Arial" w:hAnsi="Arial" w:eastAsia="Times New Roman" w:cs="Arial"/>
          <w:sz w:val="22"/>
          <w:lang w:eastAsia="es-ES"/>
        </w:rPr>
        <w:t xml:space="preserve">Por incumplir órdenes del supervisor sin justa causa: multa equivalente al </w:t>
      </w:r>
      <w:r>
        <w:rPr>
          <w:rFonts w:ascii="Arial" w:hAnsi="Arial" w:eastAsia="Times New Roman" w:cs="Arial"/>
          <w:bCs/>
          <w:sz w:val="22"/>
          <w:lang w:eastAsia="es-ES"/>
        </w:rPr>
        <w:t>0,5 % del valor del contrato</w:t>
      </w:r>
      <w:r>
        <w:rPr>
          <w:rFonts w:ascii="Arial" w:hAnsi="Arial" w:eastAsia="Times New Roman" w:cs="Arial"/>
          <w:sz w:val="22"/>
          <w:lang w:eastAsia="es-ES"/>
        </w:rPr>
        <w:t>, por cada orden incumplida.</w:t>
      </w:r>
    </w:p>
    <w:p w14:paraId="2203D27A">
      <w:pPr>
        <w:pStyle w:val="31"/>
        <w:numPr>
          <w:ilvl w:val="0"/>
          <w:numId w:val="12"/>
        </w:numPr>
        <w:spacing w:before="100" w:beforeAutospacing="1" w:after="100" w:afterAutospacing="1"/>
        <w:rPr>
          <w:rFonts w:ascii="Arial" w:hAnsi="Arial" w:eastAsia="Times New Roman" w:cs="Arial"/>
          <w:sz w:val="22"/>
          <w:lang w:eastAsia="es-ES"/>
        </w:rPr>
      </w:pPr>
      <w:r>
        <w:rPr>
          <w:rFonts w:ascii="Arial" w:hAnsi="Arial" w:eastAsia="Times New Roman" w:cs="Arial"/>
          <w:sz w:val="22"/>
          <w:lang w:eastAsia="es-ES"/>
        </w:rPr>
        <w:t xml:space="preserve">Por cambiar el equipo de trabajo sin aprobación previa: multa equivalente al </w:t>
      </w:r>
      <w:r>
        <w:rPr>
          <w:rFonts w:ascii="Arial" w:hAnsi="Arial" w:eastAsia="Times New Roman" w:cs="Arial"/>
          <w:bCs/>
          <w:sz w:val="22"/>
          <w:lang w:eastAsia="es-ES"/>
        </w:rPr>
        <w:t>1 % del valor del contrato</w:t>
      </w:r>
      <w:r>
        <w:rPr>
          <w:rFonts w:ascii="Arial" w:hAnsi="Arial" w:eastAsia="Times New Roman" w:cs="Arial"/>
          <w:sz w:val="22"/>
          <w:lang w:eastAsia="es-ES"/>
        </w:rPr>
        <w:t>.</w:t>
      </w:r>
    </w:p>
    <w:p w14:paraId="07AE5097">
      <w:pPr>
        <w:pStyle w:val="31"/>
        <w:numPr>
          <w:ilvl w:val="0"/>
          <w:numId w:val="12"/>
        </w:numPr>
        <w:spacing w:before="100" w:beforeAutospacing="1" w:after="100" w:afterAutospacing="1"/>
        <w:rPr>
          <w:rFonts w:ascii="Arial" w:hAnsi="Arial" w:eastAsia="Times New Roman" w:cs="Arial"/>
          <w:sz w:val="22"/>
          <w:lang w:eastAsia="es-ES"/>
        </w:rPr>
      </w:pPr>
      <w:r>
        <w:rPr>
          <w:rFonts w:ascii="Arial" w:hAnsi="Arial" w:eastAsia="Times New Roman" w:cs="Arial"/>
          <w:sz w:val="22"/>
          <w:lang w:eastAsia="es-ES"/>
        </w:rPr>
        <w:t xml:space="preserve">Por vincular personal que no cumpla con las condiciones mínimas exigidas: multa equivalente al </w:t>
      </w:r>
      <w:r>
        <w:rPr>
          <w:rFonts w:ascii="Arial" w:hAnsi="Arial" w:eastAsia="Times New Roman" w:cs="Arial"/>
          <w:bCs/>
          <w:sz w:val="22"/>
          <w:lang w:eastAsia="es-ES"/>
        </w:rPr>
        <w:t>0,5 % del valor del contrato</w:t>
      </w:r>
      <w:r>
        <w:rPr>
          <w:rFonts w:ascii="Arial" w:hAnsi="Arial" w:eastAsia="Times New Roman" w:cs="Arial"/>
          <w:sz w:val="22"/>
          <w:lang w:eastAsia="es-ES"/>
        </w:rPr>
        <w:t>.</w:t>
      </w:r>
    </w:p>
    <w:p w14:paraId="45566229">
      <w:pPr>
        <w:pStyle w:val="31"/>
        <w:numPr>
          <w:ilvl w:val="0"/>
          <w:numId w:val="12"/>
        </w:numPr>
        <w:spacing w:before="100" w:beforeAutospacing="1" w:after="100" w:afterAutospacing="1"/>
        <w:rPr>
          <w:rFonts w:ascii="Arial" w:hAnsi="Arial" w:eastAsia="Times New Roman" w:cs="Arial"/>
          <w:sz w:val="22"/>
          <w:lang w:eastAsia="es-ES"/>
        </w:rPr>
      </w:pPr>
      <w:r>
        <w:rPr>
          <w:rFonts w:ascii="Arial" w:hAnsi="Arial" w:eastAsia="Times New Roman" w:cs="Arial"/>
          <w:sz w:val="22"/>
          <w:lang w:eastAsia="es-ES"/>
        </w:rPr>
        <w:t xml:space="preserve">Por atraso en el pago de salarios, honorarios o remuneraciones al personal: multa equivalente a </w:t>
      </w:r>
      <w:r>
        <w:rPr>
          <w:rFonts w:ascii="Arial" w:hAnsi="Arial" w:eastAsia="Times New Roman" w:cs="Arial"/>
          <w:bCs/>
          <w:sz w:val="22"/>
          <w:lang w:eastAsia="es-ES"/>
        </w:rPr>
        <w:t>un (1) SMMLV</w:t>
      </w:r>
      <w:r>
        <w:rPr>
          <w:rFonts w:ascii="Arial" w:hAnsi="Arial" w:eastAsia="Times New Roman" w:cs="Arial"/>
          <w:sz w:val="22"/>
          <w:lang w:eastAsia="es-ES"/>
        </w:rPr>
        <w:t xml:space="preserve"> por cada día de atraso.</w:t>
      </w:r>
    </w:p>
    <w:p w14:paraId="1E00864E">
      <w:pPr>
        <w:rPr>
          <w:rFonts w:ascii="Arial" w:hAnsi="Arial" w:cs="Arial"/>
          <w:sz w:val="22"/>
          <w:lang w:val="es-CO"/>
        </w:rPr>
      </w:pPr>
      <w:r>
        <w:rPr>
          <w:rFonts w:ascii="Arial" w:hAnsi="Arial" w:cs="Arial"/>
          <w:b/>
          <w:bCs/>
          <w:sz w:val="22"/>
          <w:lang w:val="es-CO"/>
        </w:rPr>
        <w:t>Parágrafo 1.</w:t>
      </w:r>
      <w:r>
        <w:rPr>
          <w:rFonts w:ascii="Arial" w:hAnsi="Arial" w:cs="Arial"/>
          <w:sz w:val="22"/>
          <w:lang w:val="es-CO"/>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152D15C9">
      <w:pPr>
        <w:rPr>
          <w:rFonts w:ascii="Arial" w:hAnsi="Arial" w:cs="Arial"/>
          <w:sz w:val="22"/>
          <w:lang w:val="es-CO"/>
        </w:rPr>
      </w:pPr>
    </w:p>
    <w:p w14:paraId="7DA98360">
      <w:pPr>
        <w:rPr>
          <w:rFonts w:ascii="Arial" w:hAnsi="Arial" w:cs="Arial"/>
          <w:sz w:val="22"/>
        </w:rPr>
      </w:pPr>
      <w:r>
        <w:rPr>
          <w:rFonts w:ascii="Arial" w:hAnsi="Arial" w:cs="Arial"/>
          <w:b/>
          <w:bCs/>
          <w:sz w:val="22"/>
          <w:lang w:val="es-CO"/>
        </w:rPr>
        <w:t xml:space="preserve">Parágrafo 2. </w:t>
      </w:r>
      <w:r>
        <w:rPr>
          <w:rFonts w:ascii="Arial" w:hAnsi="Arial" w:cs="Arial"/>
          <w:sz w:val="22"/>
        </w:rPr>
        <w:t>En caso de que el Contratista incurra en una de las causales de multa, este autoriza a la Entidad para descontar el valor de la misma, la cual se tomará directamente de cualquier suma que se le adeude, sin perjuicio de hacer efectiva la Garantía de cumplimiento del contrato.</w:t>
      </w:r>
    </w:p>
    <w:p w14:paraId="6B220564">
      <w:pPr>
        <w:rPr>
          <w:rFonts w:ascii="Arial" w:hAnsi="Arial" w:cs="Arial"/>
          <w:sz w:val="22"/>
          <w:lang w:val="es-CO"/>
        </w:rPr>
      </w:pPr>
    </w:p>
    <w:p w14:paraId="1335AF90">
      <w:pPr>
        <w:rPr>
          <w:rFonts w:ascii="Arial" w:hAnsi="Arial" w:cs="Arial"/>
          <w:sz w:val="22"/>
          <w:lang w:val="es-CO"/>
        </w:rPr>
      </w:pPr>
      <w:r>
        <w:rPr>
          <w:rFonts w:ascii="Arial" w:hAnsi="Arial" w:cs="Arial"/>
          <w:b/>
          <w:bCs/>
          <w:sz w:val="22"/>
          <w:lang w:val="es-CO"/>
        </w:rPr>
        <w:t xml:space="preserve">Parágrafo 3. </w:t>
      </w:r>
      <w:r>
        <w:rPr>
          <w:rFonts w:ascii="Arial" w:hAnsi="Arial" w:cs="Arial"/>
          <w:sz w:val="22"/>
          <w:lang w:val="es-CO"/>
        </w:rPr>
        <w:t xml:space="preserve">El pago en cualquier forma, incluyendo la deducción de los valores adeudados al Contratista, realizado con fundamento en las multas impuestas, no lo exonerará de continuar con la ejecución del contrato ni de las demás responsabilidades y obligaciones que emanen del mismo amén de la obligación incumplida. </w:t>
      </w:r>
    </w:p>
    <w:p w14:paraId="0D9CDFE3">
      <w:pPr>
        <w:rPr>
          <w:rFonts w:ascii="Arial" w:hAnsi="Arial" w:cs="Arial"/>
          <w:sz w:val="22"/>
          <w:lang w:val="es-CO"/>
        </w:rPr>
      </w:pPr>
    </w:p>
    <w:p w14:paraId="5645C042">
      <w:pPr>
        <w:rPr>
          <w:rFonts w:ascii="Arial" w:hAnsi="Arial" w:cs="Arial"/>
          <w:sz w:val="22"/>
          <w:lang w:val="es-CO"/>
        </w:rPr>
      </w:pPr>
      <w:r>
        <w:rPr>
          <w:rFonts w:ascii="Arial" w:hAnsi="Arial" w:cs="Arial"/>
          <w:b/>
          <w:bCs/>
          <w:sz w:val="22"/>
          <w:lang w:val="es-CO"/>
        </w:rPr>
        <w:t xml:space="preserve">Parágrafo 4. </w:t>
      </w:r>
      <w:r>
        <w:rPr>
          <w:rFonts w:ascii="Arial" w:hAnsi="Arial" w:cs="Arial"/>
          <w:sz w:val="22"/>
          <w:lang w:val="es-CO"/>
        </w:rPr>
        <w:t>En caso de que el Contratista reincida en el incumplimiento de una o de varias obligaciones podrán imponer nuevas multas.</w:t>
      </w:r>
    </w:p>
    <w:p w14:paraId="4CED980A">
      <w:pPr>
        <w:rPr>
          <w:rFonts w:ascii="Arial" w:hAnsi="Arial" w:cs="Arial"/>
          <w:sz w:val="22"/>
          <w:lang w:val="es-CO"/>
        </w:rPr>
      </w:pPr>
    </w:p>
    <w:p w14:paraId="51EE9F55">
      <w:pPr>
        <w:rPr>
          <w:rFonts w:ascii="Arial" w:hAnsi="Arial" w:cs="Arial"/>
          <w:sz w:val="22"/>
          <w:lang w:val="es-CO"/>
        </w:rPr>
      </w:pPr>
      <w:r>
        <w:rPr>
          <w:rFonts w:ascii="Arial" w:hAnsi="Arial" w:cs="Arial"/>
          <w:b/>
          <w:bCs/>
          <w:sz w:val="22"/>
          <w:lang w:val="es-CO"/>
        </w:rPr>
        <w:t xml:space="preserve">Parágrafo 5. </w:t>
      </w:r>
      <w:r>
        <w:rPr>
          <w:rFonts w:ascii="Arial" w:hAnsi="Arial" w:cs="Arial"/>
          <w:sz w:val="22"/>
          <w:lang w:val="es-CO"/>
        </w:rPr>
        <w:t>Para efectos de la imposición de las multas el salario mínimo diario o mensual vigente, será aquel que rija para el momento de la expedición del acto administrativo que lo declara.</w:t>
      </w:r>
    </w:p>
    <w:p w14:paraId="4A6368B4">
      <w:pPr>
        <w:rPr>
          <w:rFonts w:ascii="Arial" w:hAnsi="Arial" w:cs="Arial"/>
          <w:sz w:val="22"/>
          <w:lang w:val="es-CO"/>
        </w:rPr>
      </w:pPr>
    </w:p>
    <w:p w14:paraId="62B49FA6">
      <w:pPr>
        <w:rPr>
          <w:rFonts w:ascii="Arial" w:hAnsi="Arial" w:cs="Arial"/>
          <w:sz w:val="22"/>
          <w:lang w:val="es-CO"/>
        </w:rPr>
      </w:pPr>
      <w:r>
        <w:rPr>
          <w:rFonts w:ascii="Arial" w:hAnsi="Arial" w:cs="Arial"/>
          <w:b/>
          <w:bCs/>
          <w:sz w:val="22"/>
          <w:lang w:val="es-CO"/>
        </w:rPr>
        <w:t xml:space="preserve">Parágrafo 6. </w:t>
      </w:r>
      <w:r>
        <w:rPr>
          <w:rFonts w:ascii="Arial" w:hAnsi="Arial" w:cs="Arial"/>
          <w:sz w:val="22"/>
          <w:lang w:val="es-CO"/>
        </w:rPr>
        <w:t>El monto de ninguna de las sanciones asociadas a cada causal de multa, aplicada de forma independiente, podrá ser superior al cinco por ciento (5 %) del valor del contrato, particularmente frente a aquellas que se imponen de forma sucesiva. Lo anterior, sin perjuicio de que se inicie un nuevo procedimiento sancionatorio para efectos de imponer nuevas multas.</w:t>
      </w:r>
    </w:p>
    <w:p w14:paraId="465D907A">
      <w:pPr>
        <w:rPr>
          <w:rFonts w:ascii="Arial" w:hAnsi="Arial" w:cs="Arial"/>
          <w:sz w:val="22"/>
          <w:lang w:val="es-CO"/>
        </w:rPr>
      </w:pPr>
    </w:p>
    <w:p w14:paraId="0E7C64C0">
      <w:pPr>
        <w:rPr>
          <w:rFonts w:ascii="Arial" w:hAnsi="Arial" w:cs="Arial"/>
          <w:sz w:val="22"/>
          <w:lang w:val="es-CO"/>
        </w:rPr>
      </w:pPr>
      <w:r>
        <w:rPr>
          <w:rFonts w:ascii="Arial" w:hAnsi="Arial" w:cs="Arial"/>
          <w:b/>
          <w:sz w:val="22"/>
          <w:lang w:val="es-CO"/>
        </w:rPr>
        <w:t>Parágrafo 7°.</w:t>
      </w:r>
      <w:r>
        <w:rPr>
          <w:rFonts w:ascii="Arial" w:hAnsi="Arial" w:cs="Arial"/>
          <w:sz w:val="22"/>
          <w:lang w:val="es-CO"/>
        </w:rPr>
        <w:t xml:space="preserve"> En caso de que la Entidad imponga diferentes multas por causales distintas, el monto de las sanciones no podrá ser superior al diez (10%) del valor total del contrato.</w:t>
      </w:r>
    </w:p>
    <w:p w14:paraId="5531D7B7">
      <w:pPr>
        <w:rPr>
          <w:rFonts w:ascii="Arial" w:hAnsi="Arial" w:cs="Arial"/>
          <w:sz w:val="22"/>
          <w:lang w:val="es-CO"/>
        </w:rPr>
      </w:pPr>
    </w:p>
    <w:p w14:paraId="59A9B9A2">
      <w:pPr>
        <w:rPr>
          <w:rFonts w:ascii="Arial" w:hAnsi="Arial" w:cs="Arial"/>
          <w:sz w:val="22"/>
        </w:rPr>
      </w:pPr>
    </w:p>
    <w:p w14:paraId="363DED56">
      <w:pPr>
        <w:pStyle w:val="37"/>
        <w:numPr>
          <w:ilvl w:val="0"/>
          <w:numId w:val="0"/>
        </w:numPr>
        <w:tabs>
          <w:tab w:val="left" w:pos="1560"/>
        </w:tabs>
        <w:spacing w:before="0" w:after="0"/>
        <w:ind w:left="425"/>
        <w:outlineLvl w:val="0"/>
        <w:rPr>
          <w:rFonts w:ascii="Arial" w:hAnsi="Arial" w:cs="Arial"/>
          <w:sz w:val="22"/>
        </w:rPr>
      </w:pPr>
      <w:r>
        <w:rPr>
          <w:rFonts w:ascii="Arial" w:hAnsi="Arial" w:cs="Arial"/>
          <w:sz w:val="22"/>
        </w:rPr>
        <w:t xml:space="preserve"> CLÁUSULA 16 PENAL </w:t>
      </w:r>
    </w:p>
    <w:p w14:paraId="14E7F1E1">
      <w:pPr>
        <w:rPr>
          <w:rFonts w:ascii="Arial" w:hAnsi="Arial" w:cs="Arial"/>
          <w:sz w:val="22"/>
        </w:rPr>
      </w:pPr>
    </w:p>
    <w:p w14:paraId="14F19FF4">
      <w:pPr>
        <w:rPr>
          <w:rFonts w:ascii="Arial" w:hAnsi="Arial" w:cs="Arial"/>
          <w:sz w:val="22"/>
        </w:rPr>
      </w:pPr>
      <w:r>
        <w:rPr>
          <w:rFonts w:ascii="Arial" w:hAnsi="Arial" w:cs="Arial"/>
          <w:sz w:val="22"/>
        </w:rPr>
        <w:t>En caso de presentarse por parte del Contratista incumplimiento parcial o total del Contrato, este pagará a título de cláusula penal pecuniaria a la Entidad una suma equivalente al veinte (20% por ciento del valor del contrato. La imposición de esta pena pecuniaria se considerará como una estimación anticipada de perjuicios que el Contratista cause a la Entidad. El valor pagado como cláusula penal no es óbice para reclamar la indemnización integral de perjuicios causados si estos superan el valor de la pena.</w:t>
      </w:r>
    </w:p>
    <w:p w14:paraId="14922132">
      <w:pPr>
        <w:rPr>
          <w:rFonts w:ascii="Arial" w:hAnsi="Arial" w:cs="Arial"/>
          <w:sz w:val="22"/>
        </w:rPr>
      </w:pPr>
    </w:p>
    <w:p w14:paraId="45102E91">
      <w:pPr>
        <w:rPr>
          <w:rFonts w:ascii="Arial" w:hAnsi="Arial" w:cs="Arial"/>
          <w:sz w:val="22"/>
        </w:rPr>
      </w:pPr>
      <w:r>
        <w:rPr>
          <w:rFonts w:ascii="Arial" w:hAnsi="Arial" w:cs="Arial"/>
          <w:sz w:val="22"/>
        </w:rPr>
        <w:t xml:space="preserve">El pago o deducción de la cláusula penal no exonerará al Contratista del cumplimiento de sus obligaciones contractuales, incluyendo las que dieron lugar a la imposición de la pena. </w:t>
      </w:r>
    </w:p>
    <w:p w14:paraId="18D73B62">
      <w:pPr>
        <w:rPr>
          <w:rFonts w:ascii="Arial" w:hAnsi="Arial" w:cs="Arial"/>
          <w:sz w:val="22"/>
        </w:rPr>
      </w:pPr>
    </w:p>
    <w:p w14:paraId="140DD5C0">
      <w:pPr>
        <w:rPr>
          <w:rFonts w:ascii="Arial" w:hAnsi="Arial" w:cs="Arial"/>
          <w:sz w:val="22"/>
        </w:rPr>
      </w:pPr>
      <w:r>
        <w:rPr>
          <w:rFonts w:ascii="Arial" w:hAnsi="Arial" w:cs="Arial"/>
          <w:sz w:val="22"/>
        </w:rPr>
        <w:t>En caso de aplicar la cláusula penal, el Contratista autoriza expresamente a la Entidad con la firma del contrato, para hacer el descuento correspondiente de los valores a él adeudados, previo a practicar las retenciones por tributos a que haya lugar, sin perjuicio de lo anterior la Entidad podrá hacer efectiva la Garantía única de cumplimiento.</w:t>
      </w:r>
    </w:p>
    <w:p w14:paraId="71CDF499">
      <w:pPr>
        <w:rPr>
          <w:rFonts w:ascii="Arial" w:hAnsi="Arial" w:cs="Arial"/>
          <w:sz w:val="22"/>
        </w:rPr>
      </w:pPr>
    </w:p>
    <w:p w14:paraId="052D8739">
      <w:pPr>
        <w:rPr>
          <w:rFonts w:ascii="Arial" w:hAnsi="Arial" w:cs="Arial"/>
          <w:sz w:val="22"/>
        </w:rPr>
      </w:pPr>
      <w:r>
        <w:rPr>
          <w:rFonts w:ascii="Arial" w:hAnsi="Arial" w:cs="Arial"/>
          <w:b/>
          <w:bCs/>
          <w:sz w:val="22"/>
        </w:rPr>
        <w:t>Parágrafo 1.</w:t>
      </w:r>
      <w:r>
        <w:rPr>
          <w:rFonts w:ascii="Arial" w:hAnsi="Arial" w:cs="Arial"/>
          <w:sz w:val="22"/>
        </w:rPr>
        <w:t xml:space="preserve"> El pago de la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610D5B59">
      <w:pPr>
        <w:rPr>
          <w:rFonts w:ascii="Arial" w:hAnsi="Arial" w:cs="Arial"/>
          <w:sz w:val="22"/>
        </w:rPr>
      </w:pPr>
      <w:r>
        <w:rPr>
          <w:rFonts w:ascii="Arial" w:hAnsi="Arial" w:cs="Arial"/>
          <w:sz w:val="22"/>
          <w:highlight w:val="lightGray"/>
        </w:rPr>
        <w:t xml:space="preserve"> </w:t>
      </w:r>
    </w:p>
    <w:p w14:paraId="6B5DFF84">
      <w:pPr>
        <w:pStyle w:val="37"/>
        <w:numPr>
          <w:ilvl w:val="0"/>
          <w:numId w:val="0"/>
        </w:numPr>
        <w:tabs>
          <w:tab w:val="left" w:pos="993"/>
          <w:tab w:val="left" w:pos="1560"/>
        </w:tabs>
        <w:spacing w:before="0" w:after="0"/>
        <w:ind w:left="644" w:hanging="360"/>
        <w:outlineLvl w:val="0"/>
        <w:rPr>
          <w:rFonts w:ascii="Arial" w:hAnsi="Arial" w:cs="Arial"/>
          <w:b w:val="0"/>
          <w:sz w:val="22"/>
        </w:rPr>
      </w:pPr>
      <w:r>
        <w:rPr>
          <w:rFonts w:ascii="Arial" w:hAnsi="Arial" w:cs="Arial"/>
          <w:sz w:val="22"/>
        </w:rPr>
        <w:t xml:space="preserve">CLÁUSULA 17. GARANTÍAS </w:t>
      </w:r>
    </w:p>
    <w:p w14:paraId="41819FE5">
      <w:pPr>
        <w:pStyle w:val="40"/>
        <w:numPr>
          <w:ilvl w:val="0"/>
          <w:numId w:val="0"/>
        </w:numPr>
        <w:rPr>
          <w:rFonts w:ascii="Arial" w:hAnsi="Arial" w:cs="Arial"/>
          <w:b/>
          <w:color w:val="auto"/>
          <w:sz w:val="22"/>
        </w:rPr>
      </w:pPr>
    </w:p>
    <w:p w14:paraId="296DF209">
      <w:pPr>
        <w:pStyle w:val="40"/>
        <w:numPr>
          <w:ilvl w:val="0"/>
          <w:numId w:val="0"/>
        </w:numPr>
        <w:rPr>
          <w:rFonts w:ascii="Arial" w:hAnsi="Arial" w:cs="Arial"/>
          <w:b/>
          <w:color w:val="auto"/>
          <w:sz w:val="22"/>
        </w:rPr>
      </w:pPr>
      <w:r>
        <w:rPr>
          <w:rFonts w:ascii="Arial" w:hAnsi="Arial" w:cs="Arial"/>
          <w:b/>
          <w:color w:val="auto"/>
          <w:sz w:val="22"/>
        </w:rPr>
        <w:t xml:space="preserve">17.1 GARANTÍA DE CUMPLIMIENTO </w:t>
      </w:r>
    </w:p>
    <w:p w14:paraId="79EB140A">
      <w:pPr>
        <w:spacing w:before="100" w:beforeAutospacing="1" w:after="100" w:afterAutospacing="1"/>
        <w:rPr>
          <w:rFonts w:ascii="Arial" w:hAnsi="Arial" w:cs="Arial"/>
          <w:sz w:val="22"/>
        </w:rPr>
      </w:pPr>
      <w:r>
        <w:rPr>
          <w:rFonts w:ascii="Arial" w:hAnsi="Arial" w:eastAsia="Times New Roman" w:cs="Arial"/>
          <w:sz w:val="22"/>
          <w:lang w:eastAsia="es-ES"/>
        </w:rPr>
        <w:t xml:space="preserve">Para cubrir cualquier hecho constitutivo de incumplimiento, el Contratista deberá presentar a la Entidad la </w:t>
      </w:r>
      <w:r>
        <w:rPr>
          <w:rFonts w:ascii="Arial" w:hAnsi="Arial" w:eastAsia="Times New Roman" w:cs="Arial"/>
          <w:b/>
          <w:bCs/>
          <w:sz w:val="22"/>
          <w:lang w:eastAsia="es-ES"/>
        </w:rPr>
        <w:t>Garantía Única de Cumplimiento</w:t>
      </w:r>
      <w:r>
        <w:rPr>
          <w:rFonts w:ascii="Arial" w:hAnsi="Arial" w:eastAsia="Times New Roman" w:cs="Arial"/>
          <w:sz w:val="22"/>
          <w:lang w:eastAsia="es-ES"/>
        </w:rPr>
        <w:t xml:space="preserve"> en original dentro de los dos (2) días hábiles siguientes a la firma del contrato, la cual requerirá aprobación expresa por parte de la Entidad.  Como quiera que el contrato se celebra a través del </w:t>
      </w:r>
      <w:r>
        <w:rPr>
          <w:rFonts w:ascii="Arial" w:hAnsi="Arial" w:eastAsia="Times New Roman" w:cs="Arial"/>
          <w:b/>
          <w:bCs/>
          <w:sz w:val="22"/>
          <w:lang w:eastAsia="es-ES"/>
        </w:rPr>
        <w:t>SECOP II</w:t>
      </w:r>
      <w:r>
        <w:rPr>
          <w:rFonts w:ascii="Arial" w:hAnsi="Arial" w:eastAsia="Times New Roman" w:cs="Arial"/>
          <w:sz w:val="22"/>
          <w:lang w:eastAsia="es-ES"/>
        </w:rPr>
        <w:t xml:space="preserve">, la entrega de la póliza deberá realizarse por medio de la plataforma. </w:t>
      </w:r>
      <w:r>
        <w:rPr>
          <w:rFonts w:ascii="Arial" w:hAnsi="Arial" w:cs="Arial"/>
          <w:sz w:val="22"/>
        </w:rPr>
        <w:t xml:space="preserve">Esta Garantía tendrá las siguientes características: </w:t>
      </w:r>
    </w:p>
    <w:tbl>
      <w:tblPr>
        <w:tblStyle w:val="5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05"/>
        <w:gridCol w:w="7149"/>
      </w:tblGrid>
      <w:tr w14:paraId="2587A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trPr>
        <w:tc>
          <w:tcPr>
            <w:tcW w:w="0" w:type="auto"/>
            <w:tcBorders>
              <w:top w:val="single" w:color="auto" w:sz="4" w:space="0"/>
              <w:left w:val="single" w:color="auto" w:sz="4" w:space="0"/>
              <w:bottom w:val="single" w:color="auto" w:sz="4" w:space="0"/>
              <w:right w:val="single" w:color="auto" w:sz="4" w:space="0"/>
            </w:tcBorders>
            <w:shd w:val="clear" w:color="auto" w:fill="564F4F" w:themeFill="text1" w:themeFillTint="BF"/>
            <w:vAlign w:val="center"/>
          </w:tcPr>
          <w:p w14:paraId="4A6CBC7E">
            <w:pPr>
              <w:rPr>
                <w:rFonts w:ascii="Arial" w:hAnsi="Arial" w:eastAsia="Arial" w:cs="Arial"/>
                <w:b/>
                <w:sz w:val="22"/>
                <w:lang w:eastAsia="es-ES"/>
              </w:rPr>
            </w:pPr>
            <w:bookmarkStart w:id="1" w:name="_Hlk190081088"/>
            <w:r>
              <w:rPr>
                <w:rFonts w:ascii="Arial" w:hAnsi="Arial" w:eastAsia="Arial" w:cs="Arial"/>
                <w:b/>
                <w:sz w:val="22"/>
                <w:lang w:eastAsia="es-ES"/>
              </w:rPr>
              <w:t>Característica</w:t>
            </w:r>
          </w:p>
        </w:tc>
        <w:tc>
          <w:tcPr>
            <w:tcW w:w="0" w:type="auto"/>
            <w:tcBorders>
              <w:top w:val="single" w:color="auto" w:sz="4" w:space="0"/>
              <w:left w:val="single" w:color="auto" w:sz="4" w:space="0"/>
              <w:bottom w:val="single" w:color="auto" w:sz="4" w:space="0"/>
              <w:right w:val="single" w:color="auto" w:sz="4" w:space="0"/>
            </w:tcBorders>
            <w:shd w:val="clear" w:color="auto" w:fill="564F4F" w:themeFill="text1" w:themeFillTint="BF"/>
            <w:vAlign w:val="center"/>
          </w:tcPr>
          <w:p w14:paraId="4888072A">
            <w:pPr>
              <w:rPr>
                <w:rFonts w:ascii="Arial" w:hAnsi="Arial" w:eastAsia="Arial" w:cs="Arial"/>
                <w:b/>
                <w:sz w:val="22"/>
                <w:lang w:eastAsia="es-ES"/>
              </w:rPr>
            </w:pPr>
          </w:p>
        </w:tc>
      </w:tr>
      <w:tr w14:paraId="64CDA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tcBorders>
              <w:top w:val="single" w:color="auto" w:sz="4" w:space="0"/>
              <w:left w:val="single" w:color="auto" w:sz="4" w:space="0"/>
              <w:bottom w:val="single" w:color="auto" w:sz="4" w:space="0"/>
              <w:right w:val="single" w:color="auto" w:sz="4" w:space="0"/>
            </w:tcBorders>
            <w:vAlign w:val="center"/>
          </w:tcPr>
          <w:p w14:paraId="5FBDF4CC">
            <w:pPr>
              <w:rPr>
                <w:rFonts w:ascii="Arial" w:hAnsi="Arial" w:eastAsia="Arial" w:cs="Arial"/>
                <w:sz w:val="22"/>
                <w:lang w:eastAsia="es-ES"/>
              </w:rPr>
            </w:pPr>
            <w:r>
              <w:rPr>
                <w:rFonts w:ascii="Arial" w:hAnsi="Arial" w:eastAsia="Arial" w:cs="Arial"/>
                <w:sz w:val="22"/>
                <w:lang w:eastAsia="es-ES"/>
              </w:rPr>
              <w:t>Clase</w:t>
            </w:r>
          </w:p>
        </w:tc>
        <w:tc>
          <w:tcPr>
            <w:tcW w:w="0" w:type="auto"/>
            <w:tcBorders>
              <w:top w:val="single" w:color="auto" w:sz="4" w:space="0"/>
              <w:left w:val="single" w:color="auto" w:sz="4" w:space="0"/>
              <w:bottom w:val="single" w:color="auto" w:sz="4" w:space="0"/>
              <w:right w:val="single" w:color="auto" w:sz="4" w:space="0"/>
            </w:tcBorders>
            <w:vAlign w:val="center"/>
          </w:tcPr>
          <w:p w14:paraId="15652874">
            <w:pPr>
              <w:rPr>
                <w:rFonts w:ascii="Arial" w:hAnsi="Arial" w:eastAsia="Arial" w:cs="Arial"/>
                <w:sz w:val="22"/>
                <w:lang w:eastAsia="es-ES"/>
              </w:rPr>
            </w:pPr>
          </w:p>
        </w:tc>
      </w:tr>
      <w:tr w14:paraId="78943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tcBorders>
              <w:top w:val="single" w:color="auto" w:sz="4" w:space="0"/>
              <w:left w:val="single" w:color="auto" w:sz="4" w:space="0"/>
              <w:bottom w:val="single" w:color="auto" w:sz="4" w:space="0"/>
              <w:right w:val="single" w:color="auto" w:sz="4" w:space="0"/>
            </w:tcBorders>
            <w:vAlign w:val="center"/>
          </w:tcPr>
          <w:p w14:paraId="4032BBEA">
            <w:pPr>
              <w:rPr>
                <w:rFonts w:ascii="Arial" w:hAnsi="Arial" w:eastAsia="Arial" w:cs="Arial"/>
                <w:sz w:val="22"/>
                <w:lang w:eastAsia="es-ES"/>
              </w:rPr>
            </w:pPr>
            <w:r>
              <w:rPr>
                <w:rFonts w:ascii="Arial" w:hAnsi="Arial" w:eastAsia="Arial" w:cs="Arial"/>
                <w:sz w:val="22"/>
                <w:lang w:eastAsia="es-ES"/>
              </w:rPr>
              <w:t>Asegurado/ beneficiario</w:t>
            </w:r>
          </w:p>
        </w:tc>
        <w:tc>
          <w:tcPr>
            <w:tcW w:w="0" w:type="auto"/>
            <w:tcBorders>
              <w:top w:val="single" w:color="auto" w:sz="4" w:space="0"/>
              <w:left w:val="single" w:color="auto" w:sz="4" w:space="0"/>
              <w:bottom w:val="single" w:color="auto" w:sz="4" w:space="0"/>
              <w:right w:val="single" w:color="auto" w:sz="4" w:space="0"/>
            </w:tcBorders>
            <w:vAlign w:val="center"/>
          </w:tcPr>
          <w:p w14:paraId="755FD5A6">
            <w:pPr>
              <w:rPr>
                <w:rFonts w:ascii="Arial" w:hAnsi="Arial" w:eastAsia="Arial" w:cs="Arial"/>
                <w:sz w:val="22"/>
                <w:lang w:eastAsia="es-ES"/>
              </w:rPr>
            </w:pPr>
            <w:r>
              <w:rPr>
                <w:rFonts w:ascii="Arial" w:hAnsi="Arial" w:eastAsia="Arial" w:cs="Arial"/>
                <w:sz w:val="22"/>
                <w:lang w:eastAsia="es-ES"/>
              </w:rPr>
              <w:t xml:space="preserve">DEPARTAMENTO DE BOLÍVAR </w:t>
            </w:r>
          </w:p>
        </w:tc>
      </w:tr>
      <w:tr w14:paraId="2BED8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tcBorders>
              <w:top w:val="single" w:color="auto" w:sz="4" w:space="0"/>
              <w:left w:val="single" w:color="auto" w:sz="4" w:space="0"/>
              <w:bottom w:val="single" w:color="auto" w:sz="4" w:space="0"/>
              <w:right w:val="single" w:color="auto" w:sz="4" w:space="0"/>
            </w:tcBorders>
            <w:vAlign w:val="center"/>
          </w:tcPr>
          <w:p w14:paraId="686BA386">
            <w:pPr>
              <w:rPr>
                <w:rFonts w:ascii="Arial" w:hAnsi="Arial" w:eastAsia="Arial" w:cs="Arial"/>
                <w:sz w:val="22"/>
                <w:lang w:eastAsia="es-ES"/>
              </w:rPr>
            </w:pPr>
            <w:r>
              <w:rPr>
                <w:rFonts w:ascii="Arial" w:hAnsi="Arial" w:eastAsia="Arial" w:cs="Arial"/>
                <w:sz w:val="22"/>
                <w:lang w:eastAsia="es-ES"/>
              </w:rPr>
              <w:t>Amparos, vigencia y valores asegurados</w:t>
            </w:r>
          </w:p>
        </w:tc>
        <w:tc>
          <w:tcPr>
            <w:tcW w:w="0" w:type="auto"/>
            <w:tcBorders>
              <w:top w:val="single" w:color="auto" w:sz="4" w:space="0"/>
              <w:left w:val="single" w:color="auto" w:sz="4" w:space="0"/>
              <w:bottom w:val="single" w:color="auto" w:sz="4" w:space="0"/>
              <w:right w:val="single" w:color="auto" w:sz="4" w:space="0"/>
            </w:tcBorders>
            <w:vAlign w:val="center"/>
          </w:tcPr>
          <w:p w14:paraId="046D394E">
            <w:pPr>
              <w:rPr>
                <w:rFonts w:ascii="Arial" w:hAnsi="Arial" w:eastAsia="Arial" w:cs="Arial"/>
                <w:sz w:val="22"/>
                <w:lang w:eastAsia="es-ES"/>
              </w:rPr>
            </w:pPr>
          </w:p>
          <w:tbl>
            <w:tblPr>
              <w:tblStyle w:val="5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55"/>
              <w:gridCol w:w="1908"/>
              <w:gridCol w:w="2060"/>
            </w:tblGrid>
            <w:tr w14:paraId="68896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4" w:type="pct"/>
                  <w:tcBorders>
                    <w:top w:val="single" w:color="auto" w:sz="4" w:space="0"/>
                    <w:left w:val="single" w:color="auto" w:sz="4" w:space="0"/>
                    <w:bottom w:val="single" w:color="auto" w:sz="4" w:space="0"/>
                    <w:right w:val="single" w:color="auto" w:sz="4" w:space="0"/>
                  </w:tcBorders>
                  <w:shd w:val="clear" w:color="auto" w:fill="564F4F" w:themeFill="text1" w:themeFillTint="BF"/>
                </w:tcPr>
                <w:p w14:paraId="6D3C0ED8">
                  <w:pPr>
                    <w:rPr>
                      <w:rFonts w:ascii="Arial" w:hAnsi="Arial" w:eastAsia="Arial" w:cs="Arial"/>
                      <w:b/>
                      <w:sz w:val="22"/>
                      <w:lang w:eastAsia="es-ES"/>
                    </w:rPr>
                  </w:pPr>
                  <w:r>
                    <w:rPr>
                      <w:rFonts w:ascii="Arial" w:hAnsi="Arial" w:eastAsia="Arial" w:cs="Arial"/>
                      <w:b/>
                      <w:sz w:val="22"/>
                      <w:lang w:eastAsia="es-ES"/>
                    </w:rPr>
                    <w:t>Amparo</w:t>
                  </w:r>
                </w:p>
              </w:tc>
              <w:tc>
                <w:tcPr>
                  <w:tcW w:w="1378" w:type="pct"/>
                  <w:tcBorders>
                    <w:top w:val="single" w:color="auto" w:sz="4" w:space="0"/>
                    <w:left w:val="single" w:color="auto" w:sz="4" w:space="0"/>
                    <w:bottom w:val="single" w:color="auto" w:sz="4" w:space="0"/>
                    <w:right w:val="single" w:color="auto" w:sz="4" w:space="0"/>
                  </w:tcBorders>
                  <w:shd w:val="clear" w:color="auto" w:fill="564F4F" w:themeFill="text1" w:themeFillTint="BF"/>
                </w:tcPr>
                <w:p w14:paraId="34126670">
                  <w:pPr>
                    <w:rPr>
                      <w:rFonts w:ascii="Arial" w:hAnsi="Arial" w:eastAsia="Arial" w:cs="Arial"/>
                      <w:b/>
                      <w:sz w:val="22"/>
                      <w:lang w:eastAsia="es-ES"/>
                    </w:rPr>
                  </w:pPr>
                  <w:r>
                    <w:rPr>
                      <w:rFonts w:ascii="Arial" w:hAnsi="Arial" w:eastAsia="Arial" w:cs="Arial"/>
                      <w:b/>
                      <w:sz w:val="22"/>
                      <w:lang w:eastAsia="es-ES"/>
                    </w:rPr>
                    <w:t xml:space="preserve">Vigencia </w:t>
                  </w:r>
                </w:p>
              </w:tc>
              <w:tc>
                <w:tcPr>
                  <w:tcW w:w="1488" w:type="pct"/>
                  <w:tcBorders>
                    <w:top w:val="single" w:color="auto" w:sz="4" w:space="0"/>
                    <w:left w:val="single" w:color="auto" w:sz="4" w:space="0"/>
                    <w:bottom w:val="single" w:color="auto" w:sz="4" w:space="0"/>
                    <w:right w:val="single" w:color="auto" w:sz="4" w:space="0"/>
                  </w:tcBorders>
                  <w:shd w:val="clear" w:color="auto" w:fill="564F4F" w:themeFill="text1" w:themeFillTint="BF"/>
                </w:tcPr>
                <w:p w14:paraId="40F094CE">
                  <w:pPr>
                    <w:rPr>
                      <w:rFonts w:ascii="Arial" w:hAnsi="Arial" w:eastAsia="Arial" w:cs="Arial"/>
                      <w:b/>
                      <w:sz w:val="22"/>
                      <w:lang w:eastAsia="es-ES"/>
                    </w:rPr>
                  </w:pPr>
                  <w:r>
                    <w:rPr>
                      <w:rFonts w:ascii="Arial" w:hAnsi="Arial" w:eastAsia="Arial" w:cs="Arial"/>
                      <w:b/>
                      <w:sz w:val="22"/>
                      <w:lang w:eastAsia="es-ES"/>
                    </w:rPr>
                    <w:t>Valor Asegurado</w:t>
                  </w:r>
                </w:p>
              </w:tc>
            </w:tr>
            <w:tr w14:paraId="5CCD9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4" w:type="pct"/>
                  <w:tcBorders>
                    <w:top w:val="single" w:color="auto" w:sz="4" w:space="0"/>
                    <w:left w:val="single" w:color="auto" w:sz="4" w:space="0"/>
                    <w:bottom w:val="single" w:color="auto" w:sz="4" w:space="0"/>
                    <w:right w:val="single" w:color="auto" w:sz="4" w:space="0"/>
                  </w:tcBorders>
                </w:tcPr>
                <w:p w14:paraId="7B16C652">
                  <w:pPr>
                    <w:rPr>
                      <w:rFonts w:ascii="Arial" w:hAnsi="Arial" w:eastAsia="Arial" w:cs="Arial"/>
                      <w:sz w:val="22"/>
                      <w:lang w:eastAsia="es-ES"/>
                    </w:rPr>
                  </w:pPr>
                  <w:r>
                    <w:rPr>
                      <w:rFonts w:ascii="Arial" w:hAnsi="Arial" w:eastAsia="Arial" w:cs="Arial"/>
                      <w:sz w:val="22"/>
                      <w:lang w:eastAsia="es-ES"/>
                    </w:rPr>
                    <w:t>Cumplimiento general del contrato y el pago de las multas y la cláusula penal pecuniaria que se le impongan</w:t>
                  </w:r>
                </w:p>
              </w:tc>
              <w:tc>
                <w:tcPr>
                  <w:tcW w:w="1378" w:type="pct"/>
                  <w:tcBorders>
                    <w:top w:val="single" w:color="auto" w:sz="4" w:space="0"/>
                    <w:left w:val="single" w:color="auto" w:sz="4" w:space="0"/>
                    <w:bottom w:val="single" w:color="auto" w:sz="4" w:space="0"/>
                    <w:right w:val="single" w:color="auto" w:sz="4" w:space="0"/>
                  </w:tcBorders>
                </w:tcPr>
                <w:p w14:paraId="33C33B37">
                  <w:pPr>
                    <w:rPr>
                      <w:rFonts w:ascii="Arial" w:hAnsi="Arial" w:eastAsia="Arial" w:cs="Arial"/>
                      <w:sz w:val="22"/>
                      <w:lang w:eastAsia="es-ES"/>
                    </w:rPr>
                  </w:pPr>
                  <w:r>
                    <w:rPr>
                      <w:rFonts w:ascii="Arial" w:hAnsi="Arial" w:eastAsia="Arial" w:cs="Arial"/>
                      <w:sz w:val="22"/>
                      <w:lang w:eastAsia="es-ES"/>
                    </w:rPr>
                    <w:t>Hasta la liquidación del contrato</w:t>
                  </w:r>
                </w:p>
              </w:tc>
              <w:tc>
                <w:tcPr>
                  <w:tcW w:w="1488" w:type="pct"/>
                  <w:tcBorders>
                    <w:top w:val="single" w:color="auto" w:sz="4" w:space="0"/>
                    <w:left w:val="single" w:color="auto" w:sz="4" w:space="0"/>
                    <w:bottom w:val="single" w:color="auto" w:sz="4" w:space="0"/>
                    <w:right w:val="single" w:color="auto" w:sz="4" w:space="0"/>
                  </w:tcBorders>
                </w:tcPr>
                <w:p w14:paraId="63C37788">
                  <w:pPr>
                    <w:rPr>
                      <w:rFonts w:ascii="Arial" w:hAnsi="Arial" w:eastAsia="Arial" w:cs="Arial"/>
                      <w:sz w:val="22"/>
                      <w:lang w:eastAsia="es-ES"/>
                    </w:rPr>
                  </w:pPr>
                  <w:r>
                    <w:rPr>
                      <w:rFonts w:hint="default" w:ascii="Arial" w:hAnsi="Arial" w:eastAsia="Arial" w:cs="Arial"/>
                      <w:sz w:val="22"/>
                      <w:lang w:val="es-CO" w:eastAsia="es-ES"/>
                    </w:rPr>
                    <w:t>Treinta</w:t>
                  </w:r>
                  <w:r>
                    <w:rPr>
                      <w:rFonts w:ascii="Arial" w:hAnsi="Arial" w:eastAsia="Arial" w:cs="Arial"/>
                      <w:sz w:val="22"/>
                      <w:lang w:eastAsia="es-ES"/>
                    </w:rPr>
                    <w:t xml:space="preserve"> por ciento (</w:t>
                  </w:r>
                  <w:r>
                    <w:rPr>
                      <w:rFonts w:hint="default" w:ascii="Arial" w:hAnsi="Arial" w:eastAsia="Arial" w:cs="Arial"/>
                      <w:sz w:val="22"/>
                      <w:lang w:val="es-CO" w:eastAsia="es-ES"/>
                    </w:rPr>
                    <w:t>3</w:t>
                  </w:r>
                  <w:r>
                    <w:rPr>
                      <w:rFonts w:ascii="Arial" w:hAnsi="Arial" w:eastAsia="Arial" w:cs="Arial"/>
                      <w:sz w:val="22"/>
                      <w:lang w:eastAsia="es-ES"/>
                    </w:rPr>
                    <w:t>0%) del valor total del contrato</w:t>
                  </w:r>
                </w:p>
              </w:tc>
            </w:tr>
            <w:tr w14:paraId="13A0A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4" w:type="pct"/>
                  <w:tcBorders>
                    <w:top w:val="single" w:color="auto" w:sz="4" w:space="0"/>
                    <w:left w:val="single" w:color="auto" w:sz="4" w:space="0"/>
                    <w:bottom w:val="single" w:color="auto" w:sz="4" w:space="0"/>
                    <w:right w:val="single" w:color="auto" w:sz="4" w:space="0"/>
                  </w:tcBorders>
                </w:tcPr>
                <w:p w14:paraId="5574100F">
                  <w:pPr>
                    <w:rPr>
                      <w:rFonts w:ascii="Arial" w:hAnsi="Arial" w:eastAsia="Arial" w:cs="Arial"/>
                      <w:sz w:val="22"/>
                      <w:lang w:eastAsia="es-ES"/>
                    </w:rPr>
                  </w:pPr>
                  <w:r>
                    <w:rPr>
                      <w:rFonts w:ascii="Arial" w:hAnsi="Arial" w:eastAsia="Arial" w:cs="Arial"/>
                      <w:sz w:val="22"/>
                      <w:lang w:eastAsia="es-ES"/>
                    </w:rPr>
                    <w:t>Pago de salarios, prestaciones sociales legales e indemnizaciones laborales del personal que el Contratista haya de utilizar en el territorio nacional para la ejecución del contrato</w:t>
                  </w:r>
                </w:p>
              </w:tc>
              <w:tc>
                <w:tcPr>
                  <w:tcW w:w="1378" w:type="pct"/>
                  <w:tcBorders>
                    <w:top w:val="single" w:color="auto" w:sz="4" w:space="0"/>
                    <w:left w:val="single" w:color="auto" w:sz="4" w:space="0"/>
                    <w:bottom w:val="single" w:color="auto" w:sz="4" w:space="0"/>
                    <w:right w:val="single" w:color="auto" w:sz="4" w:space="0"/>
                  </w:tcBorders>
                </w:tcPr>
                <w:p w14:paraId="60990456">
                  <w:pPr>
                    <w:rPr>
                      <w:rFonts w:ascii="Arial" w:hAnsi="Arial" w:eastAsia="Arial" w:cs="Arial"/>
                      <w:sz w:val="22"/>
                      <w:lang w:eastAsia="es-ES"/>
                    </w:rPr>
                  </w:pPr>
                  <w:r>
                    <w:rPr>
                      <w:rFonts w:ascii="Arial" w:hAnsi="Arial" w:eastAsia="Arial" w:cs="Arial"/>
                      <w:sz w:val="22"/>
                      <w:lang w:eastAsia="es-ES"/>
                    </w:rPr>
                    <w:t>Plazo del contrato y tres (3) años más.</w:t>
                  </w:r>
                </w:p>
              </w:tc>
              <w:tc>
                <w:tcPr>
                  <w:tcW w:w="1488" w:type="pct"/>
                  <w:tcBorders>
                    <w:top w:val="single" w:color="auto" w:sz="4" w:space="0"/>
                    <w:left w:val="single" w:color="auto" w:sz="4" w:space="0"/>
                    <w:bottom w:val="single" w:color="auto" w:sz="4" w:space="0"/>
                    <w:right w:val="single" w:color="auto" w:sz="4" w:space="0"/>
                  </w:tcBorders>
                </w:tcPr>
                <w:p w14:paraId="69483EDE">
                  <w:pPr>
                    <w:rPr>
                      <w:rFonts w:ascii="Arial" w:hAnsi="Arial" w:eastAsia="Arial" w:cs="Arial"/>
                      <w:sz w:val="22"/>
                      <w:lang w:eastAsia="es-ES"/>
                    </w:rPr>
                  </w:pPr>
                  <w:r>
                    <w:rPr>
                      <w:rFonts w:hint="default" w:ascii="Arial" w:hAnsi="Arial" w:eastAsia="Arial" w:cs="Arial"/>
                      <w:sz w:val="22"/>
                      <w:lang w:val="es-CO" w:eastAsia="es-ES"/>
                    </w:rPr>
                    <w:t>Diez</w:t>
                  </w:r>
                  <w:r>
                    <w:rPr>
                      <w:rFonts w:ascii="Arial" w:hAnsi="Arial" w:eastAsia="Arial" w:cs="Arial"/>
                      <w:sz w:val="22"/>
                      <w:lang w:eastAsia="es-ES"/>
                    </w:rPr>
                    <w:t xml:space="preserve"> por ciento (</w:t>
                  </w:r>
                  <w:r>
                    <w:rPr>
                      <w:rFonts w:hint="default" w:ascii="Arial" w:hAnsi="Arial" w:eastAsia="Arial" w:cs="Arial"/>
                      <w:sz w:val="22"/>
                      <w:lang w:val="es-CO" w:eastAsia="es-ES"/>
                    </w:rPr>
                    <w:t>1</w:t>
                  </w:r>
                  <w:r>
                    <w:rPr>
                      <w:rFonts w:ascii="Arial" w:hAnsi="Arial" w:eastAsia="Arial" w:cs="Arial"/>
                      <w:sz w:val="22"/>
                      <w:lang w:eastAsia="es-ES"/>
                    </w:rPr>
                    <w:t>0%) del valor total del contrato</w:t>
                  </w:r>
                </w:p>
              </w:tc>
            </w:tr>
            <w:tr w14:paraId="4E93F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4" w:type="pct"/>
                  <w:tcBorders>
                    <w:top w:val="single" w:color="auto" w:sz="4" w:space="0"/>
                    <w:left w:val="single" w:color="auto" w:sz="4" w:space="0"/>
                    <w:bottom w:val="single" w:color="auto" w:sz="4" w:space="0"/>
                    <w:right w:val="single" w:color="auto" w:sz="4" w:space="0"/>
                  </w:tcBorders>
                </w:tcPr>
                <w:p w14:paraId="1606B33F">
                  <w:pPr>
                    <w:rPr>
                      <w:rFonts w:ascii="Arial" w:hAnsi="Arial" w:eastAsia="Arial" w:cs="Arial"/>
                      <w:sz w:val="22"/>
                      <w:lang w:eastAsia="es-ES"/>
                    </w:rPr>
                  </w:pPr>
                  <w:r>
                    <w:rPr>
                      <w:rFonts w:ascii="Arial" w:hAnsi="Arial" w:eastAsia="Arial" w:cs="Arial"/>
                      <w:sz w:val="22"/>
                      <w:lang w:eastAsia="es-ES"/>
                    </w:rPr>
                    <w:t>Calidad del Servicio</w:t>
                  </w:r>
                </w:p>
                <w:p w14:paraId="1A173E52">
                  <w:pPr>
                    <w:rPr>
                      <w:rFonts w:ascii="Arial" w:hAnsi="Arial" w:eastAsia="Arial" w:cs="Arial"/>
                      <w:sz w:val="22"/>
                      <w:lang w:eastAsia="es-ES"/>
                    </w:rPr>
                  </w:pPr>
                  <w:r>
                    <w:rPr>
                      <w:rFonts w:ascii="Arial" w:hAnsi="Arial" w:eastAsia="Arial" w:cs="Arial"/>
                      <w:sz w:val="22"/>
                      <w:lang w:eastAsia="es-ES"/>
                    </w:rPr>
                    <w:t>por los perjuicios derivados de la deficiente calidad del servicio prestado.</w:t>
                  </w:r>
                </w:p>
              </w:tc>
              <w:tc>
                <w:tcPr>
                  <w:tcW w:w="1378" w:type="pct"/>
                  <w:tcBorders>
                    <w:top w:val="single" w:color="auto" w:sz="4" w:space="0"/>
                    <w:left w:val="single" w:color="auto" w:sz="4" w:space="0"/>
                    <w:bottom w:val="single" w:color="auto" w:sz="4" w:space="0"/>
                    <w:right w:val="single" w:color="auto" w:sz="4" w:space="0"/>
                  </w:tcBorders>
                </w:tcPr>
                <w:p w14:paraId="08BE9FBE">
                  <w:pPr>
                    <w:rPr>
                      <w:rFonts w:ascii="Arial" w:hAnsi="Arial" w:eastAsia="Arial" w:cs="Arial"/>
                      <w:sz w:val="22"/>
                      <w:lang w:eastAsia="es-ES"/>
                    </w:rPr>
                  </w:pPr>
                  <w:r>
                    <w:rPr>
                      <w:rFonts w:ascii="Arial" w:hAnsi="Arial" w:eastAsia="Arial" w:cs="Arial"/>
                      <w:sz w:val="22"/>
                      <w:lang w:eastAsia="es-ES"/>
                    </w:rPr>
                    <w:t xml:space="preserve">Vigencia de este amparo debe ser igual al plazo del contrato y cuatro meses mas </w:t>
                  </w:r>
                </w:p>
              </w:tc>
              <w:tc>
                <w:tcPr>
                  <w:tcW w:w="1488" w:type="pct"/>
                  <w:tcBorders>
                    <w:top w:val="single" w:color="auto" w:sz="4" w:space="0"/>
                    <w:left w:val="single" w:color="auto" w:sz="4" w:space="0"/>
                    <w:bottom w:val="single" w:color="auto" w:sz="4" w:space="0"/>
                    <w:right w:val="single" w:color="auto" w:sz="4" w:space="0"/>
                  </w:tcBorders>
                </w:tcPr>
                <w:p w14:paraId="1402E83C">
                  <w:pPr>
                    <w:rPr>
                      <w:rFonts w:ascii="Arial" w:hAnsi="Arial" w:eastAsia="Arial" w:cs="Arial"/>
                      <w:sz w:val="22"/>
                      <w:lang w:eastAsia="es-ES"/>
                    </w:rPr>
                  </w:pPr>
                  <w:r>
                    <w:rPr>
                      <w:rFonts w:ascii="Arial" w:hAnsi="Arial" w:eastAsia="Arial" w:cs="Arial"/>
                      <w:sz w:val="22"/>
                      <w:lang w:eastAsia="es-ES"/>
                    </w:rPr>
                    <w:t>Veinte por ciento (20%) del valor total del contrato</w:t>
                  </w:r>
                </w:p>
              </w:tc>
            </w:tr>
          </w:tbl>
          <w:p w14:paraId="1EC5F8FB">
            <w:pPr>
              <w:rPr>
                <w:rFonts w:ascii="Arial" w:hAnsi="Arial" w:eastAsia="Arial" w:cs="Arial"/>
                <w:sz w:val="22"/>
                <w:lang w:eastAsia="es-ES"/>
              </w:rPr>
            </w:pPr>
          </w:p>
        </w:tc>
      </w:tr>
      <w:tr w14:paraId="0B508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tcBorders>
              <w:top w:val="single" w:color="auto" w:sz="4" w:space="0"/>
              <w:left w:val="single" w:color="auto" w:sz="4" w:space="0"/>
              <w:bottom w:val="single" w:color="auto" w:sz="4" w:space="0"/>
              <w:right w:val="single" w:color="auto" w:sz="4" w:space="0"/>
            </w:tcBorders>
            <w:vAlign w:val="center"/>
          </w:tcPr>
          <w:p w14:paraId="5224BB68">
            <w:pPr>
              <w:rPr>
                <w:rFonts w:ascii="Arial" w:hAnsi="Arial" w:eastAsia="Arial" w:cs="Arial"/>
                <w:sz w:val="22"/>
                <w:lang w:eastAsia="es-ES"/>
              </w:rPr>
            </w:pPr>
            <w:r>
              <w:rPr>
                <w:rFonts w:ascii="Arial" w:hAnsi="Arial" w:eastAsia="Arial" w:cs="Arial"/>
                <w:sz w:val="22"/>
                <w:lang w:eastAsia="es-ES"/>
              </w:rPr>
              <w:t xml:space="preserve">Tomador </w:t>
            </w:r>
          </w:p>
        </w:tc>
        <w:tc>
          <w:tcPr>
            <w:tcW w:w="0" w:type="auto"/>
            <w:tcBorders>
              <w:top w:val="single" w:color="auto" w:sz="4" w:space="0"/>
              <w:left w:val="single" w:color="auto" w:sz="4" w:space="0"/>
              <w:bottom w:val="single" w:color="auto" w:sz="4" w:space="0"/>
              <w:right w:val="single" w:color="auto" w:sz="4" w:space="0"/>
            </w:tcBorders>
            <w:vAlign w:val="center"/>
          </w:tcPr>
          <w:p w14:paraId="66365494">
            <w:pPr>
              <w:numPr>
                <w:ilvl w:val="0"/>
                <w:numId w:val="14"/>
              </w:numPr>
              <w:spacing w:after="200" w:line="276" w:lineRule="auto"/>
              <w:contextualSpacing/>
              <w:rPr>
                <w:rFonts w:ascii="Arial" w:hAnsi="Arial" w:eastAsia="Arial" w:cs="Arial"/>
                <w:sz w:val="22"/>
                <w:lang w:eastAsia="es-ES"/>
              </w:rPr>
            </w:pPr>
            <w:r>
              <w:rPr>
                <w:rFonts w:ascii="Arial" w:hAnsi="Arial" w:eastAsia="Arial" w:cs="Arial"/>
                <w:sz w:val="22"/>
                <w:lang w:eastAsia="es-ES"/>
              </w:rPr>
              <w:t>Requisitos de presentación de la Garantía de Cumplimiento</w:t>
            </w:r>
          </w:p>
          <w:p w14:paraId="4D579CC3">
            <w:pPr>
              <w:numPr>
                <w:ilvl w:val="0"/>
                <w:numId w:val="14"/>
              </w:numPr>
              <w:spacing w:after="200" w:line="276" w:lineRule="auto"/>
              <w:contextualSpacing/>
              <w:rPr>
                <w:rFonts w:ascii="Arial" w:hAnsi="Arial" w:eastAsia="Arial" w:cs="Arial"/>
                <w:b/>
                <w:sz w:val="22"/>
                <w:lang w:eastAsia="es-ES"/>
              </w:rPr>
            </w:pPr>
            <w:r>
              <w:rPr>
                <w:rFonts w:ascii="Arial" w:hAnsi="Arial" w:eastAsia="Arial" w:cs="Arial"/>
                <w:b/>
                <w:sz w:val="22"/>
                <w:lang w:eastAsia="es-ES"/>
              </w:rPr>
              <w:t>Para personas jurídicas:</w:t>
            </w:r>
          </w:p>
          <w:p w14:paraId="3525CD5E">
            <w:pPr>
              <w:numPr>
                <w:ilvl w:val="0"/>
                <w:numId w:val="14"/>
              </w:numPr>
              <w:spacing w:after="200" w:line="276" w:lineRule="auto"/>
              <w:contextualSpacing/>
              <w:rPr>
                <w:rFonts w:ascii="Arial" w:hAnsi="Arial" w:eastAsia="Arial" w:cs="Arial"/>
                <w:sz w:val="22"/>
                <w:lang w:eastAsia="es-ES"/>
              </w:rPr>
            </w:pPr>
            <w:r>
              <w:rPr>
                <w:rFonts w:ascii="Arial" w:hAnsi="Arial" w:eastAsia="Arial" w:cs="Arial"/>
                <w:sz w:val="22"/>
                <w:lang w:eastAsia="es-ES"/>
              </w:rPr>
              <w:t>La Garantía deberá ser expedida a nombre completo de la persona jurídica, incluyendo su razón social y tipo societario, tal como figura en el certificado de existencia y representación legal emitido por la respectiva Cámara de Comercio. No se aceptará que la garantía se emita únicamente bajo una sigla, salvo que en dicho certificado se indique expresamente que la sociedad puede denominarse de esa manera.</w:t>
            </w:r>
          </w:p>
          <w:p w14:paraId="0644518A">
            <w:pPr>
              <w:spacing w:after="200" w:line="276" w:lineRule="auto"/>
              <w:ind w:left="360"/>
              <w:contextualSpacing/>
              <w:rPr>
                <w:rFonts w:ascii="Arial" w:hAnsi="Arial" w:eastAsia="Arial" w:cs="Arial"/>
                <w:b/>
                <w:sz w:val="22"/>
                <w:lang w:eastAsia="es-ES"/>
              </w:rPr>
            </w:pPr>
            <w:r>
              <w:rPr>
                <w:rFonts w:ascii="Arial" w:hAnsi="Arial" w:eastAsia="Arial" w:cs="Arial"/>
                <w:b/>
                <w:sz w:val="22"/>
                <w:lang w:eastAsia="es-ES"/>
              </w:rPr>
              <w:t xml:space="preserve">• </w:t>
            </w:r>
            <w:r>
              <w:rPr>
                <w:rFonts w:ascii="Arial" w:hAnsi="Arial" w:eastAsia="Arial" w:cs="Arial"/>
                <w:b/>
                <w:sz w:val="22"/>
                <w:lang w:eastAsia="es-ES"/>
              </w:rPr>
              <w:tab/>
            </w:r>
            <w:r>
              <w:rPr>
                <w:rFonts w:ascii="Arial" w:hAnsi="Arial" w:eastAsia="Arial" w:cs="Arial"/>
                <w:b/>
                <w:sz w:val="22"/>
                <w:lang w:eastAsia="es-ES"/>
              </w:rPr>
              <w:t>Para estructuras plurales (Consorcios o Uniones Temporales):</w:t>
            </w:r>
          </w:p>
          <w:p w14:paraId="05F8CC11">
            <w:pPr>
              <w:spacing w:after="200" w:line="276" w:lineRule="auto"/>
              <w:ind w:left="360"/>
              <w:contextualSpacing/>
              <w:rPr>
                <w:rFonts w:ascii="Arial" w:hAnsi="Arial" w:eastAsia="Arial" w:cs="Arial"/>
                <w:sz w:val="22"/>
                <w:lang w:eastAsia="es-ES"/>
              </w:rPr>
            </w:pPr>
            <w:r>
              <w:rPr>
                <w:rFonts w:ascii="Arial" w:hAnsi="Arial" w:eastAsia="Arial" w:cs="Arial"/>
                <w:sz w:val="22"/>
                <w:lang w:eastAsia="es-ES"/>
              </w:rPr>
              <w:t>No se aceptarán garantías emitidas a nombre del representante legal ni de alguno de los integrantes de la estructura plural. En estos casos, la garantía deberá ser expedida a nombre del Consorcio o Unión Temporal, incluyendo:</w:t>
            </w:r>
          </w:p>
          <w:p w14:paraId="34B94CBE">
            <w:pPr>
              <w:spacing w:after="200" w:line="276" w:lineRule="auto"/>
              <w:ind w:left="360"/>
              <w:contextualSpacing/>
              <w:rPr>
                <w:rFonts w:ascii="Arial" w:hAnsi="Arial" w:eastAsia="Arial" w:cs="Arial"/>
                <w:sz w:val="22"/>
                <w:lang w:eastAsia="es-ES"/>
              </w:rPr>
            </w:pPr>
            <w:r>
              <w:rPr>
                <w:rFonts w:ascii="Arial" w:hAnsi="Arial" w:eastAsia="Arial" w:cs="Arial"/>
                <w:sz w:val="22"/>
                <w:lang w:eastAsia="es-ES"/>
              </w:rPr>
              <w:t xml:space="preserve">• </w:t>
            </w:r>
            <w:r>
              <w:rPr>
                <w:rFonts w:ascii="Arial" w:hAnsi="Arial" w:eastAsia="Arial" w:cs="Arial"/>
                <w:sz w:val="22"/>
                <w:lang w:eastAsia="es-ES"/>
              </w:rPr>
              <w:tab/>
            </w:r>
            <w:r>
              <w:rPr>
                <w:rFonts w:ascii="Arial" w:hAnsi="Arial" w:eastAsia="Arial" w:cs="Arial"/>
                <w:sz w:val="22"/>
                <w:lang w:eastAsia="es-ES"/>
              </w:rPr>
              <w:t>El nombre completo de la estructura plural.</w:t>
            </w:r>
          </w:p>
          <w:p w14:paraId="43C1E113">
            <w:pPr>
              <w:spacing w:after="200" w:line="276" w:lineRule="auto"/>
              <w:ind w:left="360"/>
              <w:contextualSpacing/>
              <w:rPr>
                <w:rFonts w:ascii="Arial" w:hAnsi="Arial" w:eastAsia="Arial" w:cs="Arial"/>
                <w:sz w:val="22"/>
                <w:lang w:eastAsia="es-ES"/>
              </w:rPr>
            </w:pPr>
            <w:r>
              <w:rPr>
                <w:rFonts w:ascii="Arial" w:hAnsi="Arial" w:eastAsia="Arial" w:cs="Arial"/>
                <w:sz w:val="22"/>
                <w:lang w:eastAsia="es-ES"/>
              </w:rPr>
              <w:t xml:space="preserve">• </w:t>
            </w:r>
            <w:r>
              <w:rPr>
                <w:rFonts w:ascii="Arial" w:hAnsi="Arial" w:eastAsia="Arial" w:cs="Arial"/>
                <w:sz w:val="22"/>
                <w:lang w:eastAsia="es-ES"/>
              </w:rPr>
              <w:tab/>
            </w:r>
            <w:r>
              <w:rPr>
                <w:rFonts w:ascii="Arial" w:hAnsi="Arial" w:eastAsia="Arial" w:cs="Arial"/>
                <w:sz w:val="22"/>
                <w:lang w:eastAsia="es-ES"/>
              </w:rPr>
              <w:t>El Número de Identificación Tributaria (NIT).</w:t>
            </w:r>
          </w:p>
          <w:p w14:paraId="7FE47DC0">
            <w:pPr>
              <w:spacing w:after="200" w:line="276" w:lineRule="auto"/>
              <w:ind w:left="360"/>
              <w:contextualSpacing/>
              <w:rPr>
                <w:rFonts w:ascii="Arial" w:hAnsi="Arial" w:eastAsia="Arial" w:cs="Arial"/>
                <w:sz w:val="22"/>
                <w:lang w:eastAsia="es-ES"/>
              </w:rPr>
            </w:pPr>
            <w:r>
              <w:rPr>
                <w:rFonts w:ascii="Arial" w:hAnsi="Arial" w:eastAsia="Arial" w:cs="Arial"/>
                <w:sz w:val="22"/>
                <w:lang w:eastAsia="es-ES"/>
              </w:rPr>
              <w:t xml:space="preserve">• </w:t>
            </w:r>
            <w:r>
              <w:rPr>
                <w:rFonts w:ascii="Arial" w:hAnsi="Arial" w:eastAsia="Arial" w:cs="Arial"/>
                <w:sz w:val="22"/>
                <w:lang w:eastAsia="es-ES"/>
              </w:rPr>
              <w:tab/>
            </w:r>
            <w:r>
              <w:rPr>
                <w:rFonts w:ascii="Arial" w:hAnsi="Arial" w:eastAsia="Arial" w:cs="Arial"/>
                <w:sz w:val="22"/>
                <w:lang w:eastAsia="es-ES"/>
              </w:rPr>
              <w:t>El porcentaje de participación de cada uno de los integrantes.</w:t>
            </w:r>
          </w:p>
          <w:p w14:paraId="7BB92582">
            <w:pPr>
              <w:spacing w:after="200" w:line="276" w:lineRule="auto"/>
              <w:ind w:left="360"/>
              <w:contextualSpacing/>
              <w:rPr>
                <w:rFonts w:ascii="Arial" w:hAnsi="Arial" w:eastAsia="Arial" w:cs="Arial"/>
                <w:sz w:val="22"/>
                <w:lang w:eastAsia="es-ES"/>
              </w:rPr>
            </w:pPr>
            <w:r>
              <w:rPr>
                <w:rFonts w:ascii="Arial" w:hAnsi="Arial" w:eastAsia="Arial" w:cs="Arial"/>
                <w:sz w:val="22"/>
                <w:lang w:eastAsia="es-ES"/>
              </w:rPr>
              <w:t xml:space="preserve">• </w:t>
            </w:r>
            <w:r>
              <w:rPr>
                <w:rFonts w:ascii="Arial" w:hAnsi="Arial" w:eastAsia="Arial" w:cs="Arial"/>
                <w:sz w:val="22"/>
                <w:lang w:eastAsia="es-ES"/>
              </w:rPr>
              <w:tab/>
            </w:r>
            <w:r>
              <w:rPr>
                <w:rFonts w:ascii="Arial" w:hAnsi="Arial" w:eastAsia="Arial" w:cs="Arial"/>
                <w:b/>
                <w:sz w:val="22"/>
                <w:lang w:eastAsia="es-ES"/>
              </w:rPr>
              <w:t>Otorgamiento conjunto de la garantía:</w:t>
            </w:r>
          </w:p>
          <w:p w14:paraId="08E0E8B0">
            <w:pPr>
              <w:numPr>
                <w:ilvl w:val="0"/>
                <w:numId w:val="14"/>
              </w:numPr>
              <w:spacing w:after="200" w:line="276" w:lineRule="auto"/>
              <w:contextualSpacing/>
              <w:rPr>
                <w:rFonts w:ascii="Arial" w:hAnsi="Arial" w:eastAsia="Arial" w:cs="Arial"/>
                <w:sz w:val="22"/>
                <w:lang w:eastAsia="es-ES"/>
              </w:rPr>
            </w:pPr>
            <w:r>
              <w:rPr>
                <w:rFonts w:ascii="Arial" w:hAnsi="Arial" w:eastAsia="Arial" w:cs="Arial"/>
                <w:b/>
                <w:sz w:val="22"/>
                <w:lang w:eastAsia="es-ES"/>
              </w:rPr>
              <w:t>Cuando el Contratista esté conformado por una estructura plural (Consorcio o Unión Temporal)</w:t>
            </w:r>
            <w:r>
              <w:rPr>
                <w:rFonts w:ascii="Arial" w:hAnsi="Arial" w:eastAsia="Arial" w:cs="Arial"/>
                <w:sz w:val="22"/>
                <w:lang w:eastAsia="es-ES"/>
              </w:rPr>
              <w:t>, la garantía deberá ser otorgada por todos los integrantes. Para ello, se deberá identificar claramente a cada miembro, incluyendo su nombre o razón social, tipo societario, número de identificación y porcentaje de participación. Todos los integrantes serán considerados otorgantes de la garantía para todos los efectos legales.</w:t>
            </w:r>
          </w:p>
          <w:p w14:paraId="374B502D">
            <w:pPr>
              <w:spacing w:after="200" w:line="276" w:lineRule="auto"/>
              <w:ind w:left="360"/>
              <w:contextualSpacing/>
              <w:rPr>
                <w:rFonts w:ascii="Arial" w:hAnsi="Arial" w:eastAsia="Arial" w:cs="Arial"/>
                <w:sz w:val="22"/>
                <w:lang w:eastAsia="es-ES"/>
              </w:rPr>
            </w:pPr>
          </w:p>
          <w:p w14:paraId="5F4F9694">
            <w:pPr>
              <w:rPr>
                <w:rFonts w:ascii="Arial" w:hAnsi="Arial" w:eastAsia="Arial" w:cs="Arial"/>
                <w:sz w:val="22"/>
                <w:lang w:eastAsia="es-ES"/>
              </w:rPr>
            </w:pPr>
          </w:p>
        </w:tc>
      </w:tr>
      <w:tr w14:paraId="20FC0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tcBorders>
              <w:top w:val="single" w:color="auto" w:sz="4" w:space="0"/>
              <w:left w:val="single" w:color="auto" w:sz="4" w:space="0"/>
              <w:bottom w:val="single" w:color="auto" w:sz="4" w:space="0"/>
              <w:right w:val="single" w:color="auto" w:sz="4" w:space="0"/>
            </w:tcBorders>
            <w:vAlign w:val="center"/>
          </w:tcPr>
          <w:p w14:paraId="2BB7D642">
            <w:pPr>
              <w:rPr>
                <w:rFonts w:ascii="Arial" w:hAnsi="Arial" w:eastAsia="Arial" w:cs="Arial"/>
                <w:sz w:val="22"/>
                <w:highlight w:val="yellow"/>
                <w:lang w:eastAsia="es-ES"/>
              </w:rPr>
            </w:pPr>
            <w:r>
              <w:rPr>
                <w:rFonts w:ascii="Arial" w:hAnsi="Arial" w:eastAsia="Arial" w:cs="Arial"/>
                <w:sz w:val="22"/>
                <w:highlight w:val="yellow"/>
                <w:lang w:eastAsia="es-ES"/>
              </w:rPr>
              <w:t>Información necesaria dentro de la póliza</w:t>
            </w:r>
          </w:p>
        </w:tc>
        <w:tc>
          <w:tcPr>
            <w:tcW w:w="0" w:type="auto"/>
            <w:tcBorders>
              <w:top w:val="single" w:color="auto" w:sz="4" w:space="0"/>
              <w:left w:val="single" w:color="auto" w:sz="4" w:space="0"/>
              <w:bottom w:val="single" w:color="auto" w:sz="4" w:space="0"/>
              <w:right w:val="single" w:color="auto" w:sz="4" w:space="0"/>
            </w:tcBorders>
            <w:vAlign w:val="center"/>
          </w:tcPr>
          <w:p w14:paraId="46A364E3">
            <w:pPr>
              <w:numPr>
                <w:ilvl w:val="0"/>
                <w:numId w:val="14"/>
              </w:numPr>
              <w:contextualSpacing/>
              <w:rPr>
                <w:rFonts w:ascii="Arial" w:hAnsi="Arial" w:eastAsia="Arial" w:cs="Arial"/>
                <w:sz w:val="22"/>
                <w:highlight w:val="yellow"/>
                <w:lang w:eastAsia="es-ES"/>
              </w:rPr>
            </w:pPr>
            <w:r>
              <w:rPr>
                <w:rFonts w:ascii="Arial" w:hAnsi="Arial" w:eastAsia="Arial" w:cs="Arial"/>
                <w:sz w:val="22"/>
                <w:highlight w:val="yellow"/>
                <w:lang w:eastAsia="es-ES"/>
              </w:rPr>
              <w:t xml:space="preserve">Número y año del contrato </w:t>
            </w:r>
          </w:p>
          <w:p w14:paraId="05623A2D">
            <w:pPr>
              <w:numPr>
                <w:ilvl w:val="0"/>
                <w:numId w:val="14"/>
              </w:numPr>
              <w:contextualSpacing/>
              <w:rPr>
                <w:rFonts w:ascii="Arial" w:hAnsi="Arial" w:eastAsia="Arial" w:cs="Arial"/>
                <w:sz w:val="22"/>
                <w:highlight w:val="yellow"/>
                <w:lang w:eastAsia="es-ES"/>
              </w:rPr>
            </w:pPr>
            <w:r>
              <w:rPr>
                <w:rFonts w:ascii="Arial" w:hAnsi="Arial" w:eastAsia="Arial" w:cs="Arial"/>
                <w:sz w:val="22"/>
                <w:highlight w:val="yellow"/>
                <w:lang w:eastAsia="es-ES"/>
              </w:rPr>
              <w:t>Objeto del contrato</w:t>
            </w:r>
          </w:p>
          <w:p w14:paraId="245E7E6E">
            <w:pPr>
              <w:numPr>
                <w:ilvl w:val="0"/>
                <w:numId w:val="14"/>
              </w:numPr>
              <w:contextualSpacing/>
              <w:rPr>
                <w:rFonts w:ascii="Arial" w:hAnsi="Arial" w:eastAsia="Arial" w:cs="Arial"/>
                <w:sz w:val="22"/>
                <w:highlight w:val="yellow"/>
                <w:lang w:eastAsia="es-ES"/>
              </w:rPr>
            </w:pPr>
            <w:r>
              <w:rPr>
                <w:rFonts w:ascii="Arial" w:hAnsi="Arial" w:eastAsia="Arial" w:cs="Arial"/>
                <w:sz w:val="22"/>
                <w:highlight w:val="yellow"/>
                <w:lang w:eastAsia="es-ES"/>
              </w:rPr>
              <w:t>Firma del representante legal del Contratista</w:t>
            </w:r>
          </w:p>
          <w:p w14:paraId="582510A2">
            <w:pPr>
              <w:numPr>
                <w:ilvl w:val="0"/>
                <w:numId w:val="14"/>
              </w:numPr>
              <w:contextualSpacing/>
              <w:rPr>
                <w:rFonts w:ascii="Arial" w:hAnsi="Arial" w:eastAsia="Arial" w:cs="Arial"/>
                <w:sz w:val="22"/>
                <w:highlight w:val="yellow"/>
                <w:lang w:eastAsia="es-ES"/>
              </w:rPr>
            </w:pPr>
            <w:r>
              <w:rPr>
                <w:rFonts w:ascii="Arial" w:hAnsi="Arial" w:eastAsia="Arial" w:cs="Arial"/>
                <w:sz w:val="22"/>
                <w:highlight w:val="yellow"/>
                <w:lang w:eastAsia="es-ES"/>
              </w:rPr>
              <w:t>En caso de no usar centavos, los valores deben aproximarse al mayor Ej. Cumplimiento si el valor a asegurar es $14.980.420,20 aproximar a $14.980.421</w:t>
            </w:r>
          </w:p>
        </w:tc>
      </w:tr>
      <w:bookmarkEnd w:id="1"/>
    </w:tbl>
    <w:p w14:paraId="00751820">
      <w:pPr>
        <w:tabs>
          <w:tab w:val="left" w:pos="-142"/>
        </w:tabs>
        <w:autoSpaceDE w:val="0"/>
        <w:autoSpaceDN w:val="0"/>
        <w:adjustRightInd w:val="0"/>
        <w:spacing w:before="120" w:after="240"/>
        <w:rPr>
          <w:rFonts w:ascii="Arial" w:hAnsi="Arial" w:eastAsia="Arial" w:cs="Arial"/>
          <w:sz w:val="22"/>
          <w:lang w:val="zh-CN" w:eastAsia="es-ES"/>
        </w:rPr>
      </w:pPr>
      <w:r>
        <w:rPr>
          <w:rFonts w:ascii="Arial" w:hAnsi="Arial" w:eastAsia="Arial" w:cs="Arial"/>
          <w:sz w:val="22"/>
          <w:highlight w:val="yellow"/>
          <w:lang w:val="zh-CN" w:eastAsia="es-ES"/>
        </w:rPr>
        <w:t>Re</w:t>
      </w:r>
      <w:r>
        <w:rPr>
          <w:rFonts w:ascii="Arial" w:hAnsi="Arial" w:eastAsia="Arial" w:cs="Arial"/>
          <w:sz w:val="22"/>
          <w:lang w:val="zh-CN" w:eastAsia="es-ES"/>
        </w:rPr>
        <w:t>stablecimiento y ampliación de la Garantía de Cumplimiento</w:t>
      </w:r>
    </w:p>
    <w:p w14:paraId="272B4065">
      <w:pPr>
        <w:pStyle w:val="41"/>
        <w:rPr>
          <w:rFonts w:ascii="Arial" w:hAnsi="Arial" w:eastAsia="Arial" w:cs="Arial"/>
          <w:sz w:val="22"/>
          <w:szCs w:val="22"/>
        </w:rPr>
      </w:pPr>
      <w:r>
        <w:rPr>
          <w:rFonts w:ascii="Arial" w:hAnsi="Arial" w:eastAsia="Arial" w:cs="Arial"/>
          <w:color w:val="auto"/>
          <w:sz w:val="22"/>
          <w:szCs w:val="22"/>
        </w:rPr>
        <w:t xml:space="preserve">El </w:t>
      </w:r>
      <w:r>
        <w:rPr>
          <w:rFonts w:ascii="Arial" w:hAnsi="Arial" w:eastAsia="Arial" w:cs="Arial"/>
          <w:color w:val="auto"/>
          <w:sz w:val="22"/>
          <w:szCs w:val="22"/>
          <w:lang w:val="es-MX"/>
        </w:rPr>
        <w:t>Contratista</w:t>
      </w:r>
      <w:r>
        <w:rPr>
          <w:rFonts w:ascii="Arial" w:hAnsi="Arial" w:eastAsia="Arial" w:cs="Arial"/>
          <w:color w:val="auto"/>
          <w:sz w:val="22"/>
          <w:szCs w:val="22"/>
        </w:rPr>
        <w:t xml:space="preserve"> está obligado a restablecer el valor de la </w:t>
      </w:r>
      <w:r>
        <w:rPr>
          <w:rFonts w:ascii="Arial" w:hAnsi="Arial" w:eastAsia="Arial" w:cs="Arial"/>
          <w:color w:val="auto"/>
          <w:sz w:val="22"/>
          <w:szCs w:val="22"/>
          <w:lang w:val="es-MX"/>
        </w:rPr>
        <w:t>G</w:t>
      </w:r>
      <w:r>
        <w:rPr>
          <w:rFonts w:ascii="Arial" w:hAnsi="Arial" w:eastAsia="Arial" w:cs="Arial"/>
          <w:color w:val="auto"/>
          <w:sz w:val="22"/>
          <w:szCs w:val="22"/>
        </w:rPr>
        <w:t xml:space="preserve">arantía cuando esta se vea reducida por razón de las reclamaciones que efectúe la Entidad, así como a ampliar las </w:t>
      </w:r>
      <w:r>
        <w:rPr>
          <w:rFonts w:ascii="Arial" w:hAnsi="Arial" w:eastAsia="Arial" w:cs="Arial"/>
          <w:color w:val="auto"/>
          <w:sz w:val="22"/>
          <w:szCs w:val="22"/>
          <w:lang w:val="es-ES"/>
        </w:rPr>
        <w:t>G</w:t>
      </w:r>
      <w:r>
        <w:rPr>
          <w:rFonts w:ascii="Arial" w:hAnsi="Arial" w:eastAsia="Arial" w:cs="Arial"/>
          <w:color w:val="auto"/>
          <w:sz w:val="22"/>
          <w:szCs w:val="22"/>
        </w:rPr>
        <w:t>arantías en los eventos de adición</w:t>
      </w:r>
      <w:r>
        <w:rPr>
          <w:rFonts w:ascii="Arial" w:hAnsi="Arial" w:eastAsia="Arial" w:cs="Arial"/>
          <w:color w:val="auto"/>
          <w:sz w:val="22"/>
          <w:szCs w:val="22"/>
          <w:lang w:val="es-MX"/>
        </w:rPr>
        <w:t xml:space="preserve">, suspensión </w:t>
      </w:r>
      <w:r>
        <w:rPr>
          <w:rFonts w:ascii="Arial" w:hAnsi="Arial" w:eastAsia="Arial" w:cs="Arial"/>
          <w:color w:val="auto"/>
          <w:sz w:val="22"/>
          <w:szCs w:val="22"/>
        </w:rPr>
        <w:t xml:space="preserve">y/o prórroga del </w:t>
      </w:r>
      <w:r>
        <w:rPr>
          <w:rFonts w:ascii="Arial" w:hAnsi="Arial" w:eastAsia="Arial" w:cs="Arial"/>
          <w:color w:val="auto"/>
          <w:sz w:val="22"/>
          <w:szCs w:val="22"/>
          <w:lang w:val="es-MX"/>
        </w:rPr>
        <w:t>contrato</w:t>
      </w:r>
      <w:r>
        <w:rPr>
          <w:rFonts w:ascii="Arial" w:hAnsi="Arial" w:eastAsia="Arial" w:cs="Arial"/>
          <w:color w:val="auto"/>
          <w:sz w:val="22"/>
          <w:szCs w:val="22"/>
        </w:rPr>
        <w:t>. El no restablecimiento de la</w:t>
      </w:r>
      <w:r>
        <w:rPr>
          <w:rFonts w:ascii="Arial" w:hAnsi="Arial" w:eastAsia="Arial" w:cs="Arial"/>
          <w:sz w:val="22"/>
          <w:szCs w:val="22"/>
        </w:rPr>
        <w:t xml:space="preserve"> </w:t>
      </w:r>
      <w:r>
        <w:rPr>
          <w:rFonts w:ascii="Arial" w:hAnsi="Arial" w:eastAsia="Arial" w:cs="Arial"/>
          <w:sz w:val="22"/>
          <w:szCs w:val="22"/>
          <w:lang w:val="es-MX"/>
        </w:rPr>
        <w:t>G</w:t>
      </w:r>
      <w:r>
        <w:rPr>
          <w:rFonts w:ascii="Arial" w:hAnsi="Arial" w:eastAsia="Arial" w:cs="Arial"/>
          <w:sz w:val="22"/>
          <w:szCs w:val="22"/>
        </w:rPr>
        <w:t xml:space="preserve">arantía por parte del </w:t>
      </w:r>
      <w:r>
        <w:rPr>
          <w:rFonts w:ascii="Arial" w:hAnsi="Arial" w:eastAsia="Arial" w:cs="Arial"/>
          <w:sz w:val="22"/>
          <w:szCs w:val="22"/>
          <w:lang w:val="es-MX"/>
        </w:rPr>
        <w:t>Contratista</w:t>
      </w:r>
      <w:r>
        <w:rPr>
          <w:rFonts w:ascii="Arial" w:hAnsi="Arial" w:eastAsia="Arial" w:cs="Arial"/>
          <w:sz w:val="22"/>
          <w:szCs w:val="22"/>
        </w:rPr>
        <w:t xml:space="preserve"> o su no adición o prórroga, según el caso, constituye causal de incumplimiento del </w:t>
      </w:r>
      <w:r>
        <w:rPr>
          <w:rFonts w:ascii="Arial" w:hAnsi="Arial" w:eastAsia="Arial" w:cs="Arial"/>
          <w:sz w:val="22"/>
          <w:szCs w:val="22"/>
          <w:lang w:val="es-MX"/>
        </w:rPr>
        <w:t>contrato</w:t>
      </w:r>
      <w:r>
        <w:rPr>
          <w:rFonts w:ascii="Arial" w:hAnsi="Arial" w:eastAsia="Arial" w:cs="Arial"/>
          <w:sz w:val="22"/>
          <w:szCs w:val="22"/>
        </w:rPr>
        <w:t xml:space="preserve"> y se iniciarán los procesos sancionatorios a que haya lugar.</w:t>
      </w:r>
    </w:p>
    <w:p w14:paraId="41522215">
      <w:pPr>
        <w:pStyle w:val="54"/>
        <w:numPr>
          <w:ilvl w:val="0"/>
          <w:numId w:val="0"/>
        </w:numPr>
        <w:tabs>
          <w:tab w:val="left" w:pos="1860"/>
        </w:tabs>
        <w:spacing w:line="240" w:lineRule="auto"/>
        <w:ind w:left="360" w:hanging="360"/>
        <w:jc w:val="both"/>
        <w:outlineLvl w:val="2"/>
        <w:rPr>
          <w:rFonts w:eastAsia="Arial"/>
          <w:color w:val="auto"/>
          <w:sz w:val="22"/>
          <w:szCs w:val="22"/>
          <w:lang w:eastAsia="es-ES"/>
        </w:rPr>
      </w:pPr>
      <w:bookmarkStart w:id="2" w:name="_Toc108082946"/>
      <w:bookmarkStart w:id="3" w:name="_Toc208767656"/>
      <w:r>
        <w:rPr>
          <w:rFonts w:eastAsia="Arial"/>
          <w:color w:val="auto"/>
          <w:sz w:val="22"/>
          <w:szCs w:val="22"/>
          <w:lang w:eastAsia="es-ES"/>
        </w:rPr>
        <w:t>17.2 DEL AMPARO DE CALIDAD DEL SERVICIO EN LA GARANTÍA ÚNICA DE CUMPLIMIENTO</w:t>
      </w:r>
      <w:bookmarkEnd w:id="2"/>
      <w:bookmarkEnd w:id="3"/>
    </w:p>
    <w:p w14:paraId="06F2583C">
      <w:pPr>
        <w:tabs>
          <w:tab w:val="left" w:pos="1860"/>
        </w:tabs>
        <w:rPr>
          <w:rFonts w:ascii="Arial" w:hAnsi="Arial" w:eastAsia="Times New Roman" w:cs="Arial"/>
          <w:sz w:val="22"/>
          <w:lang w:val="es-ES" w:eastAsia="es-CO"/>
        </w:rPr>
      </w:pPr>
      <w:r>
        <w:rPr>
          <w:rFonts w:ascii="Arial" w:hAnsi="Arial" w:eastAsia="Times New Roman" w:cs="Arial"/>
          <w:sz w:val="22"/>
          <w:lang w:val="es-ES" w:eastAsia="es-CO"/>
        </w:rPr>
        <w:t xml:space="preserve">La mala calidad del servicio prestado, siempre y cuando se acredite que éstos son imputables al Contratista. </w:t>
      </w:r>
    </w:p>
    <w:p w14:paraId="27865B84">
      <w:pPr>
        <w:pStyle w:val="37"/>
        <w:numPr>
          <w:ilvl w:val="0"/>
          <w:numId w:val="0"/>
        </w:numPr>
        <w:rPr>
          <w:rFonts w:cs="Arial"/>
          <w:sz w:val="22"/>
          <w:szCs w:val="22"/>
          <w:lang w:val="es-MX"/>
        </w:rPr>
      </w:pPr>
      <w:r>
        <w:rPr>
          <w:rFonts w:hint="default" w:ascii="Arial" w:hAnsi="Arial" w:cs="Arial"/>
          <w:b w:val="0"/>
          <w:sz w:val="22"/>
          <w:lang w:val="es-CO"/>
        </w:rPr>
        <w:t xml:space="preserve">17.3 </w:t>
      </w:r>
      <w:bookmarkStart w:id="4" w:name="_Toc176242724"/>
      <w:r>
        <w:rPr>
          <w:rFonts w:cs="Arial"/>
          <w:caps w:val="0"/>
          <w:sz w:val="22"/>
          <w:szCs w:val="22"/>
          <w:lang w:val="es-MX"/>
        </w:rPr>
        <w:t xml:space="preserve"> GARANTÍA DE RESPONSABILIDAD CIVIL EXTRACONTRACTUAL</w:t>
      </w:r>
      <w:bookmarkEnd w:id="4"/>
    </w:p>
    <w:p w14:paraId="5201962E">
      <w:pPr>
        <w:keepNext w:val="0"/>
        <w:keepLines w:val="0"/>
        <w:widowControl/>
        <w:suppressLineNumbers w:val="0"/>
        <w:spacing w:before="0" w:beforeAutospacing="0" w:after="0" w:afterAutospacing="0" w:line="240" w:lineRule="auto"/>
        <w:ind w:left="0" w:right="0"/>
        <w:jc w:val="both"/>
        <w:rPr>
          <w:rFonts w:cs="Arial"/>
          <w:sz w:val="22"/>
          <w:szCs w:val="22"/>
          <w:lang w:val="es-MX"/>
        </w:rPr>
      </w:pPr>
    </w:p>
    <w:p w14:paraId="5D18D814">
      <w:pPr>
        <w:keepNext w:val="0"/>
        <w:keepLines w:val="0"/>
        <w:widowControl/>
        <w:suppressLineNumbers w:val="0"/>
        <w:spacing w:before="0" w:beforeAutospacing="0" w:after="0" w:afterAutospacing="0" w:line="240" w:lineRule="auto"/>
        <w:ind w:left="0" w:right="0"/>
        <w:jc w:val="both"/>
        <w:rPr>
          <w:rFonts w:cs="Arial"/>
          <w:sz w:val="22"/>
          <w:szCs w:val="22"/>
          <w:lang w:val="es-MX"/>
        </w:rPr>
      </w:pPr>
      <w:r>
        <w:rPr>
          <w:rFonts w:hint="default" w:ascii="Arial" w:hAnsi="Arial" w:eastAsia="Calibri" w:cs="Arial"/>
          <w:color w:val="000000"/>
          <w:kern w:val="0"/>
          <w:sz w:val="22"/>
          <w:szCs w:val="22"/>
          <w:lang w:val="es-MX" w:eastAsia="zh-CN" w:bidi="ar"/>
        </w:rPr>
        <w:t>El contratista deberá contratar un seguro que ampare la responsabilidad civil extracontractual de la Entidad con las siguientes características:</w:t>
      </w:r>
    </w:p>
    <w:p w14:paraId="23D0FD75">
      <w:pPr>
        <w:keepNext w:val="0"/>
        <w:keepLines w:val="0"/>
        <w:widowControl/>
        <w:suppressLineNumbers w:val="0"/>
        <w:spacing w:before="0" w:beforeAutospacing="0" w:after="0" w:afterAutospacing="0" w:line="240" w:lineRule="auto"/>
        <w:ind w:left="0" w:right="0"/>
        <w:jc w:val="both"/>
        <w:rPr>
          <w:rFonts w:cs="Arial"/>
          <w:sz w:val="22"/>
          <w:szCs w:val="22"/>
          <w:lang w:val="es-MX"/>
        </w:rPr>
      </w:pPr>
    </w:p>
    <w:tbl>
      <w:tblPr>
        <w:tblStyle w:val="21"/>
        <w:tblW w:w="0" w:type="auto"/>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tblLayout w:type="autofit"/>
        <w:tblCellMar>
          <w:top w:w="0" w:type="dxa"/>
          <w:left w:w="100" w:type="dxa"/>
          <w:bottom w:w="0" w:type="dxa"/>
          <w:right w:w="100" w:type="dxa"/>
        </w:tblCellMar>
      </w:tblPr>
      <w:tblGrid>
        <w:gridCol w:w="2096"/>
        <w:gridCol w:w="6942"/>
      </w:tblGrid>
      <w:tr w14:paraId="46BD06A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tblCellMar>
            <w:top w:w="0" w:type="dxa"/>
            <w:left w:w="100" w:type="dxa"/>
            <w:bottom w:w="0" w:type="dxa"/>
            <w:right w:w="100" w:type="dxa"/>
          </w:tblCellMar>
        </w:tblPrEx>
        <w:trPr>
          <w:trHeight w:val="20" w:hRule="atLeast"/>
          <w:tblHeader/>
          <w:jc w:val="center"/>
        </w:trPr>
        <w:tc>
          <w:tcPr>
            <w:tcW w:w="0" w:type="auto"/>
            <w:tcBorders>
              <w:top w:val="single" w:color="auto" w:sz="2" w:space="0"/>
              <w:left w:val="single" w:color="auto" w:sz="2" w:space="0"/>
              <w:bottom w:val="single" w:color="auto" w:sz="2" w:space="0"/>
              <w:right w:val="single" w:color="auto" w:sz="2" w:space="0"/>
            </w:tcBorders>
            <w:shd w:val="clear" w:color="auto" w:fill="404040"/>
            <w:vAlign w:val="center"/>
          </w:tcPr>
          <w:p w14:paraId="53ACA26C">
            <w:pPr>
              <w:keepNext w:val="0"/>
              <w:keepLines w:val="0"/>
              <w:widowControl/>
              <w:suppressLineNumbers w:val="0"/>
              <w:spacing w:before="0" w:beforeAutospacing="0" w:after="0" w:afterAutospacing="0" w:line="240" w:lineRule="auto"/>
              <w:ind w:left="0" w:right="0"/>
              <w:jc w:val="both"/>
              <w:rPr>
                <w:rFonts w:cs="Arial"/>
                <w:b/>
                <w:bCs/>
                <w:color w:val="FFFFFF"/>
                <w:sz w:val="22"/>
                <w:szCs w:val="22"/>
                <w:bdr w:val="none" w:color="auto" w:sz="0" w:space="0"/>
              </w:rPr>
            </w:pPr>
            <w:r>
              <w:rPr>
                <w:rFonts w:hint="default" w:ascii="Arial" w:hAnsi="Arial" w:eastAsia="Calibri" w:cs="Arial"/>
                <w:b/>
                <w:bCs/>
                <w:color w:val="000000"/>
                <w:kern w:val="0"/>
                <w:sz w:val="22"/>
                <w:szCs w:val="22"/>
                <w:bdr w:val="none" w:color="auto" w:sz="0" w:space="0"/>
                <w:lang w:val="en-US" w:eastAsia="zh-CN" w:bidi="ar"/>
              </w:rPr>
              <w:t>Característica</w:t>
            </w:r>
          </w:p>
        </w:tc>
        <w:tc>
          <w:tcPr>
            <w:tcW w:w="0" w:type="auto"/>
            <w:tcBorders>
              <w:top w:val="single" w:color="auto" w:sz="2" w:space="0"/>
              <w:left w:val="single" w:color="auto" w:sz="2" w:space="0"/>
              <w:bottom w:val="single" w:color="auto" w:sz="2" w:space="0"/>
              <w:right w:val="single" w:color="auto" w:sz="2" w:space="0"/>
            </w:tcBorders>
            <w:shd w:val="clear" w:color="auto" w:fill="404040"/>
            <w:vAlign w:val="center"/>
          </w:tcPr>
          <w:p w14:paraId="31BA3313">
            <w:pPr>
              <w:keepNext w:val="0"/>
              <w:keepLines w:val="0"/>
              <w:widowControl/>
              <w:suppressLineNumbers w:val="0"/>
              <w:spacing w:before="0" w:beforeAutospacing="0" w:after="0" w:afterAutospacing="0" w:line="240" w:lineRule="auto"/>
              <w:ind w:left="0" w:right="0"/>
              <w:jc w:val="both"/>
              <w:rPr>
                <w:rFonts w:cs="Arial"/>
                <w:b/>
                <w:bCs/>
                <w:color w:val="FFFFFF"/>
                <w:sz w:val="22"/>
                <w:szCs w:val="22"/>
                <w:bdr w:val="none" w:color="auto" w:sz="0" w:space="0"/>
              </w:rPr>
            </w:pPr>
            <w:r>
              <w:rPr>
                <w:rFonts w:hint="default" w:ascii="Arial" w:hAnsi="Arial" w:eastAsia="Calibri" w:cs="Arial"/>
                <w:b/>
                <w:bCs/>
                <w:color w:val="000000"/>
                <w:kern w:val="0"/>
                <w:sz w:val="22"/>
                <w:szCs w:val="22"/>
                <w:bdr w:val="none" w:color="auto" w:sz="0" w:space="0"/>
                <w:lang w:val="en-US" w:eastAsia="zh-CN" w:bidi="ar"/>
              </w:rPr>
              <w:t>Condición</w:t>
            </w:r>
          </w:p>
        </w:tc>
      </w:tr>
      <w:tr w14:paraId="784B4B8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tblCellMar>
            <w:top w:w="0" w:type="dxa"/>
            <w:left w:w="100" w:type="dxa"/>
            <w:bottom w:w="0" w:type="dxa"/>
            <w:right w:w="100" w:type="dxa"/>
          </w:tblCellMar>
        </w:tblPrEx>
        <w:trPr>
          <w:trHeight w:val="20" w:hRule="atLeast"/>
          <w:jc w:val="center"/>
        </w:trPr>
        <w:tc>
          <w:tcPr>
            <w:tcW w:w="0" w:type="auto"/>
            <w:tcBorders>
              <w:top w:val="single" w:color="auto" w:sz="2" w:space="0"/>
              <w:left w:val="single" w:color="auto" w:sz="2" w:space="0"/>
              <w:bottom w:val="single" w:color="auto" w:sz="2" w:space="0"/>
              <w:right w:val="single" w:color="auto" w:sz="2" w:space="0"/>
            </w:tcBorders>
            <w:shd w:val="clear"/>
            <w:vAlign w:val="center"/>
          </w:tcPr>
          <w:p w14:paraId="36CA56FA">
            <w:pPr>
              <w:keepNext w:val="0"/>
              <w:keepLines w:val="0"/>
              <w:widowControl/>
              <w:suppressLineNumbers w:val="0"/>
              <w:spacing w:before="0" w:beforeAutospacing="0" w:after="0" w:afterAutospacing="0" w:line="240" w:lineRule="auto"/>
              <w:ind w:left="0" w:right="0"/>
              <w:jc w:val="both"/>
              <w:rPr>
                <w:rFonts w:eastAsia="Times New Roman" w:cs="Arial"/>
                <w:bCs/>
                <w:color w:val="auto"/>
                <w:sz w:val="22"/>
                <w:szCs w:val="22"/>
                <w:bdr w:val="none" w:color="auto" w:sz="0" w:space="0"/>
              </w:rPr>
            </w:pPr>
            <w:r>
              <w:rPr>
                <w:rFonts w:hint="default" w:ascii="Arial" w:hAnsi="Arial" w:eastAsia="Times New Roman" w:cs="Arial"/>
                <w:bCs/>
                <w:color w:val="000000"/>
                <w:kern w:val="0"/>
                <w:sz w:val="22"/>
                <w:szCs w:val="22"/>
                <w:bdr w:val="none" w:color="auto" w:sz="0" w:space="0"/>
                <w:lang w:val="en-US" w:eastAsia="zh-CN" w:bidi="ar"/>
              </w:rPr>
              <w:t>Clase</w:t>
            </w:r>
          </w:p>
        </w:tc>
        <w:tc>
          <w:tcPr>
            <w:tcW w:w="0" w:type="auto"/>
            <w:tcBorders>
              <w:top w:val="single" w:color="auto" w:sz="2" w:space="0"/>
              <w:left w:val="single" w:color="auto" w:sz="2" w:space="0"/>
              <w:bottom w:val="single" w:color="auto" w:sz="2" w:space="0"/>
              <w:right w:val="single" w:color="auto" w:sz="2" w:space="0"/>
            </w:tcBorders>
            <w:shd w:val="clear"/>
            <w:vAlign w:val="center"/>
          </w:tcPr>
          <w:p w14:paraId="28AA187D">
            <w:pPr>
              <w:keepNext w:val="0"/>
              <w:keepLines w:val="0"/>
              <w:widowControl/>
              <w:suppressLineNumbers w:val="0"/>
              <w:spacing w:before="0" w:beforeAutospacing="0" w:after="0" w:afterAutospacing="0" w:line="240" w:lineRule="auto"/>
              <w:ind w:left="0" w:right="0"/>
              <w:jc w:val="both"/>
              <w:rPr>
                <w:rFonts w:eastAsia="Times New Roman" w:cs="Arial"/>
                <w:bCs/>
                <w:color w:val="auto"/>
                <w:sz w:val="22"/>
                <w:szCs w:val="22"/>
                <w:bdr w:val="none" w:color="auto" w:sz="0" w:space="0"/>
              </w:rPr>
            </w:pPr>
            <w:r>
              <w:rPr>
                <w:rFonts w:hint="default" w:ascii="Arial" w:hAnsi="Arial" w:eastAsia="Times New Roman" w:cs="Arial"/>
                <w:bCs/>
                <w:color w:val="000000"/>
                <w:kern w:val="0"/>
                <w:sz w:val="22"/>
                <w:szCs w:val="22"/>
                <w:bdr w:val="none" w:color="auto" w:sz="0" w:space="0"/>
                <w:lang w:val="en-US" w:eastAsia="zh-CN" w:bidi="ar"/>
              </w:rPr>
              <w:t xml:space="preserve">Contrato de seguro contenido en una póliza </w:t>
            </w:r>
          </w:p>
        </w:tc>
      </w:tr>
      <w:tr w14:paraId="2880D01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tblCellMar>
            <w:top w:w="0" w:type="dxa"/>
            <w:left w:w="100" w:type="dxa"/>
            <w:bottom w:w="0" w:type="dxa"/>
            <w:right w:w="100" w:type="dxa"/>
          </w:tblCellMar>
        </w:tblPrEx>
        <w:trPr>
          <w:trHeight w:val="20" w:hRule="atLeast"/>
          <w:jc w:val="center"/>
        </w:trPr>
        <w:tc>
          <w:tcPr>
            <w:tcW w:w="0" w:type="auto"/>
            <w:tcBorders>
              <w:top w:val="single" w:color="auto" w:sz="2" w:space="0"/>
              <w:left w:val="single" w:color="auto" w:sz="2" w:space="0"/>
              <w:bottom w:val="single" w:color="auto" w:sz="2" w:space="0"/>
              <w:right w:val="single" w:color="auto" w:sz="2" w:space="0"/>
            </w:tcBorders>
            <w:shd w:val="clear"/>
            <w:vAlign w:val="center"/>
          </w:tcPr>
          <w:p w14:paraId="0AAF4443">
            <w:pPr>
              <w:keepNext w:val="0"/>
              <w:keepLines w:val="0"/>
              <w:widowControl/>
              <w:suppressLineNumbers w:val="0"/>
              <w:spacing w:before="0" w:beforeAutospacing="0" w:after="0" w:afterAutospacing="0" w:line="240" w:lineRule="auto"/>
              <w:ind w:left="0" w:right="0"/>
              <w:jc w:val="both"/>
              <w:rPr>
                <w:rFonts w:eastAsia="Times New Roman" w:cs="Arial"/>
                <w:bCs/>
                <w:color w:val="auto"/>
                <w:sz w:val="22"/>
                <w:szCs w:val="22"/>
                <w:bdr w:val="none" w:color="auto" w:sz="0" w:space="0"/>
              </w:rPr>
            </w:pPr>
            <w:r>
              <w:rPr>
                <w:rFonts w:hint="default" w:ascii="Arial" w:hAnsi="Arial" w:eastAsia="Times New Roman" w:cs="Arial"/>
                <w:bCs/>
                <w:color w:val="000000"/>
                <w:kern w:val="0"/>
                <w:sz w:val="22"/>
                <w:szCs w:val="22"/>
                <w:bdr w:val="none" w:color="auto" w:sz="0" w:space="0"/>
                <w:lang w:val="en-US" w:eastAsia="zh-CN" w:bidi="ar"/>
              </w:rPr>
              <w:t>Asegurados</w:t>
            </w:r>
          </w:p>
        </w:tc>
        <w:tc>
          <w:tcPr>
            <w:tcW w:w="0" w:type="auto"/>
            <w:tcBorders>
              <w:top w:val="single" w:color="auto" w:sz="2" w:space="0"/>
              <w:left w:val="single" w:color="auto" w:sz="2" w:space="0"/>
              <w:bottom w:val="single" w:color="auto" w:sz="2" w:space="0"/>
              <w:right w:val="single" w:color="auto" w:sz="2" w:space="0"/>
            </w:tcBorders>
            <w:shd w:val="clear"/>
            <w:vAlign w:val="center"/>
          </w:tcPr>
          <w:p w14:paraId="27CF8423">
            <w:pPr>
              <w:keepNext w:val="0"/>
              <w:keepLines w:val="0"/>
              <w:widowControl/>
              <w:suppressLineNumbers w:val="0"/>
              <w:spacing w:before="0" w:beforeAutospacing="0" w:after="0" w:afterAutospacing="0" w:line="240" w:lineRule="auto"/>
              <w:ind w:left="0" w:right="0"/>
              <w:jc w:val="both"/>
              <w:rPr>
                <w:rFonts w:eastAsia="Times New Roman" w:cs="Arial"/>
                <w:bCs/>
                <w:color w:val="auto"/>
                <w:sz w:val="22"/>
                <w:szCs w:val="22"/>
                <w:bdr w:val="none" w:color="auto" w:sz="0" w:space="0"/>
              </w:rPr>
            </w:pPr>
            <w:r>
              <w:rPr>
                <w:rFonts w:hint="default" w:ascii="Arial" w:hAnsi="Arial" w:eastAsia="Times New Roman" w:cs="Arial"/>
                <w:bCs/>
                <w:color w:val="000000"/>
                <w:kern w:val="0"/>
                <w:sz w:val="22"/>
                <w:szCs w:val="22"/>
                <w:bdr w:val="none" w:color="auto" w:sz="0" w:space="0"/>
                <w:lang w:val="en-US" w:eastAsia="zh-CN" w:bidi="ar"/>
              </w:rPr>
              <w:t>Departamento de Bolívar identificada con NIT 890.480.059-1 y el Contratista</w:t>
            </w:r>
          </w:p>
        </w:tc>
      </w:tr>
      <w:tr w14:paraId="682449B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tblCellMar>
            <w:top w:w="0" w:type="dxa"/>
            <w:left w:w="100" w:type="dxa"/>
            <w:bottom w:w="0" w:type="dxa"/>
            <w:right w:w="100" w:type="dxa"/>
          </w:tblCellMar>
        </w:tblPrEx>
        <w:trPr>
          <w:trHeight w:val="20" w:hRule="atLeast"/>
          <w:jc w:val="center"/>
        </w:trPr>
        <w:tc>
          <w:tcPr>
            <w:tcW w:w="0" w:type="auto"/>
            <w:tcBorders>
              <w:top w:val="single" w:color="auto" w:sz="2" w:space="0"/>
              <w:left w:val="single" w:color="auto" w:sz="2" w:space="0"/>
              <w:bottom w:val="single" w:color="auto" w:sz="2" w:space="0"/>
              <w:right w:val="single" w:color="auto" w:sz="2" w:space="0"/>
            </w:tcBorders>
            <w:shd w:val="clear"/>
            <w:vAlign w:val="center"/>
          </w:tcPr>
          <w:p w14:paraId="314F43AA">
            <w:pPr>
              <w:keepNext w:val="0"/>
              <w:keepLines w:val="0"/>
              <w:widowControl/>
              <w:suppressLineNumbers w:val="0"/>
              <w:spacing w:before="0" w:beforeAutospacing="0" w:after="0" w:afterAutospacing="0" w:line="240" w:lineRule="auto"/>
              <w:ind w:left="0" w:right="0"/>
              <w:jc w:val="both"/>
              <w:rPr>
                <w:rFonts w:eastAsia="Times New Roman" w:cs="Arial"/>
                <w:bCs/>
                <w:color w:val="auto"/>
                <w:sz w:val="22"/>
                <w:szCs w:val="22"/>
                <w:bdr w:val="none" w:color="auto" w:sz="0" w:space="0"/>
              </w:rPr>
            </w:pPr>
            <w:r>
              <w:rPr>
                <w:rFonts w:hint="default" w:ascii="Arial" w:hAnsi="Arial" w:eastAsia="Times New Roman" w:cs="Arial"/>
                <w:bCs/>
                <w:color w:val="000000"/>
                <w:kern w:val="0"/>
                <w:sz w:val="22"/>
                <w:szCs w:val="22"/>
                <w:bdr w:val="none" w:color="auto" w:sz="0" w:space="0"/>
                <w:lang w:val="en-US" w:eastAsia="zh-CN" w:bidi="ar"/>
              </w:rPr>
              <w:t>Tomador</w:t>
            </w:r>
          </w:p>
        </w:tc>
        <w:tc>
          <w:tcPr>
            <w:tcW w:w="0" w:type="auto"/>
            <w:tcBorders>
              <w:top w:val="single" w:color="auto" w:sz="2" w:space="0"/>
              <w:left w:val="single" w:color="auto" w:sz="2" w:space="0"/>
              <w:bottom w:val="single" w:color="auto" w:sz="2" w:space="0"/>
              <w:right w:val="single" w:color="auto" w:sz="2" w:space="0"/>
            </w:tcBorders>
            <w:shd w:val="clear"/>
            <w:vAlign w:val="center"/>
          </w:tcPr>
          <w:p w14:paraId="3D59EB4C">
            <w:pPr>
              <w:pStyle w:val="16"/>
              <w:widowControl/>
              <w:numPr>
                <w:ilvl w:val="0"/>
                <w:numId w:val="15"/>
              </w:numPr>
              <w:spacing w:before="0" w:beforeAutospacing="0" w:after="0" w:afterAutospacing="0"/>
              <w:ind w:left="360" w:right="0" w:hanging="360"/>
              <w:jc w:val="both"/>
              <w:rPr>
                <w:rFonts w:hint="default" w:ascii="Arial" w:hAnsi="Arial" w:cs="Arial"/>
                <w:bCs/>
                <w:sz w:val="22"/>
                <w:szCs w:val="22"/>
                <w:bdr w:val="none" w:color="auto" w:sz="0" w:space="0"/>
                <w:lang/>
              </w:rPr>
            </w:pPr>
            <w:r>
              <w:rPr>
                <w:rFonts w:hint="default" w:ascii="Arial" w:hAnsi="Arial" w:cs="Arial"/>
                <w:bCs/>
                <w:sz w:val="22"/>
                <w:szCs w:val="22"/>
                <w:bdr w:val="none" w:color="auto" w:sz="0" w:space="0"/>
                <w:lang/>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57F6C4D8">
            <w:pPr>
              <w:pStyle w:val="16"/>
              <w:widowControl/>
              <w:numPr>
                <w:ilvl w:val="0"/>
                <w:numId w:val="15"/>
              </w:numPr>
              <w:spacing w:before="0" w:beforeAutospacing="0" w:after="0" w:afterAutospacing="0"/>
              <w:ind w:left="360" w:right="0" w:hanging="360"/>
              <w:jc w:val="both"/>
              <w:rPr>
                <w:rFonts w:hint="default" w:ascii="Arial" w:hAnsi="Arial" w:cs="Arial"/>
                <w:bCs/>
                <w:sz w:val="22"/>
                <w:szCs w:val="22"/>
                <w:bdr w:val="none" w:color="auto" w:sz="0" w:space="0"/>
                <w:lang/>
              </w:rPr>
            </w:pPr>
            <w:r>
              <w:rPr>
                <w:rFonts w:hint="default" w:ascii="Arial" w:hAnsi="Arial" w:cs="Arial"/>
                <w:bCs/>
                <w:sz w:val="22"/>
                <w:szCs w:val="22"/>
                <w:bdr w:val="none" w:color="auto" w:sz="0" w:space="0"/>
                <w:lang/>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D78D638">
            <w:pPr>
              <w:pStyle w:val="16"/>
              <w:widowControl/>
              <w:numPr>
                <w:ilvl w:val="0"/>
                <w:numId w:val="15"/>
              </w:numPr>
              <w:spacing w:before="0" w:beforeAutospacing="0" w:after="0" w:afterAutospacing="0"/>
              <w:ind w:left="360" w:right="0" w:hanging="360"/>
              <w:jc w:val="both"/>
              <w:rPr>
                <w:rFonts w:hint="default" w:ascii="Arial" w:hAnsi="Arial" w:cs="Arial"/>
                <w:bCs/>
                <w:sz w:val="22"/>
                <w:szCs w:val="22"/>
                <w:bdr w:val="none" w:color="auto" w:sz="0" w:space="0"/>
                <w:lang/>
              </w:rPr>
            </w:pPr>
            <w:r>
              <w:rPr>
                <w:rFonts w:hint="default" w:ascii="Arial" w:hAnsi="Arial" w:cs="Arial"/>
                <w:bCs/>
                <w:sz w:val="22"/>
                <w:szCs w:val="22"/>
                <w:bdr w:val="none" w:color="auto" w:sz="0" w:space="0"/>
                <w:lang/>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14:paraId="325BE8E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tblCellMar>
            <w:top w:w="0" w:type="dxa"/>
            <w:left w:w="100" w:type="dxa"/>
            <w:bottom w:w="0" w:type="dxa"/>
            <w:right w:w="100" w:type="dxa"/>
          </w:tblCellMar>
        </w:tblPrEx>
        <w:trPr>
          <w:trHeight w:val="20" w:hRule="atLeast"/>
          <w:jc w:val="center"/>
        </w:trPr>
        <w:tc>
          <w:tcPr>
            <w:tcW w:w="0" w:type="auto"/>
            <w:tcBorders>
              <w:top w:val="single" w:color="auto" w:sz="2" w:space="0"/>
              <w:left w:val="single" w:color="auto" w:sz="2" w:space="0"/>
              <w:bottom w:val="single" w:color="auto" w:sz="2" w:space="0"/>
              <w:right w:val="single" w:color="auto" w:sz="2" w:space="0"/>
            </w:tcBorders>
            <w:shd w:val="clear"/>
            <w:vAlign w:val="center"/>
          </w:tcPr>
          <w:p w14:paraId="2D97757B">
            <w:pPr>
              <w:keepNext w:val="0"/>
              <w:keepLines w:val="0"/>
              <w:widowControl/>
              <w:suppressLineNumbers w:val="0"/>
              <w:spacing w:before="0" w:beforeAutospacing="0" w:after="0" w:afterAutospacing="0" w:line="240" w:lineRule="auto"/>
              <w:ind w:left="0" w:right="0"/>
              <w:jc w:val="both"/>
              <w:rPr>
                <w:rFonts w:eastAsia="Times New Roman" w:cs="Arial"/>
                <w:bCs/>
                <w:color w:val="auto"/>
                <w:sz w:val="22"/>
                <w:szCs w:val="22"/>
                <w:bdr w:val="none" w:color="auto" w:sz="0" w:space="0"/>
              </w:rPr>
            </w:pPr>
            <w:r>
              <w:rPr>
                <w:rFonts w:hint="default" w:ascii="Arial" w:hAnsi="Arial" w:eastAsia="Times New Roman" w:cs="Arial"/>
                <w:bCs/>
                <w:color w:val="000000"/>
                <w:kern w:val="0"/>
                <w:sz w:val="22"/>
                <w:szCs w:val="22"/>
                <w:bdr w:val="none" w:color="auto" w:sz="0" w:space="0"/>
                <w:lang w:val="en-US" w:eastAsia="zh-CN" w:bidi="ar"/>
              </w:rPr>
              <w:t>Valor</w:t>
            </w:r>
          </w:p>
        </w:tc>
        <w:tc>
          <w:tcPr>
            <w:tcW w:w="0" w:type="auto"/>
            <w:tcBorders>
              <w:top w:val="single" w:color="auto" w:sz="2" w:space="0"/>
              <w:left w:val="single" w:color="auto" w:sz="2" w:space="0"/>
              <w:bottom w:val="single" w:color="auto" w:sz="2" w:space="0"/>
              <w:right w:val="single" w:color="auto" w:sz="2" w:space="0"/>
            </w:tcBorders>
            <w:shd w:val="clear"/>
            <w:vAlign w:val="center"/>
          </w:tcPr>
          <w:p w14:paraId="36369F9B">
            <w:pPr>
              <w:keepNext w:val="0"/>
              <w:keepLines w:val="0"/>
              <w:widowControl/>
              <w:suppressLineNumbers w:val="0"/>
              <w:shd w:val="clear" w:fill="FFFFFF"/>
              <w:spacing w:before="0" w:beforeAutospacing="0" w:after="0" w:afterAutospacing="0" w:line="240" w:lineRule="auto"/>
              <w:ind w:left="0" w:right="0"/>
              <w:jc w:val="both"/>
              <w:rPr>
                <w:rFonts w:eastAsia="Times New Roman" w:cs="Arial"/>
                <w:bCs/>
                <w:color w:val="auto"/>
                <w:sz w:val="22"/>
                <w:szCs w:val="22"/>
                <w:bdr w:val="none" w:color="auto" w:sz="0" w:space="0"/>
                <w:shd w:val="clear" w:fill="FFFFFF"/>
              </w:rPr>
            </w:pPr>
            <w:r>
              <w:rPr>
                <w:rFonts w:hint="default" w:ascii="Arial" w:hAnsi="Arial" w:eastAsia="Times New Roman" w:cs="Arial"/>
                <w:bCs/>
                <w:color w:val="000000"/>
                <w:kern w:val="0"/>
                <w:sz w:val="22"/>
                <w:szCs w:val="22"/>
                <w:bdr w:val="none" w:color="auto" w:sz="0" w:space="0"/>
                <w:shd w:val="clear" w:fill="FFFFFF"/>
                <w:lang w:val="en-US" w:eastAsia="zh-CN" w:bidi="ar"/>
              </w:rPr>
              <w:t xml:space="preserve">        200 salarios mínimos legales mensuales vigentes </w:t>
            </w:r>
          </w:p>
        </w:tc>
      </w:tr>
      <w:tr w14:paraId="0CF6747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tblCellMar>
            <w:top w:w="0" w:type="dxa"/>
            <w:left w:w="100" w:type="dxa"/>
            <w:bottom w:w="0" w:type="dxa"/>
            <w:right w:w="100" w:type="dxa"/>
          </w:tblCellMar>
        </w:tblPrEx>
        <w:trPr>
          <w:trHeight w:val="20" w:hRule="atLeast"/>
          <w:jc w:val="center"/>
        </w:trPr>
        <w:tc>
          <w:tcPr>
            <w:tcW w:w="0" w:type="auto"/>
            <w:tcBorders>
              <w:top w:val="single" w:color="auto" w:sz="2" w:space="0"/>
              <w:left w:val="single" w:color="auto" w:sz="2" w:space="0"/>
              <w:bottom w:val="single" w:color="auto" w:sz="2" w:space="0"/>
              <w:right w:val="single" w:color="auto" w:sz="2" w:space="0"/>
            </w:tcBorders>
            <w:shd w:val="clear"/>
            <w:vAlign w:val="center"/>
          </w:tcPr>
          <w:p w14:paraId="0B4FF0CD">
            <w:pPr>
              <w:keepNext w:val="0"/>
              <w:keepLines w:val="0"/>
              <w:widowControl/>
              <w:suppressLineNumbers w:val="0"/>
              <w:spacing w:before="0" w:beforeAutospacing="0" w:after="0" w:afterAutospacing="0" w:line="240" w:lineRule="auto"/>
              <w:ind w:left="0" w:right="0"/>
              <w:jc w:val="both"/>
              <w:rPr>
                <w:rFonts w:eastAsia="Times New Roman" w:cs="Arial"/>
                <w:bCs/>
                <w:color w:val="auto"/>
                <w:sz w:val="22"/>
                <w:szCs w:val="22"/>
                <w:bdr w:val="none" w:color="auto" w:sz="0" w:space="0"/>
              </w:rPr>
            </w:pPr>
            <w:r>
              <w:rPr>
                <w:rFonts w:hint="default" w:ascii="Arial" w:hAnsi="Arial" w:eastAsia="Times New Roman" w:cs="Arial"/>
                <w:bCs/>
                <w:color w:val="000000"/>
                <w:kern w:val="0"/>
                <w:sz w:val="22"/>
                <w:szCs w:val="22"/>
                <w:bdr w:val="none" w:color="auto" w:sz="0" w:space="0"/>
                <w:lang w:val="en-US" w:eastAsia="zh-CN" w:bidi="ar"/>
              </w:rPr>
              <w:t>Vigencia</w:t>
            </w:r>
          </w:p>
        </w:tc>
        <w:tc>
          <w:tcPr>
            <w:tcW w:w="0" w:type="auto"/>
            <w:tcBorders>
              <w:top w:val="single" w:color="auto" w:sz="2" w:space="0"/>
              <w:left w:val="single" w:color="auto" w:sz="2" w:space="0"/>
              <w:bottom w:val="single" w:color="auto" w:sz="2" w:space="0"/>
              <w:right w:val="single" w:color="auto" w:sz="2" w:space="0"/>
            </w:tcBorders>
            <w:shd w:val="clear"/>
            <w:vAlign w:val="center"/>
          </w:tcPr>
          <w:p w14:paraId="747627D1">
            <w:pPr>
              <w:keepNext w:val="0"/>
              <w:keepLines w:val="0"/>
              <w:widowControl/>
              <w:suppressLineNumbers w:val="0"/>
              <w:spacing w:before="0" w:beforeAutospacing="0" w:after="0" w:afterAutospacing="0" w:line="240" w:lineRule="auto"/>
              <w:ind w:left="0" w:right="0"/>
              <w:jc w:val="both"/>
              <w:rPr>
                <w:rFonts w:eastAsia="Times New Roman" w:cs="Arial"/>
                <w:bCs/>
                <w:color w:val="auto"/>
                <w:sz w:val="22"/>
                <w:szCs w:val="22"/>
                <w:bdr w:val="none" w:color="auto" w:sz="0" w:space="0"/>
              </w:rPr>
            </w:pPr>
            <w:r>
              <w:rPr>
                <w:rFonts w:hint="default" w:ascii="Arial" w:hAnsi="Arial" w:eastAsia="Times New Roman" w:cs="Arial"/>
                <w:color w:val="000000"/>
                <w:kern w:val="0"/>
                <w:sz w:val="22"/>
                <w:szCs w:val="22"/>
                <w:bdr w:val="none" w:color="auto" w:sz="0" w:space="0"/>
                <w:lang w:val="en-US" w:eastAsia="zh-CN" w:bidi="ar"/>
              </w:rPr>
              <w:t>Igual al período de ejecución del contrato.</w:t>
            </w:r>
          </w:p>
        </w:tc>
      </w:tr>
      <w:tr w14:paraId="4BC236A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tblCellMar>
            <w:top w:w="0" w:type="dxa"/>
            <w:left w:w="100" w:type="dxa"/>
            <w:bottom w:w="0" w:type="dxa"/>
            <w:right w:w="100" w:type="dxa"/>
          </w:tblCellMar>
        </w:tblPrEx>
        <w:trPr>
          <w:trHeight w:val="20" w:hRule="atLeast"/>
          <w:jc w:val="center"/>
        </w:trPr>
        <w:tc>
          <w:tcPr>
            <w:tcW w:w="0" w:type="auto"/>
            <w:tcBorders>
              <w:top w:val="single" w:color="auto" w:sz="2" w:space="0"/>
              <w:left w:val="single" w:color="auto" w:sz="2" w:space="0"/>
              <w:bottom w:val="single" w:color="auto" w:sz="2" w:space="0"/>
              <w:right w:val="single" w:color="auto" w:sz="2" w:space="0"/>
            </w:tcBorders>
            <w:shd w:val="clear"/>
            <w:vAlign w:val="center"/>
          </w:tcPr>
          <w:p w14:paraId="158ABF70">
            <w:pPr>
              <w:keepNext w:val="0"/>
              <w:keepLines w:val="0"/>
              <w:widowControl/>
              <w:suppressLineNumbers w:val="0"/>
              <w:spacing w:before="0" w:beforeAutospacing="0" w:after="0" w:afterAutospacing="0" w:line="240" w:lineRule="auto"/>
              <w:ind w:left="0" w:right="0"/>
              <w:jc w:val="both"/>
              <w:rPr>
                <w:rFonts w:eastAsia="Times New Roman" w:cs="Arial"/>
                <w:bCs/>
                <w:color w:val="auto"/>
                <w:sz w:val="22"/>
                <w:szCs w:val="22"/>
                <w:bdr w:val="none" w:color="auto" w:sz="0" w:space="0"/>
              </w:rPr>
            </w:pPr>
            <w:r>
              <w:rPr>
                <w:rFonts w:hint="default" w:ascii="Arial" w:hAnsi="Arial" w:eastAsia="Times New Roman" w:cs="Arial"/>
                <w:bCs/>
                <w:color w:val="000000"/>
                <w:kern w:val="0"/>
                <w:sz w:val="22"/>
                <w:szCs w:val="22"/>
                <w:bdr w:val="none" w:color="auto" w:sz="0" w:space="0"/>
                <w:lang w:val="en-US" w:eastAsia="zh-CN" w:bidi="ar"/>
              </w:rPr>
              <w:t>Beneficiarios</w:t>
            </w:r>
          </w:p>
        </w:tc>
        <w:tc>
          <w:tcPr>
            <w:tcW w:w="0" w:type="auto"/>
            <w:tcBorders>
              <w:top w:val="single" w:color="auto" w:sz="2" w:space="0"/>
              <w:left w:val="single" w:color="auto" w:sz="2" w:space="0"/>
              <w:bottom w:val="single" w:color="auto" w:sz="2" w:space="0"/>
              <w:right w:val="single" w:color="auto" w:sz="2" w:space="0"/>
            </w:tcBorders>
            <w:shd w:val="clear"/>
            <w:vAlign w:val="center"/>
          </w:tcPr>
          <w:p w14:paraId="1029F28A">
            <w:pPr>
              <w:keepNext w:val="0"/>
              <w:keepLines w:val="0"/>
              <w:widowControl/>
              <w:suppressLineNumbers w:val="0"/>
              <w:spacing w:before="0" w:beforeAutospacing="0" w:after="0" w:afterAutospacing="0" w:line="240" w:lineRule="auto"/>
              <w:ind w:left="0" w:right="0"/>
              <w:jc w:val="both"/>
              <w:rPr>
                <w:rFonts w:eastAsia="Times New Roman" w:cs="Arial"/>
                <w:bCs/>
                <w:color w:val="auto"/>
                <w:sz w:val="22"/>
                <w:szCs w:val="22"/>
                <w:bdr w:val="none" w:color="auto" w:sz="0" w:space="0"/>
              </w:rPr>
            </w:pPr>
            <w:r>
              <w:rPr>
                <w:rFonts w:hint="default" w:ascii="Arial" w:hAnsi="Arial" w:eastAsia="Times New Roman" w:cs="Arial"/>
                <w:bCs/>
                <w:color w:val="000000"/>
                <w:kern w:val="0"/>
                <w:sz w:val="22"/>
                <w:szCs w:val="22"/>
                <w:bdr w:val="none" w:color="auto" w:sz="0" w:space="0"/>
                <w:lang w:val="en-US" w:eastAsia="zh-CN" w:bidi="ar"/>
              </w:rPr>
              <w:t>Terceros afectados y Departamento de Bolívar identificada con NIT 890.480.059-1</w:t>
            </w:r>
          </w:p>
        </w:tc>
      </w:tr>
      <w:tr w14:paraId="5CF68A2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tblCellMar>
            <w:top w:w="0" w:type="dxa"/>
            <w:left w:w="100" w:type="dxa"/>
            <w:bottom w:w="0" w:type="dxa"/>
            <w:right w:w="100" w:type="dxa"/>
          </w:tblCellMar>
        </w:tblPrEx>
        <w:trPr>
          <w:trHeight w:val="20" w:hRule="atLeast"/>
          <w:jc w:val="center"/>
        </w:trPr>
        <w:tc>
          <w:tcPr>
            <w:tcW w:w="0" w:type="auto"/>
            <w:tcBorders>
              <w:top w:val="single" w:color="auto" w:sz="2" w:space="0"/>
              <w:left w:val="single" w:color="auto" w:sz="2" w:space="0"/>
              <w:bottom w:val="single" w:color="auto" w:sz="2" w:space="0"/>
              <w:right w:val="single" w:color="auto" w:sz="2" w:space="0"/>
            </w:tcBorders>
            <w:shd w:val="clear"/>
            <w:vAlign w:val="center"/>
          </w:tcPr>
          <w:p w14:paraId="5A0A38BA">
            <w:pPr>
              <w:keepNext w:val="0"/>
              <w:keepLines w:val="0"/>
              <w:widowControl/>
              <w:suppressLineNumbers w:val="0"/>
              <w:spacing w:before="0" w:beforeAutospacing="0" w:after="0" w:afterAutospacing="0" w:line="240" w:lineRule="auto"/>
              <w:ind w:left="0" w:right="0"/>
              <w:jc w:val="both"/>
              <w:rPr>
                <w:rFonts w:eastAsia="Times New Roman" w:cs="Arial"/>
                <w:bCs/>
                <w:color w:val="auto"/>
                <w:sz w:val="22"/>
                <w:szCs w:val="22"/>
                <w:bdr w:val="none" w:color="auto" w:sz="0" w:space="0"/>
              </w:rPr>
            </w:pPr>
            <w:r>
              <w:rPr>
                <w:rFonts w:hint="default" w:ascii="Arial" w:hAnsi="Arial" w:eastAsia="Times New Roman" w:cs="Arial"/>
                <w:bCs/>
                <w:color w:val="000000"/>
                <w:kern w:val="0"/>
                <w:sz w:val="22"/>
                <w:szCs w:val="22"/>
                <w:bdr w:val="none" w:color="auto" w:sz="0" w:space="0"/>
                <w:lang w:val="en-US" w:eastAsia="zh-CN" w:bidi="ar"/>
              </w:rPr>
              <w:t>Amparos</w:t>
            </w:r>
          </w:p>
        </w:tc>
        <w:tc>
          <w:tcPr>
            <w:tcW w:w="0" w:type="auto"/>
            <w:tcBorders>
              <w:top w:val="single" w:color="auto" w:sz="2" w:space="0"/>
              <w:left w:val="single" w:color="auto" w:sz="2" w:space="0"/>
              <w:bottom w:val="single" w:color="auto" w:sz="2" w:space="0"/>
              <w:right w:val="single" w:color="auto" w:sz="2" w:space="0"/>
            </w:tcBorders>
            <w:shd w:val="clear"/>
            <w:vAlign w:val="center"/>
          </w:tcPr>
          <w:p w14:paraId="0343A984">
            <w:pPr>
              <w:keepNext w:val="0"/>
              <w:keepLines w:val="0"/>
              <w:widowControl/>
              <w:suppressLineNumbers w:val="0"/>
              <w:spacing w:before="0" w:beforeAutospacing="0" w:after="0" w:afterAutospacing="0" w:line="240" w:lineRule="auto"/>
              <w:ind w:left="0" w:right="0"/>
              <w:jc w:val="both"/>
              <w:rPr>
                <w:rFonts w:eastAsia="Times New Roman" w:cs="Arial"/>
                <w:bCs/>
                <w:color w:val="auto"/>
                <w:sz w:val="22"/>
                <w:szCs w:val="22"/>
                <w:bdr w:val="none" w:color="auto" w:sz="0" w:space="0"/>
              </w:rPr>
            </w:pPr>
          </w:p>
          <w:p w14:paraId="6444399A">
            <w:pPr>
              <w:keepNext w:val="0"/>
              <w:keepLines w:val="0"/>
              <w:widowControl/>
              <w:suppressLineNumbers w:val="0"/>
              <w:spacing w:before="0" w:beforeAutospacing="0" w:after="0" w:afterAutospacing="0" w:line="240" w:lineRule="auto"/>
              <w:ind w:left="0" w:right="0"/>
              <w:jc w:val="both"/>
              <w:rPr>
                <w:rFonts w:eastAsia="Times New Roman" w:cs="Arial"/>
                <w:bCs/>
                <w:color w:val="auto"/>
                <w:sz w:val="22"/>
                <w:szCs w:val="22"/>
                <w:bdr w:val="none" w:color="auto" w:sz="0" w:space="0"/>
              </w:rPr>
            </w:pPr>
            <w:r>
              <w:rPr>
                <w:rFonts w:hint="default" w:ascii="Arial" w:hAnsi="Arial" w:eastAsia="Times New Roman" w:cs="Arial"/>
                <w:bCs/>
                <w:color w:val="000000"/>
                <w:kern w:val="0"/>
                <w:sz w:val="22"/>
                <w:szCs w:val="22"/>
                <w:bdr w:val="none" w:color="auto" w:sz="0" w:space="0"/>
                <w:lang w:val="en-US" w:eastAsia="zh-CN" w:bidi="ar"/>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75415E9D">
            <w:pPr>
              <w:keepNext w:val="0"/>
              <w:keepLines w:val="0"/>
              <w:widowControl/>
              <w:suppressLineNumbers w:val="0"/>
              <w:spacing w:before="0" w:beforeAutospacing="0" w:after="0" w:afterAutospacing="0" w:line="240" w:lineRule="auto"/>
              <w:ind w:left="0" w:right="0"/>
              <w:jc w:val="both"/>
              <w:rPr>
                <w:rFonts w:eastAsia="Times New Roman" w:cs="Arial"/>
                <w:bCs/>
                <w:color w:val="auto"/>
                <w:sz w:val="22"/>
                <w:szCs w:val="22"/>
                <w:bdr w:val="none" w:color="auto" w:sz="0" w:space="0"/>
              </w:rPr>
            </w:pPr>
          </w:p>
        </w:tc>
      </w:tr>
      <w:tr w14:paraId="6B07173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tblCellMar>
            <w:top w:w="0" w:type="dxa"/>
            <w:left w:w="100" w:type="dxa"/>
            <w:bottom w:w="0" w:type="dxa"/>
            <w:right w:w="100" w:type="dxa"/>
          </w:tblCellMar>
        </w:tblPrEx>
        <w:trPr>
          <w:trHeight w:val="60" w:hRule="atLeast"/>
          <w:jc w:val="center"/>
        </w:trPr>
        <w:tc>
          <w:tcPr>
            <w:tcW w:w="0" w:type="auto"/>
            <w:tcBorders>
              <w:top w:val="single" w:color="auto" w:sz="2" w:space="0"/>
              <w:left w:val="single" w:color="auto" w:sz="2" w:space="0"/>
              <w:bottom w:val="single" w:color="auto" w:sz="2" w:space="0"/>
              <w:right w:val="single" w:color="auto" w:sz="2" w:space="0"/>
            </w:tcBorders>
            <w:shd w:val="clear"/>
            <w:vAlign w:val="center"/>
          </w:tcPr>
          <w:p w14:paraId="4FE968D2">
            <w:pPr>
              <w:keepNext w:val="0"/>
              <w:keepLines w:val="0"/>
              <w:widowControl/>
              <w:suppressLineNumbers w:val="0"/>
              <w:spacing w:before="0" w:beforeAutospacing="0" w:after="0" w:afterAutospacing="0" w:line="240" w:lineRule="auto"/>
              <w:ind w:left="0" w:right="0"/>
              <w:jc w:val="both"/>
              <w:rPr>
                <w:rFonts w:eastAsia="Times New Roman" w:cs="Arial"/>
                <w:bCs/>
                <w:color w:val="auto"/>
                <w:sz w:val="22"/>
                <w:szCs w:val="22"/>
                <w:bdr w:val="none" w:color="auto" w:sz="0" w:space="0"/>
              </w:rPr>
            </w:pPr>
            <w:r>
              <w:rPr>
                <w:rFonts w:hint="default" w:ascii="Arial" w:hAnsi="Arial" w:eastAsia="Times New Roman" w:cs="Arial"/>
                <w:bCs/>
                <w:color w:val="000000"/>
                <w:kern w:val="0"/>
                <w:sz w:val="22"/>
                <w:szCs w:val="22"/>
                <w:bdr w:val="none" w:color="auto" w:sz="0" w:space="0"/>
                <w:lang w:val="en-US" w:eastAsia="zh-CN" w:bidi="ar"/>
              </w:rPr>
              <w:t>Información necesaria dentro de la póliza</w:t>
            </w:r>
          </w:p>
        </w:tc>
        <w:tc>
          <w:tcPr>
            <w:tcW w:w="0" w:type="auto"/>
            <w:tcBorders>
              <w:top w:val="single" w:color="auto" w:sz="2" w:space="0"/>
              <w:left w:val="single" w:color="auto" w:sz="2" w:space="0"/>
              <w:bottom w:val="single" w:color="auto" w:sz="2" w:space="0"/>
              <w:right w:val="single" w:color="auto" w:sz="2" w:space="0"/>
            </w:tcBorders>
            <w:shd w:val="clear"/>
            <w:vAlign w:val="center"/>
          </w:tcPr>
          <w:p w14:paraId="5271914C">
            <w:pPr>
              <w:pStyle w:val="16"/>
              <w:widowControl/>
              <w:numPr>
                <w:ilvl w:val="0"/>
                <w:numId w:val="15"/>
              </w:numPr>
              <w:spacing w:before="0" w:beforeAutospacing="0" w:after="0" w:afterAutospacing="0"/>
              <w:ind w:left="360" w:right="0" w:hanging="360"/>
              <w:rPr>
                <w:rFonts w:hint="default" w:ascii="Arial" w:hAnsi="Arial" w:cs="Arial"/>
                <w:bCs/>
                <w:sz w:val="22"/>
                <w:szCs w:val="22"/>
                <w:bdr w:val="none" w:color="auto" w:sz="0" w:space="0"/>
                <w:lang/>
              </w:rPr>
            </w:pPr>
            <w:r>
              <w:rPr>
                <w:rFonts w:hint="default" w:ascii="Arial" w:hAnsi="Arial" w:cs="Arial"/>
                <w:bCs/>
                <w:sz w:val="22"/>
                <w:szCs w:val="22"/>
                <w:bdr w:val="none" w:color="auto" w:sz="0" w:space="0"/>
                <w:lang/>
              </w:rPr>
              <w:t xml:space="preserve">Número y año del contrato </w:t>
            </w:r>
          </w:p>
          <w:p w14:paraId="1F4C95A1">
            <w:pPr>
              <w:pStyle w:val="16"/>
              <w:widowControl/>
              <w:numPr>
                <w:ilvl w:val="0"/>
                <w:numId w:val="15"/>
              </w:numPr>
              <w:spacing w:before="0" w:beforeAutospacing="0" w:after="0" w:afterAutospacing="0"/>
              <w:ind w:left="360" w:right="0" w:hanging="360"/>
              <w:rPr>
                <w:rFonts w:hint="default" w:ascii="Arial" w:hAnsi="Arial" w:cs="Arial"/>
                <w:bCs/>
                <w:sz w:val="22"/>
                <w:szCs w:val="22"/>
                <w:bdr w:val="none" w:color="auto" w:sz="0" w:space="0"/>
                <w:lang/>
              </w:rPr>
            </w:pPr>
            <w:r>
              <w:rPr>
                <w:rFonts w:hint="default" w:ascii="Arial" w:hAnsi="Arial" w:cs="Arial"/>
                <w:bCs/>
                <w:sz w:val="22"/>
                <w:szCs w:val="22"/>
                <w:bdr w:val="none" w:color="auto" w:sz="0" w:space="0"/>
                <w:lang/>
              </w:rPr>
              <w:t>Objeto del contrato</w:t>
            </w:r>
          </w:p>
          <w:p w14:paraId="025ECBA7">
            <w:pPr>
              <w:pStyle w:val="16"/>
              <w:widowControl/>
              <w:numPr>
                <w:ilvl w:val="0"/>
                <w:numId w:val="15"/>
              </w:numPr>
              <w:spacing w:before="0" w:beforeAutospacing="0" w:after="0" w:afterAutospacing="0"/>
              <w:ind w:left="360" w:right="0" w:hanging="360"/>
              <w:rPr>
                <w:rFonts w:hint="default" w:ascii="Arial" w:hAnsi="Arial" w:cs="Arial"/>
                <w:bCs/>
                <w:sz w:val="22"/>
                <w:szCs w:val="22"/>
                <w:bdr w:val="none" w:color="auto" w:sz="0" w:space="0"/>
                <w:lang/>
              </w:rPr>
            </w:pPr>
            <w:r>
              <w:rPr>
                <w:rFonts w:hint="default" w:ascii="Arial" w:hAnsi="Arial" w:cs="Arial"/>
                <w:bCs/>
                <w:sz w:val="22"/>
                <w:szCs w:val="22"/>
                <w:bdr w:val="none" w:color="auto" w:sz="0" w:space="0"/>
                <w:lang/>
              </w:rPr>
              <w:t>Firma del representante legal del contratista</w:t>
            </w:r>
          </w:p>
          <w:p w14:paraId="0995FCA3">
            <w:pPr>
              <w:pStyle w:val="16"/>
              <w:widowControl/>
              <w:numPr>
                <w:ilvl w:val="0"/>
                <w:numId w:val="15"/>
              </w:numPr>
              <w:spacing w:before="0" w:beforeAutospacing="0" w:after="0" w:afterAutospacing="0"/>
              <w:ind w:left="360" w:right="0" w:hanging="360"/>
              <w:rPr>
                <w:rFonts w:hint="default" w:ascii="Arial" w:hAnsi="Arial" w:cs="Arial"/>
                <w:bCs/>
                <w:sz w:val="22"/>
                <w:szCs w:val="22"/>
                <w:bdr w:val="none" w:color="auto" w:sz="0" w:space="0"/>
                <w:lang/>
              </w:rPr>
            </w:pPr>
            <w:r>
              <w:rPr>
                <w:rFonts w:hint="default" w:ascii="Arial" w:hAnsi="Arial" w:cs="Arial"/>
                <w:bCs/>
                <w:sz w:val="22"/>
                <w:szCs w:val="22"/>
                <w:bdr w:val="none" w:color="auto" w:sz="0" w:space="0"/>
                <w:lang/>
              </w:rPr>
              <w:t>En caso de no usar centavos, los valores deben aproximarse al mayor Ej. Cumplimiento si el valor a asegurar es $14.980.420,20 aproximar a $14.980.421</w:t>
            </w:r>
          </w:p>
        </w:tc>
      </w:tr>
    </w:tbl>
    <w:p w14:paraId="614159C1">
      <w:pPr>
        <w:keepNext w:val="0"/>
        <w:keepLines w:val="0"/>
        <w:widowControl/>
        <w:suppressLineNumbers w:val="0"/>
        <w:spacing w:before="0" w:beforeAutospacing="0" w:after="0" w:afterAutospacing="0" w:line="240" w:lineRule="auto"/>
        <w:ind w:left="0" w:right="0"/>
        <w:jc w:val="both"/>
        <w:rPr>
          <w:rFonts w:cs="Arial"/>
          <w:color w:val="auto"/>
          <w:sz w:val="22"/>
          <w:szCs w:val="22"/>
          <w:lang w:val="es-MX"/>
        </w:rPr>
      </w:pPr>
      <w:r>
        <w:rPr>
          <w:rFonts w:hint="default" w:ascii="Arial" w:hAnsi="Arial" w:eastAsia="Calibri" w:cs="Arial"/>
          <w:color w:val="000000"/>
          <w:kern w:val="0"/>
          <w:sz w:val="22"/>
          <w:szCs w:val="22"/>
          <w:lang w:val="es-MX" w:eastAsia="zh-CN" w:bidi="ar"/>
        </w:rPr>
        <w:t>En esta póliza solamente se podrán pactar deducibles con un tope máximo del diez por ciento (10%) del valor de cada pérdida sin que en ningún caso puedan ser superiores a dos ciento (200) SMMLV</w:t>
      </w:r>
    </w:p>
    <w:p w14:paraId="3FF52C31">
      <w:pPr>
        <w:keepNext w:val="0"/>
        <w:keepLines w:val="0"/>
        <w:widowControl/>
        <w:suppressLineNumbers w:val="0"/>
        <w:spacing w:before="0" w:beforeAutospacing="0" w:after="0" w:afterAutospacing="0" w:line="240" w:lineRule="auto"/>
        <w:ind w:left="0" w:right="0"/>
        <w:jc w:val="both"/>
        <w:rPr>
          <w:rFonts w:cs="Arial"/>
          <w:sz w:val="22"/>
          <w:szCs w:val="22"/>
          <w:lang w:val="es-MX"/>
        </w:rPr>
      </w:pPr>
    </w:p>
    <w:p w14:paraId="095B939D">
      <w:pPr>
        <w:keepNext w:val="0"/>
        <w:keepLines w:val="0"/>
        <w:widowControl/>
        <w:suppressLineNumbers w:val="0"/>
        <w:spacing w:before="0" w:beforeAutospacing="0" w:after="0" w:afterAutospacing="0" w:line="240" w:lineRule="auto"/>
        <w:ind w:left="0" w:right="0"/>
        <w:jc w:val="both"/>
        <w:rPr>
          <w:rFonts w:cs="Arial"/>
          <w:sz w:val="22"/>
          <w:szCs w:val="22"/>
          <w:lang w:val="es-MX"/>
        </w:rPr>
      </w:pPr>
      <w:r>
        <w:rPr>
          <w:rFonts w:hint="default" w:ascii="Arial" w:hAnsi="Arial" w:eastAsia="Calibri" w:cs="Arial"/>
          <w:color w:val="000000"/>
          <w:kern w:val="0"/>
          <w:sz w:val="22"/>
          <w:szCs w:val="22"/>
          <w:lang w:val="es-MX" w:eastAsia="zh-CN" w:bidi="ar"/>
        </w:rPr>
        <w:t xml:space="preserve">Este seguro deberá constituirse y presentarse para aprobación de la entidad, dentro del mismo término establecido para la garantía única de cumplimiento. </w:t>
      </w:r>
    </w:p>
    <w:p w14:paraId="3FBFF73D">
      <w:pPr>
        <w:keepNext w:val="0"/>
        <w:keepLines w:val="0"/>
        <w:widowControl/>
        <w:suppressLineNumbers w:val="0"/>
        <w:spacing w:before="0" w:beforeAutospacing="0" w:after="0" w:afterAutospacing="0" w:line="240" w:lineRule="auto"/>
        <w:ind w:left="0" w:right="0"/>
        <w:jc w:val="both"/>
        <w:rPr>
          <w:rFonts w:cs="Arial"/>
          <w:sz w:val="22"/>
          <w:szCs w:val="22"/>
          <w:lang w:val="es-MX"/>
        </w:rPr>
      </w:pPr>
    </w:p>
    <w:p w14:paraId="24E160FE">
      <w:pPr>
        <w:keepNext w:val="0"/>
        <w:keepLines w:val="0"/>
        <w:widowControl/>
        <w:suppressLineNumbers w:val="0"/>
        <w:spacing w:before="0" w:beforeAutospacing="0" w:after="0" w:afterAutospacing="0" w:line="240" w:lineRule="auto"/>
        <w:ind w:left="0" w:right="0"/>
        <w:jc w:val="both"/>
        <w:rPr>
          <w:rFonts w:cs="Arial"/>
          <w:sz w:val="22"/>
          <w:szCs w:val="22"/>
          <w:lang w:val="es-MX"/>
        </w:rPr>
      </w:pPr>
      <w:r>
        <w:rPr>
          <w:rFonts w:hint="default" w:ascii="Arial" w:hAnsi="Arial" w:eastAsia="Calibri" w:cs="Arial"/>
          <w:color w:val="000000"/>
          <w:kern w:val="0"/>
          <w:sz w:val="22"/>
          <w:szCs w:val="22"/>
          <w:lang w:val="es-MX" w:eastAsia="zh-CN" w:bidi="ar"/>
        </w:rPr>
        <w:t>Las franquicias, coaseguros obligatorios y demás formas de estipulación que conlleven asunción de parte de la pérdida por la entidad asegurada no serán admisibles.</w:t>
      </w:r>
    </w:p>
    <w:p w14:paraId="764CC511">
      <w:pPr>
        <w:keepNext w:val="0"/>
        <w:keepLines w:val="0"/>
        <w:widowControl/>
        <w:suppressLineNumbers w:val="0"/>
        <w:spacing w:before="0" w:beforeAutospacing="0" w:after="0" w:afterAutospacing="0" w:line="240" w:lineRule="auto"/>
        <w:ind w:left="0" w:right="0"/>
        <w:jc w:val="both"/>
        <w:rPr>
          <w:rFonts w:cs="Arial"/>
          <w:sz w:val="22"/>
          <w:szCs w:val="22"/>
          <w:lang w:val="es-MX"/>
        </w:rPr>
      </w:pPr>
    </w:p>
    <w:p w14:paraId="6E5EC43C">
      <w:pPr>
        <w:keepNext w:val="0"/>
        <w:keepLines w:val="0"/>
        <w:widowControl/>
        <w:suppressLineNumbers w:val="0"/>
        <w:spacing w:before="0" w:beforeAutospacing="0" w:after="0" w:afterAutospacing="0" w:line="240" w:lineRule="auto"/>
        <w:ind w:left="0" w:right="0"/>
        <w:jc w:val="both"/>
        <w:rPr>
          <w:rFonts w:cs="Arial"/>
          <w:sz w:val="22"/>
          <w:szCs w:val="22"/>
          <w:lang w:val="es-MX"/>
        </w:rPr>
      </w:pPr>
      <w:r>
        <w:rPr>
          <w:rFonts w:hint="default" w:ascii="Arial" w:hAnsi="Arial" w:eastAsia="Calibri" w:cs="Arial"/>
          <w:color w:val="000000"/>
          <w:kern w:val="0"/>
          <w:sz w:val="22"/>
          <w:szCs w:val="22"/>
          <w:lang w:val="es-MX" w:eastAsia="zh-CN" w:bidi="ar"/>
        </w:rPr>
        <w:t>El contratista deberá anexar el comprobante de pago de la prima del seguro de responsabilidad civil extracontractual.</w:t>
      </w:r>
    </w:p>
    <w:p w14:paraId="24F25154">
      <w:pPr>
        <w:keepNext w:val="0"/>
        <w:keepLines w:val="0"/>
        <w:widowControl/>
        <w:suppressLineNumbers w:val="0"/>
        <w:spacing w:before="0" w:beforeAutospacing="0" w:after="0" w:afterAutospacing="0" w:line="240" w:lineRule="auto"/>
        <w:ind w:left="0" w:right="0"/>
        <w:jc w:val="both"/>
        <w:rPr>
          <w:rFonts w:cs="Arial"/>
          <w:sz w:val="22"/>
          <w:szCs w:val="22"/>
          <w:lang w:val="es-MX"/>
        </w:rPr>
      </w:pPr>
    </w:p>
    <w:p w14:paraId="335A80DD">
      <w:pPr>
        <w:pStyle w:val="37"/>
        <w:numPr>
          <w:ilvl w:val="0"/>
          <w:numId w:val="0"/>
        </w:numPr>
        <w:tabs>
          <w:tab w:val="left" w:pos="1560"/>
        </w:tabs>
        <w:spacing w:before="0" w:after="0"/>
        <w:outlineLvl w:val="0"/>
        <w:rPr>
          <w:rFonts w:ascii="Arial" w:hAnsi="Arial" w:eastAsia="Times New Roman" w:cs="Arial"/>
          <w:bCs/>
          <w:sz w:val="22"/>
          <w:lang w:val="es-ES" w:eastAsia="es-CO"/>
        </w:rPr>
      </w:pPr>
      <w:r>
        <w:rPr>
          <w:rFonts w:ascii="Arial" w:hAnsi="Arial" w:eastAsia="Times New Roman" w:cs="Arial"/>
          <w:bCs/>
          <w:sz w:val="22"/>
          <w:lang w:val="es-ES" w:eastAsia="es-CO"/>
        </w:rPr>
        <w:t>CLÁUSULA 18 INDEPENDENCIA DEL CONTRATISTA</w:t>
      </w:r>
    </w:p>
    <w:p w14:paraId="748E448D">
      <w:pPr>
        <w:pStyle w:val="37"/>
        <w:numPr>
          <w:ilvl w:val="0"/>
          <w:numId w:val="0"/>
        </w:numPr>
        <w:spacing w:before="0" w:after="0"/>
        <w:ind w:left="720"/>
        <w:rPr>
          <w:rFonts w:ascii="Arial" w:hAnsi="Arial" w:eastAsia="Times New Roman" w:cs="Arial"/>
          <w:b w:val="0"/>
          <w:bCs/>
          <w:sz w:val="22"/>
          <w:lang w:val="es-ES" w:eastAsia="es-CO"/>
        </w:rPr>
      </w:pPr>
      <w:r>
        <w:rPr>
          <w:rFonts w:ascii="Arial" w:hAnsi="Arial" w:eastAsia="Times New Roman" w:cs="Arial"/>
          <w:b w:val="0"/>
          <w:bCs/>
          <w:sz w:val="22"/>
          <w:lang w:val="es-ES" w:eastAsia="es-CO"/>
        </w:rPr>
        <w:t xml:space="preserve"> </w:t>
      </w:r>
    </w:p>
    <w:p w14:paraId="0FEAABF0">
      <w:pPr>
        <w:rPr>
          <w:rFonts w:ascii="Arial" w:hAnsi="Arial" w:eastAsia="Times New Roman" w:cs="Arial"/>
          <w:sz w:val="22"/>
          <w:lang w:val="es-ES" w:eastAsia="es-CO"/>
        </w:rPr>
      </w:pPr>
      <w:r>
        <w:rPr>
          <w:rFonts w:ascii="Arial" w:hAnsi="Arial" w:eastAsia="Times New Roman" w:cs="Arial"/>
          <w:sz w:val="22"/>
          <w:lang w:val="es-ES" w:eastAsia="es-CO"/>
        </w:rPr>
        <w:t>El Contratista es independiente de la Entidad y, en consecuencia, no es su representante, agente o mandatario. El Contratista no tiene la facultad de hacer declaraciones, representaciones o compromisos en nombre de la Entidad, ni de tomar decisiones o iniciar acciones que generen obligaciones a su cargo.</w:t>
      </w:r>
      <w:r>
        <w:rPr>
          <w:rFonts w:ascii="Arial" w:hAnsi="Arial" w:eastAsia="Times New Roman" w:cs="Arial"/>
          <w:bCs/>
          <w:sz w:val="22"/>
          <w:lang w:val="es-ES" w:eastAsia="es-CO"/>
        </w:rPr>
        <w:cr/>
      </w:r>
    </w:p>
    <w:p w14:paraId="3F97194D">
      <w:pPr>
        <w:pStyle w:val="37"/>
        <w:numPr>
          <w:ilvl w:val="0"/>
          <w:numId w:val="0"/>
        </w:numPr>
        <w:tabs>
          <w:tab w:val="left" w:pos="1134"/>
          <w:tab w:val="left" w:pos="1560"/>
        </w:tabs>
        <w:spacing w:before="0" w:after="0"/>
        <w:ind w:left="644" w:hanging="360"/>
        <w:outlineLvl w:val="0"/>
        <w:rPr>
          <w:rFonts w:ascii="Arial" w:hAnsi="Arial" w:eastAsia="Times New Roman" w:cs="Arial"/>
          <w:bCs/>
          <w:sz w:val="22"/>
          <w:lang w:val="es-ES" w:eastAsia="es-CO"/>
        </w:rPr>
      </w:pPr>
      <w:r>
        <w:rPr>
          <w:rFonts w:ascii="Arial" w:hAnsi="Arial" w:eastAsia="Times New Roman" w:cs="Arial"/>
          <w:bCs/>
          <w:sz w:val="22"/>
          <w:lang w:val="es-ES" w:eastAsia="es-CO"/>
        </w:rPr>
        <w:t>CLÁUSULA19.  INEXISTENCIA DE RELACIÓN LABORAL ENTRE LA ENTIDAD Y EL CONTRATISTA</w:t>
      </w:r>
    </w:p>
    <w:p w14:paraId="24F6400A">
      <w:pPr>
        <w:rPr>
          <w:rFonts w:ascii="Arial" w:hAnsi="Arial" w:eastAsia="Times New Roman" w:cs="Arial"/>
          <w:bCs/>
          <w:sz w:val="22"/>
          <w:lang w:val="es-ES" w:eastAsia="es-CO"/>
        </w:rPr>
      </w:pPr>
    </w:p>
    <w:p w14:paraId="63AD18E5">
      <w:pPr>
        <w:rPr>
          <w:rFonts w:ascii="Arial" w:hAnsi="Arial" w:eastAsia="Times New Roman" w:cs="Arial"/>
          <w:sz w:val="22"/>
          <w:lang w:val="es-ES" w:eastAsia="es-CO"/>
        </w:rPr>
      </w:pPr>
      <w:r>
        <w:rPr>
          <w:rFonts w:ascii="Arial" w:hAnsi="Arial" w:eastAsia="Times New Roman" w:cs="Arial"/>
          <w:sz w:val="22"/>
          <w:lang w:val="es-ES" w:eastAsia="es-CO"/>
        </w:rPr>
        <w:t xml:space="preserve">El Contratista ejecutará el contrato con sus propios medios y con plena autonomía técnica y administrativa y el personal que vincule durante la ejecución del contrato será de su libre escogencia, debiendo cumplir con todos los requisitos exigidos en los Documentos del </w:t>
      </w:r>
      <w:r>
        <w:rPr>
          <w:rFonts w:ascii="Arial" w:hAnsi="Arial" w:cs="Arial"/>
          <w:sz w:val="22"/>
        </w:rPr>
        <w:t>Proceso de Contratación</w:t>
      </w:r>
      <w:r>
        <w:rPr>
          <w:rFonts w:ascii="Arial" w:hAnsi="Arial" w:eastAsia="Times New Roman" w:cs="Arial"/>
          <w:sz w:val="22"/>
          <w:lang w:val="es-ES" w:eastAsia="es-CO"/>
        </w:rPr>
        <w:t>. Entre el Contratista, el equipo de trabajo que este contrate y la Entidad no existe, ni existirá vínculo laboral alguno. En consecuencia, el Contratista responderá de manera exclusiva por el pago de honorarios, salarios, prestaciones e indemnizaciones de carácter laboral y contractual a que haya lugar. Asimismo,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14:paraId="02A0F22C">
      <w:pPr>
        <w:spacing w:before="100" w:beforeAutospacing="1" w:after="100" w:afterAutospacing="1"/>
        <w:rPr>
          <w:rFonts w:ascii="Arial" w:hAnsi="Arial" w:eastAsia="Times New Roman" w:cs="Arial"/>
          <w:sz w:val="22"/>
          <w:lang w:val="es-ES" w:eastAsia="es-ES"/>
        </w:rPr>
      </w:pPr>
      <w:r>
        <w:rPr>
          <w:rFonts w:ascii="Arial" w:hAnsi="Arial" w:eastAsia="Times New Roman" w:cs="Arial"/>
          <w:sz w:val="22"/>
          <w:lang w:val="es-ES" w:eastAsia="es-ES"/>
        </w:rPr>
        <w:t>El Contratista únicamente podrá subcontratar con la autorización previa y expresa de la Entidad, cuando dicha subcontratación implique modificaciones al equipo de trabajo inicialmente ofertado y con el cual se dio inicio a la ejecución del contrato. La Entidad podrá, si lo considera necesario en atención al objeto contractual o a las obligaciones pactadas, exigir autorización previa y expresa para cualquier subcontratación.</w:t>
      </w:r>
    </w:p>
    <w:p w14:paraId="73772174">
      <w:pPr>
        <w:spacing w:before="100" w:beforeAutospacing="1" w:after="100" w:afterAutospacing="1"/>
        <w:rPr>
          <w:rFonts w:ascii="Arial" w:hAnsi="Arial" w:eastAsia="Times New Roman" w:cs="Arial"/>
          <w:sz w:val="22"/>
          <w:lang w:val="es-ES" w:eastAsia="es-ES"/>
        </w:rPr>
      </w:pPr>
      <w:r>
        <w:rPr>
          <w:rFonts w:ascii="Arial" w:hAnsi="Arial" w:eastAsia="Times New Roman" w:cs="Arial"/>
          <w:sz w:val="22"/>
          <w:lang w:val="es-ES" w:eastAsia="es-ES"/>
        </w:rPr>
        <w:t>La utilización de subcontratistas no relevará al Contratista de las responsabilidades propias de la labor del contratista ni de las demás obligaciones derivadas del contrato. En ningún caso la Entidad adquirirá relación contractual con los subcontratistas, manteniéndose la responsabilidad de los trabajos ejecutados a cargo exclusivo del Contratista.</w:t>
      </w:r>
    </w:p>
    <w:p w14:paraId="3C4B4412">
      <w:pPr>
        <w:spacing w:before="100" w:beforeAutospacing="1" w:after="100" w:afterAutospacing="1"/>
        <w:rPr>
          <w:rFonts w:ascii="Arial" w:hAnsi="Arial" w:eastAsia="Times New Roman" w:cs="Arial"/>
          <w:sz w:val="22"/>
          <w:lang w:val="es-ES" w:eastAsia="es-ES"/>
        </w:rPr>
      </w:pPr>
      <w:r>
        <w:rPr>
          <w:rFonts w:ascii="Arial" w:hAnsi="Arial" w:eastAsia="Times New Roman" w:cs="Arial"/>
          <w:sz w:val="22"/>
          <w:lang w:val="es-ES" w:eastAsia="es-ES"/>
        </w:rPr>
        <w:t>La Entidad podrá exigir al Contratista la terminación del subcontrato en cualquier momento, así como el cumplimiento inmediato y directo de sus obligaciones, o el reemplazo de los subcontratistas, cuando a su juicio estos no cumplan con las calidades mínimas requeridas para la adecuada ejecución de las labores subcontratadas."</w:t>
      </w:r>
    </w:p>
    <w:p w14:paraId="44888B89">
      <w:pPr>
        <w:rPr>
          <w:rFonts w:ascii="Arial" w:hAnsi="Arial" w:eastAsia="Times New Roman" w:cs="Arial"/>
          <w:sz w:val="22"/>
          <w:lang w:val="es-ES" w:eastAsia="es-CO"/>
        </w:rPr>
      </w:pPr>
      <w:r>
        <w:rPr>
          <w:rFonts w:ascii="Arial" w:hAnsi="Arial" w:eastAsia="Times New Roman" w:cs="Arial"/>
          <w:sz w:val="22"/>
          <w:lang w:val="es-ES" w:eastAsia="es-CO"/>
        </w:rPr>
        <w:t>El Contratista no podrá ceder los derechos y obligaciones emanados del contrato sin el consentimiento previo y expreso de la Entidad, pudiendo esta reservarse las razones que tenga para negar la cesión. La cesión se efectuará de conformidad con lo establecido en el artículo 41 de la Ley 80 de 1993 y el artículo 893 del Código de Comercio, en concordancia con las demás disposiciones vigentes sobre la materia sin el consentimiento previo y expreso de la Entidad, pudiendo esta reservarse las razones que tenga para negar la cesión. La cesión se efectuará de conformidad con lo establecido en el artículo 41 de la Ley 80 de 1993 y el artículo 893 del Código de Comercio, en concordancia con las demás disposiciones vigentes sobre la materia.</w:t>
      </w:r>
    </w:p>
    <w:p w14:paraId="2B3819F7">
      <w:pPr>
        <w:rPr>
          <w:rFonts w:ascii="Arial" w:hAnsi="Arial" w:cs="Arial"/>
          <w:sz w:val="22"/>
        </w:rPr>
      </w:pPr>
    </w:p>
    <w:p w14:paraId="6170D448">
      <w:pPr>
        <w:pStyle w:val="37"/>
        <w:numPr>
          <w:ilvl w:val="0"/>
          <w:numId w:val="0"/>
        </w:numPr>
        <w:tabs>
          <w:tab w:val="left" w:pos="1418"/>
          <w:tab w:val="left" w:pos="1560"/>
        </w:tabs>
        <w:spacing w:before="0" w:after="0"/>
        <w:ind w:left="426"/>
        <w:outlineLvl w:val="0"/>
        <w:rPr>
          <w:rFonts w:ascii="Arial" w:hAnsi="Arial" w:eastAsia="Times New Roman" w:cs="Arial"/>
          <w:bCs/>
          <w:sz w:val="22"/>
          <w:lang w:val="es-ES" w:eastAsia="es-CO"/>
        </w:rPr>
      </w:pPr>
      <w:r>
        <w:rPr>
          <w:rFonts w:ascii="Arial" w:hAnsi="Arial" w:eastAsia="Times New Roman" w:cs="Arial"/>
          <w:bCs/>
          <w:sz w:val="22"/>
          <w:lang w:val="es-ES" w:eastAsia="es-CO"/>
        </w:rPr>
        <w:t>CLÁUSULA 20 LIQUIDACIÓN</w:t>
      </w:r>
    </w:p>
    <w:p w14:paraId="629FCF6D">
      <w:pPr>
        <w:pStyle w:val="37"/>
        <w:numPr>
          <w:ilvl w:val="0"/>
          <w:numId w:val="0"/>
        </w:numPr>
        <w:spacing w:before="0" w:after="0"/>
        <w:ind w:left="720"/>
        <w:rPr>
          <w:rFonts w:ascii="Arial" w:hAnsi="Arial" w:cs="Arial"/>
          <w:sz w:val="22"/>
        </w:rPr>
      </w:pPr>
      <w:r>
        <w:rPr>
          <w:rFonts w:ascii="Arial" w:hAnsi="Arial" w:cs="Arial"/>
          <w:sz w:val="22"/>
        </w:rPr>
        <w:t xml:space="preserve"> </w:t>
      </w:r>
      <w:bookmarkStart w:id="5" w:name="_GoBack"/>
      <w:bookmarkEnd w:id="5"/>
    </w:p>
    <w:p w14:paraId="504AD0B0">
      <w:pPr>
        <w:spacing w:before="100" w:beforeAutospacing="1" w:after="100" w:afterAutospacing="1"/>
        <w:rPr>
          <w:rFonts w:ascii="Arial" w:hAnsi="Arial" w:eastAsia="Times New Roman" w:cs="Arial"/>
          <w:sz w:val="22"/>
          <w:lang w:eastAsia="es-ES"/>
        </w:rPr>
      </w:pPr>
      <w:r>
        <w:rPr>
          <w:rFonts w:ascii="Arial" w:hAnsi="Arial" w:eastAsia="Times New Roman" w:cs="Arial"/>
          <w:sz w:val="22"/>
          <w:lang w:eastAsia="es-ES"/>
        </w:rPr>
        <w:t xml:space="preserve">El contrato será objeto de liquidación de acuerdo con lo establecido en las normas que regulan la materia. El término para la liquidación del contrato será de </w:t>
      </w:r>
      <w:r>
        <w:rPr>
          <w:rFonts w:ascii="Arial" w:hAnsi="Arial" w:eastAsia="Times New Roman" w:cs="Arial"/>
          <w:b/>
          <w:bCs/>
          <w:sz w:val="22"/>
          <w:lang w:eastAsia="es-ES"/>
        </w:rPr>
        <w:t>cuatro (4) meses</w:t>
      </w:r>
      <w:r>
        <w:rPr>
          <w:rFonts w:ascii="Arial" w:hAnsi="Arial" w:eastAsia="Times New Roman" w:cs="Arial"/>
          <w:sz w:val="22"/>
          <w:lang w:eastAsia="es-ES"/>
        </w:rPr>
        <w:t xml:space="preserve"> contados a partir de la fecha de su terminación, salvo que la Entidad determine un plazo diferente conforme a la normatividad vigente.</w:t>
      </w:r>
    </w:p>
    <w:p w14:paraId="6134D8C3">
      <w:pPr>
        <w:spacing w:before="100" w:beforeAutospacing="1" w:after="100" w:afterAutospacing="1"/>
        <w:rPr>
          <w:rFonts w:ascii="Arial" w:hAnsi="Arial" w:eastAsia="Times New Roman" w:cs="Arial"/>
          <w:sz w:val="22"/>
          <w:lang w:eastAsia="es-ES"/>
        </w:rPr>
      </w:pPr>
      <w:r>
        <w:rPr>
          <w:rFonts w:ascii="Arial" w:hAnsi="Arial" w:eastAsia="Times New Roman" w:cs="Arial"/>
          <w:sz w:val="22"/>
          <w:lang w:eastAsia="es-ES"/>
        </w:rPr>
        <w:t>Para la liquidación se exigirá al Contratista la ampliación de la Garantía Única de Cumplimiento, si es del caso, con el fin de avalar las obligaciones que deba cumplir con posterioridad a la terminación del contrato.</w:t>
      </w:r>
    </w:p>
    <w:p w14:paraId="436C8F1A">
      <w:pPr>
        <w:spacing w:before="100" w:beforeAutospacing="1" w:after="100" w:afterAutospacing="1"/>
        <w:rPr>
          <w:rFonts w:ascii="Arial" w:hAnsi="Arial" w:eastAsia="Times New Roman" w:cs="Arial"/>
          <w:sz w:val="22"/>
          <w:lang w:eastAsia="es-ES"/>
        </w:rPr>
      </w:pPr>
      <w:r>
        <w:rPr>
          <w:rFonts w:ascii="Arial" w:hAnsi="Arial" w:eastAsia="Times New Roman" w:cs="Arial"/>
          <w:sz w:val="22"/>
          <w:lang w:eastAsia="es-ES"/>
        </w:rPr>
        <w:t>Si el Contratista no se presenta para efectos de la liquidación del contrato dentro del término señalado, previa notificación o convocatoria que haga la Entidad para la liquidación bilateral, o si las partes no llegan a ningún acuerdo o este se logra parcialmente, la Entidad procederá a su liquidación por medio de resolución motivada susceptible del recurso de reposición.</w:t>
      </w:r>
    </w:p>
    <w:p w14:paraId="36BA9F41">
      <w:pPr>
        <w:spacing w:before="100" w:beforeAutospacing="1" w:after="100" w:afterAutospacing="1"/>
        <w:rPr>
          <w:rFonts w:ascii="Arial" w:hAnsi="Arial" w:eastAsia="Times New Roman" w:cs="Arial"/>
          <w:sz w:val="22"/>
          <w:lang w:eastAsia="es-ES"/>
        </w:rPr>
      </w:pPr>
      <w:r>
        <w:rPr>
          <w:rFonts w:ascii="Arial" w:hAnsi="Arial" w:eastAsia="Times New Roman" w:cs="Arial"/>
          <w:sz w:val="22"/>
          <w:lang w:eastAsia="es-ES"/>
        </w:rPr>
        <w:t>Así mismo, y de conformidad con lo previsto en el artículo 11 de la Ley 1150 de 2007, si el Contratista deja salvedades en la liquidación bilateral, la Entidad podrá liquidar unilateralmente. En este caso, la liquidación unilateral procederá únicamente respecto de los aspectos que no hayan sido objeto de acuerdo, siempre que pueda contener decisiones nuevas frente a lo acordado en la liquidación bilateral, o cuando se trate de cuestiones que no hayan sido respondidas por la Entidad con anterioridad a la liquidación.</w:t>
      </w:r>
    </w:p>
    <w:p w14:paraId="5D1B2F04">
      <w:pPr>
        <w:tabs>
          <w:tab w:val="left" w:pos="2780"/>
        </w:tabs>
        <w:rPr>
          <w:rFonts w:ascii="Arial" w:hAnsi="Arial" w:eastAsia="Times New Roman" w:cs="Arial"/>
          <w:bCs/>
          <w:sz w:val="22"/>
          <w:lang w:val="es-ES" w:eastAsia="es-CO"/>
        </w:rPr>
      </w:pPr>
    </w:p>
    <w:p w14:paraId="2707B0E3">
      <w:pPr>
        <w:pStyle w:val="37"/>
        <w:numPr>
          <w:ilvl w:val="0"/>
          <w:numId w:val="0"/>
        </w:numPr>
        <w:tabs>
          <w:tab w:val="left" w:pos="1560"/>
        </w:tabs>
        <w:spacing w:before="0" w:after="0"/>
        <w:ind w:left="644" w:hanging="360"/>
        <w:outlineLvl w:val="0"/>
        <w:rPr>
          <w:rFonts w:ascii="Arial" w:hAnsi="Arial" w:eastAsia="Times New Roman" w:cs="Arial"/>
          <w:b w:val="0"/>
          <w:sz w:val="22"/>
          <w:lang w:val="es-ES" w:eastAsia="es-CO"/>
        </w:rPr>
      </w:pPr>
      <w:r>
        <w:rPr>
          <w:rFonts w:ascii="Arial" w:hAnsi="Arial" w:eastAsia="Times New Roman" w:cs="Arial"/>
          <w:bCs/>
          <w:sz w:val="22"/>
          <w:lang w:val="es-ES" w:eastAsia="es-CO"/>
        </w:rPr>
        <w:t xml:space="preserve">CLÁUSULA 21 SUSCRIPCIÓN, PERFECCIONAMIENTO Y EJECUCIÓN  </w:t>
      </w:r>
    </w:p>
    <w:p w14:paraId="6F8A3E9D">
      <w:pPr>
        <w:pStyle w:val="37"/>
        <w:numPr>
          <w:ilvl w:val="0"/>
          <w:numId w:val="0"/>
        </w:numPr>
        <w:spacing w:before="0" w:after="0"/>
        <w:rPr>
          <w:rFonts w:ascii="Arial" w:hAnsi="Arial" w:eastAsia="Times New Roman" w:cs="Arial"/>
          <w:b w:val="0"/>
          <w:sz w:val="22"/>
          <w:lang w:val="es-ES" w:eastAsia="es-CO"/>
        </w:rPr>
      </w:pPr>
    </w:p>
    <w:p w14:paraId="1E858B93">
      <w:pPr>
        <w:pStyle w:val="37"/>
        <w:numPr>
          <w:ilvl w:val="0"/>
          <w:numId w:val="0"/>
        </w:numPr>
        <w:spacing w:before="0" w:after="0"/>
        <w:rPr>
          <w:rFonts w:ascii="Arial" w:hAnsi="Arial" w:eastAsia="Times New Roman" w:cs="Arial"/>
          <w:b w:val="0"/>
          <w:sz w:val="22"/>
          <w:lang w:val="es-ES" w:eastAsia="es-CO"/>
        </w:rPr>
      </w:pPr>
      <w:r>
        <w:rPr>
          <w:rFonts w:ascii="Arial" w:hAnsi="Arial" w:eastAsia="Times New Roman" w:cs="Arial"/>
          <w:b w:val="0"/>
          <w:sz w:val="22"/>
          <w:lang w:val="es-ES" w:eastAsia="es-CO"/>
        </w:rPr>
        <w:t>El contrato quedará perfeccionado con la firma de la minuta por las Partes. Para la ejecución se requerirá que el Contratista se encuentre al día en los pagos al Sistema de Seguridad Social Integral y demás aportes parafiscales correspondientes, la aprobación de las Garantías y el Registro Presupuestal correspondiente y la suscripción del Acta de Inicio.</w:t>
      </w:r>
    </w:p>
    <w:p w14:paraId="04483C5B">
      <w:pPr>
        <w:pStyle w:val="37"/>
        <w:numPr>
          <w:ilvl w:val="0"/>
          <w:numId w:val="0"/>
        </w:numPr>
        <w:spacing w:before="0" w:after="0"/>
        <w:rPr>
          <w:rFonts w:ascii="Arial" w:hAnsi="Arial" w:eastAsia="Times New Roman" w:cs="Arial"/>
          <w:b w:val="0"/>
          <w:sz w:val="22"/>
          <w:lang w:val="es-ES" w:eastAsia="es-CO"/>
        </w:rPr>
      </w:pPr>
    </w:p>
    <w:p w14:paraId="7D2904BD">
      <w:pPr>
        <w:pStyle w:val="37"/>
        <w:numPr>
          <w:ilvl w:val="0"/>
          <w:numId w:val="0"/>
        </w:numPr>
        <w:spacing w:before="0" w:after="0"/>
        <w:rPr>
          <w:rFonts w:ascii="Arial" w:hAnsi="Arial" w:eastAsia="Times New Roman" w:cs="Arial"/>
          <w:bCs/>
          <w:sz w:val="22"/>
          <w:lang w:val="es-ES" w:eastAsia="es-CO"/>
        </w:rPr>
      </w:pPr>
    </w:p>
    <w:p w14:paraId="529FA6B9">
      <w:pPr>
        <w:pStyle w:val="37"/>
        <w:numPr>
          <w:ilvl w:val="0"/>
          <w:numId w:val="0"/>
        </w:numPr>
        <w:tabs>
          <w:tab w:val="left" w:pos="1560"/>
        </w:tabs>
        <w:spacing w:before="0" w:after="0"/>
        <w:ind w:left="426"/>
        <w:outlineLvl w:val="0"/>
        <w:rPr>
          <w:rFonts w:ascii="Arial" w:hAnsi="Arial" w:eastAsia="Times New Roman" w:cs="Arial"/>
          <w:bCs/>
          <w:sz w:val="22"/>
          <w:lang w:val="es-ES" w:eastAsia="es-CO"/>
        </w:rPr>
      </w:pPr>
      <w:r>
        <w:rPr>
          <w:rFonts w:ascii="Arial" w:hAnsi="Arial" w:eastAsia="Times New Roman" w:cs="Arial"/>
          <w:bCs/>
          <w:sz w:val="22"/>
          <w:lang w:val="es-ES" w:eastAsia="es-CO"/>
        </w:rPr>
        <w:t>CLÁUSULA 22 LUGAR DE EJECUCIÓN Y DOMICILIO CONTRACTUAL</w:t>
      </w:r>
    </w:p>
    <w:p w14:paraId="1440B72C">
      <w:pPr>
        <w:pStyle w:val="37"/>
        <w:numPr>
          <w:ilvl w:val="0"/>
          <w:numId w:val="0"/>
        </w:numPr>
        <w:spacing w:before="0" w:after="0"/>
        <w:rPr>
          <w:rFonts w:ascii="Arial" w:hAnsi="Arial" w:eastAsia="Times New Roman" w:cs="Arial"/>
          <w:b w:val="0"/>
          <w:bCs/>
          <w:sz w:val="22"/>
          <w:lang w:val="es-ES" w:eastAsia="es-CO"/>
        </w:rPr>
      </w:pPr>
    </w:p>
    <w:p w14:paraId="72D30D84">
      <w:pPr>
        <w:widowControl w:val="0"/>
        <w:spacing w:line="0" w:lineRule="atLeast"/>
        <w:rPr>
          <w:rFonts w:ascii="Arial" w:hAnsi="Arial" w:cs="Arial"/>
          <w:sz w:val="22"/>
        </w:rPr>
      </w:pPr>
      <w:r>
        <w:rPr>
          <w:rFonts w:ascii="Arial" w:hAnsi="Arial" w:cs="Arial"/>
          <w:sz w:val="22"/>
        </w:rPr>
        <w:t>Las actividades previstas en el contrato se deben desarrollar en el Distrito de Cartagena</w:t>
      </w:r>
      <w:r>
        <w:rPr>
          <w:rFonts w:ascii="Arial" w:hAnsi="Arial" w:eastAsia="Arial" w:cs="Arial"/>
          <w:sz w:val="22"/>
        </w:rPr>
        <w:t xml:space="preserve">, departamento de Bolívar. </w:t>
      </w:r>
      <w:r>
        <w:rPr>
          <w:rFonts w:ascii="Arial" w:hAnsi="Arial" w:cs="Arial"/>
          <w:sz w:val="22"/>
        </w:rPr>
        <w:t>El domicilio contractual es la ciudad de Cartagena Bolívar.</w:t>
      </w:r>
    </w:p>
    <w:p w14:paraId="7019884B">
      <w:pPr>
        <w:rPr>
          <w:rFonts w:ascii="Arial" w:hAnsi="Arial" w:cs="Arial"/>
          <w:sz w:val="22"/>
        </w:rPr>
      </w:pPr>
    </w:p>
    <w:p w14:paraId="53737B5D">
      <w:pPr>
        <w:pStyle w:val="37"/>
        <w:numPr>
          <w:ilvl w:val="0"/>
          <w:numId w:val="0"/>
        </w:numPr>
        <w:tabs>
          <w:tab w:val="left" w:pos="1701"/>
        </w:tabs>
        <w:spacing w:before="0" w:after="0"/>
        <w:ind w:left="644" w:hanging="360"/>
        <w:outlineLvl w:val="0"/>
        <w:rPr>
          <w:rFonts w:ascii="Arial" w:hAnsi="Arial" w:eastAsia="Times New Roman" w:cs="Arial"/>
          <w:bCs/>
          <w:sz w:val="22"/>
          <w:lang w:val="es-ES" w:eastAsia="es-CO"/>
        </w:rPr>
      </w:pPr>
      <w:r>
        <w:rPr>
          <w:rFonts w:ascii="Arial" w:hAnsi="Arial" w:eastAsia="Times New Roman" w:cs="Arial"/>
          <w:bCs/>
          <w:sz w:val="22"/>
          <w:lang w:val="es-ES" w:eastAsia="es-CO"/>
        </w:rPr>
        <w:t>CLÁUSULA 23 DOCUMENTOS</w:t>
      </w:r>
    </w:p>
    <w:p w14:paraId="2737FFC2">
      <w:pPr>
        <w:pStyle w:val="37"/>
        <w:numPr>
          <w:ilvl w:val="0"/>
          <w:numId w:val="0"/>
        </w:numPr>
        <w:spacing w:before="0" w:after="0"/>
        <w:ind w:left="710"/>
        <w:rPr>
          <w:rFonts w:ascii="Arial" w:hAnsi="Arial" w:eastAsia="Times New Roman" w:cs="Arial"/>
          <w:b w:val="0"/>
          <w:bCs/>
          <w:sz w:val="22"/>
          <w:lang w:val="es-ES" w:eastAsia="es-CO"/>
        </w:rPr>
      </w:pPr>
    </w:p>
    <w:p w14:paraId="2313E1B8">
      <w:pPr>
        <w:pStyle w:val="37"/>
        <w:numPr>
          <w:ilvl w:val="0"/>
          <w:numId w:val="0"/>
        </w:numPr>
        <w:spacing w:before="0" w:after="0"/>
        <w:rPr>
          <w:rFonts w:ascii="Arial" w:hAnsi="Arial" w:eastAsia="Times New Roman" w:cs="Arial"/>
          <w:b w:val="0"/>
          <w:sz w:val="22"/>
          <w:lang w:val="es-ES" w:eastAsia="es-CO"/>
        </w:rPr>
      </w:pPr>
      <w:r>
        <w:rPr>
          <w:rFonts w:ascii="Arial" w:hAnsi="Arial" w:eastAsia="Times New Roman" w:cs="Arial"/>
          <w:b w:val="0"/>
          <w:sz w:val="22"/>
          <w:lang w:val="es-ES" w:eastAsia="es-CO"/>
        </w:rPr>
        <w:t>Los documentos que a continuación se relacionan, hacen parte integral del contrato los cuales determinan, regulan, complementan y adicionan lo aquí pactado, y en consecuencia producen sus mismos efectos y obligaciones jurídicas y contractuales:</w:t>
      </w:r>
    </w:p>
    <w:p w14:paraId="4CC71620">
      <w:pPr>
        <w:pStyle w:val="37"/>
        <w:numPr>
          <w:ilvl w:val="0"/>
          <w:numId w:val="0"/>
        </w:numPr>
        <w:spacing w:before="0" w:after="0"/>
        <w:rPr>
          <w:rFonts w:ascii="Arial" w:hAnsi="Arial" w:eastAsia="Times New Roman" w:cs="Arial"/>
          <w:b w:val="0"/>
          <w:bCs/>
          <w:sz w:val="22"/>
          <w:lang w:val="es-ES" w:eastAsia="es-CO"/>
        </w:rPr>
      </w:pPr>
    </w:p>
    <w:p w14:paraId="6602985B">
      <w:pPr>
        <w:pStyle w:val="37"/>
        <w:numPr>
          <w:ilvl w:val="3"/>
          <w:numId w:val="1"/>
        </w:numPr>
        <w:spacing w:before="0" w:after="0"/>
        <w:ind w:left="1134"/>
        <w:rPr>
          <w:rFonts w:ascii="Arial" w:hAnsi="Arial" w:eastAsia="Times New Roman" w:cs="Arial"/>
          <w:b w:val="0"/>
          <w:bCs/>
          <w:sz w:val="22"/>
          <w:lang w:val="es-ES" w:eastAsia="es-CO"/>
        </w:rPr>
      </w:pPr>
      <w:r>
        <w:rPr>
          <w:rFonts w:ascii="Arial" w:hAnsi="Arial" w:eastAsia="Times New Roman" w:cs="Arial"/>
          <w:b w:val="0"/>
          <w:bCs/>
          <w:sz w:val="22"/>
          <w:lang w:val="es-ES" w:eastAsia="es-CO"/>
        </w:rPr>
        <w:t>Estudios y documentos previos.</w:t>
      </w:r>
    </w:p>
    <w:p w14:paraId="0C9BB799">
      <w:pPr>
        <w:pStyle w:val="37"/>
        <w:numPr>
          <w:ilvl w:val="3"/>
          <w:numId w:val="1"/>
        </w:numPr>
        <w:spacing w:before="0" w:after="0"/>
        <w:ind w:left="1134"/>
        <w:rPr>
          <w:rFonts w:ascii="Arial" w:hAnsi="Arial" w:eastAsia="Times New Roman" w:cs="Arial"/>
          <w:b w:val="0"/>
          <w:bCs/>
          <w:sz w:val="22"/>
          <w:lang w:val="es-ES" w:eastAsia="es-CO"/>
        </w:rPr>
      </w:pPr>
      <w:r>
        <w:rPr>
          <w:rFonts w:ascii="Arial" w:hAnsi="Arial" w:eastAsia="Times New Roman" w:cs="Arial"/>
          <w:b w:val="0"/>
          <w:bCs/>
          <w:sz w:val="22"/>
          <w:lang w:val="es-ES" w:eastAsia="es-CO"/>
        </w:rPr>
        <w:t>Pliego de Condiciones, Adendas, Anexos, Formatos, Matrices, Formularios.</w:t>
      </w:r>
    </w:p>
    <w:p w14:paraId="4CDF2892">
      <w:pPr>
        <w:pStyle w:val="37"/>
        <w:numPr>
          <w:ilvl w:val="3"/>
          <w:numId w:val="1"/>
        </w:numPr>
        <w:spacing w:before="0" w:after="0"/>
        <w:ind w:left="1134"/>
        <w:rPr>
          <w:rFonts w:ascii="Arial" w:hAnsi="Arial" w:eastAsia="Times New Roman" w:cs="Arial"/>
          <w:b w:val="0"/>
          <w:bCs/>
          <w:sz w:val="22"/>
          <w:lang w:val="es-ES" w:eastAsia="es-CO"/>
        </w:rPr>
      </w:pPr>
      <w:r>
        <w:rPr>
          <w:rFonts w:ascii="Arial" w:hAnsi="Arial" w:eastAsia="Times New Roman" w:cs="Arial"/>
          <w:b w:val="0"/>
          <w:bCs/>
          <w:sz w:val="22"/>
          <w:lang w:val="es-ES" w:eastAsia="es-CO"/>
        </w:rPr>
        <w:t>Propuesta presentada por el Contratista.</w:t>
      </w:r>
    </w:p>
    <w:p w14:paraId="28244787">
      <w:pPr>
        <w:pStyle w:val="37"/>
        <w:numPr>
          <w:ilvl w:val="3"/>
          <w:numId w:val="1"/>
        </w:numPr>
        <w:spacing w:before="0" w:after="0"/>
        <w:ind w:left="1134"/>
        <w:rPr>
          <w:rFonts w:ascii="Arial" w:hAnsi="Arial" w:eastAsia="Times New Roman" w:cs="Arial"/>
          <w:b w:val="0"/>
          <w:bCs/>
          <w:sz w:val="22"/>
          <w:lang w:val="es-ES" w:eastAsia="es-CO"/>
        </w:rPr>
      </w:pPr>
      <w:r>
        <w:rPr>
          <w:rFonts w:ascii="Arial" w:hAnsi="Arial" w:eastAsia="Times New Roman" w:cs="Arial"/>
          <w:b w:val="0"/>
          <w:bCs/>
          <w:sz w:val="22"/>
          <w:lang w:val="es-ES" w:eastAsia="es-CO"/>
        </w:rPr>
        <w:t>Las Garantías debidamente aprobadas.</w:t>
      </w:r>
    </w:p>
    <w:p w14:paraId="12D8BB65">
      <w:pPr>
        <w:pStyle w:val="37"/>
        <w:numPr>
          <w:ilvl w:val="3"/>
          <w:numId w:val="1"/>
        </w:numPr>
        <w:spacing w:before="0" w:after="0"/>
        <w:ind w:left="1134"/>
        <w:rPr>
          <w:rFonts w:ascii="Arial" w:hAnsi="Arial" w:eastAsia="Times New Roman" w:cs="Arial"/>
          <w:b w:val="0"/>
          <w:sz w:val="22"/>
          <w:lang w:val="es-ES" w:eastAsia="es-CO"/>
        </w:rPr>
      </w:pPr>
      <w:r>
        <w:rPr>
          <w:rFonts w:ascii="Arial" w:hAnsi="Arial" w:eastAsia="Times New Roman" w:cs="Arial"/>
          <w:b w:val="0"/>
          <w:sz w:val="22"/>
          <w:lang w:val="es-ES" w:eastAsia="es-CO"/>
        </w:rPr>
        <w:t>Toda la correspondencia que se surta entre las partes durante el término de ejecución del contrato.</w:t>
      </w:r>
    </w:p>
    <w:p w14:paraId="6B7A3ABA">
      <w:pPr>
        <w:spacing w:before="100" w:beforeAutospacing="1" w:after="100" w:afterAutospacing="1"/>
        <w:rPr>
          <w:rFonts w:ascii="Arial" w:hAnsi="Arial" w:eastAsia="Times New Roman" w:cs="Arial"/>
          <w:sz w:val="22"/>
          <w:lang w:val="es-ES" w:eastAsia="es-ES"/>
        </w:rPr>
      </w:pPr>
      <w:r>
        <w:rPr>
          <w:rFonts w:ascii="Arial" w:hAnsi="Arial" w:eastAsia="Times New Roman" w:cs="Arial"/>
          <w:sz w:val="22"/>
          <w:lang w:val="es-ES" w:eastAsia="es-ES"/>
        </w:rPr>
        <w:t xml:space="preserve">En constancia, se firma el presente contrato en la ciudad de </w:t>
      </w:r>
      <w:r>
        <w:rPr>
          <w:rFonts w:ascii="Arial" w:hAnsi="Arial" w:eastAsia="Times New Roman" w:cs="Arial"/>
          <w:b/>
          <w:bCs/>
          <w:sz w:val="22"/>
          <w:lang w:val="es-ES" w:eastAsia="es-ES"/>
        </w:rPr>
        <w:t>Cartagena, Bolívar</w:t>
      </w:r>
      <w:r>
        <w:rPr>
          <w:rFonts w:ascii="Arial" w:hAnsi="Arial" w:eastAsia="Times New Roman" w:cs="Arial"/>
          <w:sz w:val="22"/>
          <w:lang w:val="es-ES" w:eastAsia="es-ES"/>
        </w:rPr>
        <w:t xml:space="preserve">, a los </w:t>
      </w:r>
      <w:r>
        <w:rPr>
          <w:rFonts w:ascii="Arial" w:hAnsi="Arial" w:eastAsia="Times New Roman" w:cs="Arial"/>
          <w:b/>
          <w:bCs/>
          <w:sz w:val="22"/>
          <w:lang w:val="es-ES" w:eastAsia="es-ES"/>
        </w:rPr>
        <w:t>___ (día) del mes de -- de 2026</w:t>
      </w:r>
      <w:r>
        <w:rPr>
          <w:rFonts w:ascii="Arial" w:hAnsi="Arial" w:eastAsia="Times New Roman" w:cs="Arial"/>
          <w:sz w:val="22"/>
          <w:lang w:val="es-ES" w:eastAsia="es-ES"/>
        </w:rPr>
        <w:t>.</w:t>
      </w:r>
    </w:p>
    <w:p w14:paraId="4B2BD633">
      <w:pPr>
        <w:spacing w:before="100" w:beforeAutospacing="1" w:after="100" w:afterAutospacing="1"/>
        <w:rPr>
          <w:rFonts w:ascii="Arial" w:hAnsi="Arial" w:eastAsia="Times New Roman" w:cs="Arial"/>
          <w:sz w:val="22"/>
          <w:lang w:val="es-ES" w:eastAsia="es-ES"/>
        </w:rPr>
      </w:pPr>
      <w:r>
        <w:rPr>
          <w:rFonts w:ascii="Arial" w:hAnsi="Arial" w:eastAsia="Times New Roman" w:cs="Arial"/>
          <w:sz w:val="22"/>
          <w:lang w:val="es-ES" w:eastAsia="es-ES"/>
        </w:rPr>
        <w:t xml:space="preserve">El presente contrato se suscribe por medio del </w:t>
      </w:r>
      <w:r>
        <w:rPr>
          <w:rFonts w:ascii="Arial" w:hAnsi="Arial" w:eastAsia="Times New Roman" w:cs="Arial"/>
          <w:b/>
          <w:bCs/>
          <w:sz w:val="22"/>
          <w:lang w:val="es-ES" w:eastAsia="es-ES"/>
        </w:rPr>
        <w:t>SECOP II</w:t>
      </w:r>
      <w:r>
        <w:rPr>
          <w:rFonts w:ascii="Arial" w:hAnsi="Arial" w:eastAsia="Times New Roman" w:cs="Arial"/>
          <w:sz w:val="22"/>
          <w:lang w:val="es-ES" w:eastAsia="es-ES"/>
        </w:rPr>
        <w:t>, conforme a las disposiciones legales y reglamentarias aplicables.</w:t>
      </w:r>
    </w:p>
    <w:p w14:paraId="102EC36B">
      <w:pPr>
        <w:rPr>
          <w:rFonts w:ascii="Arial" w:hAnsi="Arial" w:cs="Arial"/>
          <w:i/>
          <w:spacing w:val="-3"/>
          <w:sz w:val="22"/>
          <w:lang w:eastAsia="es-ES"/>
        </w:rPr>
      </w:pPr>
    </w:p>
    <w:p w14:paraId="7DEB8AD1">
      <w:pPr>
        <w:pStyle w:val="20"/>
        <w:numPr>
          <w:ilvl w:val="0"/>
          <w:numId w:val="0"/>
        </w:numPr>
        <w:rPr>
          <w:rFonts w:ascii="Arial" w:hAnsi="Arial" w:eastAsia="Times New Roman" w:cs="Arial"/>
          <w:bCs/>
          <w:color w:val="auto"/>
          <w:spacing w:val="0"/>
          <w:kern w:val="0"/>
          <w:sz w:val="22"/>
          <w:szCs w:val="22"/>
          <w:lang w:val="es-ES" w:eastAsia="es-CO"/>
        </w:rPr>
      </w:pPr>
    </w:p>
    <w:p w14:paraId="100CBE2A">
      <w:pPr>
        <w:pStyle w:val="20"/>
        <w:numPr>
          <w:ilvl w:val="0"/>
          <w:numId w:val="0"/>
        </w:numPr>
        <w:rPr>
          <w:rFonts w:ascii="Arial" w:hAnsi="Arial" w:eastAsia="Times New Roman" w:cs="Arial"/>
          <w:bCs/>
          <w:color w:val="auto"/>
          <w:sz w:val="22"/>
          <w:szCs w:val="22"/>
          <w:lang w:val="es-ES" w:eastAsia="es-CO"/>
        </w:rPr>
      </w:pPr>
      <w:r>
        <w:rPr>
          <w:rFonts w:ascii="Arial" w:hAnsi="Arial" w:eastAsia="Times New Roman" w:cs="Arial"/>
          <w:bCs/>
          <w:color w:val="auto"/>
          <w:sz w:val="22"/>
          <w:szCs w:val="22"/>
          <w:lang w:val="es-ES" w:eastAsia="es-CO"/>
        </w:rPr>
        <w:t>Por la Entidad,</w:t>
      </w:r>
      <w:r>
        <w:rPr>
          <w:rFonts w:ascii="Arial" w:hAnsi="Arial" w:eastAsia="Times New Roman" w:cs="Arial"/>
          <w:bCs/>
          <w:color w:val="auto"/>
          <w:sz w:val="22"/>
          <w:szCs w:val="22"/>
          <w:lang w:val="es-ES" w:eastAsia="es-CO"/>
        </w:rPr>
        <w:tab/>
      </w:r>
      <w:r>
        <w:rPr>
          <w:rFonts w:ascii="Arial" w:hAnsi="Arial" w:eastAsia="Times New Roman" w:cs="Arial"/>
          <w:bCs/>
          <w:color w:val="auto"/>
          <w:sz w:val="22"/>
          <w:szCs w:val="22"/>
          <w:lang w:val="es-ES" w:eastAsia="es-CO"/>
        </w:rPr>
        <w:tab/>
      </w:r>
      <w:r>
        <w:rPr>
          <w:rFonts w:ascii="Arial" w:hAnsi="Arial" w:eastAsia="Times New Roman" w:cs="Arial"/>
          <w:bCs/>
          <w:color w:val="auto"/>
          <w:sz w:val="22"/>
          <w:szCs w:val="22"/>
          <w:lang w:val="es-ES" w:eastAsia="es-CO"/>
        </w:rPr>
        <w:t xml:space="preserve">   </w:t>
      </w:r>
      <w:r>
        <w:rPr>
          <w:rFonts w:ascii="Arial" w:hAnsi="Arial" w:eastAsia="Times New Roman" w:cs="Arial"/>
          <w:bCs/>
          <w:color w:val="auto"/>
          <w:sz w:val="22"/>
          <w:szCs w:val="22"/>
          <w:lang w:val="es-ES" w:eastAsia="es-CO"/>
        </w:rPr>
        <w:tab/>
      </w:r>
      <w:r>
        <w:rPr>
          <w:rFonts w:ascii="Arial" w:hAnsi="Arial" w:eastAsia="Times New Roman" w:cs="Arial"/>
          <w:bCs/>
          <w:color w:val="auto"/>
          <w:sz w:val="22"/>
          <w:szCs w:val="22"/>
          <w:lang w:val="es-ES" w:eastAsia="es-CO"/>
        </w:rPr>
        <w:t xml:space="preserve">    </w:t>
      </w:r>
      <w:r>
        <w:rPr>
          <w:rFonts w:ascii="Arial" w:hAnsi="Arial" w:eastAsia="Times New Roman" w:cs="Arial"/>
          <w:bCs/>
          <w:color w:val="auto"/>
          <w:sz w:val="22"/>
          <w:szCs w:val="22"/>
          <w:lang w:val="es-ES" w:eastAsia="es-CO"/>
        </w:rPr>
        <w:tab/>
      </w:r>
      <w:r>
        <w:rPr>
          <w:rFonts w:ascii="Arial" w:hAnsi="Arial" w:eastAsia="Times New Roman" w:cs="Arial"/>
          <w:bCs/>
          <w:color w:val="auto"/>
          <w:sz w:val="22"/>
          <w:szCs w:val="22"/>
          <w:lang w:val="es-ES" w:eastAsia="es-CO"/>
        </w:rPr>
        <w:t>Por el Contratista,</w:t>
      </w:r>
    </w:p>
    <w:sectPr>
      <w:headerReference r:id="rId6" w:type="first"/>
      <w:footerReference r:id="rId8" w:type="first"/>
      <w:headerReference r:id="rId5" w:type="default"/>
      <w:footerReference r:id="rId7" w:type="default"/>
      <w:pgSz w:w="12240" w:h="15840"/>
      <w:pgMar w:top="863" w:right="1701" w:bottom="1418" w:left="1701" w:header="851" w:footer="851" w:gutter="0"/>
      <w:pgNumType w:start="1"/>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86"/>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黑体">
    <w:altName w:val="SimSun"/>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Tahoma">
    <w:panose1 w:val="020B0604030504040204"/>
    <w:charset w:val="00"/>
    <w:family w:val="swiss"/>
    <w:pitch w:val="default"/>
    <w:sig w:usb0="E1002EFF" w:usb1="C000605B" w:usb2="00000029" w:usb3="00000000" w:csb0="200101FF" w:csb1="20280000"/>
  </w:font>
  <w:font w:name="Arial Narrow">
    <w:panose1 w:val="020B0606020202030204"/>
    <w:charset w:val="00"/>
    <w:family w:val="swiss"/>
    <w:pitch w:val="default"/>
    <w:sig w:usb0="00000287" w:usb1="00000800" w:usb2="00000000" w:usb3="00000000" w:csb0="2000009F" w:csb1="DFD70000"/>
  </w:font>
  <w:font w:name="Arial MT">
    <w:altName w:val="Arial"/>
    <w:panose1 w:val="00000000000000000000"/>
    <w:charset w:val="01"/>
    <w:family w:val="swiss"/>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Verdana">
    <w:panose1 w:val="020B0604030504040204"/>
    <w:charset w:val="00"/>
    <w:family w:val="swiss"/>
    <w:pitch w:val="default"/>
    <w:sig w:usb0="A00006FF" w:usb1="4000205B" w:usb2="00000010" w:usb3="00000000" w:csb0="2000019F" w:csb1="00000000"/>
  </w:font>
  <w:font w:name="Cambria Math">
    <w:panose1 w:val="02040503050406030204"/>
    <w:charset w:val="00"/>
    <w:family w:val="auto"/>
    <w:pitch w:val="variable"/>
    <w:sig w:usb0="E00006FF" w:usb1="420024FF" w:usb2="02000000" w:usb3="00000000" w:csb0="2000019F" w:csb1="00000000"/>
  </w:font>
  <w:font w:name="等线">
    <w:altName w:val="Arial Unicode MS"/>
    <w:panose1 w:val="00000000000000000000"/>
    <w:charset w:val="00"/>
    <w:family w:val="auto"/>
    <w:pitch w:val="default"/>
    <w:sig w:usb0="00000000" w:usb1="00000000" w:usb2="00000000" w:usb3="00000000" w:csb0="00000000" w:csb1="00000000"/>
  </w:font>
  <w:font w:name="Century Gothic">
    <w:panose1 w:val="020B0502020202020204"/>
    <w:charset w:val="00"/>
    <w:family w:val="auto"/>
    <w:pitch w:val="variable"/>
    <w:sig w:usb0="00000287" w:usb1="00000000" w:usb2="00000000" w:usb3="00000000" w:csb0="2000009F" w:csb1="DFD70000"/>
  </w:font>
  <w:font w:name="Georgia">
    <w:panose1 w:val="02040502050405020303"/>
    <w:charset w:val="00"/>
    <w:family w:val="auto"/>
    <w:pitch w:val="variable"/>
    <w:sig w:usb0="00000287" w:usb1="00000000" w:usb2="00000000" w:usb3="00000000" w:csb0="2000009F" w:csb1="00000000"/>
  </w:font>
  <w:font w:name="Arial Unicode MS">
    <w:panose1 w:val="020B0604020202020204"/>
    <w:charset w:val="86"/>
    <w:family w:val="auto"/>
    <w:pitch w:val="default"/>
    <w:sig w:usb0="FFFFFFFF" w:usb1="E9FFFFFF" w:usb2="0000003F" w:usb3="00000000" w:csb0="603F01FF" w:csb1="FFFF0000"/>
  </w:font>
  <w:font w:name="Calibri">
    <w:panose1 w:val="020F0502020204030204"/>
    <w:charset w:val="86"/>
    <w:family w:val="auto"/>
    <w:pitch w:val="variable"/>
    <w:sig w:usb0="E4002EFF" w:usb1="C200247B" w:usb2="00000009" w:usb3="00000000" w:csb0="200001FF" w:csb1="00000000"/>
  </w:font>
  <w:font w:name="Yu Gothic Light">
    <w:panose1 w:val="020B0300000000000000"/>
    <w:charset w:val="80"/>
    <w:family w:val="auto"/>
    <w:pitch w:val="variable"/>
    <w:sig w:usb0="E00002FF" w:usb1="2AC7FDFF" w:usb2="00000016" w:usb3="00000000" w:csb0="2002009F" w:csb1="00000000"/>
  </w:font>
  <w:font w:name="@Yu Gothic Light">
    <w:panose1 w:val="020B0300000000000000"/>
    <w:charset w:val="80"/>
    <w:family w:val="auto"/>
    <w:pitch w:val="variable"/>
    <w:sig w:usb0="E00002FF" w:usb1="2AC7FDFF" w:usb2="00000016" w:usb3="00000000" w:csb0="2002009F" w:csb1="00000000"/>
  </w:font>
  <w:font w:name="Symbol">
    <w:panose1 w:val="050501020107060205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C4FC2E">
    <w:pPr>
      <w:pStyle w:val="17"/>
    </w:pPr>
  </w:p>
  <w:p w14:paraId="4645D18A">
    <w:pPr>
      <w:pStyle w:val="17"/>
      <w:jc w:val="right"/>
      <w:rPr>
        <w:rFonts w:ascii="Verdana" w:hAnsi="Verdana"/>
        <w:sz w:val="22"/>
      </w:rPr>
    </w:pPr>
    <w:r>
      <w:rPr>
        <w:rStyle w:val="33"/>
        <w:rFonts w:ascii="Verdana" w:hAnsi="Verdana"/>
        <w:color w:val="000000"/>
        <w:sz w:val="18"/>
        <w:szCs w:val="18"/>
        <w:shd w:val="clear" w:color="auto" w:fill="FFFFFF"/>
      </w:rPr>
      <w:t>Versión: 2 del xxxxx de 2025</w:t>
    </w:r>
    <w:r>
      <w:rPr>
        <w:rStyle w:val="34"/>
        <w:rFonts w:ascii="Verdana" w:hAnsi="Verdana"/>
        <w:color w:val="000000"/>
        <w:sz w:val="18"/>
        <w:szCs w:val="18"/>
        <w:shd w:val="clear" w:color="auto" w:fill="FFFFFF"/>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3446F9">
    <w:pPr>
      <w:pStyle w:val="17"/>
      <w:jc w:val="center"/>
    </w:pPr>
    <w:r>
      <w:rPr>
        <w:lang w:val="es-ES" w:eastAsia="es-ES"/>
      </w:rPr>
      <w:drawing>
        <wp:inline distT="0" distB="0" distL="0" distR="0">
          <wp:extent cx="1562100" cy="365760"/>
          <wp:effectExtent l="0" t="0" r="0" b="0"/>
          <wp:docPr id="1721713025" name="Picture 1721713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1713025" name="Picture 1721713025"/>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pPr>
      <w:pStyle w:val="17"/>
    </w:pPr>
    <w:r>
      <w:rPr>
        <w:lang w:val="es-ES" w:eastAsia="es-ES"/>
      </w:rPr>
      <w:drawing>
        <wp:inline distT="0" distB="0" distL="0" distR="0">
          <wp:extent cx="5607050" cy="362585"/>
          <wp:effectExtent l="0" t="0" r="6350" b="0"/>
          <wp:docPr id="648355818" name="Picture 648355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355818" name="Picture 648355818"/>
                  <pic:cNvPicPr>
                    <a:picLocks noChangeAspect="1"/>
                  </pic:cNvPicPr>
                </pic:nvPicPr>
                <pic:blipFill>
                  <a:blip r:embed="rId2"/>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A8BD8E">
    <w:pPr>
      <w:rPr>
        <w:color w:val="4E4D4D" w:themeColor="background2"/>
        <w14:textFill>
          <w14:solidFill>
            <w14:schemeClr w14:val="bg2"/>
          </w14:solidFill>
        </w14:textFill>
      </w:rPr>
    </w:pPr>
  </w:p>
  <w:p w14:paraId="653ED4D1">
    <w:pPr>
      <w:jc w:val="center"/>
      <w:rPr>
        <w:rFonts w:ascii="Verdana" w:hAnsi="Verdana"/>
        <w:color w:val="4E4D4D" w:themeColor="background2"/>
        <w:sz w:val="24"/>
        <w:szCs w:val="24"/>
        <w14:textFill>
          <w14:solidFill>
            <w14:schemeClr w14:val="bg2"/>
          </w14:solidFill>
        </w14:textFill>
      </w:rPr>
    </w:pPr>
  </w:p>
  <w:p w14:paraId="16BAD501">
    <w:pPr>
      <w:pStyle w:val="15"/>
      <w:jc w:val="center"/>
      <w:rPr>
        <w:rFonts w:ascii="Verdana" w:hAnsi="Verdana"/>
        <w:color w:val="4E4D4D" w:themeColor="background2"/>
        <w:sz w:val="24"/>
        <w:szCs w:val="24"/>
        <w14:textFill>
          <w14:solidFill>
            <w14:schemeClr w14:val="bg2"/>
          </w14:solidFill>
        </w14:textFill>
      </w:rPr>
    </w:pPr>
    <w:r>
      <w:rPr>
        <w:rFonts w:ascii="Verdana" w:hAnsi="Verdana" w:cs="Arial"/>
        <w:b/>
        <w:sz w:val="24"/>
        <w:szCs w:val="24"/>
      </w:rPr>
      <w:t xml:space="preserve">ANEXO 4 MINUTA DEL CONTRATO DE  PRESTACIÓN DE SERVICIOS DEL PROGRAMA BIOMEDICO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0C292A">
    <w:pPr>
      <w:pStyle w:val="15"/>
      <w:jc w:val="right"/>
      <w:rPr>
        <w:b/>
      </w:rPr>
    </w:pPr>
    <w:r>
      <w:rPr>
        <w:lang w:val="es-ES" w:eastAsia="es-ES"/>
      </w:rPr>
      <w:drawing>
        <wp:inline distT="0" distB="0" distL="0" distR="0">
          <wp:extent cx="1500505" cy="616585"/>
          <wp:effectExtent l="0" t="0" r="444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500803" cy="616644"/>
                  </a:xfrm>
                  <a:prstGeom prst="rect">
                    <a:avLst/>
                  </a:prstGeom>
                  <a:ln>
                    <a:noFill/>
                  </a:ln>
                </pic:spPr>
              </pic:pic>
            </a:graphicData>
          </a:graphic>
        </wp:inline>
      </w:drawing>
    </w:r>
  </w:p>
  <w:p w14:paraId="5F93E109">
    <w:pPr>
      <w:pStyle w:val="2"/>
      <w:rPr>
        <w:szCs w:val="24"/>
      </w:rPr>
    </w:pPr>
    <w:r>
      <w:rPr>
        <w:szCs w:val="24"/>
      </w:rPr>
      <w:t>TÍTULO DEL DOCUMENTO</w:t>
    </w:r>
  </w:p>
  <w:p w14:paraId="472CF9A0">
    <w:pPr>
      <w:rPr>
        <w:color w:val="4E4D4D" w:themeColor="background2"/>
        <w14:textFill>
          <w14:solidFill>
            <w14:schemeClr w14:val="bg2"/>
          </w14:solidFill>
        </w14:textFill>
      </w:rPr>
    </w:pPr>
    <w:r>
      <w:rPr>
        <w:color w:val="4E4D4D" w:themeColor="background2"/>
        <w14:textFill>
          <w14:solidFill>
            <w14:schemeClr w14:val="bg2"/>
          </w14:solidFill>
        </w14:textFill>
      </w:rPr>
      <w:t>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91DBC6"/>
    <w:multiLevelType w:val="multilevel"/>
    <w:tmpl w:val="8191DBC6"/>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AD62F159"/>
    <w:multiLevelType w:val="multilevel"/>
    <w:tmpl w:val="AD62F159"/>
    <w:lvl w:ilvl="0" w:tentative="0">
      <w:start w:val="1"/>
      <w:numFmt w:val="bullet"/>
      <w:lvlText w:val=""/>
      <w:lvlJc w:val="left"/>
      <w:pPr>
        <w:ind w:left="360" w:hanging="360"/>
      </w:pPr>
      <w:rPr>
        <w:rFonts w:ascii="Symbol" w:hAnsi="Symbol" w:cs="Symbol"/>
      </w:rPr>
    </w:lvl>
    <w:lvl w:ilvl="1" w:tentative="0">
      <w:start w:val="1"/>
      <w:numFmt w:val="bullet"/>
      <w:lvlText w:val="o"/>
      <w:lvlJc w:val="left"/>
      <w:pPr>
        <w:ind w:left="1080" w:hanging="360"/>
      </w:pPr>
      <w:rPr>
        <w:rFonts w:ascii="Courier New" w:hAnsi="Courier New" w:cs="Courier New"/>
      </w:rPr>
    </w:lvl>
    <w:lvl w:ilvl="2" w:tentative="0">
      <w:start w:val="1"/>
      <w:numFmt w:val="bullet"/>
      <w:lvlText w:val=""/>
      <w:lvlJc w:val="left"/>
      <w:pPr>
        <w:ind w:left="1800" w:hanging="360"/>
      </w:pPr>
      <w:rPr>
        <w:rFonts w:hint="default" w:ascii="Wingdings" w:hAnsi="Wingdings" w:cs="Wingdings"/>
      </w:rPr>
    </w:lvl>
    <w:lvl w:ilvl="3" w:tentative="0">
      <w:start w:val="1"/>
      <w:numFmt w:val="bullet"/>
      <w:lvlText w:val=""/>
      <w:lvlJc w:val="left"/>
      <w:pPr>
        <w:ind w:left="2520" w:hanging="360"/>
      </w:pPr>
      <w:rPr>
        <w:rFonts w:hint="default" w:ascii="Symbol" w:hAnsi="Symbol" w:cs="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cs="Wingdings"/>
      </w:rPr>
    </w:lvl>
    <w:lvl w:ilvl="6" w:tentative="0">
      <w:start w:val="1"/>
      <w:numFmt w:val="bullet"/>
      <w:lvlText w:val=""/>
      <w:lvlJc w:val="left"/>
      <w:pPr>
        <w:ind w:left="4680" w:hanging="360"/>
      </w:pPr>
      <w:rPr>
        <w:rFonts w:hint="default" w:ascii="Symbol" w:hAnsi="Symbol" w:cs="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cs="Wingdings"/>
      </w:rPr>
    </w:lvl>
  </w:abstractNum>
  <w:abstractNum w:abstractNumId="2">
    <w:nsid w:val="156E5BE7"/>
    <w:multiLevelType w:val="multilevel"/>
    <w:tmpl w:val="156E5BE7"/>
    <w:lvl w:ilvl="0" w:tentative="0">
      <w:start w:val="1"/>
      <w:numFmt w:val="decimal"/>
      <w:pStyle w:val="54"/>
      <w:lvlText w:val="7.%1."/>
      <w:lvlJc w:val="left"/>
      <w:pPr>
        <w:ind w:left="360" w:hanging="360"/>
      </w:pPr>
      <w:rPr>
        <w:rFonts w:hint="default"/>
      </w:rPr>
    </w:lvl>
    <w:lvl w:ilvl="1" w:tentative="0">
      <w:start w:val="1"/>
      <w:numFmt w:val="upperLetter"/>
      <w:lvlText w:val="%2."/>
      <w:lvlJc w:val="left"/>
      <w:pPr>
        <w:ind w:left="720" w:hanging="360"/>
      </w:pPr>
    </w:lvl>
    <w:lvl w:ilvl="2" w:tentative="0">
      <w:start w:val="1"/>
      <w:numFmt w:val="lowerRoman"/>
      <w:lvlText w:val="%3)"/>
      <w:lvlJc w:val="left"/>
      <w:pPr>
        <w:ind w:left="1080" w:hanging="360"/>
      </w:pPr>
    </w:lvl>
    <w:lvl w:ilvl="3" w:tentative="0">
      <w:start w:val="1"/>
      <w:numFmt w:val="decimal"/>
      <w:lvlText w:val="(%4)"/>
      <w:lvlJc w:val="left"/>
      <w:pPr>
        <w:ind w:left="1440" w:hanging="360"/>
      </w:pPr>
    </w:lvl>
    <w:lvl w:ilvl="4" w:tentative="0">
      <w:start w:val="1"/>
      <w:numFmt w:val="lowerLetter"/>
      <w:lvlText w:val="(%5)"/>
      <w:lvlJc w:val="left"/>
      <w:pPr>
        <w:ind w:left="1800" w:hanging="360"/>
      </w:p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3">
    <w:nsid w:val="1BBE05F6"/>
    <w:multiLevelType w:val="multilevel"/>
    <w:tmpl w:val="1BBE05F6"/>
    <w:lvl w:ilvl="0" w:tentative="0">
      <w:start w:val="1"/>
      <w:numFmt w:val="decimal"/>
      <w:lvlText w:val="%1."/>
      <w:lvlJc w:val="left"/>
      <w:pPr>
        <w:tabs>
          <w:tab w:val="left" w:pos="720"/>
        </w:tabs>
        <w:ind w:left="720" w:hanging="360"/>
      </w:p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25AE4EA8"/>
    <w:multiLevelType w:val="multilevel"/>
    <w:tmpl w:val="25AE4EA8"/>
    <w:lvl w:ilvl="0" w:tentative="0">
      <w:start w:val="1"/>
      <w:numFmt w:val="upperRoman"/>
      <w:lvlText w:val="%1."/>
      <w:lvlJc w:val="right"/>
      <w:pPr>
        <w:ind w:left="720" w:hanging="360"/>
      </w:pPr>
    </w:lvl>
    <w:lvl w:ilvl="1" w:tentative="0">
      <w:start w:val="3"/>
      <w:numFmt w:val="decimal"/>
      <w:isLgl/>
      <w:lvlText w:val="%1.%2"/>
      <w:lvlJc w:val="left"/>
      <w:pPr>
        <w:ind w:left="760" w:hanging="400"/>
      </w:pPr>
      <w:rPr>
        <w:rFonts w:hint="default"/>
        <w:u w:val="none"/>
      </w:rPr>
    </w:lvl>
    <w:lvl w:ilvl="2" w:tentative="0">
      <w:start w:val="1"/>
      <w:numFmt w:val="decimal"/>
      <w:isLgl/>
      <w:lvlText w:val="%1.%2.%3"/>
      <w:lvlJc w:val="left"/>
      <w:pPr>
        <w:ind w:left="1080" w:hanging="720"/>
      </w:pPr>
      <w:rPr>
        <w:rFonts w:hint="default"/>
        <w:u w:val="none"/>
      </w:rPr>
    </w:lvl>
    <w:lvl w:ilvl="3" w:tentative="0">
      <w:start w:val="1"/>
      <w:numFmt w:val="decimal"/>
      <w:isLgl/>
      <w:lvlText w:val="%1.%2.%3.%4"/>
      <w:lvlJc w:val="left"/>
      <w:pPr>
        <w:ind w:left="1440" w:hanging="1080"/>
      </w:pPr>
      <w:rPr>
        <w:rFonts w:hint="default"/>
        <w:u w:val="none"/>
      </w:rPr>
    </w:lvl>
    <w:lvl w:ilvl="4" w:tentative="0">
      <w:start w:val="1"/>
      <w:numFmt w:val="decimal"/>
      <w:isLgl/>
      <w:lvlText w:val="%1.%2.%3.%4.%5"/>
      <w:lvlJc w:val="left"/>
      <w:pPr>
        <w:ind w:left="1440" w:hanging="1080"/>
      </w:pPr>
      <w:rPr>
        <w:rFonts w:hint="default"/>
        <w:u w:val="none"/>
      </w:rPr>
    </w:lvl>
    <w:lvl w:ilvl="5" w:tentative="0">
      <w:start w:val="1"/>
      <w:numFmt w:val="decimal"/>
      <w:isLgl/>
      <w:lvlText w:val="%1.%2.%3.%4.%5.%6"/>
      <w:lvlJc w:val="left"/>
      <w:pPr>
        <w:ind w:left="1800" w:hanging="1440"/>
      </w:pPr>
      <w:rPr>
        <w:rFonts w:hint="default"/>
        <w:u w:val="none"/>
      </w:rPr>
    </w:lvl>
    <w:lvl w:ilvl="6" w:tentative="0">
      <w:start w:val="1"/>
      <w:numFmt w:val="decimal"/>
      <w:isLgl/>
      <w:lvlText w:val="%1.%2.%3.%4.%5.%6.%7"/>
      <w:lvlJc w:val="left"/>
      <w:pPr>
        <w:ind w:left="1800" w:hanging="1440"/>
      </w:pPr>
      <w:rPr>
        <w:rFonts w:hint="default"/>
        <w:u w:val="none"/>
      </w:rPr>
    </w:lvl>
    <w:lvl w:ilvl="7" w:tentative="0">
      <w:start w:val="1"/>
      <w:numFmt w:val="decimal"/>
      <w:isLgl/>
      <w:lvlText w:val="%1.%2.%3.%4.%5.%6.%7.%8"/>
      <w:lvlJc w:val="left"/>
      <w:pPr>
        <w:ind w:left="2160" w:hanging="1800"/>
      </w:pPr>
      <w:rPr>
        <w:rFonts w:hint="default"/>
        <w:u w:val="none"/>
      </w:rPr>
    </w:lvl>
    <w:lvl w:ilvl="8" w:tentative="0">
      <w:start w:val="1"/>
      <w:numFmt w:val="decimal"/>
      <w:isLgl/>
      <w:lvlText w:val="%1.%2.%3.%4.%5.%6.%7.%8.%9"/>
      <w:lvlJc w:val="left"/>
      <w:pPr>
        <w:ind w:left="2160" w:hanging="1800"/>
      </w:pPr>
      <w:rPr>
        <w:rFonts w:hint="default"/>
        <w:u w:val="none"/>
      </w:rPr>
    </w:lvl>
  </w:abstractNum>
  <w:abstractNum w:abstractNumId="5">
    <w:nsid w:val="270637FD"/>
    <w:multiLevelType w:val="multilevel"/>
    <w:tmpl w:val="270637FD"/>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
    <w:nsid w:val="28A50289"/>
    <w:multiLevelType w:val="multilevel"/>
    <w:tmpl w:val="28A50289"/>
    <w:lvl w:ilvl="0" w:tentative="0">
      <w:start w:val="1"/>
      <w:numFmt w:val="decimal"/>
      <w:lvlText w:val="%1."/>
      <w:lvlJc w:val="left"/>
      <w:pPr>
        <w:tabs>
          <w:tab w:val="left" w:pos="720"/>
        </w:tabs>
        <w:ind w:left="720" w:hanging="360"/>
      </w:pPr>
      <w:rPr>
        <w:rFonts w:hint="default"/>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7">
    <w:nsid w:val="2A4E379C"/>
    <w:multiLevelType w:val="multilevel"/>
    <w:tmpl w:val="2A4E379C"/>
    <w:lvl w:ilvl="0" w:tentative="0">
      <w:start w:val="1"/>
      <w:numFmt w:val="decimal"/>
      <w:pStyle w:val="37"/>
      <w:lvlText w:val="CLÁUSULA %1."/>
      <w:lvlJc w:val="left"/>
      <w:pPr>
        <w:ind w:left="3620" w:hanging="360"/>
      </w:pPr>
      <w:rPr>
        <w:rFonts w:hint="default"/>
        <w:b/>
        <w:color w:val="auto"/>
        <w:sz w:val="20"/>
        <w:szCs w:val="2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8">
    <w:nsid w:val="4BC040D0"/>
    <w:multiLevelType w:val="multilevel"/>
    <w:tmpl w:val="4BC040D0"/>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9">
    <w:nsid w:val="52572920"/>
    <w:multiLevelType w:val="multilevel"/>
    <w:tmpl w:val="52572920"/>
    <w:lvl w:ilvl="0" w:tentative="0">
      <w:start w:val="1"/>
      <w:numFmt w:val="decimal"/>
      <w:lvlText w:val="%1."/>
      <w:lvlJc w:val="left"/>
      <w:pPr>
        <w:ind w:left="502" w:hanging="360"/>
      </w:pPr>
      <w:rPr>
        <w:b w:val="0"/>
        <w:bCs w:val="0"/>
        <w:color w:val="auto"/>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10">
    <w:nsid w:val="54C963B3"/>
    <w:multiLevelType w:val="multilevel"/>
    <w:tmpl w:val="54C963B3"/>
    <w:lvl w:ilvl="0" w:tentative="0">
      <w:start w:val="1"/>
      <w:numFmt w:val="decimal"/>
      <w:lvlText w:val="%1."/>
      <w:lvlJc w:val="left"/>
      <w:pPr>
        <w:ind w:left="72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66B92197"/>
    <w:multiLevelType w:val="multilevel"/>
    <w:tmpl w:val="66B92197"/>
    <w:lvl w:ilvl="0" w:tentative="0">
      <w:start w:val="4"/>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12">
    <w:nsid w:val="68416357"/>
    <w:multiLevelType w:val="multilevel"/>
    <w:tmpl w:val="68416357"/>
    <w:lvl w:ilvl="0" w:tentative="0">
      <w:start w:val="1"/>
      <w:numFmt w:val="decimal"/>
      <w:pStyle w:val="44"/>
      <w:lvlText w:val="%1."/>
      <w:lvlJc w:val="left"/>
      <w:pPr>
        <w:ind w:left="360" w:hanging="360"/>
      </w:pPr>
    </w:lvl>
    <w:lvl w:ilvl="1" w:tentative="0">
      <w:start w:val="1"/>
      <w:numFmt w:val="lowerLetter"/>
      <w:lvlText w:val="%2."/>
      <w:lvlJc w:val="left"/>
      <w:pPr>
        <w:ind w:left="1790" w:hanging="360"/>
      </w:pPr>
      <w:rPr>
        <w:rFonts w:hint="default"/>
      </w:rPr>
    </w:lvl>
    <w:lvl w:ilvl="2" w:tentative="0">
      <w:start w:val="1"/>
      <w:numFmt w:val="lowerRoman"/>
      <w:lvlText w:val="%3."/>
      <w:lvlJc w:val="right"/>
      <w:pPr>
        <w:ind w:left="2510" w:hanging="180"/>
      </w:pPr>
      <w:rPr>
        <w:rFonts w:hint="default"/>
      </w:rPr>
    </w:lvl>
    <w:lvl w:ilvl="3" w:tentative="0">
      <w:start w:val="1"/>
      <w:numFmt w:val="decimal"/>
      <w:lvlText w:val="%4."/>
      <w:lvlJc w:val="left"/>
      <w:pPr>
        <w:ind w:left="3230" w:hanging="360"/>
      </w:pPr>
      <w:rPr>
        <w:rFonts w:hint="default"/>
      </w:rPr>
    </w:lvl>
    <w:lvl w:ilvl="4" w:tentative="0">
      <w:start w:val="1"/>
      <w:numFmt w:val="lowerLetter"/>
      <w:lvlText w:val="%5."/>
      <w:lvlJc w:val="left"/>
      <w:pPr>
        <w:ind w:left="3950" w:hanging="360"/>
      </w:pPr>
      <w:rPr>
        <w:rFonts w:hint="default"/>
      </w:rPr>
    </w:lvl>
    <w:lvl w:ilvl="5" w:tentative="0">
      <w:start w:val="1"/>
      <w:numFmt w:val="lowerRoman"/>
      <w:lvlText w:val="%6."/>
      <w:lvlJc w:val="right"/>
      <w:pPr>
        <w:ind w:left="4670" w:hanging="180"/>
      </w:pPr>
      <w:rPr>
        <w:rFonts w:hint="default"/>
      </w:rPr>
    </w:lvl>
    <w:lvl w:ilvl="6" w:tentative="0">
      <w:start w:val="1"/>
      <w:numFmt w:val="decimal"/>
      <w:lvlText w:val="%7."/>
      <w:lvlJc w:val="left"/>
      <w:pPr>
        <w:ind w:left="5390" w:hanging="360"/>
      </w:pPr>
      <w:rPr>
        <w:rFonts w:hint="default"/>
      </w:rPr>
    </w:lvl>
    <w:lvl w:ilvl="7" w:tentative="0">
      <w:start w:val="1"/>
      <w:numFmt w:val="lowerLetter"/>
      <w:lvlText w:val="%8."/>
      <w:lvlJc w:val="left"/>
      <w:pPr>
        <w:ind w:left="6110" w:hanging="360"/>
      </w:pPr>
      <w:rPr>
        <w:rFonts w:hint="default"/>
      </w:rPr>
    </w:lvl>
    <w:lvl w:ilvl="8" w:tentative="0">
      <w:start w:val="1"/>
      <w:numFmt w:val="lowerRoman"/>
      <w:lvlText w:val="%9."/>
      <w:lvlJc w:val="right"/>
      <w:pPr>
        <w:ind w:left="6830" w:hanging="180"/>
      </w:pPr>
      <w:rPr>
        <w:rFonts w:hint="default"/>
      </w:rPr>
    </w:lvl>
  </w:abstractNum>
  <w:abstractNum w:abstractNumId="13">
    <w:nsid w:val="790A573A"/>
    <w:multiLevelType w:val="multilevel"/>
    <w:tmpl w:val="790A573A"/>
    <w:lvl w:ilvl="0" w:tentative="0">
      <w:start w:val="1"/>
      <w:numFmt w:val="decimal"/>
      <w:pStyle w:val="40"/>
      <w:lvlText w:val="10. %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4">
    <w:nsid w:val="799C33D4"/>
    <w:multiLevelType w:val="multilevel"/>
    <w:tmpl w:val="799C33D4"/>
    <w:lvl w:ilvl="0" w:tentative="0">
      <w:start w:val="1"/>
      <w:numFmt w:val="decimal"/>
      <w:pStyle w:val="20"/>
      <w:lvlText w:val="11.%1."/>
      <w:lvlJc w:val="left"/>
      <w:pPr>
        <w:ind w:left="1068" w:hanging="360"/>
      </w:pPr>
      <w:rPr>
        <w:rFonts w:hint="default"/>
      </w:rPr>
    </w:lvl>
    <w:lvl w:ilvl="1" w:tentative="0">
      <w:start w:val="1"/>
      <w:numFmt w:val="lowerLetter"/>
      <w:lvlText w:val="%2."/>
      <w:lvlJc w:val="left"/>
      <w:pPr>
        <w:ind w:left="1788" w:hanging="360"/>
      </w:pPr>
      <w:rPr>
        <w:rFonts w:hint="default"/>
      </w:rPr>
    </w:lvl>
    <w:lvl w:ilvl="2" w:tentative="0">
      <w:start w:val="1"/>
      <w:numFmt w:val="lowerRoman"/>
      <w:lvlText w:val="%3."/>
      <w:lvlJc w:val="right"/>
      <w:pPr>
        <w:ind w:left="2508" w:hanging="180"/>
      </w:pPr>
      <w:rPr>
        <w:rFonts w:hint="default"/>
      </w:rPr>
    </w:lvl>
    <w:lvl w:ilvl="3" w:tentative="0">
      <w:start w:val="1"/>
      <w:numFmt w:val="decimal"/>
      <w:lvlText w:val="%4."/>
      <w:lvlJc w:val="left"/>
      <w:pPr>
        <w:ind w:left="3228" w:hanging="360"/>
      </w:pPr>
      <w:rPr>
        <w:rFonts w:hint="default"/>
      </w:rPr>
    </w:lvl>
    <w:lvl w:ilvl="4" w:tentative="0">
      <w:start w:val="1"/>
      <w:numFmt w:val="lowerLetter"/>
      <w:lvlText w:val="%5."/>
      <w:lvlJc w:val="left"/>
      <w:pPr>
        <w:ind w:left="3948" w:hanging="360"/>
      </w:pPr>
      <w:rPr>
        <w:rFonts w:hint="default"/>
      </w:rPr>
    </w:lvl>
    <w:lvl w:ilvl="5" w:tentative="0">
      <w:start w:val="1"/>
      <w:numFmt w:val="lowerRoman"/>
      <w:lvlText w:val="%6."/>
      <w:lvlJc w:val="right"/>
      <w:pPr>
        <w:ind w:left="4668" w:hanging="180"/>
      </w:pPr>
      <w:rPr>
        <w:rFonts w:hint="default"/>
      </w:rPr>
    </w:lvl>
    <w:lvl w:ilvl="6" w:tentative="0">
      <w:start w:val="1"/>
      <w:numFmt w:val="decimal"/>
      <w:lvlText w:val="%7."/>
      <w:lvlJc w:val="left"/>
      <w:pPr>
        <w:ind w:left="5388" w:hanging="360"/>
      </w:pPr>
      <w:rPr>
        <w:rFonts w:hint="default"/>
      </w:rPr>
    </w:lvl>
    <w:lvl w:ilvl="7" w:tentative="0">
      <w:start w:val="1"/>
      <w:numFmt w:val="lowerLetter"/>
      <w:lvlText w:val="%8."/>
      <w:lvlJc w:val="left"/>
      <w:pPr>
        <w:ind w:left="6108" w:hanging="360"/>
      </w:pPr>
      <w:rPr>
        <w:rFonts w:hint="default"/>
      </w:rPr>
    </w:lvl>
    <w:lvl w:ilvl="8" w:tentative="0">
      <w:start w:val="1"/>
      <w:numFmt w:val="lowerRoman"/>
      <w:lvlText w:val="%9."/>
      <w:lvlJc w:val="right"/>
      <w:pPr>
        <w:ind w:left="6828" w:hanging="180"/>
      </w:pPr>
      <w:rPr>
        <w:rFonts w:hint="default"/>
      </w:rPr>
    </w:lvl>
  </w:abstractNum>
  <w:num w:numId="1">
    <w:abstractNumId w:val="14"/>
  </w:num>
  <w:num w:numId="2">
    <w:abstractNumId w:val="7"/>
  </w:num>
  <w:num w:numId="3">
    <w:abstractNumId w:val="13"/>
  </w:num>
  <w:num w:numId="4">
    <w:abstractNumId w:val="12"/>
  </w:num>
  <w:num w:numId="5">
    <w:abstractNumId w:val="2"/>
  </w:num>
  <w:num w:numId="6">
    <w:abstractNumId w:val="4"/>
  </w:num>
  <w:num w:numId="7">
    <w:abstractNumId w:val="0"/>
  </w:num>
  <w:num w:numId="8">
    <w:abstractNumId w:val="5"/>
  </w:num>
  <w:num w:numId="9">
    <w:abstractNumId w:val="6"/>
  </w:num>
  <w:num w:numId="10">
    <w:abstractNumId w:val="9"/>
  </w:num>
  <w:num w:numId="11">
    <w:abstractNumId w:val="11"/>
  </w:num>
  <w:num w:numId="12">
    <w:abstractNumId w:val="10"/>
  </w:num>
  <w:num w:numId="13">
    <w:abstractNumId w:val="3"/>
  </w:num>
  <w:num w:numId="14">
    <w:abstractNumId w:val="8"/>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7"/>
  <w:bordersDoNotSurroundHeader w:val="0"/>
  <w:bordersDoNotSurroundFooter w:val="0"/>
  <w:documentProtection w:enforcement="0"/>
  <w:defaultTabStop w:val="708"/>
  <w:hyphenationZone w:val="425"/>
  <w:displayHorizontalDrawingGridEvery w:val="1"/>
  <w:displayVerticalDrawingGridEvery w:val="1"/>
  <w:characterSpacingControl w:val="doNotCompress"/>
  <w:footnotePr>
    <w:footnote w:id="0"/>
    <w:footnote w:id="1"/>
  </w:footnotePr>
  <w:endnotePr>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4E8"/>
    <w:rsid w:val="000007C0"/>
    <w:rsid w:val="00000B5B"/>
    <w:rsid w:val="0000351D"/>
    <w:rsid w:val="00007409"/>
    <w:rsid w:val="00012990"/>
    <w:rsid w:val="000142E3"/>
    <w:rsid w:val="00014A9D"/>
    <w:rsid w:val="00016DE8"/>
    <w:rsid w:val="00020271"/>
    <w:rsid w:val="00021ACB"/>
    <w:rsid w:val="00022FF7"/>
    <w:rsid w:val="00023D90"/>
    <w:rsid w:val="00023E4A"/>
    <w:rsid w:val="0002545D"/>
    <w:rsid w:val="00030A7E"/>
    <w:rsid w:val="000344C8"/>
    <w:rsid w:val="00035C8A"/>
    <w:rsid w:val="00035CDC"/>
    <w:rsid w:val="00036D1A"/>
    <w:rsid w:val="00037AA2"/>
    <w:rsid w:val="00037BFD"/>
    <w:rsid w:val="00037C7A"/>
    <w:rsid w:val="000416A2"/>
    <w:rsid w:val="000451A9"/>
    <w:rsid w:val="00045E57"/>
    <w:rsid w:val="000469EC"/>
    <w:rsid w:val="00053360"/>
    <w:rsid w:val="00054F61"/>
    <w:rsid w:val="00055207"/>
    <w:rsid w:val="00056416"/>
    <w:rsid w:val="00062803"/>
    <w:rsid w:val="00063CD2"/>
    <w:rsid w:val="0007265B"/>
    <w:rsid w:val="0007379B"/>
    <w:rsid w:val="000751AB"/>
    <w:rsid w:val="0007559F"/>
    <w:rsid w:val="00077215"/>
    <w:rsid w:val="00077E77"/>
    <w:rsid w:val="000801AC"/>
    <w:rsid w:val="000808CE"/>
    <w:rsid w:val="00080AED"/>
    <w:rsid w:val="0008170A"/>
    <w:rsid w:val="00082773"/>
    <w:rsid w:val="0008356F"/>
    <w:rsid w:val="0008442D"/>
    <w:rsid w:val="00085E27"/>
    <w:rsid w:val="00086885"/>
    <w:rsid w:val="00087449"/>
    <w:rsid w:val="0009026A"/>
    <w:rsid w:val="00091E6B"/>
    <w:rsid w:val="00092D9C"/>
    <w:rsid w:val="000933D8"/>
    <w:rsid w:val="00093643"/>
    <w:rsid w:val="00095360"/>
    <w:rsid w:val="00095E10"/>
    <w:rsid w:val="000A1D74"/>
    <w:rsid w:val="000A3EC4"/>
    <w:rsid w:val="000A619B"/>
    <w:rsid w:val="000A6850"/>
    <w:rsid w:val="000A7661"/>
    <w:rsid w:val="000B254F"/>
    <w:rsid w:val="000B42BB"/>
    <w:rsid w:val="000B4B36"/>
    <w:rsid w:val="000C0B47"/>
    <w:rsid w:val="000C0FFD"/>
    <w:rsid w:val="000C144E"/>
    <w:rsid w:val="000C1C04"/>
    <w:rsid w:val="000C1F6C"/>
    <w:rsid w:val="000C2501"/>
    <w:rsid w:val="000C50CA"/>
    <w:rsid w:val="000C77A0"/>
    <w:rsid w:val="000D2103"/>
    <w:rsid w:val="000D2305"/>
    <w:rsid w:val="000D5360"/>
    <w:rsid w:val="000D63C0"/>
    <w:rsid w:val="000D6FF1"/>
    <w:rsid w:val="000D7CD2"/>
    <w:rsid w:val="000E1E90"/>
    <w:rsid w:val="000E2502"/>
    <w:rsid w:val="000E31AE"/>
    <w:rsid w:val="000E3EC0"/>
    <w:rsid w:val="000E4079"/>
    <w:rsid w:val="000E5CAE"/>
    <w:rsid w:val="000E5ED5"/>
    <w:rsid w:val="000E733A"/>
    <w:rsid w:val="000F0835"/>
    <w:rsid w:val="000F252D"/>
    <w:rsid w:val="000F3E8F"/>
    <w:rsid w:val="000F47D9"/>
    <w:rsid w:val="000F4F13"/>
    <w:rsid w:val="000F5A46"/>
    <w:rsid w:val="00100439"/>
    <w:rsid w:val="001008AA"/>
    <w:rsid w:val="0010119D"/>
    <w:rsid w:val="00102063"/>
    <w:rsid w:val="00102A29"/>
    <w:rsid w:val="00104A8B"/>
    <w:rsid w:val="001052AB"/>
    <w:rsid w:val="00106798"/>
    <w:rsid w:val="00107F13"/>
    <w:rsid w:val="0011455B"/>
    <w:rsid w:val="00114653"/>
    <w:rsid w:val="00114BED"/>
    <w:rsid w:val="00116B18"/>
    <w:rsid w:val="001177E8"/>
    <w:rsid w:val="001210DB"/>
    <w:rsid w:val="001238B2"/>
    <w:rsid w:val="00124626"/>
    <w:rsid w:val="00124D70"/>
    <w:rsid w:val="0012619D"/>
    <w:rsid w:val="00126652"/>
    <w:rsid w:val="00126BA2"/>
    <w:rsid w:val="0013070E"/>
    <w:rsid w:val="001311EB"/>
    <w:rsid w:val="00131610"/>
    <w:rsid w:val="00133281"/>
    <w:rsid w:val="00134448"/>
    <w:rsid w:val="0013647A"/>
    <w:rsid w:val="00140E4A"/>
    <w:rsid w:val="001427C9"/>
    <w:rsid w:val="00143583"/>
    <w:rsid w:val="0014407E"/>
    <w:rsid w:val="0014591D"/>
    <w:rsid w:val="00145D58"/>
    <w:rsid w:val="00150518"/>
    <w:rsid w:val="00150C21"/>
    <w:rsid w:val="00151538"/>
    <w:rsid w:val="00152E39"/>
    <w:rsid w:val="001530C4"/>
    <w:rsid w:val="001540AC"/>
    <w:rsid w:val="00154ECB"/>
    <w:rsid w:val="00155097"/>
    <w:rsid w:val="00156647"/>
    <w:rsid w:val="001566B6"/>
    <w:rsid w:val="00157781"/>
    <w:rsid w:val="00157C01"/>
    <w:rsid w:val="00160E75"/>
    <w:rsid w:val="00164D24"/>
    <w:rsid w:val="001665E0"/>
    <w:rsid w:val="00170338"/>
    <w:rsid w:val="0017146F"/>
    <w:rsid w:val="00171B28"/>
    <w:rsid w:val="00171EFD"/>
    <w:rsid w:val="00172998"/>
    <w:rsid w:val="00177A61"/>
    <w:rsid w:val="00180705"/>
    <w:rsid w:val="00180A52"/>
    <w:rsid w:val="00180C95"/>
    <w:rsid w:val="00181837"/>
    <w:rsid w:val="00181D75"/>
    <w:rsid w:val="0018245B"/>
    <w:rsid w:val="00182D69"/>
    <w:rsid w:val="00184292"/>
    <w:rsid w:val="00190BA3"/>
    <w:rsid w:val="00190D55"/>
    <w:rsid w:val="00192FD4"/>
    <w:rsid w:val="001944ED"/>
    <w:rsid w:val="00195001"/>
    <w:rsid w:val="001A0AC4"/>
    <w:rsid w:val="001A1B68"/>
    <w:rsid w:val="001A1EF2"/>
    <w:rsid w:val="001A220B"/>
    <w:rsid w:val="001A2D32"/>
    <w:rsid w:val="001A3CA7"/>
    <w:rsid w:val="001A43BD"/>
    <w:rsid w:val="001A56D5"/>
    <w:rsid w:val="001A5E22"/>
    <w:rsid w:val="001B12DA"/>
    <w:rsid w:val="001B1A08"/>
    <w:rsid w:val="001B27F4"/>
    <w:rsid w:val="001B296B"/>
    <w:rsid w:val="001B3DBB"/>
    <w:rsid w:val="001B4F36"/>
    <w:rsid w:val="001B60D3"/>
    <w:rsid w:val="001C265B"/>
    <w:rsid w:val="001C3AB7"/>
    <w:rsid w:val="001C3CB1"/>
    <w:rsid w:val="001C4A8C"/>
    <w:rsid w:val="001C6359"/>
    <w:rsid w:val="001C65B4"/>
    <w:rsid w:val="001C7099"/>
    <w:rsid w:val="001C75B3"/>
    <w:rsid w:val="001D0332"/>
    <w:rsid w:val="001D1B21"/>
    <w:rsid w:val="001D1B69"/>
    <w:rsid w:val="001D3089"/>
    <w:rsid w:val="001D32CE"/>
    <w:rsid w:val="001D38CA"/>
    <w:rsid w:val="001D3AAE"/>
    <w:rsid w:val="001D3D06"/>
    <w:rsid w:val="001D3DCF"/>
    <w:rsid w:val="001D4C55"/>
    <w:rsid w:val="001D4DDD"/>
    <w:rsid w:val="001D5744"/>
    <w:rsid w:val="001D5A30"/>
    <w:rsid w:val="001D7612"/>
    <w:rsid w:val="001D7F02"/>
    <w:rsid w:val="001E0E81"/>
    <w:rsid w:val="001E26EE"/>
    <w:rsid w:val="001E2734"/>
    <w:rsid w:val="001E4C42"/>
    <w:rsid w:val="001E709D"/>
    <w:rsid w:val="001F12A7"/>
    <w:rsid w:val="001F3D2F"/>
    <w:rsid w:val="001F520E"/>
    <w:rsid w:val="001F5271"/>
    <w:rsid w:val="001F7199"/>
    <w:rsid w:val="001F7E2C"/>
    <w:rsid w:val="002017DC"/>
    <w:rsid w:val="00201C02"/>
    <w:rsid w:val="00203D71"/>
    <w:rsid w:val="002040FA"/>
    <w:rsid w:val="00204B7E"/>
    <w:rsid w:val="00204C3D"/>
    <w:rsid w:val="002053B6"/>
    <w:rsid w:val="0021011E"/>
    <w:rsid w:val="00211C03"/>
    <w:rsid w:val="00215765"/>
    <w:rsid w:val="002175D9"/>
    <w:rsid w:val="00221521"/>
    <w:rsid w:val="0022163D"/>
    <w:rsid w:val="00223C80"/>
    <w:rsid w:val="00224BF0"/>
    <w:rsid w:val="00227400"/>
    <w:rsid w:val="00227542"/>
    <w:rsid w:val="0023026E"/>
    <w:rsid w:val="00230ECF"/>
    <w:rsid w:val="00232B15"/>
    <w:rsid w:val="00233840"/>
    <w:rsid w:val="002355C8"/>
    <w:rsid w:val="00236312"/>
    <w:rsid w:val="002372F3"/>
    <w:rsid w:val="00242735"/>
    <w:rsid w:val="00245EDA"/>
    <w:rsid w:val="00247196"/>
    <w:rsid w:val="00250008"/>
    <w:rsid w:val="002535A9"/>
    <w:rsid w:val="00256CB0"/>
    <w:rsid w:val="00257ECE"/>
    <w:rsid w:val="002617C6"/>
    <w:rsid w:val="002620C2"/>
    <w:rsid w:val="00263A76"/>
    <w:rsid w:val="00264AA7"/>
    <w:rsid w:val="00266355"/>
    <w:rsid w:val="0026762F"/>
    <w:rsid w:val="00272DD2"/>
    <w:rsid w:val="00272E1A"/>
    <w:rsid w:val="00274C00"/>
    <w:rsid w:val="002764B4"/>
    <w:rsid w:val="00277353"/>
    <w:rsid w:val="00280CF4"/>
    <w:rsid w:val="00280D34"/>
    <w:rsid w:val="00281901"/>
    <w:rsid w:val="00281F75"/>
    <w:rsid w:val="0028271F"/>
    <w:rsid w:val="002828C5"/>
    <w:rsid w:val="00284441"/>
    <w:rsid w:val="00294C3F"/>
    <w:rsid w:val="00296E8C"/>
    <w:rsid w:val="00297495"/>
    <w:rsid w:val="00297533"/>
    <w:rsid w:val="002A0F10"/>
    <w:rsid w:val="002A17CE"/>
    <w:rsid w:val="002A1E6A"/>
    <w:rsid w:val="002A288F"/>
    <w:rsid w:val="002A4C8E"/>
    <w:rsid w:val="002A6726"/>
    <w:rsid w:val="002B0211"/>
    <w:rsid w:val="002B0E03"/>
    <w:rsid w:val="002B2F55"/>
    <w:rsid w:val="002B4370"/>
    <w:rsid w:val="002B50A7"/>
    <w:rsid w:val="002B55A5"/>
    <w:rsid w:val="002C1C52"/>
    <w:rsid w:val="002C245C"/>
    <w:rsid w:val="002C480B"/>
    <w:rsid w:val="002C4B82"/>
    <w:rsid w:val="002C504D"/>
    <w:rsid w:val="002C549F"/>
    <w:rsid w:val="002C6329"/>
    <w:rsid w:val="002C6973"/>
    <w:rsid w:val="002C7674"/>
    <w:rsid w:val="002C7AB8"/>
    <w:rsid w:val="002D1409"/>
    <w:rsid w:val="002D15DC"/>
    <w:rsid w:val="002D1DE7"/>
    <w:rsid w:val="002D2D4A"/>
    <w:rsid w:val="002D6633"/>
    <w:rsid w:val="002D69FC"/>
    <w:rsid w:val="002D7E91"/>
    <w:rsid w:val="002E1399"/>
    <w:rsid w:val="002E2007"/>
    <w:rsid w:val="002E2832"/>
    <w:rsid w:val="002E3F8A"/>
    <w:rsid w:val="002E42A1"/>
    <w:rsid w:val="002E61A5"/>
    <w:rsid w:val="002E749E"/>
    <w:rsid w:val="002E758B"/>
    <w:rsid w:val="002F1E08"/>
    <w:rsid w:val="002F4FD6"/>
    <w:rsid w:val="002F7475"/>
    <w:rsid w:val="00303F48"/>
    <w:rsid w:val="003042A4"/>
    <w:rsid w:val="0030552C"/>
    <w:rsid w:val="00305CEF"/>
    <w:rsid w:val="00307DEB"/>
    <w:rsid w:val="003119ED"/>
    <w:rsid w:val="00312044"/>
    <w:rsid w:val="00312225"/>
    <w:rsid w:val="003126F1"/>
    <w:rsid w:val="003131D4"/>
    <w:rsid w:val="00313E53"/>
    <w:rsid w:val="003141FA"/>
    <w:rsid w:val="0031463A"/>
    <w:rsid w:val="00314815"/>
    <w:rsid w:val="003155E9"/>
    <w:rsid w:val="00315EAB"/>
    <w:rsid w:val="003167F2"/>
    <w:rsid w:val="00317BD2"/>
    <w:rsid w:val="00317F6F"/>
    <w:rsid w:val="00320F9B"/>
    <w:rsid w:val="0032119D"/>
    <w:rsid w:val="003270F1"/>
    <w:rsid w:val="00330E57"/>
    <w:rsid w:val="0033115A"/>
    <w:rsid w:val="00332597"/>
    <w:rsid w:val="003331FA"/>
    <w:rsid w:val="003332A6"/>
    <w:rsid w:val="00334276"/>
    <w:rsid w:val="00334ED1"/>
    <w:rsid w:val="00335A95"/>
    <w:rsid w:val="0034024E"/>
    <w:rsid w:val="003414F5"/>
    <w:rsid w:val="003415A7"/>
    <w:rsid w:val="00341BC4"/>
    <w:rsid w:val="00343514"/>
    <w:rsid w:val="00346928"/>
    <w:rsid w:val="00346E0F"/>
    <w:rsid w:val="00346EA6"/>
    <w:rsid w:val="00350E0D"/>
    <w:rsid w:val="00350FA9"/>
    <w:rsid w:val="0035216B"/>
    <w:rsid w:val="00353E0E"/>
    <w:rsid w:val="003544A5"/>
    <w:rsid w:val="003546AE"/>
    <w:rsid w:val="00354D8D"/>
    <w:rsid w:val="003552AB"/>
    <w:rsid w:val="00356EF1"/>
    <w:rsid w:val="003608F6"/>
    <w:rsid w:val="00360C01"/>
    <w:rsid w:val="00361351"/>
    <w:rsid w:val="00361DA5"/>
    <w:rsid w:val="00361F49"/>
    <w:rsid w:val="0036348D"/>
    <w:rsid w:val="00363E50"/>
    <w:rsid w:val="00365772"/>
    <w:rsid w:val="00365F1F"/>
    <w:rsid w:val="00366018"/>
    <w:rsid w:val="00367B9F"/>
    <w:rsid w:val="0037018E"/>
    <w:rsid w:val="00371A07"/>
    <w:rsid w:val="00371E6D"/>
    <w:rsid w:val="0037463F"/>
    <w:rsid w:val="00374FC7"/>
    <w:rsid w:val="00375CB1"/>
    <w:rsid w:val="00376629"/>
    <w:rsid w:val="003802D6"/>
    <w:rsid w:val="0038163A"/>
    <w:rsid w:val="00384639"/>
    <w:rsid w:val="003A0843"/>
    <w:rsid w:val="003A0980"/>
    <w:rsid w:val="003A0A0D"/>
    <w:rsid w:val="003A5E6B"/>
    <w:rsid w:val="003A7400"/>
    <w:rsid w:val="003A7B16"/>
    <w:rsid w:val="003A7E14"/>
    <w:rsid w:val="003B03A8"/>
    <w:rsid w:val="003B04FE"/>
    <w:rsid w:val="003B19E4"/>
    <w:rsid w:val="003B3B87"/>
    <w:rsid w:val="003B62D3"/>
    <w:rsid w:val="003B7CA6"/>
    <w:rsid w:val="003C05E1"/>
    <w:rsid w:val="003C12D4"/>
    <w:rsid w:val="003C3C24"/>
    <w:rsid w:val="003C6871"/>
    <w:rsid w:val="003D1E5B"/>
    <w:rsid w:val="003D21F0"/>
    <w:rsid w:val="003D279C"/>
    <w:rsid w:val="003D2B08"/>
    <w:rsid w:val="003D3A6E"/>
    <w:rsid w:val="003D42C7"/>
    <w:rsid w:val="003D60CC"/>
    <w:rsid w:val="003D6546"/>
    <w:rsid w:val="003E173E"/>
    <w:rsid w:val="003E2F6C"/>
    <w:rsid w:val="003E4D98"/>
    <w:rsid w:val="003E4DFF"/>
    <w:rsid w:val="003E58C3"/>
    <w:rsid w:val="003E59A3"/>
    <w:rsid w:val="003E5AD0"/>
    <w:rsid w:val="003E5E48"/>
    <w:rsid w:val="003E7E81"/>
    <w:rsid w:val="003F06FE"/>
    <w:rsid w:val="003F1AC7"/>
    <w:rsid w:val="003F41D5"/>
    <w:rsid w:val="003F68A0"/>
    <w:rsid w:val="004006BD"/>
    <w:rsid w:val="00400A96"/>
    <w:rsid w:val="00401E4D"/>
    <w:rsid w:val="00402AC9"/>
    <w:rsid w:val="00402C92"/>
    <w:rsid w:val="00405066"/>
    <w:rsid w:val="00407A66"/>
    <w:rsid w:val="0041177B"/>
    <w:rsid w:val="00411E9B"/>
    <w:rsid w:val="004127D6"/>
    <w:rsid w:val="00413E5C"/>
    <w:rsid w:val="0041411C"/>
    <w:rsid w:val="00416C84"/>
    <w:rsid w:val="00417082"/>
    <w:rsid w:val="0042262B"/>
    <w:rsid w:val="00423864"/>
    <w:rsid w:val="00423DC4"/>
    <w:rsid w:val="00425AC1"/>
    <w:rsid w:val="00426D03"/>
    <w:rsid w:val="0043048F"/>
    <w:rsid w:val="00434F8D"/>
    <w:rsid w:val="004358BC"/>
    <w:rsid w:val="00435C51"/>
    <w:rsid w:val="00437011"/>
    <w:rsid w:val="00437DD8"/>
    <w:rsid w:val="00440B67"/>
    <w:rsid w:val="00440DFA"/>
    <w:rsid w:val="00441810"/>
    <w:rsid w:val="004421A4"/>
    <w:rsid w:val="00444AD5"/>
    <w:rsid w:val="00445354"/>
    <w:rsid w:val="00455136"/>
    <w:rsid w:val="0046228F"/>
    <w:rsid w:val="00462C4C"/>
    <w:rsid w:val="00463CD9"/>
    <w:rsid w:val="0046554B"/>
    <w:rsid w:val="0046624B"/>
    <w:rsid w:val="0047082E"/>
    <w:rsid w:val="0047143F"/>
    <w:rsid w:val="0047219F"/>
    <w:rsid w:val="004722EF"/>
    <w:rsid w:val="00472E8E"/>
    <w:rsid w:val="0047315E"/>
    <w:rsid w:val="00473214"/>
    <w:rsid w:val="00474AE7"/>
    <w:rsid w:val="00474EDE"/>
    <w:rsid w:val="00476C33"/>
    <w:rsid w:val="0048030F"/>
    <w:rsid w:val="00480938"/>
    <w:rsid w:val="00480955"/>
    <w:rsid w:val="00484376"/>
    <w:rsid w:val="00485BDC"/>
    <w:rsid w:val="00485CDA"/>
    <w:rsid w:val="00485E55"/>
    <w:rsid w:val="00486187"/>
    <w:rsid w:val="004867B7"/>
    <w:rsid w:val="004875A9"/>
    <w:rsid w:val="004915E3"/>
    <w:rsid w:val="00491EBE"/>
    <w:rsid w:val="004922F7"/>
    <w:rsid w:val="00494479"/>
    <w:rsid w:val="004977BE"/>
    <w:rsid w:val="00497A55"/>
    <w:rsid w:val="00497A6C"/>
    <w:rsid w:val="004A01DC"/>
    <w:rsid w:val="004A0799"/>
    <w:rsid w:val="004A29D4"/>
    <w:rsid w:val="004A5077"/>
    <w:rsid w:val="004B02CC"/>
    <w:rsid w:val="004B182A"/>
    <w:rsid w:val="004B1B0F"/>
    <w:rsid w:val="004B202D"/>
    <w:rsid w:val="004B4F9F"/>
    <w:rsid w:val="004B611B"/>
    <w:rsid w:val="004C114B"/>
    <w:rsid w:val="004C249C"/>
    <w:rsid w:val="004C4664"/>
    <w:rsid w:val="004C5935"/>
    <w:rsid w:val="004D06CF"/>
    <w:rsid w:val="004D0D55"/>
    <w:rsid w:val="004D2F6C"/>
    <w:rsid w:val="004D4767"/>
    <w:rsid w:val="004D598F"/>
    <w:rsid w:val="004D6DB7"/>
    <w:rsid w:val="004D6E3E"/>
    <w:rsid w:val="004E2A0E"/>
    <w:rsid w:val="004E2EBE"/>
    <w:rsid w:val="004E3F79"/>
    <w:rsid w:val="004F1472"/>
    <w:rsid w:val="004F1F4A"/>
    <w:rsid w:val="004F2992"/>
    <w:rsid w:val="004F2C35"/>
    <w:rsid w:val="004F469E"/>
    <w:rsid w:val="004F6A66"/>
    <w:rsid w:val="00510BF2"/>
    <w:rsid w:val="00510E3B"/>
    <w:rsid w:val="00515A71"/>
    <w:rsid w:val="00516D32"/>
    <w:rsid w:val="00517D2E"/>
    <w:rsid w:val="005225E0"/>
    <w:rsid w:val="0052426C"/>
    <w:rsid w:val="00524547"/>
    <w:rsid w:val="00526AC7"/>
    <w:rsid w:val="00526D38"/>
    <w:rsid w:val="00530415"/>
    <w:rsid w:val="005352A2"/>
    <w:rsid w:val="00537060"/>
    <w:rsid w:val="0053773C"/>
    <w:rsid w:val="00540E0E"/>
    <w:rsid w:val="00542E5C"/>
    <w:rsid w:val="00545494"/>
    <w:rsid w:val="005516F6"/>
    <w:rsid w:val="00551851"/>
    <w:rsid w:val="00552A18"/>
    <w:rsid w:val="00555CD7"/>
    <w:rsid w:val="0056104A"/>
    <w:rsid w:val="00561216"/>
    <w:rsid w:val="005618A7"/>
    <w:rsid w:val="00563C0E"/>
    <w:rsid w:val="005641C3"/>
    <w:rsid w:val="0056634E"/>
    <w:rsid w:val="00566B03"/>
    <w:rsid w:val="00567588"/>
    <w:rsid w:val="005733A2"/>
    <w:rsid w:val="0057402C"/>
    <w:rsid w:val="005751ED"/>
    <w:rsid w:val="00576A0E"/>
    <w:rsid w:val="00577A67"/>
    <w:rsid w:val="00577DAC"/>
    <w:rsid w:val="005819D5"/>
    <w:rsid w:val="00581CEF"/>
    <w:rsid w:val="005824CD"/>
    <w:rsid w:val="005824E6"/>
    <w:rsid w:val="005831BE"/>
    <w:rsid w:val="00585063"/>
    <w:rsid w:val="00585107"/>
    <w:rsid w:val="00585FAD"/>
    <w:rsid w:val="00585FE2"/>
    <w:rsid w:val="00590140"/>
    <w:rsid w:val="0059060F"/>
    <w:rsid w:val="005913CC"/>
    <w:rsid w:val="00591909"/>
    <w:rsid w:val="0059278E"/>
    <w:rsid w:val="00594E91"/>
    <w:rsid w:val="00596DDA"/>
    <w:rsid w:val="00597F1E"/>
    <w:rsid w:val="005A0264"/>
    <w:rsid w:val="005A0883"/>
    <w:rsid w:val="005A09A0"/>
    <w:rsid w:val="005A10F7"/>
    <w:rsid w:val="005A1822"/>
    <w:rsid w:val="005A2A01"/>
    <w:rsid w:val="005A2A79"/>
    <w:rsid w:val="005A35FC"/>
    <w:rsid w:val="005A47FA"/>
    <w:rsid w:val="005A6076"/>
    <w:rsid w:val="005A73C5"/>
    <w:rsid w:val="005A73F2"/>
    <w:rsid w:val="005B06DE"/>
    <w:rsid w:val="005B1BD2"/>
    <w:rsid w:val="005B74E4"/>
    <w:rsid w:val="005C1B9E"/>
    <w:rsid w:val="005C230D"/>
    <w:rsid w:val="005C3445"/>
    <w:rsid w:val="005C42D0"/>
    <w:rsid w:val="005C4B01"/>
    <w:rsid w:val="005C4D5F"/>
    <w:rsid w:val="005C4E3D"/>
    <w:rsid w:val="005C7070"/>
    <w:rsid w:val="005C7569"/>
    <w:rsid w:val="005D0145"/>
    <w:rsid w:val="005D092A"/>
    <w:rsid w:val="005D1000"/>
    <w:rsid w:val="005D1B91"/>
    <w:rsid w:val="005D3DCC"/>
    <w:rsid w:val="005D547C"/>
    <w:rsid w:val="005D5C24"/>
    <w:rsid w:val="005D5F7F"/>
    <w:rsid w:val="005E2953"/>
    <w:rsid w:val="005E2DC2"/>
    <w:rsid w:val="005E2F8E"/>
    <w:rsid w:val="005E3C37"/>
    <w:rsid w:val="005E6BC7"/>
    <w:rsid w:val="005E6CFC"/>
    <w:rsid w:val="005F4077"/>
    <w:rsid w:val="005F6BC4"/>
    <w:rsid w:val="005F70FA"/>
    <w:rsid w:val="00600EB5"/>
    <w:rsid w:val="0060295A"/>
    <w:rsid w:val="006036A6"/>
    <w:rsid w:val="00605D68"/>
    <w:rsid w:val="006078A7"/>
    <w:rsid w:val="00611DD3"/>
    <w:rsid w:val="00613BA2"/>
    <w:rsid w:val="00613D91"/>
    <w:rsid w:val="00614D6E"/>
    <w:rsid w:val="00615159"/>
    <w:rsid w:val="00617DD1"/>
    <w:rsid w:val="00621526"/>
    <w:rsid w:val="00622640"/>
    <w:rsid w:val="00624A64"/>
    <w:rsid w:val="00624F27"/>
    <w:rsid w:val="00625F64"/>
    <w:rsid w:val="006306FD"/>
    <w:rsid w:val="00631471"/>
    <w:rsid w:val="0063171F"/>
    <w:rsid w:val="006318FA"/>
    <w:rsid w:val="00631ADB"/>
    <w:rsid w:val="00631C68"/>
    <w:rsid w:val="00632108"/>
    <w:rsid w:val="006323B6"/>
    <w:rsid w:val="00635618"/>
    <w:rsid w:val="0063792A"/>
    <w:rsid w:val="00641C76"/>
    <w:rsid w:val="0064341C"/>
    <w:rsid w:val="00644F19"/>
    <w:rsid w:val="00645AE4"/>
    <w:rsid w:val="00645DE7"/>
    <w:rsid w:val="00645FD4"/>
    <w:rsid w:val="00646209"/>
    <w:rsid w:val="00646B9F"/>
    <w:rsid w:val="00651916"/>
    <w:rsid w:val="00651F50"/>
    <w:rsid w:val="00652158"/>
    <w:rsid w:val="006521C3"/>
    <w:rsid w:val="00652D0F"/>
    <w:rsid w:val="006549DA"/>
    <w:rsid w:val="00654C44"/>
    <w:rsid w:val="0065617D"/>
    <w:rsid w:val="006579D8"/>
    <w:rsid w:val="00660188"/>
    <w:rsid w:val="0066032A"/>
    <w:rsid w:val="00660B22"/>
    <w:rsid w:val="00660F26"/>
    <w:rsid w:val="006612DF"/>
    <w:rsid w:val="00661383"/>
    <w:rsid w:val="00661B7B"/>
    <w:rsid w:val="00662498"/>
    <w:rsid w:val="006624DE"/>
    <w:rsid w:val="006631A5"/>
    <w:rsid w:val="006652EF"/>
    <w:rsid w:val="00666BA2"/>
    <w:rsid w:val="0066711B"/>
    <w:rsid w:val="006675BC"/>
    <w:rsid w:val="006677CB"/>
    <w:rsid w:val="00667D91"/>
    <w:rsid w:val="00670939"/>
    <w:rsid w:val="00672DB1"/>
    <w:rsid w:val="0067402F"/>
    <w:rsid w:val="00675826"/>
    <w:rsid w:val="006761A8"/>
    <w:rsid w:val="006763BF"/>
    <w:rsid w:val="0067671C"/>
    <w:rsid w:val="00680814"/>
    <w:rsid w:val="0068145E"/>
    <w:rsid w:val="0068153E"/>
    <w:rsid w:val="00681722"/>
    <w:rsid w:val="0068641B"/>
    <w:rsid w:val="00686C50"/>
    <w:rsid w:val="00690C25"/>
    <w:rsid w:val="00691DE8"/>
    <w:rsid w:val="0069399B"/>
    <w:rsid w:val="0069505C"/>
    <w:rsid w:val="0069522C"/>
    <w:rsid w:val="00696BBB"/>
    <w:rsid w:val="0069751B"/>
    <w:rsid w:val="00697BE0"/>
    <w:rsid w:val="006A02E2"/>
    <w:rsid w:val="006A079A"/>
    <w:rsid w:val="006A23B7"/>
    <w:rsid w:val="006A34EF"/>
    <w:rsid w:val="006A3AC1"/>
    <w:rsid w:val="006A3B27"/>
    <w:rsid w:val="006A43ED"/>
    <w:rsid w:val="006A5BD2"/>
    <w:rsid w:val="006A5D71"/>
    <w:rsid w:val="006A63AE"/>
    <w:rsid w:val="006A65D3"/>
    <w:rsid w:val="006A7AF2"/>
    <w:rsid w:val="006A7E2E"/>
    <w:rsid w:val="006B1DB5"/>
    <w:rsid w:val="006B22BA"/>
    <w:rsid w:val="006B2DD3"/>
    <w:rsid w:val="006B3732"/>
    <w:rsid w:val="006B3EEC"/>
    <w:rsid w:val="006B493E"/>
    <w:rsid w:val="006B56A8"/>
    <w:rsid w:val="006B64B8"/>
    <w:rsid w:val="006B6C7E"/>
    <w:rsid w:val="006C0091"/>
    <w:rsid w:val="006C07BA"/>
    <w:rsid w:val="006C16E8"/>
    <w:rsid w:val="006C2B13"/>
    <w:rsid w:val="006C343C"/>
    <w:rsid w:val="006C4C0B"/>
    <w:rsid w:val="006C6BA6"/>
    <w:rsid w:val="006D0144"/>
    <w:rsid w:val="006D22F7"/>
    <w:rsid w:val="006D492F"/>
    <w:rsid w:val="006D4FC0"/>
    <w:rsid w:val="006D558A"/>
    <w:rsid w:val="006D761F"/>
    <w:rsid w:val="006D7E0A"/>
    <w:rsid w:val="006E2A6E"/>
    <w:rsid w:val="006F18A6"/>
    <w:rsid w:val="006F1A87"/>
    <w:rsid w:val="006F1B5B"/>
    <w:rsid w:val="006F3D84"/>
    <w:rsid w:val="006F5ED8"/>
    <w:rsid w:val="006F70AF"/>
    <w:rsid w:val="00700014"/>
    <w:rsid w:val="00700244"/>
    <w:rsid w:val="00700731"/>
    <w:rsid w:val="00702543"/>
    <w:rsid w:val="00702C2C"/>
    <w:rsid w:val="0070351B"/>
    <w:rsid w:val="007036AE"/>
    <w:rsid w:val="007068C7"/>
    <w:rsid w:val="007071DB"/>
    <w:rsid w:val="00707971"/>
    <w:rsid w:val="007101DD"/>
    <w:rsid w:val="00713B5B"/>
    <w:rsid w:val="00714850"/>
    <w:rsid w:val="00717968"/>
    <w:rsid w:val="007204E8"/>
    <w:rsid w:val="007212F3"/>
    <w:rsid w:val="00726073"/>
    <w:rsid w:val="00726086"/>
    <w:rsid w:val="007268B4"/>
    <w:rsid w:val="00726F68"/>
    <w:rsid w:val="007320B3"/>
    <w:rsid w:val="00732754"/>
    <w:rsid w:val="007334FF"/>
    <w:rsid w:val="007349E6"/>
    <w:rsid w:val="00735F9B"/>
    <w:rsid w:val="00737673"/>
    <w:rsid w:val="00737C88"/>
    <w:rsid w:val="00741D4A"/>
    <w:rsid w:val="00742158"/>
    <w:rsid w:val="0074368F"/>
    <w:rsid w:val="0074411A"/>
    <w:rsid w:val="0074483E"/>
    <w:rsid w:val="0074527D"/>
    <w:rsid w:val="00747335"/>
    <w:rsid w:val="00747FC7"/>
    <w:rsid w:val="007505F0"/>
    <w:rsid w:val="007513E6"/>
    <w:rsid w:val="00751787"/>
    <w:rsid w:val="0075741E"/>
    <w:rsid w:val="00758437"/>
    <w:rsid w:val="00763F9F"/>
    <w:rsid w:val="007656BC"/>
    <w:rsid w:val="00771E4F"/>
    <w:rsid w:val="0077324D"/>
    <w:rsid w:val="00774B87"/>
    <w:rsid w:val="007775A7"/>
    <w:rsid w:val="00780BC1"/>
    <w:rsid w:val="00780E14"/>
    <w:rsid w:val="0078114A"/>
    <w:rsid w:val="007824CE"/>
    <w:rsid w:val="00782A37"/>
    <w:rsid w:val="007834E6"/>
    <w:rsid w:val="007875A9"/>
    <w:rsid w:val="007875EE"/>
    <w:rsid w:val="00793950"/>
    <w:rsid w:val="007955D2"/>
    <w:rsid w:val="0079663D"/>
    <w:rsid w:val="00797981"/>
    <w:rsid w:val="00797DD4"/>
    <w:rsid w:val="007A0842"/>
    <w:rsid w:val="007A0A58"/>
    <w:rsid w:val="007A28A9"/>
    <w:rsid w:val="007A4A1D"/>
    <w:rsid w:val="007A4E57"/>
    <w:rsid w:val="007A5A66"/>
    <w:rsid w:val="007B063F"/>
    <w:rsid w:val="007B0D27"/>
    <w:rsid w:val="007B2A46"/>
    <w:rsid w:val="007B4BA9"/>
    <w:rsid w:val="007B5A67"/>
    <w:rsid w:val="007C0C7A"/>
    <w:rsid w:val="007C110A"/>
    <w:rsid w:val="007C1B6D"/>
    <w:rsid w:val="007C1BAD"/>
    <w:rsid w:val="007C2D5D"/>
    <w:rsid w:val="007C3A58"/>
    <w:rsid w:val="007C3A76"/>
    <w:rsid w:val="007C7437"/>
    <w:rsid w:val="007C7F8D"/>
    <w:rsid w:val="007D0F14"/>
    <w:rsid w:val="007D4BC1"/>
    <w:rsid w:val="007D5C4E"/>
    <w:rsid w:val="007D63BF"/>
    <w:rsid w:val="007D6945"/>
    <w:rsid w:val="007D7BBB"/>
    <w:rsid w:val="007E01A6"/>
    <w:rsid w:val="007E0CA6"/>
    <w:rsid w:val="007E1A4D"/>
    <w:rsid w:val="007E2B17"/>
    <w:rsid w:val="007E3139"/>
    <w:rsid w:val="007E428B"/>
    <w:rsid w:val="007E4428"/>
    <w:rsid w:val="007E4434"/>
    <w:rsid w:val="007E62EE"/>
    <w:rsid w:val="007E6C43"/>
    <w:rsid w:val="007E6DB1"/>
    <w:rsid w:val="007E72C1"/>
    <w:rsid w:val="007E7E79"/>
    <w:rsid w:val="007F0664"/>
    <w:rsid w:val="007F1D37"/>
    <w:rsid w:val="007F2671"/>
    <w:rsid w:val="007F7946"/>
    <w:rsid w:val="008002C3"/>
    <w:rsid w:val="00800ACA"/>
    <w:rsid w:val="0080219F"/>
    <w:rsid w:val="00805C4C"/>
    <w:rsid w:val="00810BEF"/>
    <w:rsid w:val="00812D47"/>
    <w:rsid w:val="00814047"/>
    <w:rsid w:val="008159E4"/>
    <w:rsid w:val="008160A2"/>
    <w:rsid w:val="008214F5"/>
    <w:rsid w:val="00824083"/>
    <w:rsid w:val="008245D7"/>
    <w:rsid w:val="00824CC2"/>
    <w:rsid w:val="00826DB2"/>
    <w:rsid w:val="008321B1"/>
    <w:rsid w:val="008349F7"/>
    <w:rsid w:val="00835133"/>
    <w:rsid w:val="00836741"/>
    <w:rsid w:val="00836AB6"/>
    <w:rsid w:val="00837DB6"/>
    <w:rsid w:val="00841718"/>
    <w:rsid w:val="008436C8"/>
    <w:rsid w:val="0084371E"/>
    <w:rsid w:val="00843FAC"/>
    <w:rsid w:val="008448E3"/>
    <w:rsid w:val="00845505"/>
    <w:rsid w:val="00845D5E"/>
    <w:rsid w:val="0084773E"/>
    <w:rsid w:val="00847B86"/>
    <w:rsid w:val="008512AD"/>
    <w:rsid w:val="008540E2"/>
    <w:rsid w:val="00854DFB"/>
    <w:rsid w:val="00854FF3"/>
    <w:rsid w:val="008551E6"/>
    <w:rsid w:val="00855426"/>
    <w:rsid w:val="00855784"/>
    <w:rsid w:val="00861898"/>
    <w:rsid w:val="00863F76"/>
    <w:rsid w:val="00864194"/>
    <w:rsid w:val="008648C3"/>
    <w:rsid w:val="00864C77"/>
    <w:rsid w:val="00864E5F"/>
    <w:rsid w:val="0086755F"/>
    <w:rsid w:val="00867EBB"/>
    <w:rsid w:val="00871B6B"/>
    <w:rsid w:val="008732E4"/>
    <w:rsid w:val="008742A8"/>
    <w:rsid w:val="00874841"/>
    <w:rsid w:val="008755D2"/>
    <w:rsid w:val="00875C2B"/>
    <w:rsid w:val="00877E45"/>
    <w:rsid w:val="0088174B"/>
    <w:rsid w:val="00881766"/>
    <w:rsid w:val="0088283B"/>
    <w:rsid w:val="00883B19"/>
    <w:rsid w:val="00884AFC"/>
    <w:rsid w:val="00886886"/>
    <w:rsid w:val="00886E9A"/>
    <w:rsid w:val="00887BD5"/>
    <w:rsid w:val="00890743"/>
    <w:rsid w:val="00890987"/>
    <w:rsid w:val="00890F54"/>
    <w:rsid w:val="008932CA"/>
    <w:rsid w:val="00894DED"/>
    <w:rsid w:val="00895C99"/>
    <w:rsid w:val="008964D5"/>
    <w:rsid w:val="00896CA5"/>
    <w:rsid w:val="00897624"/>
    <w:rsid w:val="0089767D"/>
    <w:rsid w:val="008A023A"/>
    <w:rsid w:val="008A1A6F"/>
    <w:rsid w:val="008A3770"/>
    <w:rsid w:val="008A451B"/>
    <w:rsid w:val="008A4812"/>
    <w:rsid w:val="008A5339"/>
    <w:rsid w:val="008A6A98"/>
    <w:rsid w:val="008A71EC"/>
    <w:rsid w:val="008B08A7"/>
    <w:rsid w:val="008B0A3B"/>
    <w:rsid w:val="008B102A"/>
    <w:rsid w:val="008B392B"/>
    <w:rsid w:val="008B4B74"/>
    <w:rsid w:val="008B51DB"/>
    <w:rsid w:val="008B6D12"/>
    <w:rsid w:val="008B7738"/>
    <w:rsid w:val="008C162D"/>
    <w:rsid w:val="008C292A"/>
    <w:rsid w:val="008C4818"/>
    <w:rsid w:val="008C6F20"/>
    <w:rsid w:val="008C70F2"/>
    <w:rsid w:val="008C71C0"/>
    <w:rsid w:val="008D1474"/>
    <w:rsid w:val="008D3DD9"/>
    <w:rsid w:val="008D563F"/>
    <w:rsid w:val="008D6046"/>
    <w:rsid w:val="008D6730"/>
    <w:rsid w:val="008D71CB"/>
    <w:rsid w:val="008D7EDF"/>
    <w:rsid w:val="008E0078"/>
    <w:rsid w:val="008E0325"/>
    <w:rsid w:val="008E06CF"/>
    <w:rsid w:val="008E250F"/>
    <w:rsid w:val="008E3049"/>
    <w:rsid w:val="008E3A3F"/>
    <w:rsid w:val="008E42C5"/>
    <w:rsid w:val="008E7911"/>
    <w:rsid w:val="008F1B09"/>
    <w:rsid w:val="008F1E11"/>
    <w:rsid w:val="008F239A"/>
    <w:rsid w:val="008F2EB4"/>
    <w:rsid w:val="008F3724"/>
    <w:rsid w:val="008F515B"/>
    <w:rsid w:val="00903FA5"/>
    <w:rsid w:val="009043FB"/>
    <w:rsid w:val="00904429"/>
    <w:rsid w:val="00904CC8"/>
    <w:rsid w:val="00905426"/>
    <w:rsid w:val="00905EB3"/>
    <w:rsid w:val="00910AAD"/>
    <w:rsid w:val="009111C3"/>
    <w:rsid w:val="00915B03"/>
    <w:rsid w:val="0091671C"/>
    <w:rsid w:val="009219EB"/>
    <w:rsid w:val="0092220B"/>
    <w:rsid w:val="00922ADB"/>
    <w:rsid w:val="009231F2"/>
    <w:rsid w:val="00923F5B"/>
    <w:rsid w:val="00923F9E"/>
    <w:rsid w:val="00925158"/>
    <w:rsid w:val="0092549E"/>
    <w:rsid w:val="00925A0A"/>
    <w:rsid w:val="00925B11"/>
    <w:rsid w:val="009270FF"/>
    <w:rsid w:val="00927326"/>
    <w:rsid w:val="00930495"/>
    <w:rsid w:val="009306F1"/>
    <w:rsid w:val="009309D8"/>
    <w:rsid w:val="00932515"/>
    <w:rsid w:val="0093363C"/>
    <w:rsid w:val="00933AD3"/>
    <w:rsid w:val="00934C27"/>
    <w:rsid w:val="00935154"/>
    <w:rsid w:val="00942163"/>
    <w:rsid w:val="00942390"/>
    <w:rsid w:val="00942873"/>
    <w:rsid w:val="0094297A"/>
    <w:rsid w:val="00944794"/>
    <w:rsid w:val="00945DE4"/>
    <w:rsid w:val="0094608C"/>
    <w:rsid w:val="00946DF8"/>
    <w:rsid w:val="00953549"/>
    <w:rsid w:val="00956AE8"/>
    <w:rsid w:val="0095746A"/>
    <w:rsid w:val="009578C1"/>
    <w:rsid w:val="009601CD"/>
    <w:rsid w:val="00960E9E"/>
    <w:rsid w:val="009617A7"/>
    <w:rsid w:val="00961A16"/>
    <w:rsid w:val="00961F94"/>
    <w:rsid w:val="00962B09"/>
    <w:rsid w:val="009632E1"/>
    <w:rsid w:val="00964BD6"/>
    <w:rsid w:val="00964F41"/>
    <w:rsid w:val="00971A36"/>
    <w:rsid w:val="00980813"/>
    <w:rsid w:val="00987533"/>
    <w:rsid w:val="00990161"/>
    <w:rsid w:val="00991441"/>
    <w:rsid w:val="009924F6"/>
    <w:rsid w:val="009929DC"/>
    <w:rsid w:val="0099488F"/>
    <w:rsid w:val="009962B7"/>
    <w:rsid w:val="0099743A"/>
    <w:rsid w:val="009A0D03"/>
    <w:rsid w:val="009A1C16"/>
    <w:rsid w:val="009A2E60"/>
    <w:rsid w:val="009A3480"/>
    <w:rsid w:val="009A4960"/>
    <w:rsid w:val="009A5030"/>
    <w:rsid w:val="009A6021"/>
    <w:rsid w:val="009A63F4"/>
    <w:rsid w:val="009A67BC"/>
    <w:rsid w:val="009A6A20"/>
    <w:rsid w:val="009A6FE2"/>
    <w:rsid w:val="009B0DA8"/>
    <w:rsid w:val="009B10DF"/>
    <w:rsid w:val="009B26E4"/>
    <w:rsid w:val="009B593D"/>
    <w:rsid w:val="009B6241"/>
    <w:rsid w:val="009C1606"/>
    <w:rsid w:val="009C2498"/>
    <w:rsid w:val="009C29E2"/>
    <w:rsid w:val="009C31FE"/>
    <w:rsid w:val="009C4308"/>
    <w:rsid w:val="009C6F74"/>
    <w:rsid w:val="009C726E"/>
    <w:rsid w:val="009D0569"/>
    <w:rsid w:val="009D0ECF"/>
    <w:rsid w:val="009D1C96"/>
    <w:rsid w:val="009D42F9"/>
    <w:rsid w:val="009D5CB6"/>
    <w:rsid w:val="009D7187"/>
    <w:rsid w:val="009D77F6"/>
    <w:rsid w:val="009D7B02"/>
    <w:rsid w:val="009E15A2"/>
    <w:rsid w:val="009E250D"/>
    <w:rsid w:val="009E4D79"/>
    <w:rsid w:val="009E4F1B"/>
    <w:rsid w:val="009E55B2"/>
    <w:rsid w:val="009E5C4A"/>
    <w:rsid w:val="009F0E34"/>
    <w:rsid w:val="009F12BA"/>
    <w:rsid w:val="009F1352"/>
    <w:rsid w:val="009F1B64"/>
    <w:rsid w:val="009F204C"/>
    <w:rsid w:val="009F2D72"/>
    <w:rsid w:val="009F637A"/>
    <w:rsid w:val="009F757F"/>
    <w:rsid w:val="009F7644"/>
    <w:rsid w:val="00A00B91"/>
    <w:rsid w:val="00A02126"/>
    <w:rsid w:val="00A0234F"/>
    <w:rsid w:val="00A03E3C"/>
    <w:rsid w:val="00A06874"/>
    <w:rsid w:val="00A06D9A"/>
    <w:rsid w:val="00A1063A"/>
    <w:rsid w:val="00A11D49"/>
    <w:rsid w:val="00A1224D"/>
    <w:rsid w:val="00A142A4"/>
    <w:rsid w:val="00A15600"/>
    <w:rsid w:val="00A17A15"/>
    <w:rsid w:val="00A20F9E"/>
    <w:rsid w:val="00A24D7F"/>
    <w:rsid w:val="00A30417"/>
    <w:rsid w:val="00A30BEC"/>
    <w:rsid w:val="00A32BB8"/>
    <w:rsid w:val="00A34836"/>
    <w:rsid w:val="00A363FA"/>
    <w:rsid w:val="00A3673E"/>
    <w:rsid w:val="00A37463"/>
    <w:rsid w:val="00A41862"/>
    <w:rsid w:val="00A41935"/>
    <w:rsid w:val="00A41DE0"/>
    <w:rsid w:val="00A432B0"/>
    <w:rsid w:val="00A45F3A"/>
    <w:rsid w:val="00A52270"/>
    <w:rsid w:val="00A52748"/>
    <w:rsid w:val="00A55228"/>
    <w:rsid w:val="00A57CCE"/>
    <w:rsid w:val="00A6008A"/>
    <w:rsid w:val="00A623DE"/>
    <w:rsid w:val="00A6355D"/>
    <w:rsid w:val="00A63565"/>
    <w:rsid w:val="00A6744A"/>
    <w:rsid w:val="00A67F27"/>
    <w:rsid w:val="00A701D6"/>
    <w:rsid w:val="00A70AAB"/>
    <w:rsid w:val="00A70FA4"/>
    <w:rsid w:val="00A7223E"/>
    <w:rsid w:val="00A73F08"/>
    <w:rsid w:val="00A74E17"/>
    <w:rsid w:val="00A7753C"/>
    <w:rsid w:val="00A81320"/>
    <w:rsid w:val="00A83395"/>
    <w:rsid w:val="00A835A3"/>
    <w:rsid w:val="00A8385A"/>
    <w:rsid w:val="00A8470E"/>
    <w:rsid w:val="00A84C2B"/>
    <w:rsid w:val="00A85DE2"/>
    <w:rsid w:val="00A869D8"/>
    <w:rsid w:val="00A90296"/>
    <w:rsid w:val="00A92388"/>
    <w:rsid w:val="00A9286B"/>
    <w:rsid w:val="00A9496A"/>
    <w:rsid w:val="00A94D46"/>
    <w:rsid w:val="00AA0B4D"/>
    <w:rsid w:val="00AA10EB"/>
    <w:rsid w:val="00AA642D"/>
    <w:rsid w:val="00AA65D0"/>
    <w:rsid w:val="00AA6FAF"/>
    <w:rsid w:val="00AB035A"/>
    <w:rsid w:val="00AB06AB"/>
    <w:rsid w:val="00AB116B"/>
    <w:rsid w:val="00AB5BE7"/>
    <w:rsid w:val="00AC4F8F"/>
    <w:rsid w:val="00AC6437"/>
    <w:rsid w:val="00AC6717"/>
    <w:rsid w:val="00AD0727"/>
    <w:rsid w:val="00AD1933"/>
    <w:rsid w:val="00AD35E9"/>
    <w:rsid w:val="00AD3F48"/>
    <w:rsid w:val="00AD5669"/>
    <w:rsid w:val="00AD58FA"/>
    <w:rsid w:val="00AD697B"/>
    <w:rsid w:val="00AD7AEB"/>
    <w:rsid w:val="00AE4A89"/>
    <w:rsid w:val="00AE68D1"/>
    <w:rsid w:val="00AF10C2"/>
    <w:rsid w:val="00AF3AC1"/>
    <w:rsid w:val="00AF796F"/>
    <w:rsid w:val="00B00253"/>
    <w:rsid w:val="00B017C1"/>
    <w:rsid w:val="00B02D66"/>
    <w:rsid w:val="00B04A29"/>
    <w:rsid w:val="00B04F60"/>
    <w:rsid w:val="00B053EC"/>
    <w:rsid w:val="00B06DBB"/>
    <w:rsid w:val="00B079A5"/>
    <w:rsid w:val="00B10804"/>
    <w:rsid w:val="00B11CD8"/>
    <w:rsid w:val="00B149FE"/>
    <w:rsid w:val="00B1640B"/>
    <w:rsid w:val="00B16C76"/>
    <w:rsid w:val="00B206CA"/>
    <w:rsid w:val="00B214FA"/>
    <w:rsid w:val="00B219C0"/>
    <w:rsid w:val="00B21B9D"/>
    <w:rsid w:val="00B21CF4"/>
    <w:rsid w:val="00B23C4E"/>
    <w:rsid w:val="00B253D9"/>
    <w:rsid w:val="00B25FE4"/>
    <w:rsid w:val="00B26132"/>
    <w:rsid w:val="00B27DB4"/>
    <w:rsid w:val="00B30435"/>
    <w:rsid w:val="00B33F92"/>
    <w:rsid w:val="00B35EB6"/>
    <w:rsid w:val="00B405B6"/>
    <w:rsid w:val="00B41118"/>
    <w:rsid w:val="00B4160E"/>
    <w:rsid w:val="00B423E9"/>
    <w:rsid w:val="00B42558"/>
    <w:rsid w:val="00B45213"/>
    <w:rsid w:val="00B45765"/>
    <w:rsid w:val="00B46079"/>
    <w:rsid w:val="00B46473"/>
    <w:rsid w:val="00B47034"/>
    <w:rsid w:val="00B4772F"/>
    <w:rsid w:val="00B50B82"/>
    <w:rsid w:val="00B5206A"/>
    <w:rsid w:val="00B53404"/>
    <w:rsid w:val="00B54F4C"/>
    <w:rsid w:val="00B56922"/>
    <w:rsid w:val="00B600FE"/>
    <w:rsid w:val="00B624BB"/>
    <w:rsid w:val="00B6474F"/>
    <w:rsid w:val="00B64A3C"/>
    <w:rsid w:val="00B706C6"/>
    <w:rsid w:val="00B71A7D"/>
    <w:rsid w:val="00B725D8"/>
    <w:rsid w:val="00B72852"/>
    <w:rsid w:val="00B742F7"/>
    <w:rsid w:val="00B74762"/>
    <w:rsid w:val="00B75636"/>
    <w:rsid w:val="00B76B38"/>
    <w:rsid w:val="00B833E9"/>
    <w:rsid w:val="00B83BEA"/>
    <w:rsid w:val="00B83CEC"/>
    <w:rsid w:val="00B841D3"/>
    <w:rsid w:val="00B8650E"/>
    <w:rsid w:val="00B90083"/>
    <w:rsid w:val="00B92FE0"/>
    <w:rsid w:val="00B93616"/>
    <w:rsid w:val="00B947C7"/>
    <w:rsid w:val="00B96250"/>
    <w:rsid w:val="00BA2E22"/>
    <w:rsid w:val="00BA3ED7"/>
    <w:rsid w:val="00BA5A86"/>
    <w:rsid w:val="00BB009A"/>
    <w:rsid w:val="00BB0AA4"/>
    <w:rsid w:val="00BB3342"/>
    <w:rsid w:val="00BC0CEE"/>
    <w:rsid w:val="00BC123C"/>
    <w:rsid w:val="00BC509D"/>
    <w:rsid w:val="00BC559F"/>
    <w:rsid w:val="00BC6529"/>
    <w:rsid w:val="00BC6708"/>
    <w:rsid w:val="00BD05F6"/>
    <w:rsid w:val="00BD1CF3"/>
    <w:rsid w:val="00BD1DBB"/>
    <w:rsid w:val="00BD2282"/>
    <w:rsid w:val="00BD68E4"/>
    <w:rsid w:val="00BD6A13"/>
    <w:rsid w:val="00BD767F"/>
    <w:rsid w:val="00BE070A"/>
    <w:rsid w:val="00BE0740"/>
    <w:rsid w:val="00BE095E"/>
    <w:rsid w:val="00BE1481"/>
    <w:rsid w:val="00BE14F9"/>
    <w:rsid w:val="00BE207F"/>
    <w:rsid w:val="00BE5F7F"/>
    <w:rsid w:val="00BE5FAC"/>
    <w:rsid w:val="00BE78E3"/>
    <w:rsid w:val="00BF0741"/>
    <w:rsid w:val="00BF1732"/>
    <w:rsid w:val="00BF2A17"/>
    <w:rsid w:val="00BF2FFB"/>
    <w:rsid w:val="00BF4A1A"/>
    <w:rsid w:val="00BF4C95"/>
    <w:rsid w:val="00BF63CA"/>
    <w:rsid w:val="00BF7E10"/>
    <w:rsid w:val="00C0001E"/>
    <w:rsid w:val="00C00840"/>
    <w:rsid w:val="00C01AC0"/>
    <w:rsid w:val="00C01C27"/>
    <w:rsid w:val="00C03CC2"/>
    <w:rsid w:val="00C05F91"/>
    <w:rsid w:val="00C10E4E"/>
    <w:rsid w:val="00C15466"/>
    <w:rsid w:val="00C15DC4"/>
    <w:rsid w:val="00C16883"/>
    <w:rsid w:val="00C20AC8"/>
    <w:rsid w:val="00C2130A"/>
    <w:rsid w:val="00C244EF"/>
    <w:rsid w:val="00C2579D"/>
    <w:rsid w:val="00C25C0A"/>
    <w:rsid w:val="00C26031"/>
    <w:rsid w:val="00C32D6A"/>
    <w:rsid w:val="00C33C47"/>
    <w:rsid w:val="00C33F5F"/>
    <w:rsid w:val="00C349EA"/>
    <w:rsid w:val="00C35839"/>
    <w:rsid w:val="00C35EC4"/>
    <w:rsid w:val="00C364A8"/>
    <w:rsid w:val="00C3797F"/>
    <w:rsid w:val="00C42022"/>
    <w:rsid w:val="00C441DF"/>
    <w:rsid w:val="00C46898"/>
    <w:rsid w:val="00C47420"/>
    <w:rsid w:val="00C50AA7"/>
    <w:rsid w:val="00C50D27"/>
    <w:rsid w:val="00C51785"/>
    <w:rsid w:val="00C51CBA"/>
    <w:rsid w:val="00C6044A"/>
    <w:rsid w:val="00C60723"/>
    <w:rsid w:val="00C61C59"/>
    <w:rsid w:val="00C62CD8"/>
    <w:rsid w:val="00C6444F"/>
    <w:rsid w:val="00C64490"/>
    <w:rsid w:val="00C65DEC"/>
    <w:rsid w:val="00C678E0"/>
    <w:rsid w:val="00C67E53"/>
    <w:rsid w:val="00C7008D"/>
    <w:rsid w:val="00C7023A"/>
    <w:rsid w:val="00C7192F"/>
    <w:rsid w:val="00C71E48"/>
    <w:rsid w:val="00C7212A"/>
    <w:rsid w:val="00C72746"/>
    <w:rsid w:val="00C7364B"/>
    <w:rsid w:val="00C7438A"/>
    <w:rsid w:val="00C8027F"/>
    <w:rsid w:val="00C81483"/>
    <w:rsid w:val="00C81EEC"/>
    <w:rsid w:val="00C82577"/>
    <w:rsid w:val="00C82F7B"/>
    <w:rsid w:val="00C83662"/>
    <w:rsid w:val="00C84BA7"/>
    <w:rsid w:val="00C854F5"/>
    <w:rsid w:val="00C8552F"/>
    <w:rsid w:val="00C858D8"/>
    <w:rsid w:val="00C866BD"/>
    <w:rsid w:val="00C91429"/>
    <w:rsid w:val="00C937AC"/>
    <w:rsid w:val="00C9672D"/>
    <w:rsid w:val="00C96FA0"/>
    <w:rsid w:val="00CA1FC5"/>
    <w:rsid w:val="00CA26C8"/>
    <w:rsid w:val="00CA315C"/>
    <w:rsid w:val="00CA3250"/>
    <w:rsid w:val="00CA359D"/>
    <w:rsid w:val="00CA561C"/>
    <w:rsid w:val="00CA6CCA"/>
    <w:rsid w:val="00CA78A8"/>
    <w:rsid w:val="00CA7D11"/>
    <w:rsid w:val="00CB14CC"/>
    <w:rsid w:val="00CB1D67"/>
    <w:rsid w:val="00CB2E40"/>
    <w:rsid w:val="00CB4335"/>
    <w:rsid w:val="00CB4753"/>
    <w:rsid w:val="00CB55C6"/>
    <w:rsid w:val="00CB57F6"/>
    <w:rsid w:val="00CB60F7"/>
    <w:rsid w:val="00CB63BE"/>
    <w:rsid w:val="00CB7646"/>
    <w:rsid w:val="00CB7B98"/>
    <w:rsid w:val="00CC02C4"/>
    <w:rsid w:val="00CC1F40"/>
    <w:rsid w:val="00CC2D3E"/>
    <w:rsid w:val="00CC409F"/>
    <w:rsid w:val="00CC563F"/>
    <w:rsid w:val="00CC5920"/>
    <w:rsid w:val="00CC5F7C"/>
    <w:rsid w:val="00CC6B59"/>
    <w:rsid w:val="00CD0A72"/>
    <w:rsid w:val="00CD1407"/>
    <w:rsid w:val="00CD6CA4"/>
    <w:rsid w:val="00CE094C"/>
    <w:rsid w:val="00CE1EBC"/>
    <w:rsid w:val="00CE2310"/>
    <w:rsid w:val="00CE55B5"/>
    <w:rsid w:val="00CF1731"/>
    <w:rsid w:val="00CF54E0"/>
    <w:rsid w:val="00CF560E"/>
    <w:rsid w:val="00CF74BB"/>
    <w:rsid w:val="00D00D4A"/>
    <w:rsid w:val="00D02225"/>
    <w:rsid w:val="00D045C3"/>
    <w:rsid w:val="00D05A25"/>
    <w:rsid w:val="00D06741"/>
    <w:rsid w:val="00D070F5"/>
    <w:rsid w:val="00D07481"/>
    <w:rsid w:val="00D10A87"/>
    <w:rsid w:val="00D124B8"/>
    <w:rsid w:val="00D129B2"/>
    <w:rsid w:val="00D14AE0"/>
    <w:rsid w:val="00D14DF3"/>
    <w:rsid w:val="00D16688"/>
    <w:rsid w:val="00D16FFF"/>
    <w:rsid w:val="00D2199C"/>
    <w:rsid w:val="00D2247E"/>
    <w:rsid w:val="00D2274C"/>
    <w:rsid w:val="00D22818"/>
    <w:rsid w:val="00D232CE"/>
    <w:rsid w:val="00D24E69"/>
    <w:rsid w:val="00D254AA"/>
    <w:rsid w:val="00D271CD"/>
    <w:rsid w:val="00D277CD"/>
    <w:rsid w:val="00D27A5B"/>
    <w:rsid w:val="00D32E5E"/>
    <w:rsid w:val="00D34A6E"/>
    <w:rsid w:val="00D35740"/>
    <w:rsid w:val="00D3640F"/>
    <w:rsid w:val="00D36FA2"/>
    <w:rsid w:val="00D4010D"/>
    <w:rsid w:val="00D40215"/>
    <w:rsid w:val="00D41C51"/>
    <w:rsid w:val="00D435AC"/>
    <w:rsid w:val="00D44552"/>
    <w:rsid w:val="00D452FE"/>
    <w:rsid w:val="00D45BA6"/>
    <w:rsid w:val="00D46E76"/>
    <w:rsid w:val="00D47AF5"/>
    <w:rsid w:val="00D505D9"/>
    <w:rsid w:val="00D529E5"/>
    <w:rsid w:val="00D52C4E"/>
    <w:rsid w:val="00D53930"/>
    <w:rsid w:val="00D54F79"/>
    <w:rsid w:val="00D552C4"/>
    <w:rsid w:val="00D56C24"/>
    <w:rsid w:val="00D620BC"/>
    <w:rsid w:val="00D63BEF"/>
    <w:rsid w:val="00D65C16"/>
    <w:rsid w:val="00D66F4F"/>
    <w:rsid w:val="00D678E7"/>
    <w:rsid w:val="00D67CAC"/>
    <w:rsid w:val="00D67F43"/>
    <w:rsid w:val="00D67F6F"/>
    <w:rsid w:val="00D70540"/>
    <w:rsid w:val="00D70ECB"/>
    <w:rsid w:val="00D71DFD"/>
    <w:rsid w:val="00D733E8"/>
    <w:rsid w:val="00D73B7B"/>
    <w:rsid w:val="00D7429C"/>
    <w:rsid w:val="00D74E5F"/>
    <w:rsid w:val="00D834CA"/>
    <w:rsid w:val="00D83C36"/>
    <w:rsid w:val="00D84648"/>
    <w:rsid w:val="00D855DF"/>
    <w:rsid w:val="00D914A7"/>
    <w:rsid w:val="00D92AA3"/>
    <w:rsid w:val="00D938E3"/>
    <w:rsid w:val="00D96637"/>
    <w:rsid w:val="00DA14C2"/>
    <w:rsid w:val="00DA16A3"/>
    <w:rsid w:val="00DA2FDE"/>
    <w:rsid w:val="00DA31A0"/>
    <w:rsid w:val="00DA3CCB"/>
    <w:rsid w:val="00DA6CC9"/>
    <w:rsid w:val="00DB0682"/>
    <w:rsid w:val="00DB0A79"/>
    <w:rsid w:val="00DB16F0"/>
    <w:rsid w:val="00DB37F1"/>
    <w:rsid w:val="00DB442E"/>
    <w:rsid w:val="00DB6379"/>
    <w:rsid w:val="00DC0ADA"/>
    <w:rsid w:val="00DC19DD"/>
    <w:rsid w:val="00DC2280"/>
    <w:rsid w:val="00DC243E"/>
    <w:rsid w:val="00DC24D5"/>
    <w:rsid w:val="00DC3895"/>
    <w:rsid w:val="00DC4304"/>
    <w:rsid w:val="00DC4EFC"/>
    <w:rsid w:val="00DC7D2D"/>
    <w:rsid w:val="00DD2FF0"/>
    <w:rsid w:val="00DD469C"/>
    <w:rsid w:val="00DE0113"/>
    <w:rsid w:val="00DE1667"/>
    <w:rsid w:val="00DE1793"/>
    <w:rsid w:val="00DE33BE"/>
    <w:rsid w:val="00DE5C58"/>
    <w:rsid w:val="00DF09A2"/>
    <w:rsid w:val="00DF0E51"/>
    <w:rsid w:val="00DF2013"/>
    <w:rsid w:val="00DF4D1A"/>
    <w:rsid w:val="00E05B5A"/>
    <w:rsid w:val="00E060D7"/>
    <w:rsid w:val="00E06675"/>
    <w:rsid w:val="00E107BD"/>
    <w:rsid w:val="00E10800"/>
    <w:rsid w:val="00E1124D"/>
    <w:rsid w:val="00E1184B"/>
    <w:rsid w:val="00E1571A"/>
    <w:rsid w:val="00E161C1"/>
    <w:rsid w:val="00E16315"/>
    <w:rsid w:val="00E164A4"/>
    <w:rsid w:val="00E172BF"/>
    <w:rsid w:val="00E17C0C"/>
    <w:rsid w:val="00E204F5"/>
    <w:rsid w:val="00E21843"/>
    <w:rsid w:val="00E21C99"/>
    <w:rsid w:val="00E22274"/>
    <w:rsid w:val="00E228D6"/>
    <w:rsid w:val="00E24154"/>
    <w:rsid w:val="00E270E4"/>
    <w:rsid w:val="00E272FC"/>
    <w:rsid w:val="00E30429"/>
    <w:rsid w:val="00E3054C"/>
    <w:rsid w:val="00E31BF3"/>
    <w:rsid w:val="00E349FB"/>
    <w:rsid w:val="00E355FC"/>
    <w:rsid w:val="00E35E5E"/>
    <w:rsid w:val="00E37824"/>
    <w:rsid w:val="00E40068"/>
    <w:rsid w:val="00E426CC"/>
    <w:rsid w:val="00E42F32"/>
    <w:rsid w:val="00E46963"/>
    <w:rsid w:val="00E46DBC"/>
    <w:rsid w:val="00E4755F"/>
    <w:rsid w:val="00E500C6"/>
    <w:rsid w:val="00E53A18"/>
    <w:rsid w:val="00E53DCE"/>
    <w:rsid w:val="00E542E2"/>
    <w:rsid w:val="00E54B0C"/>
    <w:rsid w:val="00E56C0D"/>
    <w:rsid w:val="00E5768D"/>
    <w:rsid w:val="00E57ECA"/>
    <w:rsid w:val="00E61A3C"/>
    <w:rsid w:val="00E64A9A"/>
    <w:rsid w:val="00E66CC3"/>
    <w:rsid w:val="00E674A1"/>
    <w:rsid w:val="00E702AE"/>
    <w:rsid w:val="00E71E33"/>
    <w:rsid w:val="00E729FB"/>
    <w:rsid w:val="00E73626"/>
    <w:rsid w:val="00E76A9B"/>
    <w:rsid w:val="00E77F15"/>
    <w:rsid w:val="00E811DC"/>
    <w:rsid w:val="00E83385"/>
    <w:rsid w:val="00E92072"/>
    <w:rsid w:val="00E93B79"/>
    <w:rsid w:val="00E93DAF"/>
    <w:rsid w:val="00E96336"/>
    <w:rsid w:val="00E97C82"/>
    <w:rsid w:val="00EA0718"/>
    <w:rsid w:val="00EA10F5"/>
    <w:rsid w:val="00EA2865"/>
    <w:rsid w:val="00EA53F5"/>
    <w:rsid w:val="00EB11E5"/>
    <w:rsid w:val="00EB1E5C"/>
    <w:rsid w:val="00EB1EA6"/>
    <w:rsid w:val="00EB24EC"/>
    <w:rsid w:val="00EB28ED"/>
    <w:rsid w:val="00EB2B79"/>
    <w:rsid w:val="00EB324E"/>
    <w:rsid w:val="00EB333D"/>
    <w:rsid w:val="00EB47F3"/>
    <w:rsid w:val="00EB4FC2"/>
    <w:rsid w:val="00EB5F27"/>
    <w:rsid w:val="00EC09E1"/>
    <w:rsid w:val="00EC22C2"/>
    <w:rsid w:val="00EC2A7A"/>
    <w:rsid w:val="00EC2B27"/>
    <w:rsid w:val="00EC3691"/>
    <w:rsid w:val="00EC3709"/>
    <w:rsid w:val="00EC3B84"/>
    <w:rsid w:val="00EC43FC"/>
    <w:rsid w:val="00EC5522"/>
    <w:rsid w:val="00EC7E06"/>
    <w:rsid w:val="00ED0277"/>
    <w:rsid w:val="00ED0FC1"/>
    <w:rsid w:val="00ED249D"/>
    <w:rsid w:val="00ED2E1F"/>
    <w:rsid w:val="00ED2ED4"/>
    <w:rsid w:val="00ED4F8C"/>
    <w:rsid w:val="00ED6DC6"/>
    <w:rsid w:val="00ED6E2F"/>
    <w:rsid w:val="00ED72B2"/>
    <w:rsid w:val="00ED7DDF"/>
    <w:rsid w:val="00EE15FA"/>
    <w:rsid w:val="00EE24BA"/>
    <w:rsid w:val="00EE4DA5"/>
    <w:rsid w:val="00EE5059"/>
    <w:rsid w:val="00EE6803"/>
    <w:rsid w:val="00EF08AE"/>
    <w:rsid w:val="00EF0AF9"/>
    <w:rsid w:val="00EF3270"/>
    <w:rsid w:val="00EF4593"/>
    <w:rsid w:val="00EF46AC"/>
    <w:rsid w:val="00EF5484"/>
    <w:rsid w:val="00EF7A13"/>
    <w:rsid w:val="00F0024D"/>
    <w:rsid w:val="00F003F1"/>
    <w:rsid w:val="00F0222C"/>
    <w:rsid w:val="00F02F2C"/>
    <w:rsid w:val="00F0354C"/>
    <w:rsid w:val="00F03A8B"/>
    <w:rsid w:val="00F05361"/>
    <w:rsid w:val="00F07125"/>
    <w:rsid w:val="00F1418C"/>
    <w:rsid w:val="00F14C37"/>
    <w:rsid w:val="00F14F80"/>
    <w:rsid w:val="00F17706"/>
    <w:rsid w:val="00F17F64"/>
    <w:rsid w:val="00F204D6"/>
    <w:rsid w:val="00F2322C"/>
    <w:rsid w:val="00F248EF"/>
    <w:rsid w:val="00F2568F"/>
    <w:rsid w:val="00F30246"/>
    <w:rsid w:val="00F311BA"/>
    <w:rsid w:val="00F31F6A"/>
    <w:rsid w:val="00F33CD1"/>
    <w:rsid w:val="00F341C7"/>
    <w:rsid w:val="00F343A4"/>
    <w:rsid w:val="00F360DE"/>
    <w:rsid w:val="00F3794F"/>
    <w:rsid w:val="00F426D4"/>
    <w:rsid w:val="00F43CF9"/>
    <w:rsid w:val="00F44DB9"/>
    <w:rsid w:val="00F4651F"/>
    <w:rsid w:val="00F4688E"/>
    <w:rsid w:val="00F47114"/>
    <w:rsid w:val="00F47811"/>
    <w:rsid w:val="00F505A9"/>
    <w:rsid w:val="00F52BD4"/>
    <w:rsid w:val="00F52E85"/>
    <w:rsid w:val="00F532BF"/>
    <w:rsid w:val="00F539E2"/>
    <w:rsid w:val="00F53DA5"/>
    <w:rsid w:val="00F53FF3"/>
    <w:rsid w:val="00F54445"/>
    <w:rsid w:val="00F54DFD"/>
    <w:rsid w:val="00F56D19"/>
    <w:rsid w:val="00F56D6D"/>
    <w:rsid w:val="00F60309"/>
    <w:rsid w:val="00F60488"/>
    <w:rsid w:val="00F61582"/>
    <w:rsid w:val="00F6201A"/>
    <w:rsid w:val="00F62601"/>
    <w:rsid w:val="00F677AB"/>
    <w:rsid w:val="00F71492"/>
    <w:rsid w:val="00F7385D"/>
    <w:rsid w:val="00F75504"/>
    <w:rsid w:val="00F76A9B"/>
    <w:rsid w:val="00F77B4E"/>
    <w:rsid w:val="00F848A4"/>
    <w:rsid w:val="00F859C7"/>
    <w:rsid w:val="00F906CC"/>
    <w:rsid w:val="00F90EFE"/>
    <w:rsid w:val="00F91ACF"/>
    <w:rsid w:val="00F943D2"/>
    <w:rsid w:val="00F94BF8"/>
    <w:rsid w:val="00F94C4D"/>
    <w:rsid w:val="00F952F1"/>
    <w:rsid w:val="00F95F3C"/>
    <w:rsid w:val="00F97BDF"/>
    <w:rsid w:val="00F97EF9"/>
    <w:rsid w:val="00FA3E6B"/>
    <w:rsid w:val="00FA5776"/>
    <w:rsid w:val="00FA730E"/>
    <w:rsid w:val="00FA79B0"/>
    <w:rsid w:val="00FB08AE"/>
    <w:rsid w:val="00FB0A24"/>
    <w:rsid w:val="00FB22DF"/>
    <w:rsid w:val="00FB3AF3"/>
    <w:rsid w:val="00FB3C16"/>
    <w:rsid w:val="00FB46B7"/>
    <w:rsid w:val="00FB4AD9"/>
    <w:rsid w:val="00FB7782"/>
    <w:rsid w:val="00FC0FCF"/>
    <w:rsid w:val="00FC1E27"/>
    <w:rsid w:val="00FC45D6"/>
    <w:rsid w:val="00FC494F"/>
    <w:rsid w:val="00FC678C"/>
    <w:rsid w:val="00FD586A"/>
    <w:rsid w:val="00FD68A0"/>
    <w:rsid w:val="00FE394C"/>
    <w:rsid w:val="00FE400E"/>
    <w:rsid w:val="00FE4CC3"/>
    <w:rsid w:val="00FE5C90"/>
    <w:rsid w:val="00FE7E6D"/>
    <w:rsid w:val="00FF0911"/>
    <w:rsid w:val="00FF18A7"/>
    <w:rsid w:val="00FF2087"/>
    <w:rsid w:val="00FF502B"/>
    <w:rsid w:val="0100A2EE"/>
    <w:rsid w:val="010DFD53"/>
    <w:rsid w:val="01C3236A"/>
    <w:rsid w:val="0205995B"/>
    <w:rsid w:val="0229A14B"/>
    <w:rsid w:val="027D44E5"/>
    <w:rsid w:val="02ACB207"/>
    <w:rsid w:val="02C9806E"/>
    <w:rsid w:val="02D847A7"/>
    <w:rsid w:val="02E07FF1"/>
    <w:rsid w:val="036FC45E"/>
    <w:rsid w:val="03E9A836"/>
    <w:rsid w:val="03FD4A01"/>
    <w:rsid w:val="052AEC12"/>
    <w:rsid w:val="05743B2B"/>
    <w:rsid w:val="05AD9037"/>
    <w:rsid w:val="05AFF8D7"/>
    <w:rsid w:val="05BAEBB4"/>
    <w:rsid w:val="05FB8ED1"/>
    <w:rsid w:val="060F2BD0"/>
    <w:rsid w:val="0683E4CC"/>
    <w:rsid w:val="069E36BC"/>
    <w:rsid w:val="07E6DC2C"/>
    <w:rsid w:val="07E70C91"/>
    <w:rsid w:val="08E79999"/>
    <w:rsid w:val="0964FDE9"/>
    <w:rsid w:val="097B5B97"/>
    <w:rsid w:val="09C48CC7"/>
    <w:rsid w:val="0AC509D1"/>
    <w:rsid w:val="0AD3056A"/>
    <w:rsid w:val="0AD9BDF9"/>
    <w:rsid w:val="0AEB4D33"/>
    <w:rsid w:val="0AF2E656"/>
    <w:rsid w:val="0CBC874A"/>
    <w:rsid w:val="0DE5FD7A"/>
    <w:rsid w:val="0E66E5E1"/>
    <w:rsid w:val="0EFF9790"/>
    <w:rsid w:val="0F647692"/>
    <w:rsid w:val="0FBEBE56"/>
    <w:rsid w:val="1009F917"/>
    <w:rsid w:val="10330B3E"/>
    <w:rsid w:val="103E31E5"/>
    <w:rsid w:val="10A681FF"/>
    <w:rsid w:val="1128F465"/>
    <w:rsid w:val="1170B3A1"/>
    <w:rsid w:val="11B4B8BC"/>
    <w:rsid w:val="11F23BDB"/>
    <w:rsid w:val="1290CB81"/>
    <w:rsid w:val="12E4CFDE"/>
    <w:rsid w:val="1329C32B"/>
    <w:rsid w:val="14026C1B"/>
    <w:rsid w:val="140C4B98"/>
    <w:rsid w:val="14370EAF"/>
    <w:rsid w:val="1480644B"/>
    <w:rsid w:val="1555C1A7"/>
    <w:rsid w:val="15BA556E"/>
    <w:rsid w:val="15DDEC8E"/>
    <w:rsid w:val="15FFCFC9"/>
    <w:rsid w:val="1771FF1E"/>
    <w:rsid w:val="1799468F"/>
    <w:rsid w:val="17DEC743"/>
    <w:rsid w:val="18CF49D3"/>
    <w:rsid w:val="19541162"/>
    <w:rsid w:val="19C552C0"/>
    <w:rsid w:val="1A2762C1"/>
    <w:rsid w:val="1AF53347"/>
    <w:rsid w:val="1B09430B"/>
    <w:rsid w:val="1B40B9BA"/>
    <w:rsid w:val="1B8FAFB5"/>
    <w:rsid w:val="1C177E28"/>
    <w:rsid w:val="1D136A45"/>
    <w:rsid w:val="1D1D47B8"/>
    <w:rsid w:val="1E278285"/>
    <w:rsid w:val="1E6BD2C3"/>
    <w:rsid w:val="1EDB38B8"/>
    <w:rsid w:val="1F249E32"/>
    <w:rsid w:val="1FDB6748"/>
    <w:rsid w:val="20495838"/>
    <w:rsid w:val="20FE522E"/>
    <w:rsid w:val="217172F2"/>
    <w:rsid w:val="218A0437"/>
    <w:rsid w:val="2252E63A"/>
    <w:rsid w:val="23D21D99"/>
    <w:rsid w:val="24E3801B"/>
    <w:rsid w:val="25239595"/>
    <w:rsid w:val="25E8C239"/>
    <w:rsid w:val="263A81F0"/>
    <w:rsid w:val="26914216"/>
    <w:rsid w:val="26C89EE6"/>
    <w:rsid w:val="26E2E3C1"/>
    <w:rsid w:val="2795C9EB"/>
    <w:rsid w:val="27C608EE"/>
    <w:rsid w:val="27F515C9"/>
    <w:rsid w:val="28D74C6F"/>
    <w:rsid w:val="29CEC7A1"/>
    <w:rsid w:val="2A297680"/>
    <w:rsid w:val="2B4EB7D1"/>
    <w:rsid w:val="2CA22A51"/>
    <w:rsid w:val="2D73B2CD"/>
    <w:rsid w:val="2EAA3926"/>
    <w:rsid w:val="2EB2181C"/>
    <w:rsid w:val="2ED4CD49"/>
    <w:rsid w:val="2F122819"/>
    <w:rsid w:val="2F54BA09"/>
    <w:rsid w:val="30F64BBC"/>
    <w:rsid w:val="315C7317"/>
    <w:rsid w:val="316A737C"/>
    <w:rsid w:val="31EC4FD8"/>
    <w:rsid w:val="32130C23"/>
    <w:rsid w:val="3250D33B"/>
    <w:rsid w:val="32818563"/>
    <w:rsid w:val="33116BD5"/>
    <w:rsid w:val="349413D9"/>
    <w:rsid w:val="34E205AC"/>
    <w:rsid w:val="35440ECD"/>
    <w:rsid w:val="3621285F"/>
    <w:rsid w:val="362F1A6B"/>
    <w:rsid w:val="3648A05A"/>
    <w:rsid w:val="36D452FE"/>
    <w:rsid w:val="36DE3087"/>
    <w:rsid w:val="37EC761B"/>
    <w:rsid w:val="383F45BF"/>
    <w:rsid w:val="38CD31CE"/>
    <w:rsid w:val="396784FC"/>
    <w:rsid w:val="3988467C"/>
    <w:rsid w:val="39928B6F"/>
    <w:rsid w:val="3A032CF9"/>
    <w:rsid w:val="3A62E112"/>
    <w:rsid w:val="3AB613B0"/>
    <w:rsid w:val="3BDDB36F"/>
    <w:rsid w:val="3CCAD386"/>
    <w:rsid w:val="3D534D22"/>
    <w:rsid w:val="3D8B5487"/>
    <w:rsid w:val="3DA83FBD"/>
    <w:rsid w:val="3DB3AA31"/>
    <w:rsid w:val="3E0C8D2A"/>
    <w:rsid w:val="3E302997"/>
    <w:rsid w:val="3F77848F"/>
    <w:rsid w:val="3F9BA93D"/>
    <w:rsid w:val="414A9097"/>
    <w:rsid w:val="4315E954"/>
    <w:rsid w:val="43418485"/>
    <w:rsid w:val="44097BE9"/>
    <w:rsid w:val="469D342A"/>
    <w:rsid w:val="46BD8744"/>
    <w:rsid w:val="46DF8333"/>
    <w:rsid w:val="46F0E19B"/>
    <w:rsid w:val="47038FCA"/>
    <w:rsid w:val="480E011F"/>
    <w:rsid w:val="4854817E"/>
    <w:rsid w:val="48584AE7"/>
    <w:rsid w:val="48910337"/>
    <w:rsid w:val="49D5F4B2"/>
    <w:rsid w:val="4A0E88F7"/>
    <w:rsid w:val="4A447095"/>
    <w:rsid w:val="4A716BB9"/>
    <w:rsid w:val="4AA4EC23"/>
    <w:rsid w:val="4B979B51"/>
    <w:rsid w:val="4BB274E4"/>
    <w:rsid w:val="4BDB27E8"/>
    <w:rsid w:val="4BDF9178"/>
    <w:rsid w:val="4C75E2E7"/>
    <w:rsid w:val="4D3D036E"/>
    <w:rsid w:val="4DC23601"/>
    <w:rsid w:val="4DF828DC"/>
    <w:rsid w:val="4E13F5CA"/>
    <w:rsid w:val="4E9E6883"/>
    <w:rsid w:val="4EB732A0"/>
    <w:rsid w:val="4F44DCDC"/>
    <w:rsid w:val="4F4C5344"/>
    <w:rsid w:val="4FDBAF73"/>
    <w:rsid w:val="51A140B3"/>
    <w:rsid w:val="52A3E4BD"/>
    <w:rsid w:val="53265014"/>
    <w:rsid w:val="53DD85B7"/>
    <w:rsid w:val="5409899F"/>
    <w:rsid w:val="542E2A35"/>
    <w:rsid w:val="559B5CB2"/>
    <w:rsid w:val="55F7AD2C"/>
    <w:rsid w:val="5619CB26"/>
    <w:rsid w:val="5626D5BD"/>
    <w:rsid w:val="569DFA29"/>
    <w:rsid w:val="570E7735"/>
    <w:rsid w:val="575975B7"/>
    <w:rsid w:val="577D36FB"/>
    <w:rsid w:val="57A1AA29"/>
    <w:rsid w:val="57A1E274"/>
    <w:rsid w:val="5827C279"/>
    <w:rsid w:val="5922FE22"/>
    <w:rsid w:val="599D25CD"/>
    <w:rsid w:val="59CAE2BB"/>
    <w:rsid w:val="59F21986"/>
    <w:rsid w:val="5A6C5B53"/>
    <w:rsid w:val="5A816157"/>
    <w:rsid w:val="5A9EDDEE"/>
    <w:rsid w:val="5B7B5276"/>
    <w:rsid w:val="5BCBAC36"/>
    <w:rsid w:val="5CC40B14"/>
    <w:rsid w:val="5CD3537B"/>
    <w:rsid w:val="5D19895E"/>
    <w:rsid w:val="5D4115B8"/>
    <w:rsid w:val="5DAD81E2"/>
    <w:rsid w:val="5E08093B"/>
    <w:rsid w:val="5E5F3785"/>
    <w:rsid w:val="5EE95518"/>
    <w:rsid w:val="5F261067"/>
    <w:rsid w:val="5FEBB9F7"/>
    <w:rsid w:val="60520AFF"/>
    <w:rsid w:val="6056A387"/>
    <w:rsid w:val="63898E45"/>
    <w:rsid w:val="6610125E"/>
    <w:rsid w:val="6610C8D3"/>
    <w:rsid w:val="661D90D2"/>
    <w:rsid w:val="6639071A"/>
    <w:rsid w:val="66CDD695"/>
    <w:rsid w:val="671D1438"/>
    <w:rsid w:val="679771BB"/>
    <w:rsid w:val="67B6D961"/>
    <w:rsid w:val="684A2658"/>
    <w:rsid w:val="68F70EE3"/>
    <w:rsid w:val="6950843E"/>
    <w:rsid w:val="696C5D51"/>
    <w:rsid w:val="69877AAC"/>
    <w:rsid w:val="6A822F73"/>
    <w:rsid w:val="6B0BFBD4"/>
    <w:rsid w:val="6B87D48C"/>
    <w:rsid w:val="6BA5DF28"/>
    <w:rsid w:val="6C2B1E90"/>
    <w:rsid w:val="6C4A39B4"/>
    <w:rsid w:val="6C8D28A0"/>
    <w:rsid w:val="6D1458C9"/>
    <w:rsid w:val="6D148102"/>
    <w:rsid w:val="6E8D352C"/>
    <w:rsid w:val="6E9FE1C8"/>
    <w:rsid w:val="6F1ECA62"/>
    <w:rsid w:val="6FC32D41"/>
    <w:rsid w:val="701878F2"/>
    <w:rsid w:val="703BB229"/>
    <w:rsid w:val="70421D52"/>
    <w:rsid w:val="70C134C1"/>
    <w:rsid w:val="7112CD2C"/>
    <w:rsid w:val="725A46C4"/>
    <w:rsid w:val="73456A5A"/>
    <w:rsid w:val="73B3DE36"/>
    <w:rsid w:val="7430BCF0"/>
    <w:rsid w:val="747EBBDE"/>
    <w:rsid w:val="75B24090"/>
    <w:rsid w:val="76CB46B8"/>
    <w:rsid w:val="77B4FBF5"/>
    <w:rsid w:val="781B467B"/>
    <w:rsid w:val="782AEC3F"/>
    <w:rsid w:val="784CD6D6"/>
    <w:rsid w:val="79208CD2"/>
    <w:rsid w:val="797F6724"/>
    <w:rsid w:val="7A31FF8F"/>
    <w:rsid w:val="7AAFDD6B"/>
    <w:rsid w:val="7B1F2723"/>
    <w:rsid w:val="7BA3330A"/>
    <w:rsid w:val="7BAF9E6B"/>
    <w:rsid w:val="7C2C8B23"/>
    <w:rsid w:val="7C7892EC"/>
    <w:rsid w:val="7D39C8B7"/>
    <w:rsid w:val="7D793C63"/>
    <w:rsid w:val="7D995867"/>
    <w:rsid w:val="7DB292BF"/>
    <w:rsid w:val="7EBC70BB"/>
    <w:rsid w:val="7EC6648D"/>
    <w:rsid w:val="7EFAA28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pPr>
      <w:spacing w:after="0" w:line="240" w:lineRule="auto"/>
      <w:jc w:val="both"/>
    </w:pPr>
    <w:rPr>
      <w:rFonts w:asciiTheme="minorHAnsi" w:hAnsiTheme="minorHAnsi" w:eastAsiaTheme="minorHAnsi" w:cstheme="minorBidi"/>
      <w:sz w:val="20"/>
      <w:szCs w:val="22"/>
      <w:lang w:val="es-MX" w:eastAsia="en-US" w:bidi="ar-SA"/>
    </w:rPr>
  </w:style>
  <w:style w:type="paragraph" w:styleId="2">
    <w:name w:val="heading 1"/>
    <w:basedOn w:val="1"/>
    <w:next w:val="1"/>
    <w:link w:val="26"/>
    <w:qFormat/>
    <w:uiPriority w:val="9"/>
    <w:pPr>
      <w:keepNext/>
      <w:keepLines/>
      <w:spacing w:before="480"/>
      <w:outlineLvl w:val="0"/>
    </w:pPr>
    <w:rPr>
      <w:rFonts w:asciiTheme="majorHAnsi" w:hAnsiTheme="majorHAnsi" w:eastAsiaTheme="majorEastAsia" w:cstheme="majorBidi"/>
      <w:b/>
      <w:bCs/>
      <w:color w:val="4E4D4D" w:themeColor="background2"/>
      <w:szCs w:val="28"/>
      <w14:textFill>
        <w14:solidFill>
          <w14:schemeClr w14:val="bg2"/>
        </w14:solidFill>
      </w14:textFill>
    </w:rPr>
  </w:style>
  <w:style w:type="paragraph" w:styleId="3">
    <w:name w:val="heading 2"/>
    <w:basedOn w:val="1"/>
    <w:next w:val="1"/>
    <w:link w:val="27"/>
    <w:unhideWhenUsed/>
    <w:qFormat/>
    <w:uiPriority w:val="9"/>
    <w:pPr>
      <w:keepNext/>
      <w:keepLines/>
      <w:spacing w:before="200"/>
      <w:ind w:left="720" w:hanging="360"/>
      <w:outlineLvl w:val="1"/>
    </w:pPr>
    <w:rPr>
      <w:rFonts w:asciiTheme="majorHAnsi" w:hAnsiTheme="majorHAnsi" w:eastAsiaTheme="majorEastAsia" w:cstheme="majorBidi"/>
      <w:b/>
      <w:bCs/>
      <w:color w:val="4E4D4D" w:themeColor="background2"/>
      <w:szCs w:val="26"/>
      <w14:textFill>
        <w14:solidFill>
          <w14:schemeClr w14:val="bg2"/>
        </w14:solidFill>
      </w14:textFill>
    </w:rPr>
  </w:style>
  <w:style w:type="paragraph" w:styleId="4">
    <w:name w:val="heading 3"/>
    <w:basedOn w:val="1"/>
    <w:next w:val="1"/>
    <w:link w:val="29"/>
    <w:unhideWhenUsed/>
    <w:qFormat/>
    <w:uiPriority w:val="9"/>
    <w:pPr>
      <w:keepNext/>
      <w:keepLines/>
      <w:spacing w:before="200"/>
      <w:outlineLvl w:val="2"/>
    </w:pPr>
    <w:rPr>
      <w:rFonts w:asciiTheme="majorHAnsi" w:hAnsiTheme="majorHAnsi" w:eastAsiaTheme="majorEastAsia" w:cstheme="majorBidi"/>
      <w:b/>
      <w:bCs/>
      <w:color w:val="1A1818" w:themeColor="accent1"/>
      <w14:textFill>
        <w14:solidFill>
          <w14:schemeClr w14:val="accent1"/>
        </w14:solidFill>
      </w14:textFill>
    </w:rPr>
  </w:style>
  <w:style w:type="character" w:default="1" w:styleId="5">
    <w:name w:val="Default Paragraph Font"/>
    <w:semiHidden/>
    <w:unhideWhenUsed/>
    <w:qFormat/>
    <w:uiPriority w:val="1"/>
  </w:style>
  <w:style w:type="table" w:default="1" w:styleId="6">
    <w:name w:val="Normal Table"/>
    <w:semiHidden/>
    <w:unhideWhenUsed/>
    <w:qFormat/>
    <w:uiPriority w:val="99"/>
    <w:pPr>
      <w:keepNext w:val="0"/>
      <w:keepLines w:val="0"/>
      <w:widowControl/>
      <w:suppressLineNumbers w:val="0"/>
      <w:spacing w:before="0" w:beforeAutospacing="0" w:after="0" w:afterAutospacing="0"/>
      <w:ind w:left="0" w:right="0"/>
    </w:pPr>
    <w:rPr>
      <w:rFonts w:hint="eastAsia" w:ascii="Calibri" w:hAnsi="Calibri" w:cs="Calibri"/>
      <w:sz w:val="20"/>
      <w:szCs w:val="20"/>
    </w:rPr>
    <w:tblPr>
      <w:tblCellMar>
        <w:top w:w="0" w:type="dxa"/>
        <w:left w:w="100" w:type="dxa"/>
        <w:bottom w:w="0" w:type="dxa"/>
        <w:right w:w="100" w:type="dxa"/>
      </w:tblCellMar>
    </w:tblPr>
  </w:style>
  <w:style w:type="character" w:styleId="7">
    <w:name w:val="annotation reference"/>
    <w:basedOn w:val="5"/>
    <w:unhideWhenUsed/>
    <w:uiPriority w:val="99"/>
    <w:rPr>
      <w:sz w:val="16"/>
      <w:szCs w:val="16"/>
    </w:rPr>
  </w:style>
  <w:style w:type="character" w:styleId="8">
    <w:name w:val="Emphasis"/>
    <w:basedOn w:val="5"/>
    <w:qFormat/>
    <w:uiPriority w:val="20"/>
    <w:rPr>
      <w:i/>
      <w:iCs/>
    </w:rPr>
  </w:style>
  <w:style w:type="character" w:styleId="9">
    <w:name w:val="Hyperlink"/>
    <w:basedOn w:val="5"/>
    <w:unhideWhenUsed/>
    <w:qFormat/>
    <w:uiPriority w:val="99"/>
    <w:rPr>
      <w:color w:val="0078AE" w:themeColor="hyperlink"/>
      <w:u w:val="single"/>
      <w14:textFill>
        <w14:solidFill>
          <w14:schemeClr w14:val="hlink"/>
        </w14:solidFill>
      </w14:textFill>
    </w:rPr>
  </w:style>
  <w:style w:type="character" w:styleId="10">
    <w:name w:val="Strong"/>
    <w:basedOn w:val="5"/>
    <w:qFormat/>
    <w:uiPriority w:val="22"/>
    <w:rPr>
      <w:b/>
      <w:bCs/>
    </w:rPr>
  </w:style>
  <w:style w:type="paragraph" w:styleId="11">
    <w:name w:val="toc 1"/>
    <w:basedOn w:val="1"/>
    <w:next w:val="1"/>
    <w:autoRedefine/>
    <w:unhideWhenUsed/>
    <w:uiPriority w:val="39"/>
    <w:pPr>
      <w:tabs>
        <w:tab w:val="right" w:leader="dot" w:pos="8828"/>
      </w:tabs>
      <w:spacing w:after="100" w:line="259" w:lineRule="auto"/>
      <w:jc w:val="left"/>
    </w:pPr>
    <w:rPr>
      <w:rFonts w:ascii="Arial" w:hAnsi="Arial"/>
      <w:b/>
      <w:color w:val="141313" w:themeColor="background2" w:themeShade="40"/>
      <w:lang w:val="es-CO"/>
    </w:rPr>
  </w:style>
  <w:style w:type="paragraph" w:styleId="12">
    <w:name w:val="annotation subject"/>
    <w:basedOn w:val="13"/>
    <w:next w:val="13"/>
    <w:link w:val="39"/>
    <w:semiHidden/>
    <w:unhideWhenUsed/>
    <w:uiPriority w:val="99"/>
    <w:rPr>
      <w:b/>
      <w:bCs/>
    </w:rPr>
  </w:style>
  <w:style w:type="paragraph" w:styleId="13">
    <w:name w:val="annotation text"/>
    <w:basedOn w:val="1"/>
    <w:link w:val="38"/>
    <w:unhideWhenUsed/>
    <w:qFormat/>
    <w:uiPriority w:val="99"/>
    <w:rPr>
      <w:szCs w:val="20"/>
    </w:rPr>
  </w:style>
  <w:style w:type="paragraph" w:styleId="14">
    <w:name w:val="Balloon Text"/>
    <w:basedOn w:val="1"/>
    <w:link w:val="24"/>
    <w:semiHidden/>
    <w:unhideWhenUsed/>
    <w:qFormat/>
    <w:uiPriority w:val="99"/>
    <w:rPr>
      <w:rFonts w:ascii="Tahoma" w:hAnsi="Tahoma" w:cs="Tahoma"/>
      <w:sz w:val="16"/>
      <w:szCs w:val="16"/>
    </w:rPr>
  </w:style>
  <w:style w:type="paragraph" w:styleId="15">
    <w:name w:val="header"/>
    <w:basedOn w:val="1"/>
    <w:link w:val="22"/>
    <w:unhideWhenUsed/>
    <w:qFormat/>
    <w:uiPriority w:val="99"/>
    <w:pPr>
      <w:tabs>
        <w:tab w:val="center" w:pos="4419"/>
        <w:tab w:val="right" w:pos="8838"/>
      </w:tabs>
    </w:pPr>
  </w:style>
  <w:style w:type="paragraph" w:styleId="16">
    <w:name w:val="Normal (Web)"/>
    <w:basedOn w:val="1"/>
    <w:semiHidden/>
    <w:unhideWhenUsed/>
    <w:qFormat/>
    <w:uiPriority w:val="99"/>
    <w:pPr>
      <w:spacing w:before="100" w:beforeAutospacing="1" w:after="100" w:afterAutospacing="1"/>
    </w:pPr>
    <w:rPr>
      <w:rFonts w:ascii="Times New Roman" w:hAnsi="Times New Roman" w:eastAsia="Times New Roman" w:cs="Times New Roman"/>
      <w:szCs w:val="24"/>
      <w:lang w:eastAsia="es-CO"/>
    </w:rPr>
  </w:style>
  <w:style w:type="paragraph" w:styleId="17">
    <w:name w:val="footer"/>
    <w:basedOn w:val="1"/>
    <w:link w:val="23"/>
    <w:unhideWhenUsed/>
    <w:qFormat/>
    <w:uiPriority w:val="99"/>
    <w:pPr>
      <w:tabs>
        <w:tab w:val="center" w:pos="4419"/>
        <w:tab w:val="right" w:pos="8838"/>
      </w:tabs>
    </w:pPr>
  </w:style>
  <w:style w:type="paragraph" w:styleId="18">
    <w:name w:val="Subtitle"/>
    <w:basedOn w:val="1"/>
    <w:next w:val="1"/>
    <w:link w:val="30"/>
    <w:qFormat/>
    <w:uiPriority w:val="11"/>
    <w:rPr>
      <w:rFonts w:asciiTheme="majorHAnsi" w:hAnsiTheme="majorHAnsi" w:eastAsiaTheme="majorEastAsia" w:cstheme="majorBidi"/>
      <w:i/>
      <w:iCs/>
      <w:color w:val="1A1818" w:themeColor="accent1"/>
      <w:spacing w:val="15"/>
      <w:szCs w:val="24"/>
      <w14:textFill>
        <w14:solidFill>
          <w14:schemeClr w14:val="accent1"/>
        </w14:solidFill>
      </w14:textFill>
    </w:rPr>
  </w:style>
  <w:style w:type="paragraph" w:styleId="19">
    <w:name w:val="Body Text"/>
    <w:link w:val="59"/>
    <w:semiHidden/>
    <w:unhideWhenUsed/>
    <w:uiPriority w:val="99"/>
    <w:pPr>
      <w:keepNext w:val="0"/>
      <w:keepLines w:val="0"/>
      <w:widowControl w:val="0"/>
      <w:suppressLineNumbers w:val="0"/>
      <w:autoSpaceDE w:val="0"/>
      <w:autoSpaceDN w:val="0"/>
      <w:spacing w:before="0" w:beforeAutospacing="0" w:after="0" w:afterAutospacing="0"/>
      <w:ind w:left="0" w:right="0"/>
      <w:jc w:val="left"/>
    </w:pPr>
    <w:rPr>
      <w:rFonts w:hint="default" w:ascii="Georgia" w:hAnsi="Georgia" w:eastAsia="Georgia" w:cs="Georgia"/>
      <w:kern w:val="0"/>
      <w:sz w:val="20"/>
      <w:szCs w:val="20"/>
      <w:lang w:val="en-US" w:eastAsia="zh-CN" w:bidi="ar"/>
    </w:rPr>
  </w:style>
  <w:style w:type="paragraph" w:styleId="20">
    <w:name w:val="Title"/>
    <w:basedOn w:val="1"/>
    <w:next w:val="1"/>
    <w:link w:val="28"/>
    <w:qFormat/>
    <w:uiPriority w:val="10"/>
    <w:pPr>
      <w:numPr>
        <w:ilvl w:val="0"/>
        <w:numId w:val="1"/>
      </w:numPr>
      <w:spacing w:after="300"/>
      <w:contextualSpacing/>
    </w:pPr>
    <w:rPr>
      <w:rFonts w:asciiTheme="majorHAnsi" w:hAnsiTheme="majorHAnsi" w:eastAsiaTheme="majorEastAsia" w:cstheme="majorBidi"/>
      <w:color w:val="3B3A3A" w:themeColor="background2" w:themeShade="BF"/>
      <w:spacing w:val="5"/>
      <w:kern w:val="28"/>
      <w:szCs w:val="52"/>
    </w:rPr>
  </w:style>
  <w:style w:type="table" w:styleId="21">
    <w:name w:val="Table Grid"/>
    <w:basedOn w:val="6"/>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22">
    <w:name w:val="Encabezado Car"/>
    <w:basedOn w:val="5"/>
    <w:link w:val="15"/>
    <w:qFormat/>
    <w:uiPriority w:val="99"/>
  </w:style>
  <w:style w:type="character" w:customStyle="1" w:styleId="23">
    <w:name w:val="Pie de página Car"/>
    <w:basedOn w:val="5"/>
    <w:link w:val="17"/>
    <w:qFormat/>
    <w:uiPriority w:val="99"/>
  </w:style>
  <w:style w:type="character" w:customStyle="1" w:styleId="24">
    <w:name w:val="Texto de globo Car"/>
    <w:basedOn w:val="5"/>
    <w:link w:val="14"/>
    <w:semiHidden/>
    <w:qFormat/>
    <w:uiPriority w:val="99"/>
    <w:rPr>
      <w:rFonts w:ascii="Tahoma" w:hAnsi="Tahoma" w:cs="Tahoma"/>
      <w:sz w:val="16"/>
      <w:szCs w:val="16"/>
    </w:rPr>
  </w:style>
  <w:style w:type="paragraph" w:styleId="25">
    <w:name w:val="No Spacing"/>
    <w:basedOn w:val="1"/>
    <w:next w:val="1"/>
    <w:qFormat/>
    <w:uiPriority w:val="1"/>
    <w:rPr>
      <w:b/>
      <w:color w:val="1A1818" w:themeColor="text1"/>
      <w14:textFill>
        <w14:solidFill>
          <w14:schemeClr w14:val="tx1"/>
        </w14:solidFill>
      </w14:textFill>
    </w:rPr>
  </w:style>
  <w:style w:type="character" w:customStyle="1" w:styleId="26">
    <w:name w:val="Título 1 Car"/>
    <w:basedOn w:val="5"/>
    <w:link w:val="2"/>
    <w:qFormat/>
    <w:uiPriority w:val="9"/>
    <w:rPr>
      <w:rFonts w:asciiTheme="majorHAnsi" w:hAnsiTheme="majorHAnsi" w:eastAsiaTheme="majorEastAsia" w:cstheme="majorBidi"/>
      <w:b/>
      <w:bCs/>
      <w:color w:val="4E4D4D" w:themeColor="background2"/>
      <w:sz w:val="20"/>
      <w:szCs w:val="28"/>
      <w14:textFill>
        <w14:solidFill>
          <w14:schemeClr w14:val="bg2"/>
        </w14:solidFill>
      </w14:textFill>
    </w:rPr>
  </w:style>
  <w:style w:type="character" w:customStyle="1" w:styleId="27">
    <w:name w:val="Título 2 Car"/>
    <w:basedOn w:val="5"/>
    <w:link w:val="3"/>
    <w:qFormat/>
    <w:uiPriority w:val="9"/>
    <w:rPr>
      <w:rFonts w:asciiTheme="majorHAnsi" w:hAnsiTheme="majorHAnsi" w:eastAsiaTheme="majorEastAsia" w:cstheme="majorBidi"/>
      <w:b/>
      <w:bCs/>
      <w:color w:val="4E4D4D" w:themeColor="background2"/>
      <w:sz w:val="20"/>
      <w:szCs w:val="26"/>
      <w:lang w:val="es-MX"/>
      <w14:textFill>
        <w14:solidFill>
          <w14:schemeClr w14:val="bg2"/>
        </w14:solidFill>
      </w14:textFill>
    </w:rPr>
  </w:style>
  <w:style w:type="character" w:customStyle="1" w:styleId="28">
    <w:name w:val="Puesto Car"/>
    <w:basedOn w:val="5"/>
    <w:link w:val="20"/>
    <w:qFormat/>
    <w:uiPriority w:val="10"/>
    <w:rPr>
      <w:rFonts w:asciiTheme="majorHAnsi" w:hAnsiTheme="majorHAnsi" w:eastAsiaTheme="majorEastAsia" w:cstheme="majorBidi"/>
      <w:color w:val="3B3A3A" w:themeColor="background2" w:themeShade="BF"/>
      <w:spacing w:val="5"/>
      <w:kern w:val="28"/>
      <w:sz w:val="20"/>
      <w:szCs w:val="52"/>
      <w:lang w:val="es-MX"/>
    </w:rPr>
  </w:style>
  <w:style w:type="character" w:customStyle="1" w:styleId="29">
    <w:name w:val="Título 3 Car"/>
    <w:basedOn w:val="5"/>
    <w:link w:val="4"/>
    <w:qFormat/>
    <w:uiPriority w:val="9"/>
    <w:rPr>
      <w:rFonts w:asciiTheme="majorHAnsi" w:hAnsiTheme="majorHAnsi" w:eastAsiaTheme="majorEastAsia" w:cstheme="majorBidi"/>
      <w:b/>
      <w:bCs/>
      <w:color w:val="1A1818" w:themeColor="accent1"/>
      <w14:textFill>
        <w14:solidFill>
          <w14:schemeClr w14:val="accent1"/>
        </w14:solidFill>
      </w14:textFill>
    </w:rPr>
  </w:style>
  <w:style w:type="character" w:customStyle="1" w:styleId="30">
    <w:name w:val="Subtítulo Car"/>
    <w:basedOn w:val="5"/>
    <w:link w:val="18"/>
    <w:qFormat/>
    <w:uiPriority w:val="11"/>
    <w:rPr>
      <w:rFonts w:asciiTheme="majorHAnsi" w:hAnsiTheme="majorHAnsi" w:eastAsiaTheme="majorEastAsia" w:cstheme="majorBidi"/>
      <w:i/>
      <w:iCs/>
      <w:color w:val="1A1818" w:themeColor="accent1"/>
      <w:spacing w:val="15"/>
      <w:sz w:val="24"/>
      <w:szCs w:val="24"/>
      <w14:textFill>
        <w14:solidFill>
          <w14:schemeClr w14:val="accent1"/>
        </w14:solidFill>
      </w14:textFill>
    </w:rPr>
  </w:style>
  <w:style w:type="paragraph" w:styleId="31">
    <w:name w:val="List Paragraph"/>
    <w:basedOn w:val="1"/>
    <w:link w:val="36"/>
    <w:qFormat/>
    <w:uiPriority w:val="34"/>
    <w:pPr>
      <w:ind w:left="720"/>
      <w:contextualSpacing/>
    </w:pPr>
  </w:style>
  <w:style w:type="paragraph" w:customStyle="1" w:styleId="32">
    <w:name w:val="paragraph"/>
    <w:basedOn w:val="1"/>
    <w:qFormat/>
    <w:uiPriority w:val="0"/>
    <w:pPr>
      <w:spacing w:before="100" w:beforeAutospacing="1" w:after="100" w:afterAutospacing="1"/>
    </w:pPr>
    <w:rPr>
      <w:rFonts w:ascii="Times New Roman" w:hAnsi="Times New Roman" w:eastAsia="Times New Roman" w:cs="Times New Roman"/>
      <w:szCs w:val="24"/>
      <w:lang w:val="es-CO" w:eastAsia="es-CO"/>
    </w:rPr>
  </w:style>
  <w:style w:type="character" w:customStyle="1" w:styleId="33">
    <w:name w:val="normaltextrun"/>
    <w:basedOn w:val="5"/>
    <w:qFormat/>
    <w:uiPriority w:val="0"/>
  </w:style>
  <w:style w:type="character" w:customStyle="1" w:styleId="34">
    <w:name w:val="eop"/>
    <w:basedOn w:val="5"/>
    <w:qFormat/>
    <w:uiPriority w:val="0"/>
  </w:style>
  <w:style w:type="character" w:customStyle="1" w:styleId="35">
    <w:name w:val="contextualspellingandgrammarerror"/>
    <w:basedOn w:val="5"/>
    <w:qFormat/>
    <w:uiPriority w:val="0"/>
  </w:style>
  <w:style w:type="character" w:customStyle="1" w:styleId="36">
    <w:name w:val="Párrafo de lista Car"/>
    <w:basedOn w:val="5"/>
    <w:link w:val="31"/>
    <w:qFormat/>
    <w:uiPriority w:val="34"/>
    <w:rPr>
      <w:sz w:val="20"/>
      <w:lang w:val="es-MX"/>
    </w:rPr>
  </w:style>
  <w:style w:type="paragraph" w:customStyle="1" w:styleId="37">
    <w:name w:val="cláusulas"/>
    <w:basedOn w:val="1"/>
    <w:qFormat/>
    <w:uiPriority w:val="0"/>
    <w:pPr>
      <w:numPr>
        <w:ilvl w:val="0"/>
        <w:numId w:val="2"/>
      </w:numPr>
      <w:spacing w:before="120" w:after="120"/>
      <w:ind w:left="644"/>
    </w:pPr>
    <w:rPr>
      <w:b/>
      <w:lang w:val="es-CO"/>
    </w:rPr>
  </w:style>
  <w:style w:type="character" w:customStyle="1" w:styleId="38">
    <w:name w:val="Texto comentario Car"/>
    <w:basedOn w:val="5"/>
    <w:link w:val="13"/>
    <w:uiPriority w:val="99"/>
    <w:rPr>
      <w:sz w:val="20"/>
      <w:szCs w:val="20"/>
      <w:lang w:val="es-MX"/>
    </w:rPr>
  </w:style>
  <w:style w:type="character" w:customStyle="1" w:styleId="39">
    <w:name w:val="Asunto del comentario Car"/>
    <w:basedOn w:val="38"/>
    <w:link w:val="12"/>
    <w:semiHidden/>
    <w:qFormat/>
    <w:uiPriority w:val="99"/>
    <w:rPr>
      <w:b/>
      <w:bCs/>
      <w:sz w:val="20"/>
      <w:szCs w:val="20"/>
      <w:lang w:val="es-MX"/>
    </w:rPr>
  </w:style>
  <w:style w:type="paragraph" w:customStyle="1" w:styleId="40">
    <w:name w:val="Cláusula 10"/>
    <w:basedOn w:val="1"/>
    <w:qFormat/>
    <w:uiPriority w:val="0"/>
    <w:pPr>
      <w:numPr>
        <w:ilvl w:val="0"/>
        <w:numId w:val="3"/>
      </w:numPr>
    </w:pPr>
    <w:rPr>
      <w:color w:val="3B3A3A" w:themeColor="background2" w:themeShade="BF"/>
    </w:rPr>
  </w:style>
  <w:style w:type="paragraph" w:customStyle="1" w:styleId="41">
    <w:name w:val="Invias Normal"/>
    <w:basedOn w:val="1"/>
    <w:link w:val="42"/>
    <w:qFormat/>
    <w:uiPriority w:val="0"/>
    <w:pPr>
      <w:tabs>
        <w:tab w:val="left" w:pos="-142"/>
      </w:tabs>
      <w:autoSpaceDE w:val="0"/>
      <w:autoSpaceDN w:val="0"/>
      <w:adjustRightInd w:val="0"/>
      <w:spacing w:before="120" w:after="240"/>
    </w:pPr>
    <w:rPr>
      <w:rFonts w:ascii="Arial Narrow" w:hAnsi="Arial Narrow" w:eastAsia="Times New Roman" w:cs="Times New Roman"/>
      <w:color w:val="141313" w:themeColor="background2" w:themeShade="40"/>
      <w:sz w:val="24"/>
      <w:szCs w:val="24"/>
      <w:lang w:val="zh-CN" w:eastAsia="es-ES"/>
    </w:rPr>
  </w:style>
  <w:style w:type="character" w:customStyle="1" w:styleId="42">
    <w:name w:val="Invias Normal Car"/>
    <w:link w:val="41"/>
    <w:qFormat/>
    <w:locked/>
    <w:uiPriority w:val="0"/>
    <w:rPr>
      <w:rFonts w:ascii="Arial Narrow" w:hAnsi="Arial Narrow" w:eastAsia="Times New Roman" w:cs="Times New Roman"/>
      <w:color w:val="141313" w:themeColor="background2" w:themeShade="40"/>
      <w:sz w:val="24"/>
      <w:szCs w:val="24"/>
      <w:lang w:val="zh-CN" w:eastAsia="es-ES"/>
    </w:rPr>
  </w:style>
  <w:style w:type="paragraph" w:customStyle="1" w:styleId="43">
    <w:name w:val="Revision"/>
    <w:hidden/>
    <w:semiHidden/>
    <w:qFormat/>
    <w:uiPriority w:val="99"/>
    <w:pPr>
      <w:spacing w:after="0" w:line="240" w:lineRule="auto"/>
    </w:pPr>
    <w:rPr>
      <w:rFonts w:asciiTheme="minorHAnsi" w:hAnsiTheme="minorHAnsi" w:eastAsiaTheme="minorHAnsi" w:cstheme="minorBidi"/>
      <w:sz w:val="20"/>
      <w:szCs w:val="22"/>
      <w:lang w:val="es-MX" w:eastAsia="en-US" w:bidi="ar-SA"/>
    </w:rPr>
  </w:style>
  <w:style w:type="paragraph" w:customStyle="1" w:styleId="44">
    <w:name w:val="Capítulo 9"/>
    <w:basedOn w:val="1"/>
    <w:qFormat/>
    <w:uiPriority w:val="0"/>
    <w:pPr>
      <w:numPr>
        <w:ilvl w:val="0"/>
        <w:numId w:val="4"/>
      </w:numPr>
    </w:pPr>
  </w:style>
  <w:style w:type="table" w:customStyle="1" w:styleId="45">
    <w:name w:val="Cuadrícula de tabla clara1"/>
    <w:basedOn w:val="6"/>
    <w:uiPriority w:val="99"/>
    <w:pPr>
      <w:spacing w:after="0" w:line="240" w:lineRule="auto"/>
    </w:pPr>
    <w:rPr>
      <w:rFonts w:ascii="Calibri" w:hAnsi="Calibri" w:eastAsia="Calibri" w:cs="Times New Roman"/>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
  </w:style>
  <w:style w:type="table" w:customStyle="1" w:styleId="46">
    <w:name w:val="Grid Table Light"/>
    <w:basedOn w:val="6"/>
    <w:qFormat/>
    <w:uiPriority w:val="40"/>
    <w:pPr>
      <w:spacing w:after="0" w:line="240" w:lineRule="auto"/>
    </w:pPr>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
  </w:style>
  <w:style w:type="character" w:customStyle="1" w:styleId="47">
    <w:name w:val="Mención sin resolver1"/>
    <w:basedOn w:val="5"/>
    <w:unhideWhenUsed/>
    <w:uiPriority w:val="99"/>
    <w:rPr>
      <w:color w:val="605E5C"/>
      <w:shd w:val="clear" w:color="auto" w:fill="E1DFDD"/>
    </w:rPr>
  </w:style>
  <w:style w:type="character" w:customStyle="1" w:styleId="48">
    <w:name w:val="Mencionar1"/>
    <w:basedOn w:val="5"/>
    <w:unhideWhenUsed/>
    <w:uiPriority w:val="99"/>
    <w:rPr>
      <w:color w:val="2B579A"/>
      <w:shd w:val="clear" w:color="auto" w:fill="E1DFDD"/>
    </w:rPr>
  </w:style>
  <w:style w:type="character" w:customStyle="1" w:styleId="49">
    <w:name w:val="Mention1"/>
    <w:basedOn w:val="5"/>
    <w:unhideWhenUsed/>
    <w:qFormat/>
    <w:uiPriority w:val="99"/>
    <w:rPr>
      <w:color w:val="2B579A"/>
      <w:shd w:val="clear" w:color="auto" w:fill="E1DFDD"/>
    </w:rPr>
  </w:style>
  <w:style w:type="character" w:customStyle="1" w:styleId="50">
    <w:name w:val="Mention2"/>
    <w:basedOn w:val="5"/>
    <w:unhideWhenUsed/>
    <w:qFormat/>
    <w:uiPriority w:val="99"/>
    <w:rPr>
      <w:color w:val="2B579A"/>
      <w:shd w:val="clear" w:color="auto" w:fill="E1DFDD"/>
    </w:rPr>
  </w:style>
  <w:style w:type="character" w:customStyle="1" w:styleId="51">
    <w:name w:val="Unresolved Mention1"/>
    <w:basedOn w:val="5"/>
    <w:unhideWhenUsed/>
    <w:qFormat/>
    <w:uiPriority w:val="99"/>
    <w:rPr>
      <w:color w:val="605E5C"/>
      <w:shd w:val="clear" w:color="auto" w:fill="E1DFDD"/>
    </w:rPr>
  </w:style>
  <w:style w:type="character" w:customStyle="1" w:styleId="52">
    <w:name w:val="Mention"/>
    <w:basedOn w:val="5"/>
    <w:unhideWhenUsed/>
    <w:uiPriority w:val="99"/>
    <w:rPr>
      <w:color w:val="2B579A"/>
      <w:shd w:val="clear" w:color="auto" w:fill="E1DFDD"/>
    </w:rPr>
  </w:style>
  <w:style w:type="paragraph" w:customStyle="1" w:styleId="53">
    <w:name w:val="Table Paragraph"/>
    <w:basedOn w:val="1"/>
    <w:qFormat/>
    <w:uiPriority w:val="1"/>
    <w:pPr>
      <w:widowControl w:val="0"/>
      <w:autoSpaceDE w:val="0"/>
      <w:autoSpaceDN w:val="0"/>
      <w:jc w:val="left"/>
    </w:pPr>
    <w:rPr>
      <w:rFonts w:ascii="Arial MT" w:hAnsi="Arial MT" w:eastAsia="Arial MT" w:cs="Arial MT"/>
      <w:sz w:val="22"/>
      <w:lang w:val="es-ES"/>
    </w:rPr>
  </w:style>
  <w:style w:type="paragraph" w:customStyle="1" w:styleId="54">
    <w:name w:val="Capítulo 7"/>
    <w:basedOn w:val="31"/>
    <w:qFormat/>
    <w:uiPriority w:val="0"/>
    <w:pPr>
      <w:numPr>
        <w:ilvl w:val="0"/>
        <w:numId w:val="5"/>
      </w:numPr>
      <w:spacing w:after="200" w:line="276" w:lineRule="auto"/>
      <w:jc w:val="left"/>
    </w:pPr>
    <w:rPr>
      <w:rFonts w:ascii="Arial" w:hAnsi="Arial" w:eastAsia="Calibri" w:cs="Arial"/>
      <w:b/>
      <w:bCs/>
      <w:color w:val="1C1C1C"/>
      <w:szCs w:val="20"/>
      <w:lang w:val="es-CO" w:eastAsia="es-CO"/>
    </w:rPr>
  </w:style>
  <w:style w:type="table" w:customStyle="1" w:styleId="55">
    <w:name w:val="Ecotabla-32"/>
    <w:basedOn w:val="6"/>
    <w:qFormat/>
    <w:uiPriority w:val="39"/>
    <w:pPr>
      <w:spacing w:after="0" w:line="240" w:lineRule="auto"/>
    </w:pPr>
    <w:rPr>
      <w:rFonts w:ascii="Calibri" w:hAnsi="Calibri" w:eastAsia="Calibri"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56">
    <w:name w:val="msolistparagraph"/>
    <w:uiPriority w:val="0"/>
    <w:pPr>
      <w:keepNext w:val="0"/>
      <w:keepLines w:val="0"/>
      <w:widowControl/>
      <w:suppressLineNumbers w:val="0"/>
      <w:spacing w:before="0" w:beforeAutospacing="0" w:after="200" w:afterAutospacing="0" w:line="276" w:lineRule="auto"/>
      <w:ind w:left="720" w:right="0"/>
      <w:contextualSpacing/>
      <w:jc w:val="left"/>
    </w:pPr>
    <w:rPr>
      <w:rFonts w:hint="eastAsia" w:ascii="Calibri" w:hAnsi="Calibri" w:eastAsia="等线" w:cs="Times New Roman"/>
      <w:kern w:val="0"/>
      <w:sz w:val="22"/>
      <w:szCs w:val="22"/>
      <w:lang w:val="en-US" w:eastAsia="zh-CN" w:bidi="ar"/>
    </w:rPr>
  </w:style>
  <w:style w:type="paragraph" w:customStyle="1" w:styleId="57">
    <w:name w:val="msonospacing"/>
    <w:uiPriority w:val="0"/>
    <w:pPr>
      <w:keepNext w:val="0"/>
      <w:keepLines w:val="0"/>
      <w:widowControl/>
      <w:suppressLineNumbers w:val="0"/>
      <w:spacing w:before="0" w:beforeAutospacing="0" w:after="0" w:afterAutospacing="0"/>
      <w:ind w:left="0" w:right="0"/>
      <w:jc w:val="left"/>
    </w:pPr>
    <w:rPr>
      <w:rFonts w:hint="eastAsia" w:ascii="Calibri" w:hAnsi="Calibri" w:eastAsia="Times New Roman" w:cs="Times New Roman"/>
      <w:kern w:val="0"/>
      <w:sz w:val="20"/>
      <w:szCs w:val="20"/>
      <w:lang w:val="en-US" w:eastAsia="zh-CN" w:bidi="ar"/>
    </w:rPr>
  </w:style>
  <w:style w:type="character" w:customStyle="1" w:styleId="58">
    <w:name w:val="Sin espaciado Car"/>
    <w:uiPriority w:val="0"/>
    <w:rPr>
      <w:rFonts w:hint="default" w:ascii="Times New Roman" w:hAnsi="Times New Roman" w:eastAsia="Times New Roman" w:cs="Times New Roman"/>
    </w:rPr>
  </w:style>
  <w:style w:type="character" w:customStyle="1" w:styleId="59">
    <w:name w:val="Texto independiente Car"/>
    <w:link w:val="19"/>
    <w:uiPriority w:val="0"/>
    <w:rPr>
      <w:rFonts w:hint="default" w:ascii="Georgia" w:hAnsi="Georgia" w:eastAsia="Georgia" w:cs="Georgia"/>
      <w:lang w:eastAsia="en-US"/>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4.xml"/><Relationship Id="rId14" Type="http://schemas.openxmlformats.org/officeDocument/2006/relationships/customXml" Target="../customXml/item3.xml"/><Relationship Id="rId13" Type="http://schemas.openxmlformats.org/officeDocument/2006/relationships/customXml" Target="../customXml/item2.xml"/><Relationship Id="rId12" Type="http://schemas.openxmlformats.org/officeDocument/2006/relationships/customXml" Target="../customXml/item1.xml"/><Relationship Id="rId11" Type="http://schemas.openxmlformats.org/officeDocument/2006/relationships/numbering" Target="numbering.xml"/><Relationship Id="rId10" Type="http://schemas.openxmlformats.org/officeDocument/2006/relationships/image" Target="media/image4.emf"/><Relationship Id="rId1" Type="http://schemas.openxmlformats.org/officeDocument/2006/relationships/styles" Target="styles.xml"/></Relationships>
</file>

<file path=word/_rels/foot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E3BF771-DCDC-4672-9AD1-21BE5BD7C953}">
  <ds:schemaRefs/>
</ds:datastoreItem>
</file>

<file path=customXml/itemProps2.xml><?xml version="1.0" encoding="utf-8"?>
<ds:datastoreItem xmlns:ds="http://schemas.openxmlformats.org/officeDocument/2006/customXml" ds:itemID="{6E575261-246E-4264-9F83-62CC6AC70AD7}">
  <ds:schemaRefs/>
</ds:datastoreItem>
</file>

<file path=customXml/itemProps3.xml><?xml version="1.0" encoding="utf-8"?>
<ds:datastoreItem xmlns:ds="http://schemas.openxmlformats.org/officeDocument/2006/customXml" ds:itemID="{36B69ADA-F410-4239-83F2-1EB31363E2CF}">
  <ds:schemaRefs/>
</ds:datastoreItem>
</file>

<file path=customXml/itemProps4.xml><?xml version="1.0" encoding="utf-8"?>
<ds:datastoreItem xmlns:ds="http://schemas.openxmlformats.org/officeDocument/2006/customXml" ds:itemID="{06FA5C1C-01DB-40AD-8C32-D58257C8B8C8}">
  <ds:schemaRefs/>
</ds:datastoreItem>
</file>

<file path=docProps/app.xml><?xml version="1.0" encoding="utf-8"?>
<Properties xmlns="http://schemas.openxmlformats.org/officeDocument/2006/extended-properties" xmlns:vt="http://schemas.openxmlformats.org/officeDocument/2006/docPropsVTypes">
  <Template>Normal</Template>
  <Pages>14</Pages>
  <Words>4473</Words>
  <Characters>24769</Characters>
  <Lines>207</Lines>
  <Paragraphs>58</Paragraphs>
  <TotalTime>210</TotalTime>
  <ScaleCrop>false</ScaleCrop>
  <LinksUpToDate>false</LinksUpToDate>
  <CharactersWithSpaces>29115</CharactersWithSpaces>
  <Application>WPS Office_12.1.0.26880_F1E327BC-269C-435d-A152-05C5408002CA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2026-06-05T11:07:00Z</dcterms:created>
  <dc:creator>Natalia Andrea Estupiñán Castro</dc:creator>
  <cp:lastModifiedBy>darrieta</cp:lastModifiedBy>
  <cp:lastPrinted>2022-07-26T20:53:00Z</cp:lastPrinted>
  <dcterms:modified xsi:type="dcterms:W3CDTF">2026-06-26T05:49:11Z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y fmtid="{D5CDD505-2E9C-101B-9397-08002B2CF9AE}" pid="4" name="KSOProductBuildVer">
    <vt:lpwstr>2058-12.1.0.26880</vt:lpwstr>
  </property>
  <property fmtid="{D5CDD505-2E9C-101B-9397-08002B2CF9AE}" pid="5" name="ICV">
    <vt:lpwstr>E9851B1B506D461A9E3ADE546EA47A13_13</vt:lpwstr>
  </property>
  <property fmtid="{D5CDD505-2E9C-101B-9397-08002B2CF9AE}" pid="6" name="KSOTemplateDocerSaveRecord">
    <vt:lpwstr>eyJoZGlkIjoiZWYxNWJiOGRhZDVmNWY4ZmYxYzQxNzcyNGI1NmNiOTcifQ==</vt:lpwstr>
  </property>
</Properties>
</file>