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B715D4" w:rsidRDefault="00D72554" w:rsidP="273F25F1">
      <w:pPr>
        <w:spacing w:after="0" w:line="240" w:lineRule="auto"/>
        <w:jc w:val="both"/>
        <w:rPr>
          <w:rFonts w:ascii="Verdana" w:eastAsia="Arial" w:hAnsi="Verdana" w:cs="Arial"/>
          <w:lang w:val="es-CO"/>
        </w:rPr>
      </w:pPr>
    </w:p>
    <w:p w14:paraId="4977A4F0" w14:textId="5E00B703" w:rsidR="00D72554" w:rsidRPr="00B715D4" w:rsidRDefault="00D72554" w:rsidP="07FA77B4">
      <w:pPr>
        <w:spacing w:after="0" w:line="240" w:lineRule="auto"/>
        <w:jc w:val="both"/>
        <w:rPr>
          <w:rFonts w:ascii="Verdana" w:eastAsia="Arial" w:hAnsi="Verdana" w:cs="Arial"/>
          <w:lang w:val="es-CO"/>
        </w:rPr>
      </w:pPr>
      <w:r w:rsidRPr="00B715D4">
        <w:rPr>
          <w:rFonts w:ascii="Verdana" w:eastAsia="Arial" w:hAnsi="Verdana" w:cs="Arial"/>
          <w:lang w:val="es-CO"/>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0B715D4">
        <w:rPr>
          <w:rFonts w:ascii="Verdana" w:eastAsia="Arial" w:hAnsi="Verdana" w:cs="Arial"/>
          <w:lang w:val="es-CO"/>
        </w:rPr>
        <w:t>l sector social e</w:t>
      </w:r>
      <w:r w:rsidR="740DC592" w:rsidRPr="00B715D4">
        <w:rPr>
          <w:rFonts w:ascii="Verdana" w:eastAsia="Arial" w:hAnsi="Verdana" w:cs="Arial"/>
          <w:lang w:val="es-CO"/>
        </w:rPr>
        <w:t xml:space="preserve">n </w:t>
      </w:r>
      <w:r w:rsidR="00617BA8" w:rsidRPr="00B715D4">
        <w:rPr>
          <w:rFonts w:ascii="Verdana" w:eastAsia="Arial" w:hAnsi="Verdana" w:cs="Arial"/>
          <w:lang w:val="es-CO"/>
        </w:rPr>
        <w:t>Cultura, Recreación y Deporte</w:t>
      </w:r>
      <w:r w:rsidRPr="00B715D4">
        <w:rPr>
          <w:rFonts w:ascii="Verdana" w:eastAsia="Arial" w:hAnsi="Verdana" w:cs="Arial"/>
          <w:lang w:val="es-CO"/>
        </w:rPr>
        <w:t>.</w:t>
      </w:r>
    </w:p>
    <w:p w14:paraId="0DFF78BC" w14:textId="77777777" w:rsidR="00D72554" w:rsidRPr="00B715D4" w:rsidRDefault="00D72554" w:rsidP="00D72554">
      <w:pPr>
        <w:spacing w:after="0" w:line="240" w:lineRule="auto"/>
        <w:jc w:val="both"/>
        <w:rPr>
          <w:rFonts w:ascii="Verdana" w:eastAsia="Arial" w:hAnsi="Verdana" w:cs="Arial"/>
          <w:szCs w:val="24"/>
          <w:lang w:val="es-CO"/>
        </w:rPr>
      </w:pPr>
    </w:p>
    <w:p w14:paraId="2A81ABE0" w14:textId="77777777" w:rsidR="00A76A0A" w:rsidRPr="00B715D4" w:rsidRDefault="00A76A0A" w:rsidP="00A76A0A">
      <w:pPr>
        <w:spacing w:after="0" w:line="240" w:lineRule="auto"/>
        <w:jc w:val="both"/>
        <w:rPr>
          <w:rFonts w:ascii="Verdana" w:eastAsia="Arial" w:hAnsi="Verdana" w:cs="Arial"/>
          <w:szCs w:val="24"/>
          <w:lang w:val="es-CO"/>
        </w:rPr>
      </w:pPr>
      <w:r w:rsidRPr="00B715D4">
        <w:rPr>
          <w:rFonts w:ascii="Verdana" w:eastAsia="Arial" w:hAnsi="Verdana" w:cs="Arial"/>
          <w:szCs w:val="24"/>
          <w:lang w:val="es-CO"/>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B715D4" w:rsidRDefault="00A76A0A" w:rsidP="00A76A0A">
      <w:pPr>
        <w:spacing w:after="0" w:line="240" w:lineRule="auto"/>
        <w:jc w:val="both"/>
        <w:rPr>
          <w:rFonts w:ascii="Verdana" w:eastAsia="Arial" w:hAnsi="Verdana" w:cs="Arial"/>
          <w:bCs/>
          <w:szCs w:val="28"/>
          <w:lang w:val="es-CO"/>
        </w:rPr>
      </w:pPr>
    </w:p>
    <w:p w14:paraId="0D13667A" w14:textId="37AE4B05" w:rsidR="00A76A0A" w:rsidRPr="00B715D4"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B715D4">
        <w:rPr>
          <w:rFonts w:ascii="Verdana" w:eastAsia="Arial" w:hAnsi="Verdana" w:cs="Arial"/>
          <w:iCs/>
          <w:color w:val="000000"/>
          <w:lang w:val="es-CO"/>
        </w:rPr>
        <w:t xml:space="preserve">Identificar dentro del Presupuesto </w:t>
      </w:r>
      <w:r w:rsidRPr="00B715D4">
        <w:rPr>
          <w:rFonts w:ascii="Verdana" w:eastAsia="Arial" w:hAnsi="Verdana" w:cs="Arial"/>
          <w:color w:val="000000"/>
          <w:lang w:val="es-CO"/>
        </w:rPr>
        <w:t>O</w:t>
      </w:r>
      <w:r w:rsidRPr="00B715D4">
        <w:rPr>
          <w:rFonts w:ascii="Verdana" w:eastAsia="Arial" w:hAnsi="Verdana" w:cs="Arial"/>
          <w:iCs/>
          <w:color w:val="000000"/>
          <w:lang w:val="es-CO"/>
        </w:rPr>
        <w:t>ficial los bienes o insumos requeridos para la ejecución del proyecto.</w:t>
      </w:r>
    </w:p>
    <w:p w14:paraId="4E8CD06A" w14:textId="77777777" w:rsidR="00AD46BF" w:rsidRPr="00B715D4"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B715D4"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B715D4">
        <w:rPr>
          <w:rFonts w:ascii="Verdana" w:hAnsi="Verdana" w:cs="Arial"/>
          <w:color w:val="000000"/>
          <w:sz w:val="22"/>
          <w:szCs w:val="24"/>
          <w:lang w:val="es-CO"/>
        </w:rPr>
        <w:t xml:space="preserve">Calcular el </w:t>
      </w:r>
      <w:r w:rsidRPr="00B715D4">
        <w:rPr>
          <w:rFonts w:ascii="Verdana" w:hAnsi="Verdana" w:cs="Arial"/>
          <w:b/>
          <w:i/>
          <w:color w:val="000000"/>
          <w:sz w:val="22"/>
          <w:szCs w:val="24"/>
          <w:lang w:val="es-CO"/>
        </w:rPr>
        <w:t xml:space="preserve">valor parcial </w:t>
      </w:r>
      <w:r w:rsidRPr="00B715D4">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B715D4" w:rsidRDefault="00AD46BF" w:rsidP="00AD46BF">
      <w:pPr>
        <w:pStyle w:val="Prrafodelista"/>
        <w:rPr>
          <w:rFonts w:ascii="Verdana" w:hAnsi="Verdana" w:cs="Arial"/>
          <w:i/>
          <w:color w:val="000000"/>
          <w:sz w:val="22"/>
          <w:lang w:val="es-CO"/>
        </w:rPr>
      </w:pPr>
    </w:p>
    <w:p w14:paraId="06EF67B8" w14:textId="77777777" w:rsidR="00AD46BF" w:rsidRPr="00B715D4"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B715D4">
        <w:rPr>
          <w:rFonts w:ascii="Verdana" w:hAnsi="Verdana" w:cs="Arial"/>
          <w:color w:val="000000"/>
          <w:sz w:val="22"/>
          <w:szCs w:val="24"/>
          <w:lang w:val="es-CO"/>
        </w:rPr>
        <w:t>Calcular el</w:t>
      </w:r>
      <w:r w:rsidRPr="00B715D4">
        <w:rPr>
          <w:rFonts w:ascii="Verdana" w:hAnsi="Verdana" w:cs="Arial"/>
          <w:b/>
          <w:i/>
          <w:color w:val="000000"/>
          <w:sz w:val="22"/>
          <w:szCs w:val="24"/>
          <w:lang w:val="es-CO"/>
        </w:rPr>
        <w:t xml:space="preserve"> valor total</w:t>
      </w:r>
      <w:r w:rsidRPr="00B715D4">
        <w:rPr>
          <w:rFonts w:ascii="Verdana" w:hAnsi="Verdana" w:cs="Arial"/>
          <w:bCs/>
          <w:iCs/>
          <w:color w:val="000000"/>
          <w:sz w:val="22"/>
          <w:szCs w:val="24"/>
          <w:lang w:val="es-CO"/>
        </w:rPr>
        <w:t xml:space="preserve"> </w:t>
      </w:r>
      <w:r w:rsidRPr="00B715D4">
        <w:rPr>
          <w:rFonts w:ascii="Verdana" w:hAnsi="Verdana" w:cs="Arial"/>
          <w:color w:val="000000"/>
          <w:sz w:val="22"/>
          <w:szCs w:val="24"/>
          <w:lang w:val="es-CO"/>
        </w:rPr>
        <w:t>realizando la sumatoria</w:t>
      </w:r>
      <w:r w:rsidRPr="00B715D4">
        <w:rPr>
          <w:rFonts w:ascii="Verdana" w:hAnsi="Verdana" w:cs="Arial"/>
          <w:b/>
          <w:i/>
          <w:color w:val="000000"/>
          <w:sz w:val="22"/>
          <w:szCs w:val="24"/>
          <w:lang w:val="es-CO"/>
        </w:rPr>
        <w:t xml:space="preserve"> </w:t>
      </w:r>
      <w:r w:rsidRPr="00B715D4">
        <w:rPr>
          <w:rFonts w:ascii="Verdana" w:hAnsi="Verdana" w:cs="Arial"/>
          <w:color w:val="000000"/>
          <w:sz w:val="22"/>
          <w:szCs w:val="24"/>
          <w:lang w:val="es-CO"/>
        </w:rPr>
        <w:t xml:space="preserve">de los </w:t>
      </w:r>
      <w:r w:rsidRPr="00B715D4">
        <w:rPr>
          <w:rFonts w:ascii="Verdana" w:hAnsi="Verdana" w:cs="Arial"/>
          <w:b/>
          <w:i/>
          <w:color w:val="000000"/>
          <w:sz w:val="22"/>
          <w:szCs w:val="24"/>
          <w:lang w:val="es-CO"/>
        </w:rPr>
        <w:t>valores parciales</w:t>
      </w:r>
      <w:r w:rsidRPr="00B715D4">
        <w:rPr>
          <w:rFonts w:ascii="Verdana" w:hAnsi="Verdana" w:cs="Arial"/>
          <w:color w:val="000000"/>
          <w:sz w:val="22"/>
          <w:szCs w:val="24"/>
          <w:lang w:val="es-CO"/>
        </w:rPr>
        <w:t xml:space="preserve"> de los bienes o insumos requeridos en el proyecto.</w:t>
      </w:r>
    </w:p>
    <w:p w14:paraId="296A9F0A" w14:textId="77777777" w:rsidR="00AD46BF" w:rsidRPr="00B715D4" w:rsidRDefault="00AD46BF" w:rsidP="00AD46BF">
      <w:pPr>
        <w:pStyle w:val="Prrafodelista"/>
        <w:rPr>
          <w:rFonts w:ascii="Verdana" w:hAnsi="Verdana" w:cs="Arial"/>
          <w:i/>
          <w:color w:val="000000"/>
          <w:sz w:val="22"/>
          <w:lang w:val="es-CO"/>
        </w:rPr>
      </w:pPr>
    </w:p>
    <w:p w14:paraId="7A640803" w14:textId="77777777" w:rsidR="00AD46BF" w:rsidRPr="00B715D4"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B715D4">
        <w:rPr>
          <w:rFonts w:ascii="Verdana" w:hAnsi="Verdana" w:cs="Arial"/>
          <w:color w:val="000000"/>
          <w:sz w:val="22"/>
          <w:szCs w:val="24"/>
          <w:lang w:val="es-CO"/>
        </w:rPr>
        <w:t xml:space="preserve">Determinar el </w:t>
      </w:r>
      <w:r w:rsidRPr="00B715D4">
        <w:rPr>
          <w:rFonts w:ascii="Verdana" w:hAnsi="Verdana" w:cs="Arial"/>
          <w:b/>
          <w:i/>
          <w:color w:val="000000"/>
          <w:sz w:val="22"/>
          <w:szCs w:val="24"/>
          <w:lang w:val="es-CO"/>
        </w:rPr>
        <w:t>porcentaje de participación</w:t>
      </w:r>
      <w:r w:rsidRPr="00B715D4">
        <w:rPr>
          <w:rFonts w:ascii="Verdana" w:hAnsi="Verdana" w:cs="Arial"/>
          <w:i/>
          <w:color w:val="000000"/>
          <w:sz w:val="22"/>
          <w:szCs w:val="24"/>
          <w:lang w:val="es-CO"/>
        </w:rPr>
        <w:t xml:space="preserve"> </w:t>
      </w:r>
      <w:r w:rsidRPr="00B715D4">
        <w:rPr>
          <w:rFonts w:ascii="Verdana" w:hAnsi="Verdana" w:cs="Arial"/>
          <w:color w:val="000000"/>
          <w:sz w:val="22"/>
          <w:szCs w:val="24"/>
          <w:lang w:val="es-CO"/>
        </w:rPr>
        <w:t xml:space="preserve">de cada bien o insumo usando su </w:t>
      </w:r>
      <w:r w:rsidRPr="00B715D4">
        <w:rPr>
          <w:rFonts w:ascii="Verdana" w:hAnsi="Verdana" w:cs="Arial"/>
          <w:b/>
          <w:i/>
          <w:color w:val="000000"/>
          <w:sz w:val="22"/>
          <w:szCs w:val="24"/>
          <w:lang w:val="es-CO"/>
        </w:rPr>
        <w:t>valor parcial</w:t>
      </w:r>
      <w:r w:rsidRPr="00B715D4">
        <w:rPr>
          <w:rFonts w:ascii="Verdana" w:hAnsi="Verdana" w:cs="Arial"/>
          <w:color w:val="000000"/>
          <w:sz w:val="22"/>
          <w:szCs w:val="24"/>
          <w:lang w:val="es-CO"/>
        </w:rPr>
        <w:t xml:space="preserve"> divido por el </w:t>
      </w:r>
      <w:r w:rsidRPr="00B715D4">
        <w:rPr>
          <w:rFonts w:ascii="Verdana" w:hAnsi="Verdana" w:cs="Arial"/>
          <w:b/>
          <w:i/>
          <w:color w:val="000000"/>
          <w:sz w:val="22"/>
          <w:szCs w:val="24"/>
          <w:lang w:val="es-CO"/>
        </w:rPr>
        <w:t>valor total</w:t>
      </w:r>
      <w:r w:rsidRPr="00B715D4">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B715D4"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Pr="00B715D4"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B715D4">
        <w:rPr>
          <w:rFonts w:ascii="Verdana" w:hAnsi="Verdana"/>
          <w:noProof/>
          <w:sz w:val="24"/>
          <w:szCs w:val="24"/>
          <w:lang w:val="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B715D4"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B715D4"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B715D4">
        <w:rPr>
          <w:rFonts w:ascii="Verdana" w:eastAsia="Arial" w:hAnsi="Verdana" w:cs="Arial"/>
          <w:color w:val="000000"/>
          <w:szCs w:val="24"/>
          <w:lang w:val="es-CO"/>
        </w:rPr>
        <w:t>Determinar el</w:t>
      </w:r>
      <w:r w:rsidRPr="00B715D4">
        <w:rPr>
          <w:rFonts w:ascii="Verdana" w:eastAsia="Arial" w:hAnsi="Verdana" w:cs="Arial"/>
          <w:b/>
          <w:i/>
          <w:color w:val="000000"/>
          <w:szCs w:val="24"/>
          <w:lang w:val="es-CO"/>
        </w:rPr>
        <w:t xml:space="preserve"> porcentaje acumulado </w:t>
      </w:r>
      <w:r w:rsidRPr="00B715D4">
        <w:rPr>
          <w:rFonts w:ascii="Verdana" w:eastAsia="Arial" w:hAnsi="Verdana" w:cs="Arial"/>
          <w:bCs/>
          <w:iCs/>
          <w:color w:val="000000"/>
          <w:szCs w:val="24"/>
          <w:lang w:val="es-CO"/>
        </w:rPr>
        <w:t>entendido como la sumatoria de los porcentajes de participación definidos en el numeral anterior. P</w:t>
      </w:r>
      <w:r w:rsidRPr="00B715D4">
        <w:rPr>
          <w:rFonts w:ascii="Verdana" w:eastAsia="Arial" w:hAnsi="Verdana" w:cs="Arial"/>
          <w:color w:val="000000"/>
          <w:szCs w:val="24"/>
          <w:lang w:val="es-CO"/>
        </w:rPr>
        <w:t xml:space="preserve">ara lo cual, se sugiere, organizar los bienes en una tabla, en orden descendente según su </w:t>
      </w:r>
      <w:r w:rsidRPr="00B715D4">
        <w:rPr>
          <w:rFonts w:ascii="Verdana" w:eastAsia="Arial" w:hAnsi="Verdana" w:cs="Arial"/>
          <w:b/>
          <w:i/>
          <w:color w:val="000000"/>
          <w:szCs w:val="24"/>
          <w:lang w:val="es-CO"/>
        </w:rPr>
        <w:t>porcentaje de participación,</w:t>
      </w:r>
      <w:r w:rsidRPr="00B715D4">
        <w:rPr>
          <w:rFonts w:ascii="Verdana" w:eastAsia="Arial" w:hAnsi="Verdana" w:cs="Arial"/>
          <w:color w:val="000000"/>
          <w:szCs w:val="24"/>
          <w:lang w:val="es-CO"/>
        </w:rPr>
        <w:t xml:space="preserve"> disponiendo una fila por cada bien, una columna para el nombre o descripción del bien, otra para el </w:t>
      </w:r>
      <w:r w:rsidRPr="00B715D4">
        <w:rPr>
          <w:rFonts w:ascii="Verdana" w:eastAsia="Arial" w:hAnsi="Verdana" w:cs="Arial"/>
          <w:b/>
          <w:i/>
          <w:color w:val="000000"/>
          <w:szCs w:val="24"/>
          <w:lang w:val="es-CO"/>
        </w:rPr>
        <w:t>porcentaje de participación</w:t>
      </w:r>
      <w:r w:rsidRPr="00B715D4">
        <w:rPr>
          <w:rFonts w:ascii="Verdana" w:eastAsia="Arial" w:hAnsi="Verdana" w:cs="Arial"/>
          <w:b/>
          <w:color w:val="000000"/>
          <w:szCs w:val="24"/>
          <w:lang w:val="es-CO"/>
        </w:rPr>
        <w:t xml:space="preserve"> </w:t>
      </w:r>
      <w:r w:rsidRPr="00B715D4">
        <w:rPr>
          <w:rFonts w:ascii="Verdana" w:eastAsia="Arial" w:hAnsi="Verdana" w:cs="Arial"/>
          <w:color w:val="000000"/>
          <w:szCs w:val="24"/>
          <w:lang w:val="es-CO"/>
        </w:rPr>
        <w:t xml:space="preserve">y otra en la que se consignará el </w:t>
      </w:r>
      <w:r w:rsidRPr="00B715D4">
        <w:rPr>
          <w:rFonts w:ascii="Verdana" w:eastAsia="Arial" w:hAnsi="Verdana" w:cs="Arial"/>
          <w:b/>
          <w:i/>
          <w:color w:val="000000"/>
          <w:szCs w:val="24"/>
          <w:lang w:val="es-CO"/>
        </w:rPr>
        <w:t>porcentaje acumulado.</w:t>
      </w:r>
      <w:r w:rsidRPr="00B715D4">
        <w:rPr>
          <w:rFonts w:ascii="Verdana" w:eastAsia="Arial" w:hAnsi="Verdana" w:cs="Arial"/>
          <w:b/>
          <w:color w:val="000000"/>
          <w:szCs w:val="24"/>
          <w:lang w:val="es-CO"/>
        </w:rPr>
        <w:t xml:space="preserve"> </w:t>
      </w:r>
    </w:p>
    <w:p w14:paraId="369AB5CF" w14:textId="77777777" w:rsidR="00152E47" w:rsidRPr="00B715D4"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B715D4"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B715D4">
        <w:rPr>
          <w:rFonts w:ascii="Verdana" w:eastAsia="Arial" w:hAnsi="Verdana" w:cs="Arial"/>
          <w:color w:val="000000"/>
          <w:szCs w:val="24"/>
          <w:lang w:val="es-CO"/>
        </w:rPr>
        <w:t>Al bien o insumo que tiene la mayor participación, es decir</w:t>
      </w:r>
      <w:r w:rsidR="00DA4845" w:rsidRPr="00B715D4">
        <w:rPr>
          <w:rFonts w:ascii="Verdana" w:eastAsia="Arial" w:hAnsi="Verdana" w:cs="Arial"/>
          <w:color w:val="000000"/>
          <w:szCs w:val="24"/>
          <w:lang w:val="es-CO"/>
        </w:rPr>
        <w:t>,</w:t>
      </w:r>
      <w:r w:rsidRPr="00B715D4">
        <w:rPr>
          <w:rFonts w:ascii="Verdana" w:eastAsia="Arial" w:hAnsi="Verdana" w:cs="Arial"/>
          <w:color w:val="000000"/>
          <w:szCs w:val="24"/>
          <w:lang w:val="es-CO"/>
        </w:rPr>
        <w:t xml:space="preserve"> el que ocupa el primer lugar en el listado, le corresponderá como </w:t>
      </w:r>
      <w:r w:rsidRPr="00B715D4">
        <w:rPr>
          <w:rFonts w:ascii="Verdana" w:eastAsia="Arial" w:hAnsi="Verdana" w:cs="Arial"/>
          <w:b/>
          <w:i/>
          <w:color w:val="000000"/>
          <w:szCs w:val="24"/>
          <w:lang w:val="es-CO"/>
        </w:rPr>
        <w:t>porcentaje acumulado</w:t>
      </w:r>
      <w:r w:rsidRPr="00B715D4">
        <w:rPr>
          <w:rFonts w:ascii="Verdana" w:eastAsia="Arial" w:hAnsi="Verdana" w:cs="Arial"/>
          <w:color w:val="000000"/>
          <w:szCs w:val="24"/>
          <w:lang w:val="es-CO"/>
        </w:rPr>
        <w:t xml:space="preserve"> el valor asignado como </w:t>
      </w:r>
      <w:r w:rsidRPr="00B715D4">
        <w:rPr>
          <w:rFonts w:ascii="Verdana" w:eastAsia="Arial" w:hAnsi="Verdana" w:cs="Arial"/>
          <w:b/>
          <w:i/>
          <w:color w:val="000000"/>
          <w:szCs w:val="24"/>
          <w:lang w:val="es-CO"/>
        </w:rPr>
        <w:t>porcentaje de participación</w:t>
      </w:r>
      <w:r w:rsidRPr="00B715D4">
        <w:rPr>
          <w:rFonts w:ascii="Verdana" w:eastAsia="Arial" w:hAnsi="Verdana" w:cs="Arial"/>
          <w:color w:val="000000"/>
          <w:szCs w:val="24"/>
          <w:lang w:val="es-CO"/>
        </w:rPr>
        <w:t xml:space="preserve">. Para el segundo bien el </w:t>
      </w:r>
      <w:r w:rsidRPr="00B715D4">
        <w:rPr>
          <w:rFonts w:ascii="Verdana" w:eastAsia="Arial" w:hAnsi="Verdana" w:cs="Arial"/>
          <w:b/>
          <w:bCs/>
          <w:i/>
          <w:iCs/>
          <w:color w:val="000000"/>
          <w:szCs w:val="24"/>
          <w:lang w:val="es-CO"/>
        </w:rPr>
        <w:t xml:space="preserve">porcentaje acumulado </w:t>
      </w:r>
      <w:r w:rsidRPr="00B715D4">
        <w:rPr>
          <w:rFonts w:ascii="Verdana" w:eastAsia="Arial" w:hAnsi="Verdana" w:cs="Arial"/>
          <w:color w:val="000000"/>
          <w:szCs w:val="24"/>
          <w:lang w:val="es-CO"/>
        </w:rPr>
        <w:t xml:space="preserve">será la suma de su porcentaje de participación con el </w:t>
      </w:r>
      <w:r w:rsidRPr="00B715D4">
        <w:rPr>
          <w:rFonts w:ascii="Verdana" w:eastAsia="Arial" w:hAnsi="Verdana" w:cs="Arial"/>
          <w:b/>
          <w:bCs/>
          <w:i/>
          <w:iCs/>
          <w:color w:val="000000"/>
          <w:szCs w:val="24"/>
          <w:lang w:val="es-CO"/>
        </w:rPr>
        <w:t>porcentaje acumulado</w:t>
      </w:r>
      <w:r w:rsidRPr="00B715D4">
        <w:rPr>
          <w:rFonts w:ascii="Verdana" w:eastAsia="Arial" w:hAnsi="Verdana" w:cs="Arial"/>
          <w:color w:val="000000"/>
          <w:szCs w:val="24"/>
          <w:lang w:val="es-CO"/>
        </w:rPr>
        <w:t xml:space="preserve"> asignado al bien que lo antecede en el listado. Del mismo modo, para el tercer bien el </w:t>
      </w:r>
      <w:r w:rsidRPr="00B715D4">
        <w:rPr>
          <w:rFonts w:ascii="Verdana" w:eastAsia="Arial" w:hAnsi="Verdana" w:cs="Arial"/>
          <w:b/>
          <w:bCs/>
          <w:i/>
          <w:iCs/>
          <w:color w:val="000000"/>
          <w:szCs w:val="24"/>
          <w:lang w:val="es-CO"/>
        </w:rPr>
        <w:t>porcentaje acumulado</w:t>
      </w:r>
      <w:r w:rsidRPr="00B715D4">
        <w:rPr>
          <w:rFonts w:ascii="Verdana" w:eastAsia="Arial" w:hAnsi="Verdana" w:cs="Arial"/>
          <w:color w:val="000000"/>
          <w:szCs w:val="24"/>
          <w:lang w:val="es-CO"/>
        </w:rPr>
        <w:t xml:space="preserve"> será la suma de su porcentaje de participación con el </w:t>
      </w:r>
      <w:r w:rsidRPr="00B715D4">
        <w:rPr>
          <w:rFonts w:ascii="Verdana" w:eastAsia="Arial" w:hAnsi="Verdana" w:cs="Arial"/>
          <w:b/>
          <w:bCs/>
          <w:i/>
          <w:iCs/>
          <w:color w:val="000000"/>
          <w:szCs w:val="24"/>
          <w:lang w:val="es-CO"/>
        </w:rPr>
        <w:t>porcentaje acumulado</w:t>
      </w:r>
      <w:r w:rsidRPr="00B715D4">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B715D4">
        <w:rPr>
          <w:rFonts w:ascii="Verdana" w:eastAsia="Arial" w:hAnsi="Verdana" w:cs="Arial"/>
          <w:color w:val="000000"/>
          <w:szCs w:val="24"/>
          <w:lang w:val="es-CO"/>
        </w:rPr>
        <w:t>.</w:t>
      </w:r>
    </w:p>
    <w:p w14:paraId="2980C8BA" w14:textId="1961A94F" w:rsidR="00CE23D6" w:rsidRPr="00B715D4"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B715D4"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B715D4">
        <w:rPr>
          <w:rFonts w:ascii="Verdana" w:hAnsi="Verdana"/>
          <w:noProof/>
          <w:sz w:val="24"/>
          <w:szCs w:val="24"/>
          <w:lang w:val="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B715D4"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B715D4"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B715D4">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B715D4">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B715D4"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B715D4"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B715D4">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B715D4"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B715D4"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B715D4">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B715D4"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B715D4"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B715D4">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B715D4"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B715D4"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B715D4">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B715D4" w:rsidRDefault="00EC153F" w:rsidP="00EC153F">
      <w:pPr>
        <w:pStyle w:val="Prrafodelista"/>
        <w:rPr>
          <w:rFonts w:ascii="Verdana" w:eastAsia="Arial" w:hAnsi="Verdana" w:cs="Arial"/>
          <w:iCs/>
          <w:color w:val="000000"/>
          <w:sz w:val="22"/>
          <w:lang w:val="es-CO"/>
        </w:rPr>
      </w:pPr>
    </w:p>
    <w:p w14:paraId="2F9F8627" w14:textId="124D0F42" w:rsidR="00EC153F" w:rsidRPr="00B715D4"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B715D4">
        <w:rPr>
          <w:rFonts w:ascii="Verdana" w:eastAsia="Arial" w:hAnsi="Verdana" w:cs="Times New Roman"/>
          <w:color w:val="000000"/>
          <w:szCs w:val="24"/>
          <w:lang w:val="es-CO"/>
        </w:rPr>
        <w:t xml:space="preserve">Si </w:t>
      </w:r>
      <w:r w:rsidR="00617BA8" w:rsidRPr="00B715D4">
        <w:rPr>
          <w:rFonts w:ascii="Verdana" w:eastAsia="Arial" w:hAnsi="Verdana" w:cs="Times New Roman"/>
          <w:color w:val="000000"/>
          <w:szCs w:val="24"/>
          <w:lang w:val="es-CO"/>
        </w:rPr>
        <w:t>ninguno de los bienes relevantes está</w:t>
      </w:r>
      <w:r w:rsidRPr="00B715D4">
        <w:rPr>
          <w:rFonts w:ascii="Verdana" w:eastAsia="Arial" w:hAnsi="Verdana" w:cs="Times New Roman"/>
          <w:color w:val="000000"/>
          <w:szCs w:val="24"/>
          <w:lang w:val="es-CO"/>
        </w:rPr>
        <w:t xml:space="preserve"> </w:t>
      </w:r>
      <w:r w:rsidR="004D626D" w:rsidRPr="00B715D4">
        <w:rPr>
          <w:rFonts w:ascii="Verdana" w:eastAsia="Arial" w:hAnsi="Verdana" w:cs="Times New Roman"/>
          <w:color w:val="000000"/>
          <w:szCs w:val="24"/>
          <w:lang w:val="es-CO"/>
        </w:rPr>
        <w:t>incluido</w:t>
      </w:r>
      <w:r w:rsidRPr="00B715D4">
        <w:rPr>
          <w:rFonts w:ascii="Verdana" w:eastAsia="Arial" w:hAnsi="Verdana" w:cs="Times New Roman"/>
          <w:color w:val="000000"/>
          <w:szCs w:val="24"/>
          <w:lang w:val="es-CO"/>
        </w:rPr>
        <w:t xml:space="preserve"> en el Registro de Productores de Bienes Nacionales, la Entidad Estatal otorgará el puntaje a los Proponentes que se comprometan a vincular un porcentaje de empleados o contratistas por prestación de servicios colombianos de al menos el </w:t>
      </w:r>
      <w:r w:rsidR="00B715D4">
        <w:rPr>
          <w:rFonts w:ascii="Verdana" w:eastAsia="Arial" w:hAnsi="Verdana" w:cs="Times New Roman"/>
          <w:b/>
          <w:bCs/>
          <w:color w:val="000000"/>
          <w:szCs w:val="24"/>
          <w:lang w:val="es-CO"/>
        </w:rPr>
        <w:t>40%</w:t>
      </w:r>
      <w:r w:rsidRPr="00B715D4">
        <w:rPr>
          <w:rFonts w:ascii="Verdana" w:eastAsia="Arial" w:hAnsi="Verdana" w:cs="Times New Roman"/>
          <w:color w:val="000000"/>
          <w:lang w:val="es-CO"/>
        </w:rPr>
        <w:t xml:space="preserve"> </w:t>
      </w:r>
      <w:r w:rsidRPr="00B715D4">
        <w:rPr>
          <w:rFonts w:ascii="Verdana" w:eastAsia="Arial" w:hAnsi="Verdana" w:cs="Times New Roman"/>
          <w:color w:val="000000"/>
          <w:szCs w:val="24"/>
          <w:lang w:val="es-CO"/>
        </w:rPr>
        <w:t xml:space="preserve">del personal requerido para el cumplimiento del contrato. </w:t>
      </w:r>
    </w:p>
    <w:p w14:paraId="15EA420A" w14:textId="77777777" w:rsidR="00EC153F" w:rsidRPr="00B715D4" w:rsidRDefault="00EC153F" w:rsidP="00EC153F">
      <w:pPr>
        <w:spacing w:after="0" w:line="240" w:lineRule="auto"/>
        <w:ind w:left="502"/>
        <w:contextualSpacing/>
        <w:jc w:val="both"/>
        <w:rPr>
          <w:rFonts w:ascii="Verdana" w:eastAsia="Arial" w:hAnsi="Verdana" w:cs="Arial"/>
          <w:bCs/>
          <w:szCs w:val="28"/>
          <w:lang w:val="es-CO"/>
        </w:rPr>
      </w:pPr>
    </w:p>
    <w:p w14:paraId="56F43221" w14:textId="4D09855C" w:rsidR="00EC153F" w:rsidRPr="00B715D4" w:rsidRDefault="00EC153F" w:rsidP="07FA77B4">
      <w:pPr>
        <w:spacing w:after="0" w:line="240" w:lineRule="auto"/>
        <w:jc w:val="both"/>
        <w:rPr>
          <w:rFonts w:ascii="Verdana" w:eastAsia="Arial" w:hAnsi="Verdana" w:cs="Times New Roman"/>
          <w:lang w:val="es-CO"/>
        </w:rPr>
      </w:pPr>
      <w:r w:rsidRPr="00B715D4">
        <w:rPr>
          <w:rFonts w:ascii="Verdana" w:eastAsia="Arial" w:hAnsi="Verdana" w:cs="Times New Roman"/>
          <w:lang w:val="es-CO"/>
        </w:rPr>
        <w:t>La Agencia Nacional de Contratación Pública ha elaborado el siguiente listado de los bienes relevantes más comunes en el desarrollo de la obra pública de infraestructura de</w:t>
      </w:r>
      <w:r w:rsidR="2DC671A7" w:rsidRPr="00B715D4">
        <w:rPr>
          <w:rFonts w:ascii="Verdana" w:eastAsia="Arial" w:hAnsi="Verdana" w:cs="Times New Roman"/>
          <w:lang w:val="es-CO"/>
        </w:rPr>
        <w:t xml:space="preserve">l sector social </w:t>
      </w:r>
      <w:r w:rsidR="2DC671A7" w:rsidRPr="00B715D4">
        <w:rPr>
          <w:rFonts w:ascii="Verdana" w:eastAsia="Arial" w:hAnsi="Verdana" w:cs="Arial"/>
          <w:lang w:val="es-CO"/>
        </w:rPr>
        <w:t xml:space="preserve">en </w:t>
      </w:r>
      <w:r w:rsidR="00617BA8" w:rsidRPr="00B715D4">
        <w:rPr>
          <w:rFonts w:ascii="Verdana" w:eastAsia="Arial" w:hAnsi="Verdana" w:cs="Arial"/>
          <w:lang w:val="es-CO"/>
        </w:rPr>
        <w:t>Cultura, Recreación y Deporte</w:t>
      </w:r>
      <w:r w:rsidRPr="00B715D4">
        <w:rPr>
          <w:rFonts w:ascii="Verdana" w:eastAsia="Arial" w:hAnsi="Verdana" w:cs="Times New Roman"/>
          <w:lang w:val="es-CO"/>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 </w:t>
      </w:r>
    </w:p>
    <w:p w14:paraId="7133F42D" w14:textId="77777777" w:rsidR="00EC153F" w:rsidRPr="00B715D4" w:rsidRDefault="00EC153F" w:rsidP="00EC153F">
      <w:pPr>
        <w:spacing w:after="0" w:line="240" w:lineRule="auto"/>
        <w:jc w:val="both"/>
        <w:rPr>
          <w:rFonts w:ascii="Verdana" w:eastAsia="Arial" w:hAnsi="Verdana" w:cs="Times New Roman"/>
          <w:bCs/>
          <w:szCs w:val="24"/>
          <w:lang w:val="es-CO"/>
        </w:rPr>
      </w:pPr>
    </w:p>
    <w:p w14:paraId="712B5A88" w14:textId="288C09E6" w:rsidR="00EC153F" w:rsidRPr="00B715D4" w:rsidRDefault="00EC153F" w:rsidP="07FA77B4">
      <w:pPr>
        <w:spacing w:after="0" w:line="240" w:lineRule="auto"/>
        <w:jc w:val="both"/>
        <w:rPr>
          <w:rFonts w:ascii="Verdana" w:eastAsia="Arial" w:hAnsi="Verdana" w:cs="Times New Roman"/>
          <w:lang w:val="es-CO"/>
        </w:rPr>
      </w:pPr>
      <w:r w:rsidRPr="00B715D4">
        <w:rPr>
          <w:rFonts w:ascii="Verdana" w:eastAsia="Arial" w:hAnsi="Verdana" w:cs="Times New Roman"/>
          <w:lang w:val="es-CO"/>
        </w:rPr>
        <w:t>Los bienes que se enuncian se presentan de forma generalizada para los diferentes tipos de infraestructura y actividades categorizadas en la Matriz 1 – Experiencia de los Documentos Tipo de obra pública de infraestructura de</w:t>
      </w:r>
      <w:r w:rsidR="48A5D8A1" w:rsidRPr="00B715D4">
        <w:rPr>
          <w:rFonts w:ascii="Verdana" w:eastAsia="Arial" w:hAnsi="Verdana" w:cs="Times New Roman"/>
          <w:lang w:val="es-CO"/>
        </w:rPr>
        <w:t xml:space="preserve">l sector social </w:t>
      </w:r>
      <w:r w:rsidR="48A5D8A1" w:rsidRPr="00B715D4">
        <w:rPr>
          <w:rFonts w:ascii="Verdana" w:eastAsia="Arial" w:hAnsi="Verdana" w:cs="Arial"/>
          <w:lang w:val="es-CO"/>
        </w:rPr>
        <w:t xml:space="preserve">en </w:t>
      </w:r>
      <w:r w:rsidR="00617BA8" w:rsidRPr="00B715D4">
        <w:rPr>
          <w:rFonts w:ascii="Verdana" w:eastAsia="Arial" w:hAnsi="Verdana" w:cs="Arial"/>
          <w:lang w:val="es-CO"/>
        </w:rPr>
        <w:t>Cultura, Recreación y Deporte</w:t>
      </w:r>
      <w:r w:rsidRPr="00B715D4">
        <w:rPr>
          <w:rFonts w:ascii="Verdana" w:eastAsia="Arial" w:hAnsi="Verdana" w:cs="Times New Roman"/>
          <w:lang w:val="es-CO"/>
        </w:rPr>
        <w:t xml:space="preserve">. </w:t>
      </w:r>
    </w:p>
    <w:p w14:paraId="273CFABC" w14:textId="77777777" w:rsidR="00EC153F" w:rsidRPr="00B715D4" w:rsidRDefault="00EC153F" w:rsidP="00EC153F">
      <w:pPr>
        <w:spacing w:after="0" w:line="240" w:lineRule="auto"/>
        <w:jc w:val="both"/>
        <w:rPr>
          <w:rFonts w:ascii="Verdana" w:eastAsia="Arial" w:hAnsi="Verdana" w:cs="Times New Roman"/>
          <w:bCs/>
          <w:szCs w:val="24"/>
          <w:lang w:val="es-CO"/>
        </w:rPr>
      </w:pPr>
    </w:p>
    <w:p w14:paraId="6D45DA27" w14:textId="77777777" w:rsidR="00B715D4" w:rsidRPr="00B715D4" w:rsidRDefault="00EC153F" w:rsidP="00EC153F">
      <w:pPr>
        <w:spacing w:after="0" w:line="240" w:lineRule="auto"/>
        <w:jc w:val="both"/>
        <w:rPr>
          <w:rFonts w:ascii="Verdana" w:eastAsia="Arial" w:hAnsi="Verdana" w:cs="Times New Roman"/>
          <w:lang w:val="es-CO"/>
        </w:rPr>
      </w:pPr>
      <w:r w:rsidRPr="00B715D4">
        <w:rPr>
          <w:rFonts w:ascii="Verdana" w:eastAsia="Arial" w:hAnsi="Verdana" w:cs="Times New Roman"/>
          <w:lang w:val="es-CO"/>
        </w:rPr>
        <w:t xml:space="preserve">Para determinar los bienes nacionales relevantes, la Entidad tendrá en cuenta tanto los </w:t>
      </w:r>
      <w:r w:rsidRPr="00B715D4">
        <w:rPr>
          <w:rFonts w:ascii="Verdana" w:eastAsia="Arial" w:hAnsi="Verdana" w:cs="Times New Roman"/>
          <w:i/>
          <w:iCs/>
          <w:lang w:val="es-CO"/>
        </w:rPr>
        <w:t>insumos</w:t>
      </w:r>
      <w:r w:rsidRPr="00B715D4">
        <w:rPr>
          <w:rFonts w:ascii="Verdana" w:eastAsia="Arial" w:hAnsi="Verdana" w:cs="Times New Roman"/>
          <w:lang w:val="es-CO"/>
        </w:rPr>
        <w:t xml:space="preserve"> como los materiales producidos con dichos insumos, tal como se presenta de forma enunciativa a continuación:</w:t>
      </w:r>
    </w:p>
    <w:p w14:paraId="3EBCC80E" w14:textId="77777777" w:rsidR="00B715D4" w:rsidRPr="00B715D4" w:rsidRDefault="00B715D4" w:rsidP="00EC153F">
      <w:pPr>
        <w:spacing w:after="0" w:line="240" w:lineRule="auto"/>
        <w:jc w:val="both"/>
        <w:rPr>
          <w:rFonts w:ascii="Verdana" w:eastAsia="Arial" w:hAnsi="Verdana" w:cs="Times New Roman"/>
          <w:lang w:val="es-CO"/>
        </w:rPr>
      </w:pPr>
    </w:p>
    <w:p w14:paraId="010C6C0B" w14:textId="2E8E1878" w:rsidR="00B715D4" w:rsidRPr="00B715D4" w:rsidRDefault="00B715D4" w:rsidP="00EC153F">
      <w:pPr>
        <w:spacing w:after="0" w:line="240" w:lineRule="auto"/>
        <w:jc w:val="both"/>
        <w:rPr>
          <w:rFonts w:ascii="Verdana" w:eastAsia="Arial" w:hAnsi="Verdana" w:cs="Times New Roman"/>
          <w:lang w:val="es-CO"/>
        </w:rPr>
      </w:pPr>
      <w:r w:rsidRPr="00B715D4">
        <w:rPr>
          <w:rFonts w:ascii="Verdana" w:eastAsia="Arial" w:hAnsi="Verdana" w:cs="Times New Roman"/>
          <w:lang w:val="es-CO"/>
        </w:rPr>
        <w:lastRenderedPageBreak/>
        <w:drawing>
          <wp:inline distT="0" distB="0" distL="0" distR="0" wp14:anchorId="1C4D850B" wp14:editId="28BA233F">
            <wp:extent cx="5731510" cy="2495550"/>
            <wp:effectExtent l="0" t="0" r="2540" b="0"/>
            <wp:docPr id="4612241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224140" name=""/>
                    <pic:cNvPicPr/>
                  </pic:nvPicPr>
                  <pic:blipFill>
                    <a:blip r:embed="rId12"/>
                    <a:stretch>
                      <a:fillRect/>
                    </a:stretch>
                  </pic:blipFill>
                  <pic:spPr>
                    <a:xfrm>
                      <a:off x="0" y="0"/>
                      <a:ext cx="5731510" cy="2495550"/>
                    </a:xfrm>
                    <a:prstGeom prst="rect">
                      <a:avLst/>
                    </a:prstGeom>
                  </pic:spPr>
                </pic:pic>
              </a:graphicData>
            </a:graphic>
          </wp:inline>
        </w:drawing>
      </w:r>
    </w:p>
    <w:p w14:paraId="2712675D" w14:textId="2D5E111B" w:rsidR="07FA77B4" w:rsidRPr="00B715D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0B715D4" w:rsidRPr="00B715D4" w14:paraId="018954A5" w14:textId="77777777" w:rsidTr="00FC3C43">
        <w:trPr>
          <w:trHeight w:val="300"/>
        </w:trPr>
        <w:tc>
          <w:tcPr>
            <w:tcW w:w="2640" w:type="dxa"/>
            <w:vMerge w:val="restart"/>
            <w:tcBorders>
              <w:top w:val="single" w:sz="6" w:space="0" w:color="auto"/>
              <w:left w:val="single" w:sz="6" w:space="0" w:color="auto"/>
              <w:right w:val="single" w:sz="6" w:space="0" w:color="auto"/>
            </w:tcBorders>
            <w:shd w:val="clear" w:color="auto" w:fill="B8B7B7"/>
            <w:tcMar>
              <w:left w:w="60" w:type="dxa"/>
              <w:right w:w="60" w:type="dxa"/>
            </w:tcMar>
            <w:vAlign w:val="center"/>
          </w:tcPr>
          <w:p w14:paraId="73F273B0" w14:textId="77777777" w:rsidR="00B715D4" w:rsidRPr="00B715D4" w:rsidRDefault="00B715D4" w:rsidP="07FA77B4">
            <w:pPr>
              <w:spacing w:after="0" w:line="240" w:lineRule="auto"/>
              <w:jc w:val="center"/>
              <w:rPr>
                <w:rFonts w:ascii="Verdana" w:eastAsia="Verdana" w:hAnsi="Verdana" w:cs="Verdana"/>
                <w:b/>
                <w:bCs/>
                <w:color w:val="000000" w:themeColor="text1"/>
                <w:sz w:val="18"/>
                <w:szCs w:val="18"/>
                <w:lang w:val="es-CO"/>
              </w:rPr>
            </w:pPr>
            <w:r w:rsidRPr="00B715D4">
              <w:rPr>
                <w:rFonts w:ascii="Verdana" w:eastAsia="Verdana" w:hAnsi="Verdana" w:cs="Verdana"/>
                <w:b/>
                <w:bCs/>
                <w:color w:val="000000" w:themeColor="text1"/>
                <w:sz w:val="18"/>
                <w:szCs w:val="18"/>
                <w:lang w:val="es-CO"/>
              </w:rPr>
              <w:t>TIPO DE INFRAESTRUCTURA DEL SECTOR SOCIAL</w:t>
            </w:r>
          </w:p>
          <w:p w14:paraId="30F13051" w14:textId="41410811" w:rsidR="00B715D4" w:rsidRPr="00B715D4" w:rsidRDefault="00B715D4" w:rsidP="07FA77B4">
            <w:pPr>
              <w:spacing w:after="0" w:line="240" w:lineRule="auto"/>
              <w:jc w:val="center"/>
              <w:rPr>
                <w:rFonts w:ascii="Verdana" w:eastAsia="Verdana" w:hAnsi="Verdana" w:cs="Verdana"/>
                <w:color w:val="000000" w:themeColor="text1"/>
                <w:sz w:val="18"/>
                <w:szCs w:val="18"/>
                <w:lang w:val="es-CO"/>
              </w:rPr>
            </w:pPr>
            <w:r w:rsidRPr="00B715D4">
              <w:rPr>
                <w:rFonts w:ascii="Verdana" w:eastAsia="Verdana" w:hAnsi="Verdana" w:cs="Verdana"/>
                <w:b/>
                <w:bCs/>
                <w:color w:val="000000" w:themeColor="text1"/>
                <w:sz w:val="18"/>
                <w:szCs w:val="18"/>
                <w:lang w:val="es-CO"/>
              </w:rPr>
              <w:t>CULTURA, RECREACIÓN Y DEPORTE</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0B715D4" w:rsidRPr="00B715D4" w:rsidRDefault="00B715D4" w:rsidP="07FA77B4">
            <w:pPr>
              <w:spacing w:after="0" w:line="240" w:lineRule="auto"/>
              <w:jc w:val="center"/>
              <w:rPr>
                <w:rFonts w:ascii="Verdana" w:eastAsia="Verdana" w:hAnsi="Verdana" w:cs="Verdana"/>
                <w:color w:val="000000" w:themeColor="text1"/>
                <w:sz w:val="18"/>
                <w:szCs w:val="18"/>
                <w:lang w:val="es-CO"/>
              </w:rPr>
            </w:pPr>
            <w:r w:rsidRPr="00B715D4">
              <w:rPr>
                <w:rFonts w:ascii="Verdana" w:eastAsia="Verdana" w:hAnsi="Verdana" w:cs="Verdana"/>
                <w:b/>
                <w:bCs/>
                <w:color w:val="000000" w:themeColor="text1"/>
                <w:sz w:val="18"/>
                <w:szCs w:val="18"/>
                <w:lang w:val="es-CO"/>
              </w:rPr>
              <w:t>LISTADO DE BIENES COLOMBIANOS RELEVANTES SECTOR SOCIAL</w:t>
            </w:r>
          </w:p>
        </w:tc>
      </w:tr>
      <w:tr w:rsidR="00B715D4" w:rsidRPr="00B715D4" w14:paraId="394FC62B" w14:textId="77777777" w:rsidTr="00FC3C43">
        <w:trPr>
          <w:trHeight w:val="300"/>
        </w:trPr>
        <w:tc>
          <w:tcPr>
            <w:tcW w:w="2640" w:type="dxa"/>
            <w:vMerge/>
            <w:tcBorders>
              <w:left w:val="single" w:sz="6" w:space="0" w:color="auto"/>
              <w:right w:val="single" w:sz="6" w:space="0" w:color="auto"/>
            </w:tcBorders>
            <w:vAlign w:val="center"/>
          </w:tcPr>
          <w:p w14:paraId="25564CC0" w14:textId="77777777" w:rsidR="00B715D4" w:rsidRPr="00B715D4" w:rsidRDefault="00B715D4">
            <w:pPr>
              <w:rPr>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7A4F4444" w14:textId="39EEE49D" w:rsidR="00B715D4" w:rsidRPr="00B715D4" w:rsidRDefault="00B715D4" w:rsidP="00617BA8">
            <w:pPr>
              <w:spacing w:after="0" w:line="240" w:lineRule="auto"/>
              <w:jc w:val="center"/>
              <w:rPr>
                <w:rFonts w:ascii="Verdana" w:eastAsia="Verdana" w:hAnsi="Verdana" w:cs="Verdana"/>
                <w:color w:val="000000" w:themeColor="text1"/>
                <w:sz w:val="18"/>
                <w:szCs w:val="18"/>
                <w:lang w:val="es-CO"/>
              </w:rPr>
            </w:pPr>
            <w:r w:rsidRPr="00B715D4">
              <w:rPr>
                <w:rFonts w:ascii="Verdana" w:eastAsia="Verdana" w:hAnsi="Verdana" w:cs="Verdana"/>
                <w:b/>
                <w:bCs/>
                <w:color w:val="000000" w:themeColor="text1"/>
                <w:sz w:val="18"/>
                <w:szCs w:val="18"/>
                <w:lang w:val="es-CO"/>
              </w:rPr>
              <w:t>Insumos</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0B715D4" w:rsidRPr="00B715D4" w:rsidRDefault="00B715D4" w:rsidP="07FA77B4">
            <w:pPr>
              <w:spacing w:after="0" w:line="240" w:lineRule="auto"/>
              <w:jc w:val="center"/>
              <w:rPr>
                <w:rFonts w:ascii="Verdana" w:eastAsia="Verdana" w:hAnsi="Verdana" w:cs="Verdana"/>
                <w:color w:val="000000" w:themeColor="text1"/>
                <w:sz w:val="18"/>
                <w:szCs w:val="18"/>
                <w:lang w:val="es-CO"/>
              </w:rPr>
            </w:pPr>
            <w:r w:rsidRPr="00B715D4">
              <w:rPr>
                <w:rFonts w:ascii="Verdana" w:eastAsia="Verdana" w:hAnsi="Verdana" w:cs="Verdana"/>
                <w:b/>
                <w:bCs/>
                <w:color w:val="000000" w:themeColor="text1"/>
                <w:sz w:val="18"/>
                <w:szCs w:val="18"/>
                <w:lang w:val="es-CO"/>
              </w:rPr>
              <w:t>Elementos o materiales producidos</w:t>
            </w:r>
          </w:p>
          <w:p w14:paraId="3ABF9DBD" w14:textId="3400AD7E" w:rsidR="00B715D4" w:rsidRPr="00B715D4" w:rsidRDefault="00B715D4" w:rsidP="07FA77B4">
            <w:pPr>
              <w:spacing w:after="0" w:line="240" w:lineRule="auto"/>
              <w:jc w:val="center"/>
              <w:rPr>
                <w:rFonts w:ascii="Verdana" w:eastAsia="Verdana" w:hAnsi="Verdana" w:cs="Verdana"/>
                <w:color w:val="000000" w:themeColor="text1"/>
                <w:sz w:val="20"/>
                <w:szCs w:val="20"/>
                <w:lang w:val="es-CO"/>
              </w:rPr>
            </w:pPr>
          </w:p>
        </w:tc>
      </w:tr>
      <w:tr w:rsidR="00B715D4" w:rsidRPr="00B715D4" w14:paraId="2D905378" w14:textId="77777777" w:rsidTr="00FC3C43">
        <w:trPr>
          <w:trHeight w:val="300"/>
        </w:trPr>
        <w:tc>
          <w:tcPr>
            <w:tcW w:w="2640" w:type="dxa"/>
            <w:vMerge/>
            <w:tcBorders>
              <w:left w:val="single" w:sz="6" w:space="0" w:color="auto"/>
              <w:right w:val="single" w:sz="6" w:space="0" w:color="auto"/>
            </w:tcBorders>
            <w:vAlign w:val="center"/>
          </w:tcPr>
          <w:p w14:paraId="43D0E789" w14:textId="77777777" w:rsidR="00B715D4" w:rsidRPr="00B715D4" w:rsidRDefault="00B715D4">
            <w:pPr>
              <w:rPr>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337E7F" w14:textId="7029D976" w:rsidR="00B715D4" w:rsidRPr="00931FB4" w:rsidRDefault="00B715D4" w:rsidP="004D626D">
            <w:pPr>
              <w:spacing w:after="0" w:line="240" w:lineRule="auto"/>
              <w:jc w:val="center"/>
              <w:rPr>
                <w:rFonts w:ascii="Verdana" w:eastAsia="Verdana" w:hAnsi="Verdana" w:cs="Verdana"/>
                <w:color w:val="000000" w:themeColor="text1"/>
                <w:highlight w:val="yellow"/>
                <w:lang w:val="es-CO"/>
              </w:rPr>
            </w:pPr>
            <w:r w:rsidRPr="00931FB4">
              <w:rPr>
                <w:rFonts w:ascii="Verdana" w:eastAsia="Verdana" w:hAnsi="Verdana" w:cs="Verdana"/>
                <w:color w:val="000000" w:themeColor="text1"/>
                <w:highlight w:val="yellow"/>
                <w:lang w:val="es-CO"/>
              </w:rPr>
              <w:t>Proyector Led 300 W, 100.000 Hs, 10 años de garantía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5A2EE3" w14:textId="68F9E770" w:rsidR="00B715D4" w:rsidRPr="00931FB4" w:rsidRDefault="00B715D4" w:rsidP="004D626D">
            <w:pPr>
              <w:spacing w:after="0" w:line="240" w:lineRule="auto"/>
              <w:jc w:val="center"/>
              <w:rPr>
                <w:rFonts w:ascii="Verdana" w:eastAsia="Verdana" w:hAnsi="Verdana" w:cs="Verdana"/>
                <w:color w:val="000000" w:themeColor="text1"/>
                <w:highlight w:val="yellow"/>
                <w:lang w:val="es-CO"/>
              </w:rPr>
            </w:pPr>
            <w:r w:rsidRPr="00931FB4">
              <w:rPr>
                <w:rFonts w:ascii="Verdana" w:eastAsia="Verdana" w:hAnsi="Verdana" w:cs="Verdana"/>
                <w:color w:val="000000" w:themeColor="text1"/>
                <w:highlight w:val="yellow"/>
                <w:lang w:val="es-CO"/>
              </w:rPr>
              <w:t>Luminarias</w:t>
            </w:r>
          </w:p>
        </w:tc>
      </w:tr>
      <w:tr w:rsidR="00B715D4" w:rsidRPr="00B715D4" w14:paraId="413E2ACB" w14:textId="77777777" w:rsidTr="00FC3C43">
        <w:trPr>
          <w:trHeight w:val="300"/>
        </w:trPr>
        <w:tc>
          <w:tcPr>
            <w:tcW w:w="2640" w:type="dxa"/>
            <w:vMerge/>
            <w:tcBorders>
              <w:left w:val="single" w:sz="6" w:space="0" w:color="auto"/>
              <w:right w:val="single" w:sz="6" w:space="0" w:color="auto"/>
            </w:tcBorders>
            <w:vAlign w:val="center"/>
          </w:tcPr>
          <w:p w14:paraId="44863199" w14:textId="77777777" w:rsidR="00B715D4" w:rsidRPr="00B715D4" w:rsidRDefault="00B715D4">
            <w:pPr>
              <w:rPr>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8C8EE7" w14:textId="4223B9AD" w:rsidR="00B715D4" w:rsidRPr="00931FB4" w:rsidRDefault="00B715D4" w:rsidP="00663572">
            <w:pPr>
              <w:spacing w:line="240" w:lineRule="auto"/>
              <w:jc w:val="center"/>
              <w:rPr>
                <w:rFonts w:ascii="Verdana" w:eastAsia="Verdana" w:hAnsi="Verdana" w:cs="Verdana"/>
                <w:color w:val="000000" w:themeColor="text1"/>
                <w:highlight w:val="yellow"/>
                <w:lang w:val="es-CO"/>
              </w:rPr>
            </w:pPr>
            <w:r w:rsidRPr="00931FB4">
              <w:rPr>
                <w:rFonts w:ascii="Verdana" w:eastAsia="Verdana" w:hAnsi="Verdana" w:cs="Verdana"/>
                <w:color w:val="000000" w:themeColor="text1"/>
                <w:highlight w:val="yellow"/>
                <w:lang w:val="es-CO"/>
              </w:rPr>
              <w:t>C</w:t>
            </w:r>
            <w:r w:rsidRPr="00931FB4">
              <w:rPr>
                <w:rFonts w:ascii="Verdana" w:eastAsia="Verdana" w:hAnsi="Verdana" w:cs="Verdana"/>
                <w:color w:val="000000" w:themeColor="text1"/>
                <w:highlight w:val="yellow"/>
                <w:lang w:val="es-CO"/>
              </w:rPr>
              <w:t>able 3#8+8T AWG en (ducto PVC 2" existente)</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B5789AE" w14:textId="0260AF95" w:rsidR="00B715D4" w:rsidRPr="00931FB4" w:rsidRDefault="00B715D4" w:rsidP="00663572">
            <w:pPr>
              <w:spacing w:after="0" w:line="240" w:lineRule="auto"/>
              <w:jc w:val="center"/>
              <w:rPr>
                <w:rFonts w:ascii="Verdana" w:eastAsia="Verdana" w:hAnsi="Verdana" w:cs="Verdana"/>
                <w:color w:val="000000" w:themeColor="text1"/>
                <w:highlight w:val="yellow"/>
                <w:lang w:val="es-CO"/>
              </w:rPr>
            </w:pPr>
            <w:r w:rsidRPr="00931FB4">
              <w:rPr>
                <w:rFonts w:ascii="Verdana" w:eastAsia="Verdana" w:hAnsi="Verdana" w:cs="Verdana"/>
                <w:color w:val="000000" w:themeColor="text1"/>
                <w:highlight w:val="yellow"/>
                <w:lang w:val="es-CO"/>
              </w:rPr>
              <w:t>Cables de Cobre</w:t>
            </w:r>
          </w:p>
        </w:tc>
      </w:tr>
      <w:tr w:rsidR="00B715D4" w:rsidRPr="00B715D4" w14:paraId="387B3848" w14:textId="77777777" w:rsidTr="00FC3C43">
        <w:trPr>
          <w:trHeight w:val="300"/>
        </w:trPr>
        <w:tc>
          <w:tcPr>
            <w:tcW w:w="2640" w:type="dxa"/>
            <w:vMerge/>
            <w:tcBorders>
              <w:left w:val="single" w:sz="6" w:space="0" w:color="auto"/>
              <w:right w:val="single" w:sz="6" w:space="0" w:color="auto"/>
            </w:tcBorders>
            <w:vAlign w:val="center"/>
          </w:tcPr>
          <w:p w14:paraId="0A799BCB" w14:textId="77777777" w:rsidR="00B715D4" w:rsidRPr="00B715D4" w:rsidRDefault="00B715D4">
            <w:pPr>
              <w:rPr>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5A68F9" w14:textId="748B0020" w:rsidR="00B715D4" w:rsidRPr="00B715D4" w:rsidRDefault="00B715D4" w:rsidP="00663572">
            <w:pPr>
              <w:spacing w:line="240" w:lineRule="auto"/>
              <w:jc w:val="center"/>
              <w:rPr>
                <w:rFonts w:ascii="Verdana" w:eastAsia="Verdana" w:hAnsi="Verdana" w:cs="Verdana"/>
                <w:color w:val="000000" w:themeColor="text1"/>
                <w:lang w:val="es-CO"/>
              </w:rPr>
            </w:pPr>
            <w:r w:rsidRPr="00B715D4">
              <w:rPr>
                <w:rFonts w:ascii="Verdana" w:eastAsia="Verdana" w:hAnsi="Verdana" w:cs="Verdana"/>
                <w:color w:val="000000" w:themeColor="text1"/>
                <w:lang w:val="es-CO"/>
              </w:rPr>
              <w:t>Canastillas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57A1B70" w14:textId="641FB0FA" w:rsidR="00B715D4" w:rsidRPr="00B715D4" w:rsidRDefault="00B715D4" w:rsidP="00663572">
            <w:pPr>
              <w:spacing w:after="0" w:line="240" w:lineRule="auto"/>
              <w:jc w:val="center"/>
              <w:rPr>
                <w:rFonts w:ascii="Verdana" w:eastAsia="Verdana" w:hAnsi="Verdana" w:cs="Verdana"/>
                <w:color w:val="000000" w:themeColor="text1"/>
                <w:lang w:val="es-CO"/>
              </w:rPr>
            </w:pPr>
            <w:r w:rsidRPr="00B715D4">
              <w:rPr>
                <w:rFonts w:ascii="Verdana" w:eastAsia="Verdana" w:hAnsi="Verdana" w:cs="Verdana"/>
                <w:color w:val="000000" w:themeColor="text1"/>
                <w:lang w:val="es-CO"/>
              </w:rPr>
              <w:t>Luminarias</w:t>
            </w:r>
          </w:p>
        </w:tc>
      </w:tr>
      <w:tr w:rsidR="00B715D4" w:rsidRPr="00B715D4" w14:paraId="62177F1E" w14:textId="77777777" w:rsidTr="00FC3C43">
        <w:trPr>
          <w:trHeight w:val="300"/>
        </w:trPr>
        <w:tc>
          <w:tcPr>
            <w:tcW w:w="2640" w:type="dxa"/>
            <w:vMerge/>
            <w:tcBorders>
              <w:left w:val="single" w:sz="6" w:space="0" w:color="auto"/>
              <w:right w:val="single" w:sz="6" w:space="0" w:color="auto"/>
            </w:tcBorders>
            <w:vAlign w:val="center"/>
          </w:tcPr>
          <w:p w14:paraId="3C269100" w14:textId="77777777" w:rsidR="00B715D4" w:rsidRPr="00B715D4" w:rsidRDefault="00B715D4">
            <w:pPr>
              <w:rPr>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95868A" w14:textId="1244E85E" w:rsidR="00B715D4" w:rsidRPr="00B715D4" w:rsidRDefault="00B715D4" w:rsidP="00663572">
            <w:pPr>
              <w:spacing w:line="240" w:lineRule="auto"/>
              <w:jc w:val="center"/>
              <w:rPr>
                <w:rFonts w:ascii="Verdana" w:eastAsia="Verdana" w:hAnsi="Verdana" w:cs="Verdana"/>
                <w:color w:val="000000" w:themeColor="text1"/>
                <w:lang w:val="es-CO"/>
              </w:rPr>
            </w:pPr>
            <w:r w:rsidRPr="00B715D4">
              <w:rPr>
                <w:rFonts w:ascii="Verdana" w:eastAsia="Verdana" w:hAnsi="Verdana" w:cs="Verdana"/>
                <w:color w:val="000000" w:themeColor="text1"/>
                <w:lang w:val="es-CO"/>
              </w:rPr>
              <w:t>Pararrayos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957384C" w14:textId="0317D97D" w:rsidR="00B715D4" w:rsidRPr="00B715D4" w:rsidRDefault="00B715D4" w:rsidP="00663572">
            <w:pPr>
              <w:spacing w:after="0" w:line="240" w:lineRule="auto"/>
              <w:jc w:val="center"/>
              <w:rPr>
                <w:rFonts w:ascii="Verdana" w:eastAsia="Verdana" w:hAnsi="Verdana" w:cs="Verdana"/>
                <w:color w:val="000000" w:themeColor="text1"/>
                <w:lang w:val="es-CO"/>
              </w:rPr>
            </w:pPr>
            <w:r w:rsidRPr="00B715D4">
              <w:rPr>
                <w:rFonts w:ascii="Verdana" w:eastAsia="Verdana" w:hAnsi="Verdana" w:cs="Verdana"/>
                <w:color w:val="000000" w:themeColor="text1"/>
                <w:lang w:val="es-CO"/>
              </w:rPr>
              <w:t>Sistema Puesta a Tierra</w:t>
            </w:r>
          </w:p>
        </w:tc>
      </w:tr>
    </w:tbl>
    <w:p w14:paraId="224A8025" w14:textId="1914E624" w:rsidR="07FA77B4" w:rsidRPr="00B715D4" w:rsidRDefault="07FA77B4" w:rsidP="07FA77B4">
      <w:pPr>
        <w:rPr>
          <w:rFonts w:ascii="Verdana" w:eastAsia="Verdana" w:hAnsi="Verdana" w:cs="Verdana"/>
          <w:color w:val="000000" w:themeColor="text1"/>
          <w:lang w:val="es-CO"/>
        </w:rPr>
      </w:pPr>
    </w:p>
    <w:p w14:paraId="7A90D7A4" w14:textId="321C1B10" w:rsidR="00663572" w:rsidRPr="00B715D4" w:rsidRDefault="00B715D4" w:rsidP="07FA77B4">
      <w:pPr>
        <w:rPr>
          <w:rFonts w:ascii="Verdana" w:eastAsia="Verdana" w:hAnsi="Verdana" w:cs="Verdana"/>
          <w:color w:val="000000" w:themeColor="text1"/>
          <w:lang w:val="es-CO"/>
        </w:rPr>
      </w:pPr>
      <w:r w:rsidRPr="00B715D4">
        <w:rPr>
          <w:rFonts w:ascii="Verdana" w:eastAsia="Verdana" w:hAnsi="Verdana" w:cs="Verdana"/>
          <w:color w:val="000000" w:themeColor="text1"/>
          <w:lang w:val="es-CO"/>
        </w:rPr>
        <w:drawing>
          <wp:inline distT="0" distB="0" distL="0" distR="0" wp14:anchorId="7B46F553" wp14:editId="60AB3D1F">
            <wp:extent cx="5731510" cy="2877820"/>
            <wp:effectExtent l="0" t="0" r="2540" b="0"/>
            <wp:docPr id="14214561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56164" name=""/>
                    <pic:cNvPicPr/>
                  </pic:nvPicPr>
                  <pic:blipFill>
                    <a:blip r:embed="rId13"/>
                    <a:stretch>
                      <a:fillRect/>
                    </a:stretch>
                  </pic:blipFill>
                  <pic:spPr>
                    <a:xfrm>
                      <a:off x="0" y="0"/>
                      <a:ext cx="5731510" cy="2877820"/>
                    </a:xfrm>
                    <a:prstGeom prst="rect">
                      <a:avLst/>
                    </a:prstGeom>
                  </pic:spPr>
                </pic:pic>
              </a:graphicData>
            </a:graphic>
          </wp:inline>
        </w:drawing>
      </w: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62BB5156"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041DBBE4"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244331F5" w14:textId="39B09FFD"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776F1C50" w14:textId="47F6785D" w:rsidR="00B715D4" w:rsidRDefault="00931F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r w:rsidRPr="00931FB4">
        <w:rPr>
          <w:rFonts w:ascii="Verdana" w:eastAsia="Verdana" w:hAnsi="Verdana" w:cs="Verdana"/>
          <w:color w:val="000000" w:themeColor="text1"/>
          <w:sz w:val="20"/>
          <w:szCs w:val="20"/>
          <w:lang w:val="es-CO"/>
        </w:rPr>
        <w:drawing>
          <wp:anchor distT="0" distB="0" distL="114300" distR="114300" simplePos="0" relativeHeight="251658240" behindDoc="0" locked="0" layoutInCell="1" allowOverlap="1" wp14:anchorId="68804351" wp14:editId="0DCDB60B">
            <wp:simplePos x="0" y="0"/>
            <wp:positionH relativeFrom="column">
              <wp:posOffset>12700</wp:posOffset>
            </wp:positionH>
            <wp:positionV relativeFrom="paragraph">
              <wp:posOffset>40640</wp:posOffset>
            </wp:positionV>
            <wp:extent cx="5731510" cy="1464945"/>
            <wp:effectExtent l="0" t="0" r="2540" b="1905"/>
            <wp:wrapNone/>
            <wp:docPr id="16382713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27138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464945"/>
                    </a:xfrm>
                    <a:prstGeom prst="rect">
                      <a:avLst/>
                    </a:prstGeom>
                  </pic:spPr>
                </pic:pic>
              </a:graphicData>
            </a:graphic>
            <wp14:sizeRelH relativeFrom="page">
              <wp14:pctWidth>0</wp14:pctWidth>
            </wp14:sizeRelH>
            <wp14:sizeRelV relativeFrom="page">
              <wp14:pctHeight>0</wp14:pctHeight>
            </wp14:sizeRelV>
          </wp:anchor>
        </w:drawing>
      </w:r>
    </w:p>
    <w:p w14:paraId="2967A0EE" w14:textId="77777777" w:rsidR="00931FB4" w:rsidRDefault="00931F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0F6316F6" w14:textId="77777777" w:rsidR="00931FB4" w:rsidRDefault="00931F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BD299BD"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46FA92F"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3692F49D"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3F9E28E5"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093417FF"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64E7E74A"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4BA97C64"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256C7C72"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6274D1F1"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3D664D0D"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4E949267"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76452C6C"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0C07333B"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73E10869"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4AA5CE92"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59E7A0E"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6A0F46FB"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414002C6"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43BD1E3F"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73B4AC29"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55A9048"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494322D2"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025AFD56"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094203E7"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3CF6980A"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643E222E"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2FCD888"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F615B25"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7D35841"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72519F0D"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4A62751B"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6B90BAC"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1DFF1CAE"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03DEED00"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4271DFF3"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6B986A5E"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0E6ABA4F"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795E6A1D" w14:textId="77777777" w:rsid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172BCA61" w14:textId="77777777" w:rsidR="00B715D4" w:rsidRPr="00B715D4" w:rsidRDefault="00B715D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Pr="00B715D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rsidRPr="00B715D4">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577E3" w14:textId="77777777" w:rsidR="00C51C23" w:rsidRDefault="00C51C23" w:rsidP="00EC30DA">
      <w:pPr>
        <w:spacing w:after="0" w:line="240" w:lineRule="auto"/>
      </w:pPr>
      <w:r>
        <w:separator/>
      </w:r>
    </w:p>
  </w:endnote>
  <w:endnote w:type="continuationSeparator" w:id="0">
    <w:p w14:paraId="697E86A9" w14:textId="77777777" w:rsidR="00C51C23" w:rsidRDefault="00C51C23"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07139" w14:textId="77777777" w:rsidR="00C51C23" w:rsidRDefault="00C51C23" w:rsidP="00EC30DA">
      <w:pPr>
        <w:spacing w:after="0" w:line="240" w:lineRule="auto"/>
      </w:pPr>
      <w:r>
        <w:separator/>
      </w:r>
    </w:p>
  </w:footnote>
  <w:footnote w:type="continuationSeparator" w:id="0">
    <w:p w14:paraId="76EAD555" w14:textId="77777777" w:rsidR="00C51C23" w:rsidRDefault="00C51C23"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30264000">
    <w:abstractNumId w:val="0"/>
  </w:num>
  <w:num w:numId="2" w16cid:durableId="636105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184A01"/>
    <w:rsid w:val="00276C98"/>
    <w:rsid w:val="002867D6"/>
    <w:rsid w:val="002F52B7"/>
    <w:rsid w:val="003B3739"/>
    <w:rsid w:val="00440605"/>
    <w:rsid w:val="004854ED"/>
    <w:rsid w:val="004D626D"/>
    <w:rsid w:val="00583623"/>
    <w:rsid w:val="00583AE8"/>
    <w:rsid w:val="005D0C34"/>
    <w:rsid w:val="00605C12"/>
    <w:rsid w:val="00617BA8"/>
    <w:rsid w:val="00663572"/>
    <w:rsid w:val="0068540B"/>
    <w:rsid w:val="00851C6D"/>
    <w:rsid w:val="00862F10"/>
    <w:rsid w:val="00867B18"/>
    <w:rsid w:val="008A4831"/>
    <w:rsid w:val="008D62C7"/>
    <w:rsid w:val="008E0BB5"/>
    <w:rsid w:val="00921956"/>
    <w:rsid w:val="00931FB4"/>
    <w:rsid w:val="00974AC8"/>
    <w:rsid w:val="00993777"/>
    <w:rsid w:val="009E1A9B"/>
    <w:rsid w:val="00A17713"/>
    <w:rsid w:val="00A76A0A"/>
    <w:rsid w:val="00AD46BF"/>
    <w:rsid w:val="00B1141A"/>
    <w:rsid w:val="00B715D4"/>
    <w:rsid w:val="00B9627F"/>
    <w:rsid w:val="00C51C23"/>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911</Words>
  <Characters>5011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Roberto Arnulfo Castellanos Celis</cp:lastModifiedBy>
  <cp:revision>14</cp:revision>
  <cp:lastPrinted>2021-10-06T14:45:00Z</cp:lastPrinted>
  <dcterms:created xsi:type="dcterms:W3CDTF">2022-08-01T21:31:00Z</dcterms:created>
  <dcterms:modified xsi:type="dcterms:W3CDTF">2026-06-05T22:58:00Z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