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C21F38" w:rsidRDefault="0077727E" w:rsidP="0077727E">
      <w:pPr>
        <w:jc w:val="center"/>
        <w:rPr>
          <w:rFonts w:ascii="Century Gothic" w:hAnsi="Century Gothic" w:cs="Arial"/>
          <w:b/>
          <w:color w:val="000000" w:themeColor="text1"/>
          <w:sz w:val="20"/>
          <w:szCs w:val="20"/>
        </w:rPr>
      </w:pPr>
      <w:r w:rsidRPr="00C21F38">
        <w:rPr>
          <w:rFonts w:ascii="Century Gothic" w:hAnsi="Century Gothic" w:cs="Arial"/>
          <w:b/>
          <w:color w:val="000000" w:themeColor="text1"/>
          <w:sz w:val="20"/>
          <w:szCs w:val="20"/>
        </w:rPr>
        <w:t>MATRIZ 3</w:t>
      </w:r>
      <w:r w:rsidR="00136C78" w:rsidRPr="00C21F38">
        <w:rPr>
          <w:rFonts w:ascii="Century Gothic" w:hAnsi="Century Gothic" w:cs="Arial"/>
          <w:b/>
          <w:color w:val="000000" w:themeColor="text1"/>
          <w:sz w:val="20"/>
          <w:szCs w:val="20"/>
        </w:rPr>
        <w:t xml:space="preserve"> - </w:t>
      </w:r>
      <w:r w:rsidRPr="00C21F38">
        <w:rPr>
          <w:rFonts w:ascii="Century Gothic" w:hAnsi="Century Gothic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C21F38" w:rsidRDefault="00B81B1F" w:rsidP="007C702A">
      <w:pPr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C21F38" w:rsidRDefault="0058222E" w:rsidP="007C702A">
      <w:pPr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C21F38" w:rsidRDefault="00D70D7B" w:rsidP="36089662">
      <w:pPr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</w:pPr>
      <w:r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>a la</w:t>
      </w:r>
      <w:r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>3. del</w:t>
      </w:r>
      <w:r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>r</w:t>
      </w:r>
      <w:r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>como con</w:t>
      </w:r>
      <w:r w:rsidRPr="00C21F38">
        <w:rPr>
          <w:rFonts w:ascii="Century Gothic" w:hAnsi="Century Gothic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21F38" w:rsidRDefault="00B81B1F" w:rsidP="007C702A">
      <w:pPr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C21F38" w:rsidRDefault="00D70D7B" w:rsidP="007C702A">
      <w:pPr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</w:pPr>
      <w:r w:rsidRPr="00C21F38"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C21F38"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  <w:t>l R</w:t>
      </w:r>
      <w:r w:rsidRPr="00C21F38"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21F38"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  <w:t>e</w:t>
      </w:r>
      <w:r w:rsidRPr="00C21F38"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21F38" w:rsidRDefault="00B81B1F" w:rsidP="007C702A">
      <w:pPr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C21F38" w:rsidRDefault="006E6D9B" w:rsidP="007C702A">
      <w:pPr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</w:pPr>
      <w:r w:rsidRPr="00C21F38"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C21F38"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C21F38"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21F38"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C21F38"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C21F38" w:rsidRDefault="0058222E" w:rsidP="007C702A">
      <w:pPr>
        <w:rPr>
          <w:rFonts w:ascii="Century Gothic" w:hAnsi="Century Gothic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C21F38" w:rsidRDefault="005E5030" w:rsidP="00D70D7B">
      <w:pPr>
        <w:spacing w:after="100" w:afterAutospacing="1"/>
        <w:rPr>
          <w:rFonts w:ascii="Century Gothic" w:eastAsia="SimSun" w:hAnsi="Century Gothic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168C9C57" w14:textId="100A5957" w:rsidR="00D70D7B" w:rsidRPr="00C21F38" w:rsidRDefault="00815604" w:rsidP="00C21F38">
      <w:pPr>
        <w:spacing w:after="100" w:afterAutospacing="1"/>
        <w:rPr>
          <w:rFonts w:ascii="Century Gothic" w:eastAsia="SimSun" w:hAnsi="Century Gothic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C21F38">
        <w:rPr>
          <w:rFonts w:ascii="Century Gothic" w:eastAsia="SimSun" w:hAnsi="Century Gothic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11943FC4" w14:textId="77777777" w:rsidR="00C21F38" w:rsidRPr="00C21F38" w:rsidRDefault="00C21F38" w:rsidP="00C21F38">
      <w:pPr>
        <w:adjustRightInd w:val="0"/>
        <w:spacing w:line="360" w:lineRule="auto"/>
        <w:rPr>
          <w:rFonts w:ascii="Century Gothic" w:hAnsi="Century Gothic" w:cs="Arial"/>
          <w:sz w:val="20"/>
          <w:szCs w:val="20"/>
        </w:rPr>
      </w:pPr>
      <w:bookmarkStart w:id="0" w:name="_Hlk200719321"/>
    </w:p>
    <w:tbl>
      <w:tblPr>
        <w:tblW w:w="9871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672"/>
        <w:gridCol w:w="672"/>
        <w:gridCol w:w="672"/>
        <w:gridCol w:w="2987"/>
        <w:gridCol w:w="672"/>
        <w:gridCol w:w="754"/>
        <w:gridCol w:w="754"/>
        <w:gridCol w:w="672"/>
        <w:gridCol w:w="672"/>
        <w:gridCol w:w="672"/>
      </w:tblGrid>
      <w:tr w:rsidR="00C21F38" w:rsidRPr="00C21F38" w14:paraId="2BF3D020" w14:textId="77777777" w:rsidTr="008B4C26">
        <w:trPr>
          <w:trHeight w:val="1845"/>
        </w:trPr>
        <w:tc>
          <w:tcPr>
            <w:tcW w:w="672" w:type="dxa"/>
            <w:vMerge w:val="restart"/>
            <w:textDirection w:val="btLr"/>
            <w:vAlign w:val="center"/>
            <w:hideMark/>
          </w:tcPr>
          <w:p w14:paraId="7F5F0E54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672" w:type="dxa"/>
            <w:vMerge w:val="restart"/>
            <w:textDirection w:val="btLr"/>
            <w:vAlign w:val="center"/>
            <w:hideMark/>
          </w:tcPr>
          <w:p w14:paraId="7CB59B55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Clase</w:t>
            </w:r>
          </w:p>
        </w:tc>
        <w:tc>
          <w:tcPr>
            <w:tcW w:w="672" w:type="dxa"/>
            <w:vMerge w:val="restart"/>
            <w:textDirection w:val="btLr"/>
            <w:vAlign w:val="center"/>
            <w:hideMark/>
          </w:tcPr>
          <w:p w14:paraId="5E14FE98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Fuente</w:t>
            </w:r>
          </w:p>
        </w:tc>
        <w:tc>
          <w:tcPr>
            <w:tcW w:w="672" w:type="dxa"/>
            <w:vMerge w:val="restart"/>
            <w:textDirection w:val="btLr"/>
            <w:vAlign w:val="center"/>
            <w:hideMark/>
          </w:tcPr>
          <w:p w14:paraId="6677EAA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Etapa</w:t>
            </w:r>
          </w:p>
        </w:tc>
        <w:tc>
          <w:tcPr>
            <w:tcW w:w="29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171F5EA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F3E568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(*) Probabilidad</w:t>
            </w:r>
          </w:p>
        </w:tc>
        <w:tc>
          <w:tcPr>
            <w:tcW w:w="15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B480A0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¿A quién se le asigna?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5B75CA9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¿Afecta el equilibrio económico del Contrato?</w:t>
            </w:r>
          </w:p>
        </w:tc>
        <w:tc>
          <w:tcPr>
            <w:tcW w:w="13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6A6D6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responsable por implementar el tratamiento</w:t>
            </w:r>
          </w:p>
        </w:tc>
      </w:tr>
      <w:tr w:rsidR="00C21F38" w:rsidRPr="00C21F38" w14:paraId="5A187A5D" w14:textId="77777777" w:rsidTr="008B4C26">
        <w:trPr>
          <w:trHeight w:val="1845"/>
        </w:trPr>
        <w:tc>
          <w:tcPr>
            <w:tcW w:w="672" w:type="dxa"/>
            <w:vMerge/>
            <w:vAlign w:val="center"/>
            <w:hideMark/>
          </w:tcPr>
          <w:p w14:paraId="43842EF2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  <w:hideMark/>
          </w:tcPr>
          <w:p w14:paraId="4109D32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  <w:hideMark/>
          </w:tcPr>
          <w:p w14:paraId="30F665D2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  <w:hideMark/>
          </w:tcPr>
          <w:p w14:paraId="77ACFD48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987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27DA4BF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9261B4F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1508" w:type="dxa"/>
            <w:gridSpan w:val="2"/>
            <w:vMerge/>
            <w:tcBorders>
              <w:top w:val="single" w:sz="4" w:space="0" w:color="auto"/>
            </w:tcBorders>
            <w:vAlign w:val="center"/>
            <w:hideMark/>
          </w:tcPr>
          <w:p w14:paraId="75F2A36D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87484DB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1344" w:type="dxa"/>
            <w:gridSpan w:val="2"/>
            <w:vMerge/>
            <w:tcBorders>
              <w:top w:val="single" w:sz="4" w:space="0" w:color="auto"/>
            </w:tcBorders>
            <w:vAlign w:val="center"/>
            <w:hideMark/>
          </w:tcPr>
          <w:p w14:paraId="2919B3EE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</w:tr>
      <w:tr w:rsidR="00C21F38" w:rsidRPr="00C21F38" w14:paraId="03343EB8" w14:textId="77777777" w:rsidTr="008B4C26">
        <w:trPr>
          <w:trHeight w:val="1487"/>
        </w:trPr>
        <w:tc>
          <w:tcPr>
            <w:tcW w:w="672" w:type="dxa"/>
            <w:vMerge/>
            <w:vAlign w:val="center"/>
            <w:hideMark/>
          </w:tcPr>
          <w:p w14:paraId="781B37DE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  <w:hideMark/>
          </w:tcPr>
          <w:p w14:paraId="473B4A0A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  <w:hideMark/>
          </w:tcPr>
          <w:p w14:paraId="48944E5B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  <w:hideMark/>
          </w:tcPr>
          <w:p w14:paraId="7C8EC209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987" w:type="dxa"/>
            <w:vMerge/>
            <w:vAlign w:val="center"/>
            <w:hideMark/>
          </w:tcPr>
          <w:p w14:paraId="0BB6D054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  <w:hideMark/>
          </w:tcPr>
          <w:p w14:paraId="7F62E022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754" w:type="dxa"/>
            <w:shd w:val="clear" w:color="000000" w:fill="auto"/>
            <w:textDirection w:val="btLr"/>
            <w:vAlign w:val="center"/>
            <w:hideMark/>
          </w:tcPr>
          <w:p w14:paraId="0F3D6C58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Entidad</w:t>
            </w:r>
          </w:p>
        </w:tc>
        <w:tc>
          <w:tcPr>
            <w:tcW w:w="754" w:type="dxa"/>
            <w:textDirection w:val="btLr"/>
            <w:vAlign w:val="center"/>
            <w:hideMark/>
          </w:tcPr>
          <w:p w14:paraId="4272265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contratista</w:t>
            </w:r>
          </w:p>
        </w:tc>
        <w:tc>
          <w:tcPr>
            <w:tcW w:w="672" w:type="dxa"/>
            <w:vMerge/>
            <w:vAlign w:val="center"/>
            <w:hideMark/>
          </w:tcPr>
          <w:p w14:paraId="30359E30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672" w:type="dxa"/>
            <w:textDirection w:val="btLr"/>
            <w:vAlign w:val="center"/>
            <w:hideMark/>
          </w:tcPr>
          <w:p w14:paraId="14027553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Entidad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3D5BBB7B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b/>
                <w:bCs/>
                <w:sz w:val="18"/>
                <w:szCs w:val="18"/>
              </w:rPr>
              <w:t>contratista</w:t>
            </w:r>
          </w:p>
        </w:tc>
      </w:tr>
      <w:tr w:rsidR="00C21F38" w:rsidRPr="00C21F38" w14:paraId="1C14987F" w14:textId="77777777" w:rsidTr="008B4C26">
        <w:trPr>
          <w:trHeight w:val="1200"/>
        </w:trPr>
        <w:tc>
          <w:tcPr>
            <w:tcW w:w="672" w:type="dxa"/>
            <w:vAlign w:val="center"/>
            <w:hideMark/>
          </w:tcPr>
          <w:p w14:paraId="0656D4F1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4C33C89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General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79A32BAC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Externos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03CF6CCF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ejecución</w:t>
            </w:r>
          </w:p>
        </w:tc>
        <w:tc>
          <w:tcPr>
            <w:tcW w:w="2987" w:type="dxa"/>
            <w:vAlign w:val="bottom"/>
            <w:hideMark/>
          </w:tcPr>
          <w:p w14:paraId="478DF679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 xml:space="preserve">Riesgos Económicos: son los derivados del comportamiento del mercado, tales como la fluctuación de los precios de los insumos, desabastecimiento y </w:t>
            </w:r>
            <w:r w:rsidRPr="00C21F38">
              <w:rPr>
                <w:rFonts w:ascii="Century Gothic" w:hAnsi="Century Gothic" w:cs="Arial"/>
                <w:sz w:val="18"/>
                <w:szCs w:val="18"/>
              </w:rPr>
              <w:lastRenderedPageBreak/>
              <w:t>especulación de los mismos, entre otros.</w:t>
            </w:r>
          </w:p>
        </w:tc>
        <w:tc>
          <w:tcPr>
            <w:tcW w:w="672" w:type="dxa"/>
            <w:vAlign w:val="center"/>
            <w:hideMark/>
          </w:tcPr>
          <w:p w14:paraId="2C355F6B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754" w:type="dxa"/>
            <w:vAlign w:val="center"/>
            <w:hideMark/>
          </w:tcPr>
          <w:p w14:paraId="169A4F16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50%</w:t>
            </w:r>
          </w:p>
        </w:tc>
        <w:tc>
          <w:tcPr>
            <w:tcW w:w="754" w:type="dxa"/>
            <w:vAlign w:val="center"/>
            <w:hideMark/>
          </w:tcPr>
          <w:p w14:paraId="38D8AFD9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50%</w:t>
            </w:r>
          </w:p>
        </w:tc>
        <w:tc>
          <w:tcPr>
            <w:tcW w:w="672" w:type="dxa"/>
            <w:vAlign w:val="center"/>
            <w:hideMark/>
          </w:tcPr>
          <w:p w14:paraId="6BDEDBCA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No</w:t>
            </w:r>
          </w:p>
        </w:tc>
        <w:tc>
          <w:tcPr>
            <w:tcW w:w="672" w:type="dxa"/>
            <w:vAlign w:val="center"/>
            <w:hideMark/>
          </w:tcPr>
          <w:p w14:paraId="5FA2CAEB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vAlign w:val="center"/>
            <w:hideMark/>
          </w:tcPr>
          <w:p w14:paraId="034F8100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  <w:tr w:rsidR="00C21F38" w:rsidRPr="00C21F38" w14:paraId="493FA360" w14:textId="77777777" w:rsidTr="008B4C26">
        <w:trPr>
          <w:trHeight w:val="2130"/>
        </w:trPr>
        <w:tc>
          <w:tcPr>
            <w:tcW w:w="672" w:type="dxa"/>
            <w:vAlign w:val="center"/>
            <w:hideMark/>
          </w:tcPr>
          <w:p w14:paraId="5D2AFC28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2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551867F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general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24595BFA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Externos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132A5938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Planeación, Selección, Contratación y ejecución</w:t>
            </w:r>
          </w:p>
        </w:tc>
        <w:tc>
          <w:tcPr>
            <w:tcW w:w="2987" w:type="dxa"/>
            <w:noWrap/>
            <w:vAlign w:val="bottom"/>
            <w:hideMark/>
          </w:tcPr>
          <w:p w14:paraId="5AAD7330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i/>
                <w:i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i/>
                <w:iCs/>
                <w:sz w:val="18"/>
                <w:szCs w:val="18"/>
              </w:rPr>
              <w:t>Riesgos Sociales o Políticos</w:t>
            </w:r>
            <w:r w:rsidRPr="00C21F38">
              <w:rPr>
                <w:rFonts w:ascii="Century Gothic" w:hAnsi="Century Gothic" w:cs="Arial"/>
                <w:sz w:val="18"/>
                <w:szCs w:val="18"/>
              </w:rPr>
              <w:t>: son los derivados de los cambios de las políticas gubernamentales y de cambios en las condiciones sociales que tengan impacto en la ejecución del contrato</w:t>
            </w:r>
          </w:p>
        </w:tc>
        <w:tc>
          <w:tcPr>
            <w:tcW w:w="672" w:type="dxa"/>
            <w:vAlign w:val="center"/>
            <w:hideMark/>
          </w:tcPr>
          <w:p w14:paraId="4B28DAF8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2</w:t>
            </w:r>
          </w:p>
        </w:tc>
        <w:tc>
          <w:tcPr>
            <w:tcW w:w="754" w:type="dxa"/>
            <w:vAlign w:val="center"/>
            <w:hideMark/>
          </w:tcPr>
          <w:p w14:paraId="79653076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50%</w:t>
            </w:r>
          </w:p>
        </w:tc>
        <w:tc>
          <w:tcPr>
            <w:tcW w:w="754" w:type="dxa"/>
            <w:vAlign w:val="center"/>
            <w:hideMark/>
          </w:tcPr>
          <w:p w14:paraId="3A010CF0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50%</w:t>
            </w:r>
          </w:p>
        </w:tc>
        <w:tc>
          <w:tcPr>
            <w:tcW w:w="672" w:type="dxa"/>
            <w:vAlign w:val="center"/>
            <w:hideMark/>
          </w:tcPr>
          <w:p w14:paraId="555A2695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si</w:t>
            </w:r>
          </w:p>
        </w:tc>
        <w:tc>
          <w:tcPr>
            <w:tcW w:w="672" w:type="dxa"/>
            <w:vAlign w:val="center"/>
            <w:hideMark/>
          </w:tcPr>
          <w:p w14:paraId="7E870255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  <w:tc>
          <w:tcPr>
            <w:tcW w:w="672" w:type="dxa"/>
            <w:vAlign w:val="center"/>
            <w:hideMark/>
          </w:tcPr>
          <w:p w14:paraId="1C717FC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  <w:tr w:rsidR="00C21F38" w:rsidRPr="00C21F38" w14:paraId="10A61D88" w14:textId="77777777" w:rsidTr="008B4C26">
        <w:trPr>
          <w:trHeight w:val="1920"/>
        </w:trPr>
        <w:tc>
          <w:tcPr>
            <w:tcW w:w="672" w:type="dxa"/>
            <w:vAlign w:val="center"/>
            <w:hideMark/>
          </w:tcPr>
          <w:p w14:paraId="296B688D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3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1896B86D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Específico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692DE0D9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Externos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2017C7F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ejecución</w:t>
            </w:r>
          </w:p>
        </w:tc>
        <w:tc>
          <w:tcPr>
            <w:tcW w:w="2987" w:type="dxa"/>
            <w:noWrap/>
            <w:vAlign w:val="bottom"/>
            <w:hideMark/>
          </w:tcPr>
          <w:p w14:paraId="4B5F0E1F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i/>
                <w:iCs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i/>
                <w:iCs/>
                <w:sz w:val="18"/>
                <w:szCs w:val="18"/>
              </w:rPr>
              <w:t>Riesgos Operacionales</w:t>
            </w:r>
            <w:r w:rsidRPr="00C21F38">
              <w:rPr>
                <w:rFonts w:ascii="Century Gothic" w:hAnsi="Century Gothic" w:cs="Arial"/>
                <w:sz w:val="18"/>
                <w:szCs w:val="18"/>
              </w:rPr>
              <w:t>: son los asociados a la operatividad del contrato, tales como la suficiencia del presupuesto oficial, del plazo o los derivados de procesos, procedimientos, parámetros, sistemas de información y tecnológicos, equipos humanos o técnicos inadecuados o insuficientes</w:t>
            </w:r>
          </w:p>
        </w:tc>
        <w:tc>
          <w:tcPr>
            <w:tcW w:w="672" w:type="dxa"/>
            <w:vAlign w:val="center"/>
            <w:hideMark/>
          </w:tcPr>
          <w:p w14:paraId="18AD885E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3</w:t>
            </w:r>
          </w:p>
        </w:tc>
        <w:tc>
          <w:tcPr>
            <w:tcW w:w="754" w:type="dxa"/>
            <w:vAlign w:val="center"/>
            <w:hideMark/>
          </w:tcPr>
          <w:p w14:paraId="54552E1A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754" w:type="dxa"/>
            <w:vAlign w:val="center"/>
            <w:hideMark/>
          </w:tcPr>
          <w:p w14:paraId="62D67EE0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672" w:type="dxa"/>
            <w:vAlign w:val="center"/>
            <w:hideMark/>
          </w:tcPr>
          <w:p w14:paraId="59CE32A3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si</w:t>
            </w:r>
          </w:p>
        </w:tc>
        <w:tc>
          <w:tcPr>
            <w:tcW w:w="672" w:type="dxa"/>
            <w:vAlign w:val="center"/>
            <w:hideMark/>
          </w:tcPr>
          <w:p w14:paraId="56797A32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vAlign w:val="center"/>
            <w:hideMark/>
          </w:tcPr>
          <w:p w14:paraId="0D51A7FC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  <w:tr w:rsidR="00C21F38" w:rsidRPr="00C21F38" w14:paraId="24304D61" w14:textId="77777777" w:rsidTr="008B4C26">
        <w:trPr>
          <w:trHeight w:val="1303"/>
        </w:trPr>
        <w:tc>
          <w:tcPr>
            <w:tcW w:w="672" w:type="dxa"/>
            <w:vAlign w:val="center"/>
            <w:hideMark/>
          </w:tcPr>
          <w:p w14:paraId="4FC7999C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4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375CE025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Especifico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010FC98E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Externos</w:t>
            </w:r>
          </w:p>
        </w:tc>
        <w:tc>
          <w:tcPr>
            <w:tcW w:w="672" w:type="dxa"/>
            <w:noWrap/>
            <w:textDirection w:val="btLr"/>
            <w:vAlign w:val="center"/>
            <w:hideMark/>
          </w:tcPr>
          <w:p w14:paraId="55B40575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ejecución</w:t>
            </w:r>
          </w:p>
        </w:tc>
        <w:tc>
          <w:tcPr>
            <w:tcW w:w="2987" w:type="dxa"/>
            <w:noWrap/>
            <w:vAlign w:val="bottom"/>
            <w:hideMark/>
          </w:tcPr>
          <w:p w14:paraId="76422E2C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Riesgos Financieros: es (i) el riesgo de consecución de financiación o riesgo de liquidez para obtener recursos para cumplir con el objeto del contrato, y (</w:t>
            </w:r>
            <w:proofErr w:type="spellStart"/>
            <w:r w:rsidRPr="00C21F38">
              <w:rPr>
                <w:rFonts w:ascii="Century Gothic" w:hAnsi="Century Gothic" w:cs="Arial"/>
                <w:sz w:val="18"/>
                <w:szCs w:val="18"/>
              </w:rPr>
              <w:t>ii</w:t>
            </w:r>
            <w:proofErr w:type="spellEnd"/>
            <w:r w:rsidRPr="00C21F38">
              <w:rPr>
                <w:rFonts w:ascii="Century Gothic" w:hAnsi="Century Gothic" w:cs="Arial"/>
                <w:sz w:val="18"/>
                <w:szCs w:val="18"/>
              </w:rPr>
              <w:t>) el riesgo de las condiciones financieras establecidas para la obtención de los recursos, tales como plazos, tasas, garantías, contragarantías, y refinanciaciones entre otros.</w:t>
            </w:r>
          </w:p>
        </w:tc>
        <w:tc>
          <w:tcPr>
            <w:tcW w:w="672" w:type="dxa"/>
            <w:noWrap/>
            <w:vAlign w:val="center"/>
            <w:hideMark/>
          </w:tcPr>
          <w:p w14:paraId="63F23D0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3</w:t>
            </w:r>
          </w:p>
        </w:tc>
        <w:tc>
          <w:tcPr>
            <w:tcW w:w="754" w:type="dxa"/>
            <w:noWrap/>
            <w:vAlign w:val="center"/>
            <w:hideMark/>
          </w:tcPr>
          <w:p w14:paraId="5F1C16E0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754" w:type="dxa"/>
            <w:noWrap/>
            <w:vAlign w:val="center"/>
            <w:hideMark/>
          </w:tcPr>
          <w:p w14:paraId="53A6675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672" w:type="dxa"/>
            <w:noWrap/>
            <w:vAlign w:val="center"/>
            <w:hideMark/>
          </w:tcPr>
          <w:p w14:paraId="31D757E3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si</w:t>
            </w:r>
          </w:p>
        </w:tc>
        <w:tc>
          <w:tcPr>
            <w:tcW w:w="672" w:type="dxa"/>
            <w:noWrap/>
            <w:vAlign w:val="center"/>
            <w:hideMark/>
          </w:tcPr>
          <w:p w14:paraId="2D536CCB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noWrap/>
            <w:vAlign w:val="center"/>
            <w:hideMark/>
          </w:tcPr>
          <w:p w14:paraId="74816C9A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  <w:tr w:rsidR="00C21F38" w:rsidRPr="00C21F38" w14:paraId="784AC42B" w14:textId="77777777" w:rsidTr="008B4C26">
        <w:trPr>
          <w:trHeight w:val="2130"/>
        </w:trPr>
        <w:tc>
          <w:tcPr>
            <w:tcW w:w="672" w:type="dxa"/>
            <w:vAlign w:val="center"/>
            <w:hideMark/>
          </w:tcPr>
          <w:p w14:paraId="6C153869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5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0521FA80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General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0393B8C6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Externos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5524473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Planeación, Selección, Contratación y ejecución</w:t>
            </w:r>
          </w:p>
        </w:tc>
        <w:tc>
          <w:tcPr>
            <w:tcW w:w="2987" w:type="dxa"/>
            <w:vAlign w:val="bottom"/>
            <w:hideMark/>
          </w:tcPr>
          <w:p w14:paraId="6BCCE72A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Riesgos Regulatorios: derivados de cambios regulatorios o reglamentarios que afecten la ecuación económica del contrato.</w:t>
            </w:r>
          </w:p>
        </w:tc>
        <w:tc>
          <w:tcPr>
            <w:tcW w:w="672" w:type="dxa"/>
            <w:noWrap/>
            <w:vAlign w:val="center"/>
            <w:hideMark/>
          </w:tcPr>
          <w:p w14:paraId="2ECD1C76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754" w:type="dxa"/>
            <w:noWrap/>
            <w:vAlign w:val="center"/>
            <w:hideMark/>
          </w:tcPr>
          <w:p w14:paraId="0DC9AB6B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754" w:type="dxa"/>
            <w:noWrap/>
            <w:vAlign w:val="center"/>
            <w:hideMark/>
          </w:tcPr>
          <w:p w14:paraId="0CC1E57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noWrap/>
            <w:vAlign w:val="center"/>
            <w:hideMark/>
          </w:tcPr>
          <w:p w14:paraId="058CC58C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no</w:t>
            </w:r>
          </w:p>
        </w:tc>
        <w:tc>
          <w:tcPr>
            <w:tcW w:w="672" w:type="dxa"/>
            <w:noWrap/>
            <w:vAlign w:val="center"/>
            <w:hideMark/>
          </w:tcPr>
          <w:p w14:paraId="048351FF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  <w:tc>
          <w:tcPr>
            <w:tcW w:w="672" w:type="dxa"/>
            <w:noWrap/>
            <w:vAlign w:val="center"/>
            <w:hideMark/>
          </w:tcPr>
          <w:p w14:paraId="3CED57B6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</w:tr>
      <w:tr w:rsidR="00C21F38" w:rsidRPr="00C21F38" w14:paraId="403DE793" w14:textId="77777777" w:rsidTr="008B4C26">
        <w:trPr>
          <w:trHeight w:val="2130"/>
        </w:trPr>
        <w:tc>
          <w:tcPr>
            <w:tcW w:w="672" w:type="dxa"/>
            <w:vAlign w:val="center"/>
            <w:hideMark/>
          </w:tcPr>
          <w:p w14:paraId="6754AAC4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362818DD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General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3B4EB332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Externos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553D67FE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Planeación, Selección, Contratación y ejecución</w:t>
            </w:r>
          </w:p>
        </w:tc>
        <w:tc>
          <w:tcPr>
            <w:tcW w:w="2987" w:type="dxa"/>
            <w:noWrap/>
            <w:vAlign w:val="bottom"/>
            <w:hideMark/>
          </w:tcPr>
          <w:p w14:paraId="2FCB6B84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Riesgos de la Naturaleza: son los eventos naturales previsibles en los cuales no hay intervención humana que puedan tener impacto en la ejecución del contrato, por ejemplo, los temblores, inundaciones, lluvias, sequias, entre otros.</w:t>
            </w:r>
          </w:p>
        </w:tc>
        <w:tc>
          <w:tcPr>
            <w:tcW w:w="672" w:type="dxa"/>
            <w:noWrap/>
            <w:vAlign w:val="center"/>
            <w:hideMark/>
          </w:tcPr>
          <w:p w14:paraId="29E8848A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3</w:t>
            </w:r>
          </w:p>
        </w:tc>
        <w:tc>
          <w:tcPr>
            <w:tcW w:w="754" w:type="dxa"/>
            <w:noWrap/>
            <w:vAlign w:val="center"/>
            <w:hideMark/>
          </w:tcPr>
          <w:p w14:paraId="583176F3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754" w:type="dxa"/>
            <w:noWrap/>
            <w:vAlign w:val="center"/>
            <w:hideMark/>
          </w:tcPr>
          <w:p w14:paraId="7CAD39CA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noWrap/>
            <w:vAlign w:val="center"/>
            <w:hideMark/>
          </w:tcPr>
          <w:p w14:paraId="1C8F01B5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si</w:t>
            </w:r>
          </w:p>
        </w:tc>
        <w:tc>
          <w:tcPr>
            <w:tcW w:w="672" w:type="dxa"/>
            <w:noWrap/>
            <w:vAlign w:val="center"/>
            <w:hideMark/>
          </w:tcPr>
          <w:p w14:paraId="3541320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  <w:tc>
          <w:tcPr>
            <w:tcW w:w="672" w:type="dxa"/>
            <w:noWrap/>
            <w:vAlign w:val="center"/>
            <w:hideMark/>
          </w:tcPr>
          <w:p w14:paraId="21291601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</w:tr>
      <w:tr w:rsidR="00C21F38" w:rsidRPr="00C21F38" w14:paraId="70E17730" w14:textId="77777777" w:rsidTr="008B4C26">
        <w:trPr>
          <w:trHeight w:val="2160"/>
        </w:trPr>
        <w:tc>
          <w:tcPr>
            <w:tcW w:w="672" w:type="dxa"/>
            <w:vAlign w:val="center"/>
            <w:hideMark/>
          </w:tcPr>
          <w:p w14:paraId="21E9C99F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7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20E89CB9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General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16D13562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Externos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72F9B1B6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planeación y Ejecución</w:t>
            </w:r>
          </w:p>
        </w:tc>
        <w:tc>
          <w:tcPr>
            <w:tcW w:w="2987" w:type="dxa"/>
            <w:noWrap/>
            <w:vAlign w:val="bottom"/>
            <w:hideMark/>
          </w:tcPr>
          <w:p w14:paraId="70238D66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Riesgos Ambientales: son los derivados de las obligaciones legales o reglamentarias de carácter ambiental, así como de las licencias, planes de manejo o de permisos y autorizaciones ambientales, incluyendo tasas retributivas y compensatorias, obligaciones de mitigación, tareas de monitoreo y control, entre otras.</w:t>
            </w:r>
          </w:p>
        </w:tc>
        <w:tc>
          <w:tcPr>
            <w:tcW w:w="672" w:type="dxa"/>
            <w:noWrap/>
            <w:vAlign w:val="center"/>
            <w:hideMark/>
          </w:tcPr>
          <w:p w14:paraId="1EF46CAE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2</w:t>
            </w:r>
          </w:p>
        </w:tc>
        <w:tc>
          <w:tcPr>
            <w:tcW w:w="754" w:type="dxa"/>
            <w:noWrap/>
            <w:vAlign w:val="center"/>
            <w:hideMark/>
          </w:tcPr>
          <w:p w14:paraId="21FA14F9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754" w:type="dxa"/>
            <w:noWrap/>
            <w:vAlign w:val="center"/>
            <w:hideMark/>
          </w:tcPr>
          <w:p w14:paraId="12034C0F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672" w:type="dxa"/>
            <w:noWrap/>
            <w:vAlign w:val="center"/>
            <w:hideMark/>
          </w:tcPr>
          <w:p w14:paraId="23898663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no</w:t>
            </w:r>
          </w:p>
        </w:tc>
        <w:tc>
          <w:tcPr>
            <w:tcW w:w="672" w:type="dxa"/>
            <w:noWrap/>
            <w:vAlign w:val="center"/>
            <w:hideMark/>
          </w:tcPr>
          <w:p w14:paraId="6DF53A83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noWrap/>
            <w:vAlign w:val="center"/>
            <w:hideMark/>
          </w:tcPr>
          <w:p w14:paraId="73D2966B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  <w:tr w:rsidR="00C21F38" w:rsidRPr="00C21F38" w14:paraId="7988E74D" w14:textId="77777777" w:rsidTr="008B4C26">
        <w:trPr>
          <w:trHeight w:val="1920"/>
        </w:trPr>
        <w:tc>
          <w:tcPr>
            <w:tcW w:w="672" w:type="dxa"/>
            <w:vAlign w:val="center"/>
            <w:hideMark/>
          </w:tcPr>
          <w:p w14:paraId="14A65112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8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4B80D0EB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específico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27DB95BF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Externos</w:t>
            </w:r>
          </w:p>
        </w:tc>
        <w:tc>
          <w:tcPr>
            <w:tcW w:w="672" w:type="dxa"/>
            <w:noWrap/>
            <w:textDirection w:val="btLr"/>
            <w:vAlign w:val="center"/>
            <w:hideMark/>
          </w:tcPr>
          <w:p w14:paraId="2E0C9A14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ejecución</w:t>
            </w:r>
          </w:p>
        </w:tc>
        <w:tc>
          <w:tcPr>
            <w:tcW w:w="2987" w:type="dxa"/>
            <w:vAlign w:val="bottom"/>
            <w:hideMark/>
          </w:tcPr>
          <w:p w14:paraId="347FB500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Riesgos Tecnológicos: son los derivados de fallas en las los sistemas de comunicación de voz y de datos, suspensión de servicios públicos, nuevos desarrollos tecnológicos o estándares que deben ser tenidos en cuenta para la ejecución del contrato, obsolescencia tecnológica.</w:t>
            </w:r>
          </w:p>
        </w:tc>
        <w:tc>
          <w:tcPr>
            <w:tcW w:w="672" w:type="dxa"/>
            <w:noWrap/>
            <w:vAlign w:val="center"/>
            <w:hideMark/>
          </w:tcPr>
          <w:p w14:paraId="224FA2A2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754" w:type="dxa"/>
            <w:noWrap/>
            <w:vAlign w:val="center"/>
            <w:hideMark/>
          </w:tcPr>
          <w:p w14:paraId="641EEE53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754" w:type="dxa"/>
            <w:noWrap/>
            <w:vAlign w:val="center"/>
            <w:hideMark/>
          </w:tcPr>
          <w:p w14:paraId="11A9DF51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672" w:type="dxa"/>
            <w:noWrap/>
            <w:vAlign w:val="center"/>
            <w:hideMark/>
          </w:tcPr>
          <w:p w14:paraId="3CE8CEE3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no</w:t>
            </w:r>
          </w:p>
        </w:tc>
        <w:tc>
          <w:tcPr>
            <w:tcW w:w="672" w:type="dxa"/>
            <w:noWrap/>
            <w:vAlign w:val="center"/>
            <w:hideMark/>
          </w:tcPr>
          <w:p w14:paraId="4A55B79A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noWrap/>
            <w:vAlign w:val="center"/>
            <w:hideMark/>
          </w:tcPr>
          <w:p w14:paraId="55716051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  <w:tr w:rsidR="00C21F38" w:rsidRPr="00C21F38" w14:paraId="4B632DCF" w14:textId="77777777" w:rsidTr="008B4C26">
        <w:trPr>
          <w:trHeight w:val="1155"/>
        </w:trPr>
        <w:tc>
          <w:tcPr>
            <w:tcW w:w="672" w:type="dxa"/>
            <w:vAlign w:val="center"/>
            <w:hideMark/>
          </w:tcPr>
          <w:p w14:paraId="141E7A0C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9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703CE89C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Especifico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6BB4A919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Interno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0CC80AD0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Contratación</w:t>
            </w:r>
          </w:p>
        </w:tc>
        <w:tc>
          <w:tcPr>
            <w:tcW w:w="2987" w:type="dxa"/>
            <w:vAlign w:val="bottom"/>
            <w:hideMark/>
          </w:tcPr>
          <w:p w14:paraId="7153823C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No firma del contrato por parte del proponente y/o contratista</w:t>
            </w:r>
          </w:p>
        </w:tc>
        <w:tc>
          <w:tcPr>
            <w:tcW w:w="672" w:type="dxa"/>
            <w:noWrap/>
            <w:vAlign w:val="bottom"/>
            <w:hideMark/>
          </w:tcPr>
          <w:p w14:paraId="2BB82C3D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754" w:type="dxa"/>
            <w:noWrap/>
            <w:vAlign w:val="bottom"/>
            <w:hideMark/>
          </w:tcPr>
          <w:p w14:paraId="5385DE20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754" w:type="dxa"/>
            <w:noWrap/>
            <w:vAlign w:val="bottom"/>
            <w:hideMark/>
          </w:tcPr>
          <w:p w14:paraId="51A753C8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672" w:type="dxa"/>
            <w:noWrap/>
            <w:vAlign w:val="bottom"/>
            <w:hideMark/>
          </w:tcPr>
          <w:p w14:paraId="1B45F78D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no</w:t>
            </w:r>
          </w:p>
        </w:tc>
        <w:tc>
          <w:tcPr>
            <w:tcW w:w="672" w:type="dxa"/>
            <w:noWrap/>
            <w:vAlign w:val="bottom"/>
            <w:hideMark/>
          </w:tcPr>
          <w:p w14:paraId="6636922B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  <w:tc>
          <w:tcPr>
            <w:tcW w:w="672" w:type="dxa"/>
            <w:noWrap/>
            <w:vAlign w:val="bottom"/>
            <w:hideMark/>
          </w:tcPr>
          <w:p w14:paraId="5692736E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</w:tr>
      <w:tr w:rsidR="00C21F38" w:rsidRPr="00C21F38" w14:paraId="617834C1" w14:textId="77777777" w:rsidTr="008B4C26">
        <w:trPr>
          <w:trHeight w:val="960"/>
        </w:trPr>
        <w:tc>
          <w:tcPr>
            <w:tcW w:w="672" w:type="dxa"/>
            <w:vAlign w:val="center"/>
            <w:hideMark/>
          </w:tcPr>
          <w:p w14:paraId="36E138CA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794C6802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Especifico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033F11A3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Interno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259445E6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ejecución</w:t>
            </w:r>
          </w:p>
        </w:tc>
        <w:tc>
          <w:tcPr>
            <w:tcW w:w="2987" w:type="dxa"/>
            <w:vAlign w:val="bottom"/>
            <w:hideMark/>
          </w:tcPr>
          <w:p w14:paraId="444A5E6D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Incumplimiento del contrato por parte del Contratista</w:t>
            </w:r>
          </w:p>
        </w:tc>
        <w:tc>
          <w:tcPr>
            <w:tcW w:w="672" w:type="dxa"/>
            <w:noWrap/>
            <w:vAlign w:val="bottom"/>
            <w:hideMark/>
          </w:tcPr>
          <w:p w14:paraId="74154C38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2</w:t>
            </w:r>
          </w:p>
        </w:tc>
        <w:tc>
          <w:tcPr>
            <w:tcW w:w="754" w:type="dxa"/>
            <w:noWrap/>
            <w:vAlign w:val="bottom"/>
            <w:hideMark/>
          </w:tcPr>
          <w:p w14:paraId="7019EB44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754" w:type="dxa"/>
            <w:noWrap/>
            <w:vAlign w:val="bottom"/>
            <w:hideMark/>
          </w:tcPr>
          <w:p w14:paraId="2D637156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672" w:type="dxa"/>
            <w:noWrap/>
            <w:vAlign w:val="bottom"/>
            <w:hideMark/>
          </w:tcPr>
          <w:p w14:paraId="5AFFBDCB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si</w:t>
            </w:r>
          </w:p>
        </w:tc>
        <w:tc>
          <w:tcPr>
            <w:tcW w:w="672" w:type="dxa"/>
            <w:noWrap/>
            <w:vAlign w:val="bottom"/>
            <w:hideMark/>
          </w:tcPr>
          <w:p w14:paraId="2020EE83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noWrap/>
            <w:vAlign w:val="bottom"/>
            <w:hideMark/>
          </w:tcPr>
          <w:p w14:paraId="2A6AE24C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  <w:tr w:rsidR="00C21F38" w:rsidRPr="00C21F38" w14:paraId="7BBDE6A9" w14:textId="77777777" w:rsidTr="008B4C26">
        <w:trPr>
          <w:trHeight w:val="1200"/>
        </w:trPr>
        <w:tc>
          <w:tcPr>
            <w:tcW w:w="672" w:type="dxa"/>
            <w:vAlign w:val="center"/>
            <w:hideMark/>
          </w:tcPr>
          <w:p w14:paraId="5B8CC453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11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425499CA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Especifico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429CBAF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Interno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11BD74BE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ejecución</w:t>
            </w:r>
          </w:p>
        </w:tc>
        <w:tc>
          <w:tcPr>
            <w:tcW w:w="2987" w:type="dxa"/>
            <w:vAlign w:val="bottom"/>
            <w:hideMark/>
          </w:tcPr>
          <w:p w14:paraId="2C345CCA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No pago oportuno, por parte del contratista de sus empleados o personal utilizado para la ejecución del contrato en relación con: salarios, prestaciones sociales y demás obligaciones laborales</w:t>
            </w:r>
          </w:p>
        </w:tc>
        <w:tc>
          <w:tcPr>
            <w:tcW w:w="672" w:type="dxa"/>
            <w:noWrap/>
            <w:vAlign w:val="bottom"/>
            <w:hideMark/>
          </w:tcPr>
          <w:p w14:paraId="6FD87AF6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2</w:t>
            </w:r>
          </w:p>
        </w:tc>
        <w:tc>
          <w:tcPr>
            <w:tcW w:w="754" w:type="dxa"/>
            <w:noWrap/>
            <w:vAlign w:val="bottom"/>
            <w:hideMark/>
          </w:tcPr>
          <w:p w14:paraId="5EF21771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754" w:type="dxa"/>
            <w:noWrap/>
            <w:vAlign w:val="bottom"/>
            <w:hideMark/>
          </w:tcPr>
          <w:p w14:paraId="087A2F6F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672" w:type="dxa"/>
            <w:noWrap/>
            <w:vAlign w:val="bottom"/>
            <w:hideMark/>
          </w:tcPr>
          <w:p w14:paraId="527A5F95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si</w:t>
            </w:r>
          </w:p>
        </w:tc>
        <w:tc>
          <w:tcPr>
            <w:tcW w:w="672" w:type="dxa"/>
            <w:noWrap/>
            <w:vAlign w:val="bottom"/>
            <w:hideMark/>
          </w:tcPr>
          <w:p w14:paraId="3BB1C20D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noWrap/>
            <w:vAlign w:val="bottom"/>
            <w:hideMark/>
          </w:tcPr>
          <w:p w14:paraId="2D6E4E48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  <w:tr w:rsidR="00C21F38" w:rsidRPr="00C21F38" w14:paraId="25FF1618" w14:textId="77777777" w:rsidTr="008B4C26">
        <w:trPr>
          <w:trHeight w:val="1200"/>
        </w:trPr>
        <w:tc>
          <w:tcPr>
            <w:tcW w:w="672" w:type="dxa"/>
            <w:vAlign w:val="center"/>
            <w:hideMark/>
          </w:tcPr>
          <w:p w14:paraId="3F46DEAD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12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1CD9614D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Especifico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5A768144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Interno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0F49F3AF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ejecución</w:t>
            </w:r>
          </w:p>
        </w:tc>
        <w:tc>
          <w:tcPr>
            <w:tcW w:w="2987" w:type="dxa"/>
            <w:vAlign w:val="bottom"/>
            <w:hideMark/>
          </w:tcPr>
          <w:p w14:paraId="23163C38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Cese de actividades de sus empleados o personal utilizado para la ejecución del contrato en relación con las obligaciones derivados de la relación laboral del Contratista</w:t>
            </w:r>
          </w:p>
        </w:tc>
        <w:tc>
          <w:tcPr>
            <w:tcW w:w="672" w:type="dxa"/>
            <w:noWrap/>
            <w:vAlign w:val="bottom"/>
            <w:hideMark/>
          </w:tcPr>
          <w:p w14:paraId="2710FA4D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3</w:t>
            </w:r>
          </w:p>
        </w:tc>
        <w:tc>
          <w:tcPr>
            <w:tcW w:w="754" w:type="dxa"/>
            <w:noWrap/>
            <w:vAlign w:val="bottom"/>
            <w:hideMark/>
          </w:tcPr>
          <w:p w14:paraId="515F1A2A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754" w:type="dxa"/>
            <w:noWrap/>
            <w:vAlign w:val="bottom"/>
            <w:hideMark/>
          </w:tcPr>
          <w:p w14:paraId="487B8DF5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672" w:type="dxa"/>
            <w:noWrap/>
            <w:vAlign w:val="bottom"/>
            <w:hideMark/>
          </w:tcPr>
          <w:p w14:paraId="4701BB88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si</w:t>
            </w:r>
          </w:p>
        </w:tc>
        <w:tc>
          <w:tcPr>
            <w:tcW w:w="672" w:type="dxa"/>
            <w:noWrap/>
            <w:vAlign w:val="bottom"/>
            <w:hideMark/>
          </w:tcPr>
          <w:p w14:paraId="28842DD8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noWrap/>
            <w:vAlign w:val="bottom"/>
            <w:hideMark/>
          </w:tcPr>
          <w:p w14:paraId="71DF7E59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  <w:tr w:rsidR="00C21F38" w:rsidRPr="00C21F38" w14:paraId="68CED9A8" w14:textId="77777777" w:rsidTr="008B4C26">
        <w:trPr>
          <w:trHeight w:val="1200"/>
        </w:trPr>
        <w:tc>
          <w:tcPr>
            <w:tcW w:w="672" w:type="dxa"/>
            <w:vAlign w:val="center"/>
            <w:hideMark/>
          </w:tcPr>
          <w:p w14:paraId="45FF50A3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lastRenderedPageBreak/>
              <w:t>13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6EC566B6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Especifico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26024ABB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Interno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40F9B01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ejecución</w:t>
            </w:r>
          </w:p>
        </w:tc>
        <w:tc>
          <w:tcPr>
            <w:tcW w:w="2987" w:type="dxa"/>
            <w:vAlign w:val="bottom"/>
            <w:hideMark/>
          </w:tcPr>
          <w:p w14:paraId="45E5391F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 xml:space="preserve">Daños a terceros por responsabilidad civil contractual y extracontractual por parte </w:t>
            </w:r>
            <w:proofErr w:type="gramStart"/>
            <w:r w:rsidRPr="00C21F38">
              <w:rPr>
                <w:rFonts w:ascii="Century Gothic" w:hAnsi="Century Gothic" w:cs="Arial"/>
                <w:sz w:val="18"/>
                <w:szCs w:val="18"/>
              </w:rPr>
              <w:t>del contratistas</w:t>
            </w:r>
            <w:proofErr w:type="gramEnd"/>
            <w:r w:rsidRPr="00C21F38">
              <w:rPr>
                <w:rFonts w:ascii="Century Gothic" w:hAnsi="Century Gothic" w:cs="Arial"/>
                <w:sz w:val="18"/>
                <w:szCs w:val="18"/>
              </w:rPr>
              <w:t xml:space="preserve"> o de sus empleados o del personal utilizado para la ejecución del contrato</w:t>
            </w:r>
          </w:p>
        </w:tc>
        <w:tc>
          <w:tcPr>
            <w:tcW w:w="672" w:type="dxa"/>
            <w:noWrap/>
            <w:vAlign w:val="bottom"/>
            <w:hideMark/>
          </w:tcPr>
          <w:p w14:paraId="05CD4124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3</w:t>
            </w:r>
          </w:p>
        </w:tc>
        <w:tc>
          <w:tcPr>
            <w:tcW w:w="754" w:type="dxa"/>
            <w:noWrap/>
            <w:vAlign w:val="bottom"/>
            <w:hideMark/>
          </w:tcPr>
          <w:p w14:paraId="2E48C49E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754" w:type="dxa"/>
            <w:noWrap/>
            <w:vAlign w:val="bottom"/>
            <w:hideMark/>
          </w:tcPr>
          <w:p w14:paraId="38ABA044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672" w:type="dxa"/>
            <w:noWrap/>
            <w:vAlign w:val="bottom"/>
            <w:hideMark/>
          </w:tcPr>
          <w:p w14:paraId="2B301364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si</w:t>
            </w:r>
          </w:p>
        </w:tc>
        <w:tc>
          <w:tcPr>
            <w:tcW w:w="672" w:type="dxa"/>
            <w:noWrap/>
            <w:vAlign w:val="bottom"/>
            <w:hideMark/>
          </w:tcPr>
          <w:p w14:paraId="6E64B021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noWrap/>
            <w:vAlign w:val="bottom"/>
            <w:hideMark/>
          </w:tcPr>
          <w:p w14:paraId="27C5C2CC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  <w:tr w:rsidR="00C21F38" w:rsidRPr="00C21F38" w14:paraId="20678B9D" w14:textId="77777777" w:rsidTr="008B4C26">
        <w:trPr>
          <w:trHeight w:val="1200"/>
        </w:trPr>
        <w:tc>
          <w:tcPr>
            <w:tcW w:w="672" w:type="dxa"/>
            <w:vAlign w:val="center"/>
            <w:hideMark/>
          </w:tcPr>
          <w:p w14:paraId="62810228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14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0A3CA99A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Especifico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5443301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Interno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3098D692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Planeación</w:t>
            </w:r>
          </w:p>
        </w:tc>
        <w:tc>
          <w:tcPr>
            <w:tcW w:w="2987" w:type="dxa"/>
            <w:vAlign w:val="bottom"/>
            <w:hideMark/>
          </w:tcPr>
          <w:p w14:paraId="726C6E4F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Errores involuntarios que hayan quedado en los pliegos de condiciones, estudios previos, haciendo referencia a cualquier error que se pueda presentar en los archivos publicados</w:t>
            </w:r>
          </w:p>
        </w:tc>
        <w:tc>
          <w:tcPr>
            <w:tcW w:w="672" w:type="dxa"/>
            <w:noWrap/>
            <w:vAlign w:val="bottom"/>
            <w:hideMark/>
          </w:tcPr>
          <w:p w14:paraId="44D0D3A5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2</w:t>
            </w:r>
          </w:p>
        </w:tc>
        <w:tc>
          <w:tcPr>
            <w:tcW w:w="754" w:type="dxa"/>
            <w:noWrap/>
            <w:vAlign w:val="bottom"/>
            <w:hideMark/>
          </w:tcPr>
          <w:p w14:paraId="1A544007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754" w:type="dxa"/>
            <w:noWrap/>
            <w:vAlign w:val="bottom"/>
            <w:hideMark/>
          </w:tcPr>
          <w:p w14:paraId="2D291347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72" w:type="dxa"/>
            <w:noWrap/>
            <w:vAlign w:val="bottom"/>
            <w:hideMark/>
          </w:tcPr>
          <w:p w14:paraId="1BD55041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no</w:t>
            </w:r>
          </w:p>
        </w:tc>
        <w:tc>
          <w:tcPr>
            <w:tcW w:w="672" w:type="dxa"/>
            <w:noWrap/>
            <w:vAlign w:val="bottom"/>
            <w:hideMark/>
          </w:tcPr>
          <w:p w14:paraId="61748FB3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  <w:tc>
          <w:tcPr>
            <w:tcW w:w="672" w:type="dxa"/>
            <w:noWrap/>
            <w:vAlign w:val="bottom"/>
            <w:hideMark/>
          </w:tcPr>
          <w:p w14:paraId="4FB9A7CF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  <w:tr w:rsidR="00C21F38" w:rsidRPr="00C21F38" w14:paraId="5616E7CD" w14:textId="77777777" w:rsidTr="008B4C26">
        <w:trPr>
          <w:trHeight w:val="1035"/>
        </w:trPr>
        <w:tc>
          <w:tcPr>
            <w:tcW w:w="672" w:type="dxa"/>
            <w:vAlign w:val="center"/>
            <w:hideMark/>
          </w:tcPr>
          <w:p w14:paraId="3F63D097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15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7346006D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Especifico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5F8B520D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Externos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7ED7B1AF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Planeación y selección</w:t>
            </w:r>
          </w:p>
        </w:tc>
        <w:tc>
          <w:tcPr>
            <w:tcW w:w="2987" w:type="dxa"/>
            <w:vAlign w:val="bottom"/>
            <w:hideMark/>
          </w:tcPr>
          <w:p w14:paraId="33C8752B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Errores cometidos por el Contratista en la elaboración de las propuestas y/o en los documentos requeridos en el proceso de contratación</w:t>
            </w:r>
          </w:p>
        </w:tc>
        <w:tc>
          <w:tcPr>
            <w:tcW w:w="672" w:type="dxa"/>
            <w:noWrap/>
            <w:vAlign w:val="bottom"/>
            <w:hideMark/>
          </w:tcPr>
          <w:p w14:paraId="2C43D05C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3</w:t>
            </w:r>
          </w:p>
        </w:tc>
        <w:tc>
          <w:tcPr>
            <w:tcW w:w="754" w:type="dxa"/>
            <w:noWrap/>
            <w:vAlign w:val="bottom"/>
            <w:hideMark/>
          </w:tcPr>
          <w:p w14:paraId="409D15D0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754" w:type="dxa"/>
            <w:noWrap/>
            <w:vAlign w:val="bottom"/>
            <w:hideMark/>
          </w:tcPr>
          <w:p w14:paraId="655AB5D6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672" w:type="dxa"/>
            <w:noWrap/>
            <w:vAlign w:val="bottom"/>
            <w:hideMark/>
          </w:tcPr>
          <w:p w14:paraId="63FEB472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no</w:t>
            </w:r>
          </w:p>
        </w:tc>
        <w:tc>
          <w:tcPr>
            <w:tcW w:w="672" w:type="dxa"/>
            <w:noWrap/>
            <w:vAlign w:val="bottom"/>
            <w:hideMark/>
          </w:tcPr>
          <w:p w14:paraId="3D5D7439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noWrap/>
            <w:vAlign w:val="bottom"/>
            <w:hideMark/>
          </w:tcPr>
          <w:p w14:paraId="45407D62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  <w:tr w:rsidR="00C21F38" w:rsidRPr="00C21F38" w14:paraId="2E10DAB3" w14:textId="77777777" w:rsidTr="008B4C26">
        <w:trPr>
          <w:trHeight w:val="2130"/>
        </w:trPr>
        <w:tc>
          <w:tcPr>
            <w:tcW w:w="672" w:type="dxa"/>
            <w:vAlign w:val="center"/>
            <w:hideMark/>
          </w:tcPr>
          <w:p w14:paraId="47C77D16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16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4B16981F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Especifico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3CD6C304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Externos</w:t>
            </w:r>
          </w:p>
        </w:tc>
        <w:tc>
          <w:tcPr>
            <w:tcW w:w="672" w:type="dxa"/>
            <w:textDirection w:val="btLr"/>
            <w:vAlign w:val="center"/>
            <w:hideMark/>
          </w:tcPr>
          <w:p w14:paraId="16043D8F" w14:textId="77777777" w:rsidR="00C21F38" w:rsidRPr="00C21F38" w:rsidRDefault="00C21F38" w:rsidP="008B4C26">
            <w:pPr>
              <w:spacing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Planeación, Selección, Contratación y ejecución</w:t>
            </w:r>
          </w:p>
        </w:tc>
        <w:tc>
          <w:tcPr>
            <w:tcW w:w="2987" w:type="dxa"/>
            <w:vAlign w:val="bottom"/>
            <w:hideMark/>
          </w:tcPr>
          <w:p w14:paraId="3BBA46E7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Muerte del contratista y/o representante legal</w:t>
            </w:r>
          </w:p>
        </w:tc>
        <w:tc>
          <w:tcPr>
            <w:tcW w:w="672" w:type="dxa"/>
            <w:noWrap/>
            <w:vAlign w:val="bottom"/>
            <w:hideMark/>
          </w:tcPr>
          <w:p w14:paraId="743EEF58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754" w:type="dxa"/>
            <w:noWrap/>
            <w:vAlign w:val="bottom"/>
            <w:hideMark/>
          </w:tcPr>
          <w:p w14:paraId="2D710499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754" w:type="dxa"/>
            <w:noWrap/>
            <w:vAlign w:val="bottom"/>
            <w:hideMark/>
          </w:tcPr>
          <w:p w14:paraId="63CA1E59" w14:textId="77777777" w:rsidR="00C21F38" w:rsidRPr="00C21F38" w:rsidRDefault="00C21F38" w:rsidP="008B4C26">
            <w:pPr>
              <w:spacing w:line="240" w:lineRule="auto"/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100%</w:t>
            </w:r>
          </w:p>
        </w:tc>
        <w:tc>
          <w:tcPr>
            <w:tcW w:w="672" w:type="dxa"/>
            <w:noWrap/>
            <w:vAlign w:val="bottom"/>
            <w:hideMark/>
          </w:tcPr>
          <w:p w14:paraId="5BFB2215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no</w:t>
            </w:r>
          </w:p>
        </w:tc>
        <w:tc>
          <w:tcPr>
            <w:tcW w:w="672" w:type="dxa"/>
            <w:noWrap/>
            <w:vAlign w:val="bottom"/>
            <w:hideMark/>
          </w:tcPr>
          <w:p w14:paraId="4C577318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</w:tc>
        <w:tc>
          <w:tcPr>
            <w:tcW w:w="672" w:type="dxa"/>
            <w:noWrap/>
            <w:vAlign w:val="bottom"/>
            <w:hideMark/>
          </w:tcPr>
          <w:p w14:paraId="51E73609" w14:textId="77777777" w:rsidR="00C21F38" w:rsidRPr="00C21F38" w:rsidRDefault="00C21F38" w:rsidP="008B4C26">
            <w:pPr>
              <w:spacing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21F38">
              <w:rPr>
                <w:rFonts w:ascii="Century Gothic" w:hAnsi="Century Gothic" w:cs="Arial"/>
                <w:sz w:val="18"/>
                <w:szCs w:val="18"/>
              </w:rPr>
              <w:t>x</w:t>
            </w:r>
          </w:p>
        </w:tc>
      </w:tr>
    </w:tbl>
    <w:p w14:paraId="790EB9E3" w14:textId="77777777" w:rsidR="00C21F38" w:rsidRDefault="00C21F38" w:rsidP="00C21F38">
      <w:pPr>
        <w:adjustRightInd w:val="0"/>
        <w:spacing w:line="360" w:lineRule="auto"/>
        <w:rPr>
          <w:rFonts w:ascii="Century Gothic" w:hAnsi="Century Gothic" w:cs="Arial"/>
          <w:sz w:val="20"/>
          <w:szCs w:val="20"/>
        </w:rPr>
      </w:pPr>
    </w:p>
    <w:p w14:paraId="57A2E04A" w14:textId="3196963F" w:rsidR="00C21F38" w:rsidRPr="00C21F38" w:rsidRDefault="00C21F38" w:rsidP="00C21F38">
      <w:pPr>
        <w:adjustRightInd w:val="0"/>
        <w:spacing w:line="360" w:lineRule="auto"/>
        <w:rPr>
          <w:rFonts w:ascii="Century Gothic" w:hAnsi="Century Gothic" w:cs="Arial"/>
          <w:sz w:val="20"/>
          <w:szCs w:val="20"/>
        </w:rPr>
      </w:pPr>
      <w:r w:rsidRPr="00C21F38">
        <w:rPr>
          <w:rFonts w:ascii="Century Gothic" w:hAnsi="Century Gothic" w:cs="Arial"/>
          <w:sz w:val="20"/>
          <w:szCs w:val="20"/>
        </w:rPr>
        <w:t>(*) 1 Raro (puede ocurrir excepcionalmente) 2 Improbable (puede ocurrir ocasionalmente) 3 Posible (puede ocurrir en cualquier momento futuro) 4 Casi cierto (ocurre en la mayoría de circunstancias) 5 Probable (probablemente va a ocurrir).</w:t>
      </w:r>
      <w:bookmarkEnd w:id="0"/>
    </w:p>
    <w:p w14:paraId="14BF7FBD" w14:textId="77777777" w:rsidR="00C21F38" w:rsidRPr="00C21F38" w:rsidRDefault="00C21F38" w:rsidP="00C21F38">
      <w:pPr>
        <w:spacing w:after="100" w:afterAutospacing="1"/>
        <w:rPr>
          <w:rFonts w:ascii="Century Gothic" w:eastAsia="SimSun" w:hAnsi="Century Gothic" w:cs="Arial"/>
          <w:kern w:val="3"/>
          <w:sz w:val="20"/>
          <w:szCs w:val="20"/>
          <w:lang w:eastAsia="zh-CN" w:bidi="hi-IN"/>
        </w:rPr>
      </w:pPr>
    </w:p>
    <w:sectPr w:rsidR="00C21F38" w:rsidRPr="00C21F38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021F6" w14:textId="77777777" w:rsidR="00177245" w:rsidRDefault="00177245" w:rsidP="00091875">
      <w:pPr>
        <w:spacing w:line="240" w:lineRule="auto"/>
      </w:pPr>
      <w:r>
        <w:separator/>
      </w:r>
    </w:p>
  </w:endnote>
  <w:endnote w:type="continuationSeparator" w:id="0">
    <w:p w14:paraId="09FC78AA" w14:textId="77777777" w:rsidR="00177245" w:rsidRDefault="00177245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23D71" w14:textId="77777777" w:rsidR="00177245" w:rsidRDefault="00177245" w:rsidP="00091875">
      <w:pPr>
        <w:spacing w:line="240" w:lineRule="auto"/>
      </w:pPr>
      <w:r>
        <w:separator/>
      </w:r>
    </w:p>
  </w:footnote>
  <w:footnote w:type="continuationSeparator" w:id="0">
    <w:p w14:paraId="04172A18" w14:textId="77777777" w:rsidR="00177245" w:rsidRDefault="00177245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67C10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77245"/>
    <w:rsid w:val="001B28F2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21F38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805</Words>
  <Characters>4428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25</cp:lastModifiedBy>
  <cp:revision>5</cp:revision>
  <cp:lastPrinted>2020-11-13T23:50:00Z</cp:lastPrinted>
  <dcterms:created xsi:type="dcterms:W3CDTF">2022-08-01T21:31:00Z</dcterms:created>
  <dcterms:modified xsi:type="dcterms:W3CDTF">2026-06-27T16:00:00Z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