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3804" w14:textId="20AC86AE" w:rsidR="00524449" w:rsidRPr="00724FCF" w:rsidRDefault="00524449" w:rsidP="001E253A">
      <w:pPr>
        <w:autoSpaceDE w:val="0"/>
        <w:autoSpaceDN w:val="0"/>
        <w:adjustRightInd w:val="0"/>
        <w:jc w:val="center"/>
        <w:rPr>
          <w:rFonts w:ascii="Verdana" w:hAnsi="Verdana" w:cs="Arial"/>
          <w:b/>
          <w:bCs/>
        </w:rPr>
      </w:pPr>
      <w:r w:rsidRPr="25353256">
        <w:rPr>
          <w:rFonts w:ascii="Verdana" w:hAnsi="Verdana" w:cs="Arial"/>
          <w:b/>
          <w:bCs/>
        </w:rPr>
        <w:t>FORMATO</w:t>
      </w:r>
    </w:p>
    <w:p w14:paraId="502F80E7" w14:textId="19B34B77" w:rsidR="1A42D0C4" w:rsidRDefault="1A42D0C4" w:rsidP="25353256">
      <w:pPr>
        <w:pStyle w:val="Default"/>
        <w:tabs>
          <w:tab w:val="left" w:pos="426"/>
        </w:tabs>
        <w:spacing w:line="276" w:lineRule="auto"/>
        <w:ind w:right="49"/>
        <w:jc w:val="both"/>
        <w:rPr>
          <w:rFonts w:ascii="Verdana" w:eastAsia="Verdana" w:hAnsi="Verdana" w:cs="Verdana"/>
          <w:color w:val="000000" w:themeColor="text1"/>
          <w:sz w:val="22"/>
          <w:szCs w:val="22"/>
        </w:rPr>
      </w:pPr>
      <w:r w:rsidRPr="0C50B215">
        <w:rPr>
          <w:rFonts w:ascii="Verdana" w:eastAsia="Verdana" w:hAnsi="Verdana" w:cs="Verdana"/>
          <w:b/>
          <w:bCs/>
          <w:color w:val="000000" w:themeColor="text1"/>
          <w:sz w:val="22"/>
          <w:szCs w:val="22"/>
        </w:rPr>
        <w:t>PROCESO DE MINIMA CUANTIA</w:t>
      </w:r>
      <w:r w:rsidR="4C48CA5E" w:rsidRPr="0C50B215">
        <w:rPr>
          <w:rFonts w:ascii="Verdana" w:eastAsia="Verdana" w:hAnsi="Verdana" w:cs="Verdana"/>
          <w:b/>
          <w:bCs/>
          <w:color w:val="000000" w:themeColor="text1"/>
          <w:sz w:val="22"/>
          <w:szCs w:val="22"/>
        </w:rPr>
        <w:t xml:space="preserve"> PROCESO MC </w:t>
      </w:r>
      <w:r w:rsidR="00172ACA" w:rsidRPr="00172ACA">
        <w:rPr>
          <w:rFonts w:ascii="Verdana" w:eastAsia="Verdana" w:hAnsi="Verdana" w:cs="Verdana"/>
          <w:b/>
          <w:bCs/>
          <w:color w:val="auto"/>
          <w:sz w:val="22"/>
          <w:szCs w:val="22"/>
        </w:rPr>
        <w:t>039</w:t>
      </w:r>
      <w:r w:rsidR="4C48CA5E" w:rsidRPr="0C50B215">
        <w:rPr>
          <w:rFonts w:ascii="Verdana" w:eastAsia="Verdana" w:hAnsi="Verdana" w:cs="Verdana"/>
          <w:b/>
          <w:bCs/>
          <w:color w:val="000000" w:themeColor="text1"/>
          <w:sz w:val="22"/>
          <w:szCs w:val="22"/>
        </w:rPr>
        <w:t xml:space="preserve"> DE 2026, </w:t>
      </w:r>
      <w:r w:rsidRPr="0C50B215">
        <w:rPr>
          <w:rFonts w:ascii="Verdana" w:eastAsia="Verdana" w:hAnsi="Verdana" w:cs="Verdana"/>
          <w:b/>
          <w:bCs/>
          <w:color w:val="000000" w:themeColor="text1"/>
          <w:sz w:val="22"/>
          <w:szCs w:val="22"/>
        </w:rPr>
        <w:t xml:space="preserve">CUYO OBJETO ES </w:t>
      </w:r>
      <w:r w:rsidR="00D30E89" w:rsidRPr="00D30E89">
        <w:rPr>
          <w:rFonts w:ascii="Verdana" w:eastAsia="Verdana" w:hAnsi="Verdana" w:cs="Verdana"/>
          <w:b/>
          <w:bCs/>
          <w:color w:val="000000" w:themeColor="text1"/>
          <w:sz w:val="22"/>
          <w:szCs w:val="22"/>
        </w:rPr>
        <w:t>“</w:t>
      </w:r>
      <w:r w:rsidR="00FA227B" w:rsidRPr="00FA227B">
        <w:rPr>
          <w:rFonts w:ascii="Verdana" w:eastAsia="Verdana" w:hAnsi="Verdana" w:cs="Verdana"/>
          <w:b/>
          <w:bCs/>
          <w:color w:val="000000" w:themeColor="text1"/>
          <w:sz w:val="22"/>
          <w:szCs w:val="22"/>
        </w:rPr>
        <w:t>PRESTAR SERVICIOS DE EXÁMENES MEDICOS OCUPACIONALES PARA LOS FUNCIONARIOS DEL INSTITUTO NACIONAL DE METROLOGÍA Y ANALISIS DE PUESTO DE TRABAJO QUE SE REQUIERAN DURANTE LA VIGENCIA DEL CONTRATO</w:t>
      </w:r>
      <w:r w:rsidR="00D30E89" w:rsidRPr="00D30E89">
        <w:rPr>
          <w:rFonts w:ascii="Verdana" w:eastAsia="Verdana" w:hAnsi="Verdana" w:cs="Verdana"/>
          <w:b/>
          <w:bCs/>
          <w:color w:val="000000" w:themeColor="text1"/>
          <w:sz w:val="22"/>
          <w:szCs w:val="22"/>
        </w:rPr>
        <w:t>” </w:t>
      </w:r>
    </w:p>
    <w:p w14:paraId="544E28CC" w14:textId="3E86E04E" w:rsidR="25353256" w:rsidRDefault="25353256" w:rsidP="25353256">
      <w:pPr>
        <w:tabs>
          <w:tab w:val="left" w:pos="426"/>
        </w:tabs>
        <w:spacing w:after="0" w:line="276" w:lineRule="auto"/>
        <w:ind w:right="49"/>
        <w:jc w:val="both"/>
        <w:rPr>
          <w:rFonts w:ascii="Verdana" w:eastAsia="Verdana" w:hAnsi="Verdana" w:cs="Verdana"/>
          <w:color w:val="000000" w:themeColor="text1"/>
        </w:rPr>
      </w:pPr>
    </w:p>
    <w:p w14:paraId="44D695E7" w14:textId="60CCBEC3" w:rsidR="1A42D0C4" w:rsidRDefault="1A42D0C4" w:rsidP="25353256">
      <w:pPr>
        <w:pStyle w:val="Default"/>
        <w:tabs>
          <w:tab w:val="left" w:pos="426"/>
        </w:tabs>
        <w:spacing w:line="276" w:lineRule="auto"/>
        <w:ind w:right="49"/>
        <w:jc w:val="both"/>
        <w:rPr>
          <w:rFonts w:ascii="Verdana" w:eastAsia="Verdana" w:hAnsi="Verdana" w:cs="Verdana"/>
          <w:color w:val="000000" w:themeColor="text1"/>
          <w:sz w:val="22"/>
          <w:szCs w:val="22"/>
        </w:rPr>
      </w:pPr>
      <w:r w:rsidRPr="25353256">
        <w:rPr>
          <w:rFonts w:ascii="Verdana" w:eastAsia="Verdana" w:hAnsi="Verdana" w:cs="Verdana"/>
          <w:color w:val="000000" w:themeColor="text1"/>
          <w:sz w:val="22"/>
          <w:szCs w:val="22"/>
        </w:rPr>
        <w:t xml:space="preserve">Con la entrega de este formato debidamente suscrito por </w:t>
      </w:r>
      <w:r w:rsidRPr="25353256">
        <w:rPr>
          <w:rFonts w:ascii="Verdana" w:eastAsia="Verdana" w:hAnsi="Verdana" w:cs="Verdana"/>
          <w:b/>
          <w:bCs/>
          <w:color w:val="000000" w:themeColor="text1"/>
          <w:sz w:val="22"/>
          <w:szCs w:val="22"/>
        </w:rPr>
        <w:t>EL REPRESENTANTE LEGAL Y/O PERSONA NATURAL</w:t>
      </w:r>
      <w:r w:rsidRPr="25353256">
        <w:rPr>
          <w:rFonts w:ascii="Verdana" w:eastAsia="Verdana" w:hAnsi="Verdana" w:cs="Verdana"/>
          <w:color w:val="000000" w:themeColor="text1"/>
          <w:sz w:val="22"/>
          <w:szCs w:val="22"/>
        </w:rPr>
        <w:t xml:space="preserve">, el proponente acredita y acepta que </w:t>
      </w:r>
      <w:r w:rsidRPr="25353256">
        <w:rPr>
          <w:rFonts w:ascii="Verdana" w:eastAsia="Verdana" w:hAnsi="Verdana" w:cs="Verdana"/>
          <w:b/>
          <w:bCs/>
          <w:color w:val="000000" w:themeColor="text1"/>
          <w:sz w:val="22"/>
          <w:szCs w:val="22"/>
        </w:rPr>
        <w:t>CUMPLE</w:t>
      </w:r>
      <w:r w:rsidRPr="25353256">
        <w:rPr>
          <w:rFonts w:ascii="Verdana" w:eastAsia="Verdana" w:hAnsi="Verdana" w:cs="Verdana"/>
          <w:color w:val="000000" w:themeColor="text1"/>
          <w:sz w:val="22"/>
          <w:szCs w:val="22"/>
        </w:rPr>
        <w:t xml:space="preserve"> con las especificaciones técnicas mínimas de obligatorio cumplimiento y con las especificaciones adicionales de obligatorio cumplimiento, aceptando así lo exigido por la entidad en este documento y </w:t>
      </w:r>
      <w:r w:rsidRPr="25353256">
        <w:rPr>
          <w:rFonts w:ascii="Verdana" w:eastAsia="Verdana" w:hAnsi="Verdana" w:cs="Verdana"/>
          <w:b/>
          <w:bCs/>
          <w:color w:val="000000" w:themeColor="text1"/>
          <w:sz w:val="22"/>
          <w:szCs w:val="22"/>
        </w:rPr>
        <w:t xml:space="preserve">aportando los documentos adicionales en caso de que se requieran. </w:t>
      </w:r>
    </w:p>
    <w:p w14:paraId="2317C76A" w14:textId="7458DC66" w:rsidR="25353256" w:rsidRDefault="25353256" w:rsidP="25353256">
      <w:pPr>
        <w:tabs>
          <w:tab w:val="left" w:pos="426"/>
        </w:tabs>
        <w:spacing w:after="0" w:line="276" w:lineRule="auto"/>
        <w:ind w:right="49"/>
        <w:jc w:val="both"/>
        <w:rPr>
          <w:rFonts w:ascii="Verdana" w:eastAsia="Verdana" w:hAnsi="Verdana" w:cs="Verdana"/>
          <w:color w:val="000000" w:themeColor="text1"/>
        </w:rPr>
      </w:pPr>
    </w:p>
    <w:p w14:paraId="0874CC66" w14:textId="39598A91" w:rsidR="1A42D0C4" w:rsidRDefault="1A42D0C4" w:rsidP="25353256">
      <w:pPr>
        <w:pStyle w:val="Default"/>
        <w:tabs>
          <w:tab w:val="left" w:pos="426"/>
        </w:tabs>
        <w:spacing w:line="276" w:lineRule="auto"/>
        <w:ind w:right="49"/>
        <w:jc w:val="both"/>
        <w:rPr>
          <w:rFonts w:ascii="Verdana" w:eastAsia="Verdana" w:hAnsi="Verdana" w:cs="Verdana"/>
          <w:color w:val="000000" w:themeColor="text1"/>
          <w:sz w:val="22"/>
          <w:szCs w:val="22"/>
        </w:rPr>
      </w:pPr>
      <w:r w:rsidRPr="25353256">
        <w:rPr>
          <w:rFonts w:ascii="Verdana" w:eastAsia="Verdana" w:hAnsi="Verdana" w:cs="Verdana"/>
          <w:color w:val="000000" w:themeColor="text1"/>
          <w:sz w:val="22"/>
          <w:szCs w:val="22"/>
        </w:rPr>
        <w:t xml:space="preserve">Por tanto, de resultar adjudicatario del presente proceso de selección efectuará la ejecución del contrato con sujeción a lo descrito en las especificaciones técnicas y conforme a las obligaciones establecidas en el proceso. </w:t>
      </w:r>
    </w:p>
    <w:p w14:paraId="61EA49F0" w14:textId="3E8B89C8" w:rsidR="25353256" w:rsidRDefault="25353256" w:rsidP="25353256">
      <w:pPr>
        <w:tabs>
          <w:tab w:val="left" w:pos="426"/>
        </w:tabs>
        <w:spacing w:after="0" w:line="276" w:lineRule="auto"/>
        <w:ind w:right="49"/>
        <w:jc w:val="both"/>
        <w:rPr>
          <w:rFonts w:ascii="Verdana" w:eastAsia="Verdana" w:hAnsi="Verdana" w:cs="Verdana"/>
          <w:color w:val="000000" w:themeColor="text1"/>
        </w:rPr>
      </w:pPr>
    </w:p>
    <w:p w14:paraId="3B1CB4B4" w14:textId="422F14AD" w:rsidR="1A42D0C4" w:rsidRDefault="1A42D0C4" w:rsidP="25353256">
      <w:pPr>
        <w:tabs>
          <w:tab w:val="left" w:pos="426"/>
        </w:tabs>
        <w:spacing w:after="0" w:line="276" w:lineRule="auto"/>
        <w:ind w:right="49"/>
        <w:jc w:val="both"/>
        <w:rPr>
          <w:rFonts w:ascii="Verdana" w:eastAsia="Verdana" w:hAnsi="Verdana" w:cs="Verdana"/>
          <w:color w:val="000000" w:themeColor="text1"/>
        </w:rPr>
      </w:pPr>
      <w:r w:rsidRPr="25353256">
        <w:rPr>
          <w:rFonts w:ascii="Verdana" w:eastAsia="Verdana" w:hAnsi="Verdana" w:cs="Verdana"/>
          <w:color w:val="000000" w:themeColor="text1"/>
        </w:rPr>
        <w:t>Los requisitos y condiciones técnicas exigidas por la entidad para la contratación requerida son las siguientes:</w:t>
      </w:r>
    </w:p>
    <w:p w14:paraId="2EAB2F82" w14:textId="327B0954" w:rsidR="25353256" w:rsidRDefault="25353256" w:rsidP="25353256">
      <w:pPr>
        <w:jc w:val="both"/>
        <w:rPr>
          <w:rFonts w:ascii="Verdana" w:hAnsi="Verdana" w:cs="Arial"/>
        </w:rPr>
      </w:pPr>
    </w:p>
    <w:p w14:paraId="11C3C256" w14:textId="77777777" w:rsidR="00592C2E" w:rsidRDefault="00592C2E" w:rsidP="00592C2E">
      <w:pPr>
        <w:autoSpaceDE w:val="0"/>
        <w:autoSpaceDN w:val="0"/>
        <w:adjustRightInd w:val="0"/>
        <w:jc w:val="both"/>
        <w:rPr>
          <w:rFonts w:ascii="Verdana" w:hAnsi="Verdana" w:cs="Arial"/>
        </w:rPr>
      </w:pPr>
      <w:r w:rsidRPr="7E66814C">
        <w:rPr>
          <w:rFonts w:ascii="Verdana" w:hAnsi="Verdana" w:cs="Arial"/>
          <w:b/>
          <w:bCs/>
        </w:rPr>
        <w:t>ESPECIFICACIONES TÉCNICAS MÍNIMAS DE OBLIGATORIO CUMPLIMIENTO:</w:t>
      </w:r>
      <w:r w:rsidRPr="7E66814C">
        <w:rPr>
          <w:rFonts w:ascii="Verdana" w:hAnsi="Verdana" w:cs="Arial"/>
        </w:rPr>
        <w:t> </w:t>
      </w:r>
    </w:p>
    <w:p w14:paraId="2CA8F6F0" w14:textId="77777777" w:rsidR="00FA227B" w:rsidRDefault="00FA227B" w:rsidP="00592C2E">
      <w:pPr>
        <w:autoSpaceDE w:val="0"/>
        <w:autoSpaceDN w:val="0"/>
        <w:adjustRightInd w:val="0"/>
        <w:jc w:val="both"/>
        <w:rPr>
          <w:rFonts w:ascii="Verdana" w:hAnsi="Verdana" w:cs="Arial"/>
        </w:rPr>
      </w:pPr>
    </w:p>
    <w:tbl>
      <w:tblPr>
        <w:tblW w:w="8784" w:type="dxa"/>
        <w:tblCellMar>
          <w:top w:w="15" w:type="dxa"/>
          <w:left w:w="70" w:type="dxa"/>
          <w:bottom w:w="15" w:type="dxa"/>
          <w:right w:w="70" w:type="dxa"/>
        </w:tblCellMar>
        <w:tblLook w:val="04A0" w:firstRow="1" w:lastRow="0" w:firstColumn="1" w:lastColumn="0" w:noHBand="0" w:noVBand="1"/>
      </w:tblPr>
      <w:tblGrid>
        <w:gridCol w:w="666"/>
        <w:gridCol w:w="5425"/>
        <w:gridCol w:w="1275"/>
        <w:gridCol w:w="1418"/>
      </w:tblGrid>
      <w:tr w:rsidR="00FA227B" w:rsidRPr="00FA227B" w14:paraId="7DA0C8C4" w14:textId="77777777" w:rsidTr="004567B2">
        <w:trPr>
          <w:trHeight w:val="420"/>
        </w:trPr>
        <w:tc>
          <w:tcPr>
            <w:tcW w:w="666" w:type="dxa"/>
            <w:tcBorders>
              <w:top w:val="single" w:sz="4" w:space="0" w:color="auto"/>
              <w:left w:val="single" w:sz="4" w:space="0" w:color="auto"/>
              <w:bottom w:val="single" w:sz="4" w:space="0" w:color="auto"/>
              <w:right w:val="single" w:sz="4" w:space="0" w:color="auto"/>
            </w:tcBorders>
            <w:noWrap/>
            <w:vAlign w:val="center"/>
            <w:hideMark/>
          </w:tcPr>
          <w:p w14:paraId="28701536"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bookmarkStart w:id="0" w:name="ESPECIFICACIONES_TECNICAS_!A2:E16"/>
            <w:r w:rsidRPr="00FA227B">
              <w:rPr>
                <w:rFonts w:ascii="Arial" w:eastAsia="Times New Roman" w:hAnsi="Arial" w:cs="Arial"/>
                <w:b/>
                <w:bCs/>
                <w:kern w:val="0"/>
                <w:lang w:eastAsia="es-CO"/>
                <w14:ligatures w14:val="none"/>
              </w:rPr>
              <w:t>ITEM</w:t>
            </w:r>
            <w:bookmarkEnd w:id="0"/>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6EEA89E9"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r w:rsidRPr="00FA227B">
              <w:rPr>
                <w:rFonts w:ascii="Arial" w:eastAsia="Times New Roman" w:hAnsi="Arial" w:cs="Arial"/>
                <w:b/>
                <w:bCs/>
                <w:kern w:val="0"/>
                <w:lang w:eastAsia="es-CO"/>
                <w14:ligatures w14:val="none"/>
              </w:rPr>
              <w:t>DESCRIPCIÓN</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6B9B2EB"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r w:rsidRPr="00FA227B">
              <w:rPr>
                <w:rFonts w:ascii="Arial" w:eastAsia="Times New Roman" w:hAnsi="Arial" w:cs="Arial"/>
                <w:b/>
                <w:bCs/>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D11C434"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r w:rsidRPr="00FA227B">
              <w:rPr>
                <w:rFonts w:ascii="Arial" w:eastAsia="Times New Roman" w:hAnsi="Arial" w:cs="Arial"/>
                <w:b/>
                <w:bCs/>
                <w:kern w:val="0"/>
                <w:lang w:eastAsia="es-CO"/>
                <w14:ligatures w14:val="none"/>
              </w:rPr>
              <w:t>CANTIDAD</w:t>
            </w:r>
          </w:p>
        </w:tc>
      </w:tr>
      <w:tr w:rsidR="00FA227B" w:rsidRPr="00FA227B" w14:paraId="530FAC10" w14:textId="77777777" w:rsidTr="004567B2">
        <w:trPr>
          <w:trHeight w:val="420"/>
        </w:trPr>
        <w:tc>
          <w:tcPr>
            <w:tcW w:w="8784" w:type="dxa"/>
            <w:gridSpan w:val="4"/>
            <w:tcBorders>
              <w:top w:val="single" w:sz="4" w:space="0" w:color="auto"/>
              <w:left w:val="single" w:sz="4" w:space="0" w:color="auto"/>
              <w:bottom w:val="single" w:sz="4" w:space="0" w:color="auto"/>
              <w:right w:val="nil"/>
            </w:tcBorders>
            <w:noWrap/>
            <w:vAlign w:val="center"/>
            <w:hideMark/>
          </w:tcPr>
          <w:p w14:paraId="1C430B28"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r w:rsidRPr="00FA227B">
              <w:rPr>
                <w:rFonts w:ascii="Arial" w:eastAsia="Times New Roman" w:hAnsi="Arial" w:cs="Arial"/>
                <w:b/>
                <w:bCs/>
                <w:kern w:val="0"/>
                <w:lang w:eastAsia="es-CO"/>
                <w14:ligatures w14:val="none"/>
              </w:rPr>
              <w:t>Exámenes médicos ocupacionales</w:t>
            </w:r>
          </w:p>
        </w:tc>
      </w:tr>
      <w:tr w:rsidR="00FA227B" w:rsidRPr="00FA227B" w14:paraId="6FDF0C07" w14:textId="77777777" w:rsidTr="004567B2">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48B3F0"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F2BB4A9"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 xml:space="preserve">Examen médico ocupacional de </w:t>
            </w:r>
            <w:proofErr w:type="spellStart"/>
            <w:r w:rsidRPr="00FA227B">
              <w:rPr>
                <w:rFonts w:ascii="Arial" w:eastAsia="Times New Roman" w:hAnsi="Arial" w:cs="Arial"/>
                <w:color w:val="000000"/>
                <w:kern w:val="0"/>
                <w:lang w:eastAsia="es-CO"/>
                <w14:ligatures w14:val="none"/>
              </w:rPr>
              <w:t>pre-ingreso</w:t>
            </w:r>
            <w:proofErr w:type="spellEnd"/>
            <w:r w:rsidRPr="00FA227B">
              <w:rPr>
                <w:rFonts w:ascii="Arial" w:eastAsia="Times New Roman" w:hAnsi="Arial" w:cs="Arial"/>
                <w:color w:val="000000"/>
                <w:kern w:val="0"/>
                <w:lang w:eastAsia="es-CO"/>
                <w14:ligatures w14:val="none"/>
              </w:rPr>
              <w:t xml:space="preserve"> con énfasis osteomuscular</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ABE9341"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C2418FA"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425CE832"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DD673F"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2</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7ACEBBB7"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Examen médico ocupacional de egreso con énfasis osteomuscular</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80467E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C12A552"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5BF31ABF"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44A2DB"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3</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128531F"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Examen médico ocupacional Periódico con énfasis osteomuscular</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309A281"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3AC16C9"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125</w:t>
            </w:r>
          </w:p>
        </w:tc>
      </w:tr>
      <w:tr w:rsidR="00FA227B" w:rsidRPr="00FA227B" w14:paraId="07733EDE"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5609A6"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4</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37BCED3D"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 xml:space="preserve">Examen médico ocupacional </w:t>
            </w:r>
            <w:proofErr w:type="spellStart"/>
            <w:r w:rsidRPr="00FA227B">
              <w:rPr>
                <w:rFonts w:ascii="Arial" w:eastAsia="Times New Roman" w:hAnsi="Arial" w:cs="Arial"/>
                <w:color w:val="000000"/>
                <w:kern w:val="0"/>
                <w:lang w:eastAsia="es-CO"/>
                <w14:ligatures w14:val="none"/>
              </w:rPr>
              <w:t>post-incapacidad</w:t>
            </w:r>
            <w:proofErr w:type="spellEnd"/>
            <w:r w:rsidRPr="00FA227B">
              <w:rPr>
                <w:rFonts w:ascii="Arial" w:eastAsia="Times New Roman" w:hAnsi="Arial" w:cs="Arial"/>
                <w:color w:val="000000"/>
                <w:kern w:val="0"/>
                <w:lang w:eastAsia="es-CO"/>
                <w14:ligatures w14:val="none"/>
              </w:rPr>
              <w:t xml:space="preserve"> </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5E5FF0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375560E"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519A32C6"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F6DB6"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5</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7B60DF9E"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Examen médico ocupacional por retorno laboral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E6F9E0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B0DF5C4"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7B7E76C3"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9AB637"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6</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014D1F1F"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Examen médico ocupacional de seguimiento o de control.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6AF9227"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88683E4"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5E0816FE"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F107D"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lastRenderedPageBreak/>
              <w:t>7</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1A484E06"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Audiometría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2E60203"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CE8120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125</w:t>
            </w:r>
          </w:p>
        </w:tc>
      </w:tr>
      <w:tr w:rsidR="00FA227B" w:rsidRPr="00FA227B" w14:paraId="7DC22C58"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66EB8E"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8</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267AC42"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Visiometría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E483B9E"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423D57E"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125</w:t>
            </w:r>
          </w:p>
        </w:tc>
      </w:tr>
      <w:tr w:rsidR="00FA227B" w:rsidRPr="00FA227B" w14:paraId="0AACA0B5"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2C298D"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9</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242CA2F"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Espirometría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7533D40"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F61815C"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20</w:t>
            </w:r>
          </w:p>
        </w:tc>
      </w:tr>
      <w:tr w:rsidR="00FA227B" w:rsidRPr="00FA227B" w14:paraId="12C11186"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9E0404"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10</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180CD324"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 xml:space="preserve">Prueba </w:t>
            </w:r>
            <w:proofErr w:type="spellStart"/>
            <w:r w:rsidRPr="00FA227B">
              <w:rPr>
                <w:rFonts w:ascii="Arial" w:eastAsia="Times New Roman" w:hAnsi="Arial" w:cs="Arial"/>
                <w:color w:val="000000"/>
                <w:kern w:val="0"/>
                <w:lang w:eastAsia="es-CO"/>
                <w14:ligatures w14:val="none"/>
              </w:rPr>
              <w:t>psicosensométrica</w:t>
            </w:r>
            <w:proofErr w:type="spellEnd"/>
            <w:r w:rsidRPr="00FA227B">
              <w:rPr>
                <w:rFonts w:ascii="Arial" w:eastAsia="Times New Roman" w:hAnsi="Arial" w:cs="Arial"/>
                <w:color w:val="000000"/>
                <w:kern w:val="0"/>
                <w:lang w:eastAsia="es-CO"/>
                <w14:ligatures w14:val="none"/>
              </w:rPr>
              <w:t xml:space="preserve"> y coordinación motriz para conductores</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F0CBCB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6B0412C"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2</w:t>
            </w:r>
          </w:p>
        </w:tc>
      </w:tr>
      <w:tr w:rsidR="00FA227B" w:rsidRPr="00FA227B" w14:paraId="55C50AFA"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CA01AC"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11</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7AEDB9B"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Electrocardiograma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A2BA506"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766973F"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2</w:t>
            </w:r>
          </w:p>
        </w:tc>
      </w:tr>
      <w:tr w:rsidR="00FA227B" w:rsidRPr="00FA227B" w14:paraId="77D7A4E5"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42F06A"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12</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3A0DD2F2"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Consulta de psicología Ocupacional para conductores</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F626FD9"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E69B1D2"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2</w:t>
            </w:r>
          </w:p>
        </w:tc>
      </w:tr>
      <w:tr w:rsidR="00FA227B" w:rsidRPr="00FA227B" w14:paraId="7C52F28D"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DDDCB4"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13</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2868B471"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Cuadro hemático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3DF1EBA"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1AAB0F2"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17</w:t>
            </w:r>
          </w:p>
        </w:tc>
      </w:tr>
      <w:tr w:rsidR="00FA227B" w:rsidRPr="00FA227B" w14:paraId="28D89D97"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3005BC"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14</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6E58B02C"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 xml:space="preserve">Bun </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B6B6EA3"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380375C"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4B1152E0"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22632E"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15</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57438D76"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Creatinina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596D91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712E614"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25F61628"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A52B65"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16</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457EC198"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Parcial de Orina</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AD5C075"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54512FB"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11DB6D12" w14:textId="77777777" w:rsidTr="004567B2">
        <w:trPr>
          <w:trHeight w:val="285"/>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BCB061"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17</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1DC76DC1"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Transaminasas (GOT - GPT)</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6CA49FA"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984AC87"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50B220F4" w14:textId="77777777" w:rsidTr="004567B2">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F3FD98"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18</w:t>
            </w:r>
          </w:p>
        </w:tc>
        <w:tc>
          <w:tcPr>
            <w:tcW w:w="5425" w:type="dxa"/>
            <w:tcBorders>
              <w:top w:val="single" w:sz="4" w:space="0" w:color="auto"/>
              <w:left w:val="single" w:sz="4" w:space="0" w:color="auto"/>
              <w:bottom w:val="single" w:sz="4" w:space="0" w:color="auto"/>
              <w:right w:val="single" w:sz="4" w:space="0" w:color="auto"/>
            </w:tcBorders>
            <w:noWrap/>
            <w:vAlign w:val="center"/>
            <w:hideMark/>
          </w:tcPr>
          <w:p w14:paraId="10547096"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Diagnóstico de las condiciones de salud</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26FDF18"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8CE62D3"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7C880C98" w14:textId="77777777" w:rsidTr="004567B2">
        <w:trPr>
          <w:trHeight w:val="570"/>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A7047C"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19</w:t>
            </w:r>
          </w:p>
        </w:tc>
        <w:tc>
          <w:tcPr>
            <w:tcW w:w="5425" w:type="dxa"/>
            <w:tcBorders>
              <w:top w:val="single" w:sz="4" w:space="0" w:color="auto"/>
              <w:left w:val="single" w:sz="4" w:space="0" w:color="auto"/>
              <w:bottom w:val="single" w:sz="4" w:space="0" w:color="auto"/>
              <w:right w:val="single" w:sz="4" w:space="0" w:color="auto"/>
            </w:tcBorders>
            <w:vAlign w:val="center"/>
            <w:hideMark/>
          </w:tcPr>
          <w:p w14:paraId="0E63ECB4"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Jornada extramural para exámenes periódicos en las instalaciones de la empresa ubicada en la Av. Cra 50 No 26-55 Int.2 CAN Bogotá D.C.</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A7C7F32"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52877C9"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7011F20C" w14:textId="77777777" w:rsidTr="004567B2">
        <w:trPr>
          <w:trHeight w:val="300"/>
        </w:trPr>
        <w:tc>
          <w:tcPr>
            <w:tcW w:w="8784" w:type="dxa"/>
            <w:gridSpan w:val="4"/>
            <w:tcBorders>
              <w:top w:val="single" w:sz="4" w:space="0" w:color="auto"/>
              <w:left w:val="single" w:sz="4" w:space="0" w:color="auto"/>
              <w:bottom w:val="single" w:sz="4" w:space="0" w:color="auto"/>
              <w:right w:val="nil"/>
            </w:tcBorders>
            <w:shd w:val="clear" w:color="000000" w:fill="FFFFFF"/>
            <w:noWrap/>
            <w:vAlign w:val="center"/>
            <w:hideMark/>
          </w:tcPr>
          <w:p w14:paraId="0A58145D" w14:textId="77777777" w:rsidR="00FA227B" w:rsidRPr="00FA227B" w:rsidRDefault="00FA227B" w:rsidP="00FA227B">
            <w:pPr>
              <w:spacing w:after="0" w:line="240" w:lineRule="auto"/>
              <w:jc w:val="center"/>
              <w:rPr>
                <w:rFonts w:ascii="Arial" w:eastAsia="Times New Roman" w:hAnsi="Arial" w:cs="Arial"/>
                <w:b/>
                <w:bCs/>
                <w:kern w:val="0"/>
                <w:lang w:eastAsia="es-CO"/>
                <w14:ligatures w14:val="none"/>
              </w:rPr>
            </w:pPr>
            <w:r w:rsidRPr="00FA227B">
              <w:rPr>
                <w:rFonts w:ascii="Arial" w:eastAsia="Times New Roman" w:hAnsi="Arial" w:cs="Arial"/>
                <w:b/>
                <w:bCs/>
                <w:kern w:val="0"/>
                <w:lang w:eastAsia="es-CO"/>
                <w14:ligatures w14:val="none"/>
              </w:rPr>
              <w:t>Inspecciones de puesto de trabajo</w:t>
            </w:r>
          </w:p>
        </w:tc>
      </w:tr>
      <w:tr w:rsidR="00FA227B" w:rsidRPr="00FA227B" w14:paraId="24B5CEBA" w14:textId="77777777" w:rsidTr="004567B2">
        <w:trPr>
          <w:trHeight w:val="570"/>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7FB463"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20</w:t>
            </w:r>
          </w:p>
        </w:tc>
        <w:tc>
          <w:tcPr>
            <w:tcW w:w="5425" w:type="dxa"/>
            <w:tcBorders>
              <w:top w:val="single" w:sz="4" w:space="0" w:color="auto"/>
              <w:left w:val="single" w:sz="4" w:space="0" w:color="auto"/>
              <w:bottom w:val="single" w:sz="4" w:space="0" w:color="auto"/>
              <w:right w:val="single" w:sz="4" w:space="0" w:color="auto"/>
            </w:tcBorders>
            <w:vAlign w:val="center"/>
            <w:hideMark/>
          </w:tcPr>
          <w:p w14:paraId="6D3827E2"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Inspección de puesto de trabajo con énfasis osteomuscular (realizado por fisioterapeuta especialista es Seguridad y Salud en el trabajo)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E5EF4ED"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BE6EA43"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r w:rsidR="00FA227B" w:rsidRPr="00FA227B" w14:paraId="0B0807E1" w14:textId="77777777" w:rsidTr="004567B2">
        <w:trPr>
          <w:trHeight w:val="570"/>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88CDC" w14:textId="77777777" w:rsidR="00FA227B" w:rsidRPr="00FA227B" w:rsidRDefault="00FA227B" w:rsidP="00FA227B">
            <w:pPr>
              <w:spacing w:after="0" w:line="240" w:lineRule="auto"/>
              <w:jc w:val="center"/>
              <w:rPr>
                <w:rFonts w:ascii="Arial" w:eastAsia="Times New Roman" w:hAnsi="Arial" w:cs="Arial"/>
                <w:kern w:val="0"/>
                <w:lang w:eastAsia="es-CO"/>
                <w14:ligatures w14:val="none"/>
              </w:rPr>
            </w:pPr>
            <w:r w:rsidRPr="00FA227B">
              <w:rPr>
                <w:rFonts w:ascii="Arial" w:eastAsia="Times New Roman" w:hAnsi="Arial" w:cs="Arial"/>
                <w:kern w:val="0"/>
                <w:lang w:eastAsia="es-CO"/>
                <w14:ligatures w14:val="none"/>
              </w:rPr>
              <w:t>21</w:t>
            </w:r>
          </w:p>
        </w:tc>
        <w:tc>
          <w:tcPr>
            <w:tcW w:w="5425" w:type="dxa"/>
            <w:tcBorders>
              <w:top w:val="single" w:sz="4" w:space="0" w:color="auto"/>
              <w:left w:val="single" w:sz="4" w:space="0" w:color="auto"/>
              <w:bottom w:val="single" w:sz="4" w:space="0" w:color="auto"/>
              <w:right w:val="single" w:sz="4" w:space="0" w:color="auto"/>
            </w:tcBorders>
            <w:vAlign w:val="center"/>
            <w:hideMark/>
          </w:tcPr>
          <w:p w14:paraId="41D0C537" w14:textId="77777777" w:rsidR="00FA227B" w:rsidRPr="00FA227B" w:rsidRDefault="00FA227B" w:rsidP="00FA227B">
            <w:pPr>
              <w:spacing w:after="0" w:line="240" w:lineRule="auto"/>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Inspección de puesto de trabajo con énfasis psicosocial (realizado por Psicóloga especialista es Seguridad y Salud en el trabajo)</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12A9B09"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UND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A8A69C1" w14:textId="77777777" w:rsidR="00FA227B" w:rsidRPr="00FA227B" w:rsidRDefault="00FA227B" w:rsidP="00FA227B">
            <w:pPr>
              <w:spacing w:after="0" w:line="240" w:lineRule="auto"/>
              <w:jc w:val="center"/>
              <w:rPr>
                <w:rFonts w:ascii="Arial" w:eastAsia="Times New Roman" w:hAnsi="Arial" w:cs="Arial"/>
                <w:color w:val="000000"/>
                <w:kern w:val="0"/>
                <w:lang w:eastAsia="es-CO"/>
                <w14:ligatures w14:val="none"/>
              </w:rPr>
            </w:pPr>
            <w:r w:rsidRPr="00FA227B">
              <w:rPr>
                <w:rFonts w:ascii="Arial" w:eastAsia="Times New Roman" w:hAnsi="Arial" w:cs="Arial"/>
                <w:color w:val="000000"/>
                <w:kern w:val="0"/>
                <w:lang w:eastAsia="es-CO"/>
                <w14:ligatures w14:val="none"/>
              </w:rPr>
              <w:t>1</w:t>
            </w:r>
          </w:p>
        </w:tc>
      </w:tr>
    </w:tbl>
    <w:p w14:paraId="1025D31A" w14:textId="77777777" w:rsidR="00FA227B" w:rsidRPr="00724FCF" w:rsidRDefault="00FA227B" w:rsidP="00592C2E">
      <w:pPr>
        <w:autoSpaceDE w:val="0"/>
        <w:autoSpaceDN w:val="0"/>
        <w:adjustRightInd w:val="0"/>
        <w:jc w:val="both"/>
        <w:rPr>
          <w:rFonts w:ascii="Verdana" w:hAnsi="Verdana" w:cs="Arial"/>
        </w:rPr>
      </w:pPr>
    </w:p>
    <w:p w14:paraId="26F072B7" w14:textId="6F2B6419" w:rsidR="25353256" w:rsidRDefault="004567B2" w:rsidP="25353256">
      <w:pPr>
        <w:spacing w:after="0" w:line="240" w:lineRule="auto"/>
        <w:ind w:left="720"/>
        <w:jc w:val="both"/>
        <w:rPr>
          <w:rFonts w:ascii="Verdana" w:eastAsia="Verdana" w:hAnsi="Verdana" w:cs="Verdana"/>
          <w:color w:val="000000" w:themeColor="text1"/>
        </w:rPr>
      </w:pPr>
      <w:r w:rsidRPr="004567B2">
        <w:rPr>
          <w:rFonts w:ascii="Verdana" w:eastAsia="Verdana" w:hAnsi="Verdana" w:cs="Verdana"/>
          <w:b/>
          <w:bCs/>
          <w:color w:val="000000" w:themeColor="text1"/>
        </w:rPr>
        <w:t>Características de los servicios</w:t>
      </w:r>
      <w:r w:rsidRPr="004567B2">
        <w:rPr>
          <w:rFonts w:ascii="Verdana" w:eastAsia="Verdana" w:hAnsi="Verdana" w:cs="Verdana"/>
          <w:color w:val="000000" w:themeColor="text1"/>
        </w:rPr>
        <w:t> </w:t>
      </w:r>
    </w:p>
    <w:p w14:paraId="38F2CF7B" w14:textId="77777777" w:rsidR="004567B2" w:rsidRDefault="004567B2" w:rsidP="25353256">
      <w:pPr>
        <w:spacing w:after="0" w:line="240" w:lineRule="auto"/>
        <w:ind w:left="720"/>
        <w:jc w:val="both"/>
        <w:rPr>
          <w:rFonts w:ascii="Verdana" w:eastAsia="Verdana" w:hAnsi="Verdana" w:cs="Verdana"/>
          <w:color w:val="000000" w:themeColor="text1"/>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8"/>
        <w:gridCol w:w="2805"/>
        <w:gridCol w:w="1429"/>
      </w:tblGrid>
      <w:tr w:rsidR="004567B2" w:rsidRPr="004567B2" w14:paraId="60E3075D" w14:textId="77777777">
        <w:trPr>
          <w:trHeight w:val="285"/>
        </w:trPr>
        <w:tc>
          <w:tcPr>
            <w:tcW w:w="2160" w:type="dxa"/>
            <w:tcBorders>
              <w:top w:val="single" w:sz="6" w:space="0" w:color="000000"/>
              <w:left w:val="single" w:sz="6" w:space="0" w:color="000000"/>
              <w:bottom w:val="single" w:sz="6" w:space="0" w:color="000000"/>
              <w:right w:val="single" w:sz="6" w:space="0" w:color="000000"/>
            </w:tcBorders>
            <w:vAlign w:val="center"/>
            <w:hideMark/>
          </w:tcPr>
          <w:p w14:paraId="61350FCE" w14:textId="77777777" w:rsidR="004567B2" w:rsidRPr="004567B2" w:rsidRDefault="004567B2" w:rsidP="004567B2">
            <w:pPr>
              <w:spacing w:after="0" w:line="240" w:lineRule="auto"/>
              <w:jc w:val="center"/>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b/>
                <w:bCs/>
                <w:kern w:val="0"/>
                <w:lang w:eastAsia="es-CO"/>
                <w14:ligatures w14:val="none"/>
              </w:rPr>
              <w:t>SERVICIO</w:t>
            </w:r>
            <w:r w:rsidRPr="004567B2">
              <w:rPr>
                <w:rFonts w:ascii="Arial" w:eastAsia="Times New Roman" w:hAnsi="Arial" w:cs="Arial"/>
                <w:kern w:val="0"/>
                <w:lang w:eastAsia="es-CO"/>
                <w14:ligatures w14:val="none"/>
              </w:rPr>
              <w:t> </w:t>
            </w:r>
          </w:p>
        </w:tc>
        <w:tc>
          <w:tcPr>
            <w:tcW w:w="4680" w:type="dxa"/>
            <w:tcBorders>
              <w:top w:val="single" w:sz="6" w:space="0" w:color="000000"/>
              <w:left w:val="single" w:sz="6" w:space="0" w:color="000000"/>
              <w:bottom w:val="single" w:sz="6" w:space="0" w:color="000000"/>
              <w:right w:val="single" w:sz="6" w:space="0" w:color="000000"/>
            </w:tcBorders>
            <w:vAlign w:val="center"/>
            <w:hideMark/>
          </w:tcPr>
          <w:p w14:paraId="4BAC34D1" w14:textId="77777777" w:rsidR="004567B2" w:rsidRPr="004567B2" w:rsidRDefault="004567B2" w:rsidP="004567B2">
            <w:pPr>
              <w:spacing w:after="0" w:line="240" w:lineRule="auto"/>
              <w:jc w:val="center"/>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b/>
                <w:bCs/>
                <w:kern w:val="0"/>
                <w:lang w:eastAsia="es-CO"/>
                <w14:ligatures w14:val="none"/>
              </w:rPr>
              <w:t>OBJETIVO DEL EXAMEN</w:t>
            </w:r>
            <w:r w:rsidRPr="004567B2">
              <w:rPr>
                <w:rFonts w:ascii="Arial" w:eastAsia="Times New Roman" w:hAnsi="Arial" w:cs="Arial"/>
                <w:kern w:val="0"/>
                <w:lang w:eastAsia="es-CO"/>
                <w14:ligatures w14:val="none"/>
              </w:rPr>
              <w:t> </w:t>
            </w:r>
          </w:p>
        </w:tc>
        <w:tc>
          <w:tcPr>
            <w:tcW w:w="1965" w:type="dxa"/>
            <w:tcBorders>
              <w:top w:val="single" w:sz="6" w:space="0" w:color="000000"/>
              <w:left w:val="single" w:sz="6" w:space="0" w:color="000000"/>
              <w:bottom w:val="single" w:sz="6" w:space="0" w:color="000000"/>
              <w:right w:val="single" w:sz="6" w:space="0" w:color="000000"/>
            </w:tcBorders>
            <w:vAlign w:val="center"/>
            <w:hideMark/>
          </w:tcPr>
          <w:p w14:paraId="28730DBE" w14:textId="77777777" w:rsidR="004567B2" w:rsidRPr="004567B2" w:rsidRDefault="004567B2" w:rsidP="004567B2">
            <w:pPr>
              <w:spacing w:after="0" w:line="240" w:lineRule="auto"/>
              <w:jc w:val="center"/>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b/>
                <w:bCs/>
                <w:kern w:val="0"/>
                <w:lang w:eastAsia="es-CO"/>
                <w14:ligatures w14:val="none"/>
              </w:rPr>
              <w:t>TIEMPOS DE CONSULTA</w:t>
            </w:r>
            <w:r w:rsidRPr="004567B2">
              <w:rPr>
                <w:rFonts w:ascii="Arial" w:eastAsia="Times New Roman" w:hAnsi="Arial" w:cs="Arial"/>
                <w:kern w:val="0"/>
                <w:lang w:eastAsia="es-CO"/>
                <w14:ligatures w14:val="none"/>
              </w:rPr>
              <w:t> </w:t>
            </w:r>
          </w:p>
        </w:tc>
      </w:tr>
      <w:tr w:rsidR="004567B2" w:rsidRPr="004567B2" w14:paraId="27E47A73"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009E76B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Examen de Ingreso o Egreso </w:t>
            </w:r>
          </w:p>
        </w:tc>
        <w:tc>
          <w:tcPr>
            <w:tcW w:w="4680" w:type="dxa"/>
            <w:tcBorders>
              <w:top w:val="single" w:sz="6" w:space="0" w:color="000000"/>
              <w:left w:val="single" w:sz="6" w:space="0" w:color="000000"/>
              <w:bottom w:val="single" w:sz="6" w:space="0" w:color="000000"/>
              <w:right w:val="single" w:sz="6" w:space="0" w:color="000000"/>
            </w:tcBorders>
            <w:hideMark/>
          </w:tcPr>
          <w:p w14:paraId="5A3D34F4"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Son aquellas que se realizan para determinar las condiciones de salud física, mental y social del trabajador antes de su contratación, en función de las condiciones de trabajo a las que estaría expuesto, acorde con los requerimientos de la tarea y perfil del cargo. Entregable: Certificado de Aptitud. </w:t>
            </w:r>
          </w:p>
        </w:tc>
        <w:tc>
          <w:tcPr>
            <w:tcW w:w="1965" w:type="dxa"/>
            <w:tcBorders>
              <w:top w:val="single" w:sz="6" w:space="0" w:color="000000"/>
              <w:left w:val="single" w:sz="6" w:space="0" w:color="000000"/>
              <w:bottom w:val="single" w:sz="6" w:space="0" w:color="000000"/>
              <w:right w:val="single" w:sz="6" w:space="0" w:color="000000"/>
            </w:tcBorders>
            <w:hideMark/>
          </w:tcPr>
          <w:p w14:paraId="792552C0"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20 minutos, se debe contar con un espacio apropiado </w:t>
            </w:r>
          </w:p>
        </w:tc>
      </w:tr>
      <w:tr w:rsidR="004567B2" w:rsidRPr="004567B2" w14:paraId="1207A501"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033A5A6F"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Examen periódico ocupacional con énfasis osteomuscular </w:t>
            </w:r>
          </w:p>
        </w:tc>
        <w:tc>
          <w:tcPr>
            <w:tcW w:w="4680" w:type="dxa"/>
            <w:tcBorders>
              <w:top w:val="single" w:sz="6" w:space="0" w:color="000000"/>
              <w:left w:val="single" w:sz="6" w:space="0" w:color="000000"/>
              <w:bottom w:val="single" w:sz="6" w:space="0" w:color="000000"/>
              <w:right w:val="single" w:sz="6" w:space="0" w:color="000000"/>
            </w:tcBorders>
            <w:hideMark/>
          </w:tcPr>
          <w:p w14:paraId="70AC00D4"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Se realizan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 Entregable: Informe Diagnóstico en Salud. </w:t>
            </w:r>
          </w:p>
        </w:tc>
        <w:tc>
          <w:tcPr>
            <w:tcW w:w="1965" w:type="dxa"/>
            <w:tcBorders>
              <w:top w:val="single" w:sz="6" w:space="0" w:color="000000"/>
              <w:left w:val="single" w:sz="6" w:space="0" w:color="000000"/>
              <w:bottom w:val="single" w:sz="6" w:space="0" w:color="000000"/>
              <w:right w:val="single" w:sz="6" w:space="0" w:color="000000"/>
            </w:tcBorders>
            <w:hideMark/>
          </w:tcPr>
          <w:p w14:paraId="11A8C12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20 minutos, se debe contar con un espacio apropiado </w:t>
            </w:r>
          </w:p>
        </w:tc>
      </w:tr>
      <w:tr w:rsidR="004567B2" w:rsidRPr="004567B2" w14:paraId="18CFD32F"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4A51E00B"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Audiometría Salud Ocupacional </w:t>
            </w:r>
          </w:p>
        </w:tc>
        <w:tc>
          <w:tcPr>
            <w:tcW w:w="4680" w:type="dxa"/>
            <w:tcBorders>
              <w:top w:val="single" w:sz="6" w:space="0" w:color="000000"/>
              <w:left w:val="single" w:sz="6" w:space="0" w:color="000000"/>
              <w:bottom w:val="single" w:sz="6" w:space="0" w:color="000000"/>
              <w:right w:val="single" w:sz="6" w:space="0" w:color="000000"/>
            </w:tcBorders>
            <w:hideMark/>
          </w:tcPr>
          <w:p w14:paraId="420CE72E"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La audiometría es una prueba que nos permite una valoración bastante precisa de la audición, siendo vital para determinar si una persona oye bien o no. Aportándonos información adicional sobre el problema subyacente, posible causante de la pérdida auditiva. No obstante, para obtener unos resultados fiables es muy importante la colaboración del paciente, siendo necesario que preste una gran atención durante la prueba y que responda en la misma con sinceridad. </w:t>
            </w:r>
          </w:p>
        </w:tc>
        <w:tc>
          <w:tcPr>
            <w:tcW w:w="1965" w:type="dxa"/>
            <w:tcBorders>
              <w:top w:val="single" w:sz="6" w:space="0" w:color="000000"/>
              <w:left w:val="single" w:sz="6" w:space="0" w:color="000000"/>
              <w:bottom w:val="single" w:sz="6" w:space="0" w:color="000000"/>
              <w:right w:val="single" w:sz="6" w:space="0" w:color="000000"/>
            </w:tcBorders>
            <w:hideMark/>
          </w:tcPr>
          <w:p w14:paraId="040D99BE"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10 minutos, se debe contar con un espacio apropiado </w:t>
            </w:r>
          </w:p>
        </w:tc>
      </w:tr>
      <w:tr w:rsidR="004567B2" w:rsidRPr="004567B2" w14:paraId="05153328"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77E57EA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Espirometría Salud Ocupacional  </w:t>
            </w:r>
          </w:p>
        </w:tc>
        <w:tc>
          <w:tcPr>
            <w:tcW w:w="4680" w:type="dxa"/>
            <w:tcBorders>
              <w:top w:val="single" w:sz="6" w:space="0" w:color="000000"/>
              <w:left w:val="single" w:sz="6" w:space="0" w:color="000000"/>
              <w:bottom w:val="single" w:sz="6" w:space="0" w:color="000000"/>
              <w:right w:val="single" w:sz="6" w:space="0" w:color="000000"/>
            </w:tcBorders>
            <w:hideMark/>
          </w:tcPr>
          <w:p w14:paraId="3A389892"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Es la técnica que mide los flujos y volúmenes respiratorios útiles para el diagnóstico y seguimiento de patologías respiratorias </w:t>
            </w:r>
          </w:p>
        </w:tc>
        <w:tc>
          <w:tcPr>
            <w:tcW w:w="1965" w:type="dxa"/>
            <w:tcBorders>
              <w:top w:val="single" w:sz="6" w:space="0" w:color="000000"/>
              <w:left w:val="single" w:sz="6" w:space="0" w:color="000000"/>
              <w:bottom w:val="single" w:sz="6" w:space="0" w:color="000000"/>
              <w:right w:val="single" w:sz="6" w:space="0" w:color="000000"/>
            </w:tcBorders>
            <w:hideMark/>
          </w:tcPr>
          <w:p w14:paraId="2841F30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10 minutos, se debe contar con un espacio apropiado </w:t>
            </w:r>
          </w:p>
        </w:tc>
      </w:tr>
      <w:tr w:rsidR="004567B2" w:rsidRPr="004567B2" w14:paraId="5781911E"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19583051"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Optometría de Salud Ocupacional </w:t>
            </w:r>
          </w:p>
        </w:tc>
        <w:tc>
          <w:tcPr>
            <w:tcW w:w="4680" w:type="dxa"/>
            <w:tcBorders>
              <w:top w:val="single" w:sz="6" w:space="0" w:color="000000"/>
              <w:left w:val="single" w:sz="6" w:space="0" w:color="000000"/>
              <w:bottom w:val="single" w:sz="6" w:space="0" w:color="000000"/>
              <w:right w:val="single" w:sz="6" w:space="0" w:color="000000"/>
            </w:tcBorders>
            <w:hideMark/>
          </w:tcPr>
          <w:p w14:paraId="6742626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xml:space="preserve">Determinar el estado de salud y la valoración funcional de los </w:t>
            </w:r>
            <w:r w:rsidRPr="004567B2">
              <w:rPr>
                <w:rFonts w:ascii="Arial" w:eastAsia="Times New Roman" w:hAnsi="Arial" w:cs="Arial"/>
                <w:kern w:val="0"/>
                <w:lang w:eastAsia="es-CO"/>
                <w14:ligatures w14:val="none"/>
              </w:rPr>
              <w:lastRenderedPageBreak/>
              <w:t>componentes de acomodación refractiva, ocular-sensorial-motora y perceptual del aparato visual. Realiza evaluación de la agudeza visual completa. En caso de que el paciente requiera corrección de manera compleja (formulación) o tratamiento (manejo por alguna especialidad Oftalmología, </w:t>
            </w:r>
            <w:proofErr w:type="spellStart"/>
            <w:r w:rsidRPr="004567B2">
              <w:rPr>
                <w:rFonts w:ascii="Arial" w:eastAsia="Times New Roman" w:hAnsi="Arial" w:cs="Arial"/>
                <w:kern w:val="0"/>
                <w:lang w:eastAsia="es-CO"/>
                <w14:ligatures w14:val="none"/>
              </w:rPr>
              <w:t>Ortoptica</w:t>
            </w:r>
            <w:proofErr w:type="spellEnd"/>
            <w:r w:rsidRPr="004567B2">
              <w:rPr>
                <w:rFonts w:ascii="Arial" w:eastAsia="Times New Roman" w:hAnsi="Arial" w:cs="Arial"/>
                <w:kern w:val="0"/>
                <w:lang w:eastAsia="es-CO"/>
                <w14:ligatures w14:val="none"/>
              </w:rPr>
              <w:t>) el paciente se remite a su EPS. </w:t>
            </w:r>
          </w:p>
        </w:tc>
        <w:tc>
          <w:tcPr>
            <w:tcW w:w="1965" w:type="dxa"/>
            <w:tcBorders>
              <w:top w:val="single" w:sz="6" w:space="0" w:color="000000"/>
              <w:left w:val="single" w:sz="6" w:space="0" w:color="000000"/>
              <w:bottom w:val="single" w:sz="6" w:space="0" w:color="000000"/>
              <w:right w:val="single" w:sz="6" w:space="0" w:color="000000"/>
            </w:tcBorders>
            <w:hideMark/>
          </w:tcPr>
          <w:p w14:paraId="78C5CE20"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 xml:space="preserve">Tiempo de consulta de 10 minutos, se </w:t>
            </w:r>
            <w:r w:rsidRPr="004567B2">
              <w:rPr>
                <w:rFonts w:ascii="Arial" w:eastAsia="Times New Roman" w:hAnsi="Arial" w:cs="Arial"/>
                <w:kern w:val="0"/>
                <w:lang w:eastAsia="es-CO"/>
                <w14:ligatures w14:val="none"/>
              </w:rPr>
              <w:lastRenderedPageBreak/>
              <w:t>debe contar con un espacio apropiado </w:t>
            </w:r>
          </w:p>
        </w:tc>
      </w:tr>
      <w:tr w:rsidR="004567B2" w:rsidRPr="004567B2" w14:paraId="77AA1D7D"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20A9108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Visiometria Salud Ocupacional </w:t>
            </w:r>
          </w:p>
        </w:tc>
        <w:tc>
          <w:tcPr>
            <w:tcW w:w="4680" w:type="dxa"/>
            <w:tcBorders>
              <w:top w:val="single" w:sz="6" w:space="0" w:color="000000"/>
              <w:left w:val="single" w:sz="6" w:space="0" w:color="000000"/>
              <w:bottom w:val="single" w:sz="6" w:space="0" w:color="000000"/>
              <w:right w:val="single" w:sz="6" w:space="0" w:color="000000"/>
            </w:tcBorders>
            <w:hideMark/>
          </w:tcPr>
          <w:p w14:paraId="10EBE2B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Determinación específica de la visión de lejos y cerca, con y sin la corrección óptica del usuario (es decir con o sin gafas o lentes que actualmente tiene el paciente). También llamada Prueba de Tamizaje de Agudeza Visual, en la que se efectúa un diagnóstico general de la población expuesta a un factor de riesgo determinado. </w:t>
            </w:r>
          </w:p>
        </w:tc>
        <w:tc>
          <w:tcPr>
            <w:tcW w:w="1965" w:type="dxa"/>
            <w:tcBorders>
              <w:top w:val="single" w:sz="6" w:space="0" w:color="000000"/>
              <w:left w:val="single" w:sz="6" w:space="0" w:color="000000"/>
              <w:bottom w:val="single" w:sz="6" w:space="0" w:color="000000"/>
              <w:right w:val="single" w:sz="6" w:space="0" w:color="000000"/>
            </w:tcBorders>
            <w:hideMark/>
          </w:tcPr>
          <w:p w14:paraId="4465278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10 minutos, se debe contar con un espacio apropiado </w:t>
            </w:r>
          </w:p>
        </w:tc>
      </w:tr>
      <w:tr w:rsidR="004567B2" w:rsidRPr="004567B2" w14:paraId="57975482"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543A2E22"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Anexo Técnico  </w:t>
            </w:r>
          </w:p>
          <w:p w14:paraId="5708B394"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Anexo técnico (énfasis en osteomuscular o trabajo en alturas, manipulación en alimentos) </w:t>
            </w:r>
          </w:p>
        </w:tc>
        <w:tc>
          <w:tcPr>
            <w:tcW w:w="4680" w:type="dxa"/>
            <w:tcBorders>
              <w:top w:val="single" w:sz="6" w:space="0" w:color="000000"/>
              <w:left w:val="single" w:sz="6" w:space="0" w:color="000000"/>
              <w:bottom w:val="single" w:sz="6" w:space="0" w:color="000000"/>
              <w:right w:val="single" w:sz="6" w:space="0" w:color="000000"/>
            </w:tcBorders>
            <w:hideMark/>
          </w:tcPr>
          <w:p w14:paraId="03DE1DD2"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ANEXO TÉCNICO es un examen en el sistema referido adicional al examen médico en el que se realizan unas pruebas médicas especializadas y tiene una duración adicional de 10 minutos después del examen médico ocupacional, así mismo tiene un costo adicional 1. TIPOS DE ANEXOS:  </w:t>
            </w:r>
          </w:p>
          <w:p w14:paraId="7B2AA7B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Osteomuscular </w:t>
            </w:r>
          </w:p>
          <w:p w14:paraId="2E716B61"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Cardiovascular  </w:t>
            </w:r>
          </w:p>
          <w:p w14:paraId="503135CA"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Manipuladores de alimentos  </w:t>
            </w:r>
          </w:p>
          <w:p w14:paraId="0AE96027"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Trabajadores de alturas  </w:t>
            </w:r>
          </w:p>
          <w:p w14:paraId="361A5C82"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 Dermatológico </w:t>
            </w:r>
          </w:p>
        </w:tc>
        <w:tc>
          <w:tcPr>
            <w:tcW w:w="1965" w:type="dxa"/>
            <w:tcBorders>
              <w:top w:val="single" w:sz="6" w:space="0" w:color="000000"/>
              <w:left w:val="single" w:sz="6" w:space="0" w:color="000000"/>
              <w:bottom w:val="single" w:sz="6" w:space="0" w:color="000000"/>
              <w:right w:val="single" w:sz="6" w:space="0" w:color="000000"/>
            </w:tcBorders>
            <w:hideMark/>
          </w:tcPr>
          <w:p w14:paraId="2C5BC4B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10 minutos adicionales a la consulta, se debe contar con un espacio apropiado </w:t>
            </w:r>
          </w:p>
        </w:tc>
      </w:tr>
      <w:tr w:rsidR="004567B2" w:rsidRPr="004567B2" w14:paraId="3636FC29"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6391F4D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proofErr w:type="spellStart"/>
            <w:r w:rsidRPr="004567B2">
              <w:rPr>
                <w:rFonts w:ascii="Arial" w:eastAsia="Times New Roman" w:hAnsi="Arial" w:cs="Arial"/>
                <w:kern w:val="0"/>
                <w:lang w:eastAsia="es-CO"/>
                <w14:ligatures w14:val="none"/>
              </w:rPr>
              <w:lastRenderedPageBreak/>
              <w:t>Pos</w:t>
            </w:r>
            <w:proofErr w:type="spellEnd"/>
            <w:r w:rsidRPr="004567B2">
              <w:rPr>
                <w:rFonts w:ascii="Arial" w:eastAsia="Times New Roman" w:hAnsi="Arial" w:cs="Arial"/>
                <w:kern w:val="0"/>
                <w:lang w:eastAsia="es-CO"/>
                <w14:ligatures w14:val="none"/>
              </w:rPr>
              <w:t> incapacidad </w:t>
            </w:r>
          </w:p>
        </w:tc>
        <w:tc>
          <w:tcPr>
            <w:tcW w:w="4680" w:type="dxa"/>
            <w:tcBorders>
              <w:top w:val="single" w:sz="6" w:space="0" w:color="000000"/>
              <w:left w:val="single" w:sz="6" w:space="0" w:color="000000"/>
              <w:bottom w:val="single" w:sz="6" w:space="0" w:color="000000"/>
              <w:right w:val="single" w:sz="6" w:space="0" w:color="000000"/>
            </w:tcBorders>
            <w:hideMark/>
          </w:tcPr>
          <w:p w14:paraId="716BA2D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Se tiene en cuenta en cuenta que el paciente sale de su periodo de incapacidad, sin embargo, se debe tener muy claro que, para cualquier examen ocupacional realizado, nunca se debe valorar pacientes que se encuentren en estado de incapacidad (esto supone que el paciente se encuentra en recuperación o convalecencia de una patología o suceso que ocurrió). En cualquiera de los exámenes que realizamos, dejamos las recomendaciones o restricciones indicadas según el compromiso de la patología, sin embargo, es muy importante que además este paciente solicite su valoración por medicina laboral de la EPS, quien emite las recomendaciones más específicas y puntuales para la empresa. </w:t>
            </w:r>
          </w:p>
        </w:tc>
        <w:tc>
          <w:tcPr>
            <w:tcW w:w="1965" w:type="dxa"/>
            <w:tcBorders>
              <w:top w:val="single" w:sz="6" w:space="0" w:color="000000"/>
              <w:left w:val="single" w:sz="6" w:space="0" w:color="000000"/>
              <w:bottom w:val="single" w:sz="6" w:space="0" w:color="000000"/>
              <w:right w:val="single" w:sz="6" w:space="0" w:color="000000"/>
            </w:tcBorders>
            <w:hideMark/>
          </w:tcPr>
          <w:p w14:paraId="4953FDA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40 minutos, se debe contar con un espacio apropiado </w:t>
            </w:r>
          </w:p>
        </w:tc>
      </w:tr>
      <w:tr w:rsidR="004567B2" w:rsidRPr="004567B2" w14:paraId="101DB538"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76747A7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Evaluación médica para reingreso de trabajo en casa </w:t>
            </w:r>
          </w:p>
        </w:tc>
        <w:tc>
          <w:tcPr>
            <w:tcW w:w="4680" w:type="dxa"/>
            <w:tcBorders>
              <w:top w:val="single" w:sz="6" w:space="0" w:color="000000"/>
              <w:left w:val="single" w:sz="6" w:space="0" w:color="000000"/>
              <w:bottom w:val="single" w:sz="6" w:space="0" w:color="000000"/>
              <w:right w:val="single" w:sz="6" w:space="0" w:color="000000"/>
            </w:tcBorders>
            <w:hideMark/>
          </w:tcPr>
          <w:p w14:paraId="6D8B5C0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Se realizan con el fin de monitorear la exposición a factores de riesgo e identificar en forma precoz, posibles alteraciones temporales, permanentes o agravadas del estado de salud del trabajador, ocasionadas por la labor o por la exposición al medio ambiente de trabajo. Evaluación de condiciones de salud para reingreso. Entregable: Certificado de Aptitud. Consulta presencial   </w:t>
            </w:r>
          </w:p>
        </w:tc>
        <w:tc>
          <w:tcPr>
            <w:tcW w:w="1965" w:type="dxa"/>
            <w:tcBorders>
              <w:top w:val="single" w:sz="6" w:space="0" w:color="000000"/>
              <w:left w:val="single" w:sz="6" w:space="0" w:color="000000"/>
              <w:bottom w:val="single" w:sz="6" w:space="0" w:color="000000"/>
              <w:right w:val="single" w:sz="6" w:space="0" w:color="000000"/>
            </w:tcBorders>
            <w:hideMark/>
          </w:tcPr>
          <w:p w14:paraId="1656844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Tiempo de consulta de 20 minutos </w:t>
            </w:r>
          </w:p>
        </w:tc>
      </w:tr>
      <w:tr w:rsidR="004567B2" w:rsidRPr="004567B2" w14:paraId="5ADAD57C"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5EBDF0DF"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Valoración médica laboral </w:t>
            </w:r>
          </w:p>
        </w:tc>
        <w:tc>
          <w:tcPr>
            <w:tcW w:w="4680" w:type="dxa"/>
            <w:tcBorders>
              <w:top w:val="single" w:sz="6" w:space="0" w:color="000000"/>
              <w:left w:val="single" w:sz="6" w:space="0" w:color="000000"/>
              <w:bottom w:val="single" w:sz="6" w:space="0" w:color="000000"/>
              <w:right w:val="single" w:sz="6" w:space="0" w:color="000000"/>
            </w:tcBorders>
            <w:hideMark/>
          </w:tcPr>
          <w:p w14:paraId="37CE7873"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Duración de la consulta una hora.  </w:t>
            </w:r>
          </w:p>
          <w:p w14:paraId="06EF9AAA"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2. Llegar 20 minutos antes de la cita programada  </w:t>
            </w:r>
          </w:p>
          <w:p w14:paraId="310D18CA"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3. Presentar documento original.  </w:t>
            </w:r>
          </w:p>
          <w:p w14:paraId="5E7CDD97"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4. Presentar carta de solicitud.  </w:t>
            </w:r>
          </w:p>
          <w:p w14:paraId="774DCC62"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5. El trabajador deberá asistir a esta valoración con todo su historial clínico de los tres últimos meses (historias clínicas, paraclínicos, recomendaciones laborales anteriores, conceptos de medicina laboral anteriores, exámenes diagnósticos) en relación con la patología que está siendo estudiada.  </w:t>
            </w:r>
          </w:p>
          <w:p w14:paraId="7EA6C655"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6. Presentar certificado de cargos y funciones con fecha no mayor de un mes  </w:t>
            </w:r>
          </w:p>
          <w:p w14:paraId="5F13991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7. Posterior a la valoración del paciente se emitirá la carta de recomendaciones. que será entregada a la empresa con copia al trabajador donde se plasma las indicaciones que se deben tener presentes para que el trabajador pueda seguir realizando sus labores dentro de la organización, estas recomendaciones tendrán una validez de tiempo según el criterio del médico especialista  </w:t>
            </w:r>
          </w:p>
          <w:p w14:paraId="0DE5356B"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8. Los trabajadores no deben encontrarse en periodo de incapacidad, no se realizará valoración, ni se entregará recomendaciones laborales.  </w:t>
            </w:r>
          </w:p>
          <w:p w14:paraId="2D3EFB7A"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9. No se podrá valorar el paciente si no se cumplen con los ítems anteriores, ya que no sería una atención objetiva que pudiera generar sesgos en las recomendaciones emitidas. </w:t>
            </w:r>
          </w:p>
        </w:tc>
        <w:tc>
          <w:tcPr>
            <w:tcW w:w="1965" w:type="dxa"/>
            <w:tcBorders>
              <w:top w:val="single" w:sz="6" w:space="0" w:color="000000"/>
              <w:left w:val="single" w:sz="6" w:space="0" w:color="000000"/>
              <w:bottom w:val="single" w:sz="6" w:space="0" w:color="000000"/>
              <w:right w:val="single" w:sz="6" w:space="0" w:color="000000"/>
            </w:tcBorders>
            <w:hideMark/>
          </w:tcPr>
          <w:p w14:paraId="6442343C"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lastRenderedPageBreak/>
              <w:t>Tiempo de consulta de 1 Hora </w:t>
            </w:r>
          </w:p>
        </w:tc>
      </w:tr>
      <w:tr w:rsidR="004567B2" w:rsidRPr="004567B2" w14:paraId="4B085226"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183CE14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HEMOGRAMA III [hemoglobina hematocrito recuento de eritrocitos índices eritrocitarios leucograma recuento de plaquetas índices plaquetarios y morfología electrónica] automatizado   </w:t>
            </w:r>
          </w:p>
        </w:tc>
        <w:tc>
          <w:tcPr>
            <w:tcW w:w="4680" w:type="dxa"/>
            <w:tcBorders>
              <w:top w:val="single" w:sz="6" w:space="0" w:color="000000"/>
              <w:left w:val="single" w:sz="6" w:space="0" w:color="000000"/>
              <w:bottom w:val="single" w:sz="6" w:space="0" w:color="000000"/>
              <w:right w:val="single" w:sz="6" w:space="0" w:color="000000"/>
            </w:tcBorders>
            <w:hideMark/>
          </w:tcPr>
          <w:p w14:paraId="729AEB21"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Determinar niveles en sangre de eritrocitos, recuento de plaquetas, índices eritrocitarios, morfología, este examen no requiere ayuno estricto </w:t>
            </w:r>
          </w:p>
        </w:tc>
        <w:tc>
          <w:tcPr>
            <w:tcW w:w="1965" w:type="dxa"/>
            <w:tcBorders>
              <w:top w:val="single" w:sz="6" w:space="0" w:color="000000"/>
              <w:left w:val="single" w:sz="6" w:space="0" w:color="000000"/>
              <w:bottom w:val="single" w:sz="6" w:space="0" w:color="000000"/>
              <w:right w:val="single" w:sz="6" w:space="0" w:color="000000"/>
            </w:tcBorders>
            <w:hideMark/>
          </w:tcPr>
          <w:p w14:paraId="3C3B53B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día (tiempo de entrega) </w:t>
            </w:r>
          </w:p>
        </w:tc>
      </w:tr>
      <w:tr w:rsidR="004567B2" w:rsidRPr="004567B2" w14:paraId="601EF745"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19446981"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PERFIL LIPIDICO CON LDL SEMI - AUTOMATIZADO  </w:t>
            </w:r>
          </w:p>
          <w:p w14:paraId="70902A57"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(Calculado):  </w:t>
            </w:r>
          </w:p>
          <w:p w14:paraId="65B53973" w14:textId="77777777" w:rsidR="004567B2" w:rsidRPr="004567B2" w:rsidRDefault="004567B2">
            <w:pPr>
              <w:numPr>
                <w:ilvl w:val="0"/>
                <w:numId w:val="1"/>
              </w:numPr>
              <w:spacing w:after="0" w:line="240" w:lineRule="auto"/>
              <w:ind w:left="600" w:firstLine="0"/>
              <w:jc w:val="both"/>
              <w:textAlignment w:val="baseline"/>
              <w:rPr>
                <w:rFonts w:ascii="Arial" w:eastAsia="Times New Roman" w:hAnsi="Arial" w:cs="Arial"/>
                <w:kern w:val="0"/>
                <w:lang w:eastAsia="es-CO"/>
                <w14:ligatures w14:val="none"/>
              </w:rPr>
            </w:pPr>
            <w:r w:rsidRPr="004567B2">
              <w:rPr>
                <w:rFonts w:ascii="Arial" w:eastAsia="Times New Roman" w:hAnsi="Arial" w:cs="Arial"/>
                <w:color w:val="000000"/>
                <w:kern w:val="0"/>
                <w:lang w:eastAsia="es-CO"/>
                <w14:ligatures w14:val="none"/>
              </w:rPr>
              <w:t>903815 colesterol de alta densidad    </w:t>
            </w:r>
          </w:p>
          <w:p w14:paraId="7469D5B4" w14:textId="77777777" w:rsidR="004567B2" w:rsidRPr="004567B2" w:rsidRDefault="004567B2">
            <w:pPr>
              <w:numPr>
                <w:ilvl w:val="0"/>
                <w:numId w:val="2"/>
              </w:numPr>
              <w:spacing w:after="0" w:line="240" w:lineRule="auto"/>
              <w:ind w:left="600" w:firstLine="0"/>
              <w:jc w:val="both"/>
              <w:textAlignment w:val="baseline"/>
              <w:rPr>
                <w:rFonts w:ascii="Arial" w:eastAsia="Times New Roman" w:hAnsi="Arial" w:cs="Arial"/>
                <w:kern w:val="0"/>
                <w:lang w:eastAsia="es-CO"/>
                <w14:ligatures w14:val="none"/>
              </w:rPr>
            </w:pPr>
            <w:r w:rsidRPr="004567B2">
              <w:rPr>
                <w:rFonts w:ascii="Arial" w:eastAsia="Times New Roman" w:hAnsi="Arial" w:cs="Arial"/>
                <w:color w:val="000000"/>
                <w:kern w:val="0"/>
                <w:lang w:eastAsia="es-CO"/>
                <w14:ligatures w14:val="none"/>
              </w:rPr>
              <w:t>903816 colesterol de baja densidad </w:t>
            </w:r>
            <w:proofErr w:type="spellStart"/>
            <w:r w:rsidRPr="004567B2">
              <w:rPr>
                <w:rFonts w:ascii="Arial" w:eastAsia="Times New Roman" w:hAnsi="Arial" w:cs="Arial"/>
                <w:color w:val="000000"/>
                <w:kern w:val="0"/>
                <w:lang w:eastAsia="es-CO"/>
                <w14:ligatures w14:val="none"/>
              </w:rPr>
              <w:t>ldl</w:t>
            </w:r>
            <w:proofErr w:type="spellEnd"/>
            <w:r w:rsidRPr="004567B2">
              <w:rPr>
                <w:rFonts w:ascii="Arial" w:eastAsia="Times New Roman" w:hAnsi="Arial" w:cs="Arial"/>
                <w:color w:val="000000"/>
                <w:kern w:val="0"/>
                <w:lang w:eastAsia="es-CO"/>
                <w14:ligatures w14:val="none"/>
              </w:rPr>
              <w:t>  </w:t>
            </w:r>
          </w:p>
          <w:p w14:paraId="1B384DEF" w14:textId="77777777" w:rsidR="004567B2" w:rsidRPr="004567B2" w:rsidRDefault="004567B2">
            <w:pPr>
              <w:numPr>
                <w:ilvl w:val="0"/>
                <w:numId w:val="3"/>
              </w:numPr>
              <w:spacing w:after="0" w:line="240" w:lineRule="auto"/>
              <w:ind w:left="600" w:firstLine="0"/>
              <w:jc w:val="both"/>
              <w:textAlignment w:val="baseline"/>
              <w:rPr>
                <w:rFonts w:ascii="Arial" w:eastAsia="Times New Roman" w:hAnsi="Arial" w:cs="Arial"/>
                <w:kern w:val="0"/>
                <w:lang w:eastAsia="es-CO"/>
                <w14:ligatures w14:val="none"/>
              </w:rPr>
            </w:pPr>
            <w:r w:rsidRPr="004567B2">
              <w:rPr>
                <w:rFonts w:ascii="Arial" w:eastAsia="Times New Roman" w:hAnsi="Arial" w:cs="Arial"/>
                <w:color w:val="000000"/>
                <w:kern w:val="0"/>
                <w:lang w:eastAsia="es-CO"/>
                <w14:ligatures w14:val="none"/>
              </w:rPr>
              <w:t>Semiautomatizado  </w:t>
            </w:r>
          </w:p>
          <w:p w14:paraId="5A1280E5" w14:textId="77777777" w:rsidR="004567B2" w:rsidRPr="004567B2" w:rsidRDefault="004567B2">
            <w:pPr>
              <w:numPr>
                <w:ilvl w:val="0"/>
                <w:numId w:val="4"/>
              </w:numPr>
              <w:spacing w:after="0" w:line="240" w:lineRule="auto"/>
              <w:ind w:left="600" w:firstLine="0"/>
              <w:jc w:val="both"/>
              <w:textAlignment w:val="baseline"/>
              <w:rPr>
                <w:rFonts w:ascii="Arial" w:eastAsia="Times New Roman" w:hAnsi="Arial" w:cs="Arial"/>
                <w:kern w:val="0"/>
                <w:lang w:eastAsia="es-CO"/>
                <w14:ligatures w14:val="none"/>
              </w:rPr>
            </w:pPr>
            <w:r w:rsidRPr="004567B2">
              <w:rPr>
                <w:rFonts w:ascii="Arial" w:eastAsia="Times New Roman" w:hAnsi="Arial" w:cs="Arial"/>
                <w:color w:val="000000"/>
                <w:kern w:val="0"/>
                <w:lang w:eastAsia="es-CO"/>
                <w14:ligatures w14:val="none"/>
              </w:rPr>
              <w:t>903818 colesterol total   </w:t>
            </w:r>
          </w:p>
          <w:p w14:paraId="12E7BE71" w14:textId="77777777" w:rsidR="004567B2" w:rsidRPr="004567B2" w:rsidRDefault="004567B2">
            <w:pPr>
              <w:numPr>
                <w:ilvl w:val="0"/>
                <w:numId w:val="5"/>
              </w:numPr>
              <w:spacing w:after="0" w:line="240" w:lineRule="auto"/>
              <w:ind w:left="600" w:firstLine="0"/>
              <w:jc w:val="both"/>
              <w:textAlignment w:val="baseline"/>
              <w:rPr>
                <w:rFonts w:ascii="Arial" w:eastAsia="Times New Roman" w:hAnsi="Arial" w:cs="Arial"/>
                <w:kern w:val="0"/>
                <w:lang w:eastAsia="es-CO"/>
                <w14:ligatures w14:val="none"/>
              </w:rPr>
            </w:pPr>
            <w:r w:rsidRPr="004567B2">
              <w:rPr>
                <w:rFonts w:ascii="Arial" w:eastAsia="Times New Roman" w:hAnsi="Arial" w:cs="Arial"/>
                <w:color w:val="000000"/>
                <w:kern w:val="0"/>
                <w:lang w:eastAsia="es-CO"/>
                <w14:ligatures w14:val="none"/>
              </w:rPr>
              <w:t>903868 triglicéridos   </w:t>
            </w:r>
          </w:p>
        </w:tc>
        <w:tc>
          <w:tcPr>
            <w:tcW w:w="4680" w:type="dxa"/>
            <w:tcBorders>
              <w:top w:val="single" w:sz="6" w:space="0" w:color="000000"/>
              <w:left w:val="single" w:sz="6" w:space="0" w:color="000000"/>
              <w:bottom w:val="single" w:sz="6" w:space="0" w:color="000000"/>
              <w:right w:val="single" w:sz="6" w:space="0" w:color="000000"/>
            </w:tcBorders>
            <w:hideMark/>
          </w:tcPr>
          <w:p w14:paraId="5F81A215"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Ayuno para la toma de muestra. 10 a 12 horas. No debe ingerir comidas grasas el día anterior a la toma de muestra.  Evitar el consumo de alcohol en un mínimo de 72 horas previas a la toma del examen.  No fumar el día de la toma de la muestra.  No realizar ejercicio físico extremo si normalmente no lo realiza. </w:t>
            </w:r>
          </w:p>
        </w:tc>
        <w:tc>
          <w:tcPr>
            <w:tcW w:w="1965" w:type="dxa"/>
            <w:tcBorders>
              <w:top w:val="single" w:sz="6" w:space="0" w:color="000000"/>
              <w:left w:val="single" w:sz="6" w:space="0" w:color="000000"/>
              <w:bottom w:val="single" w:sz="6" w:space="0" w:color="000000"/>
              <w:right w:val="single" w:sz="6" w:space="0" w:color="000000"/>
            </w:tcBorders>
            <w:hideMark/>
          </w:tcPr>
          <w:p w14:paraId="0B33DFD7"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día (tiempo de entrega) </w:t>
            </w:r>
          </w:p>
        </w:tc>
      </w:tr>
      <w:tr w:rsidR="004567B2" w:rsidRPr="004567B2" w14:paraId="5DD09218"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1F010CCD"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val="pt-PT" w:eastAsia="es-CO"/>
                <w14:ligatures w14:val="none"/>
              </w:rPr>
            </w:pPr>
            <w:r w:rsidRPr="004567B2">
              <w:rPr>
                <w:rFonts w:ascii="Arial" w:eastAsia="Times New Roman" w:hAnsi="Arial" w:cs="Arial"/>
                <w:kern w:val="0"/>
                <w:lang w:val="pt-BR" w:eastAsia="es-CO"/>
                <w14:ligatures w14:val="none"/>
              </w:rPr>
              <w:t>TRANSAMINASA </w:t>
            </w:r>
            <w:proofErr w:type="spellStart"/>
            <w:r w:rsidRPr="004567B2">
              <w:rPr>
                <w:rFonts w:ascii="Arial" w:eastAsia="Times New Roman" w:hAnsi="Arial" w:cs="Arial"/>
                <w:kern w:val="0"/>
                <w:lang w:val="pt-BR" w:eastAsia="es-CO"/>
                <w14:ligatures w14:val="none"/>
              </w:rPr>
              <w:t>glutámico</w:t>
            </w:r>
            <w:proofErr w:type="spellEnd"/>
            <w:r w:rsidRPr="004567B2">
              <w:rPr>
                <w:rFonts w:ascii="Arial" w:eastAsia="Times New Roman" w:hAnsi="Arial" w:cs="Arial"/>
                <w:kern w:val="0"/>
                <w:lang w:val="pt-BR" w:eastAsia="es-CO"/>
                <w14:ligatures w14:val="none"/>
              </w:rPr>
              <w:t> oxalacética o </w:t>
            </w:r>
            <w:r w:rsidRPr="004567B2">
              <w:rPr>
                <w:rFonts w:ascii="Arial" w:eastAsia="Times New Roman" w:hAnsi="Arial" w:cs="Arial"/>
                <w:kern w:val="0"/>
                <w:lang w:val="pt-PT" w:eastAsia="es-CO"/>
                <w14:ligatures w14:val="none"/>
              </w:rPr>
              <w:t> </w:t>
            </w:r>
          </w:p>
          <w:p w14:paraId="0654DC2F"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val="pt-PT" w:eastAsia="es-CO"/>
                <w14:ligatures w14:val="none"/>
              </w:rPr>
            </w:pPr>
            <w:r w:rsidRPr="004567B2">
              <w:rPr>
                <w:rFonts w:ascii="Arial" w:eastAsia="Times New Roman" w:hAnsi="Arial" w:cs="Arial"/>
                <w:kern w:val="0"/>
                <w:lang w:val="pt-BR" w:eastAsia="es-CO"/>
                <w14:ligatures w14:val="none"/>
              </w:rPr>
              <w:t>Aspartato amino </w:t>
            </w:r>
            <w:proofErr w:type="spellStart"/>
            <w:r w:rsidRPr="004567B2">
              <w:rPr>
                <w:rFonts w:ascii="Arial" w:eastAsia="Times New Roman" w:hAnsi="Arial" w:cs="Arial"/>
                <w:kern w:val="0"/>
                <w:lang w:val="pt-BR" w:eastAsia="es-CO"/>
                <w14:ligatures w14:val="none"/>
              </w:rPr>
              <w:t>transferasa</w:t>
            </w:r>
            <w:proofErr w:type="spellEnd"/>
            <w:r w:rsidRPr="004567B2">
              <w:rPr>
                <w:rFonts w:ascii="Arial" w:eastAsia="Times New Roman" w:hAnsi="Arial" w:cs="Arial"/>
                <w:kern w:val="0"/>
                <w:lang w:val="pt-PT" w:eastAsia="es-CO"/>
                <w14:ligatures w14:val="none"/>
              </w:rPr>
              <w:t> </w:t>
            </w:r>
          </w:p>
        </w:tc>
        <w:tc>
          <w:tcPr>
            <w:tcW w:w="4680" w:type="dxa"/>
            <w:tcBorders>
              <w:top w:val="single" w:sz="6" w:space="0" w:color="000000"/>
              <w:left w:val="single" w:sz="6" w:space="0" w:color="000000"/>
              <w:bottom w:val="single" w:sz="6" w:space="0" w:color="000000"/>
              <w:right w:val="single" w:sz="6" w:space="0" w:color="000000"/>
            </w:tcBorders>
            <w:hideMark/>
          </w:tcPr>
          <w:p w14:paraId="008FA409"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Ayuno para la toma de muestra.   </w:t>
            </w:r>
          </w:p>
        </w:tc>
        <w:tc>
          <w:tcPr>
            <w:tcW w:w="1965" w:type="dxa"/>
            <w:tcBorders>
              <w:top w:val="single" w:sz="6" w:space="0" w:color="000000"/>
              <w:left w:val="single" w:sz="6" w:space="0" w:color="000000"/>
              <w:bottom w:val="single" w:sz="6" w:space="0" w:color="000000"/>
              <w:right w:val="single" w:sz="6" w:space="0" w:color="000000"/>
            </w:tcBorders>
            <w:hideMark/>
          </w:tcPr>
          <w:p w14:paraId="2194A02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día (tiempo de entrega) </w:t>
            </w:r>
          </w:p>
        </w:tc>
      </w:tr>
      <w:tr w:rsidR="004567B2" w:rsidRPr="004567B2" w14:paraId="4FA114C6"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2581823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TRANSAMINASA </w:t>
            </w:r>
            <w:proofErr w:type="spellStart"/>
            <w:r w:rsidRPr="004567B2">
              <w:rPr>
                <w:rFonts w:ascii="Arial" w:eastAsia="Times New Roman" w:hAnsi="Arial" w:cs="Arial"/>
                <w:kern w:val="0"/>
                <w:lang w:eastAsia="es-CO"/>
                <w14:ligatures w14:val="none"/>
              </w:rPr>
              <w:t>glutamicopiruvica</w:t>
            </w:r>
            <w:proofErr w:type="spellEnd"/>
            <w:r w:rsidRPr="004567B2">
              <w:rPr>
                <w:rFonts w:ascii="Arial" w:eastAsia="Times New Roman" w:hAnsi="Arial" w:cs="Arial"/>
                <w:kern w:val="0"/>
                <w:lang w:eastAsia="es-CO"/>
                <w14:ligatures w14:val="none"/>
              </w:rPr>
              <w:t> o </w:t>
            </w:r>
            <w:proofErr w:type="spellStart"/>
            <w:r w:rsidRPr="004567B2">
              <w:rPr>
                <w:rFonts w:ascii="Arial" w:eastAsia="Times New Roman" w:hAnsi="Arial" w:cs="Arial"/>
                <w:kern w:val="0"/>
                <w:lang w:eastAsia="es-CO"/>
                <w14:ligatures w14:val="none"/>
              </w:rPr>
              <w:t>alanino</w:t>
            </w:r>
            <w:proofErr w:type="spellEnd"/>
            <w:r w:rsidRPr="004567B2">
              <w:rPr>
                <w:rFonts w:ascii="Arial" w:eastAsia="Times New Roman" w:hAnsi="Arial" w:cs="Arial"/>
                <w:kern w:val="0"/>
                <w:lang w:eastAsia="es-CO"/>
                <w14:ligatures w14:val="none"/>
              </w:rPr>
              <w:t>  </w:t>
            </w:r>
          </w:p>
          <w:p w14:paraId="746D51E4"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proofErr w:type="gramStart"/>
            <w:r w:rsidRPr="004567B2">
              <w:rPr>
                <w:rFonts w:ascii="Arial" w:eastAsia="Times New Roman" w:hAnsi="Arial" w:cs="Arial"/>
                <w:kern w:val="0"/>
                <w:lang w:eastAsia="es-CO"/>
                <w14:ligatures w14:val="none"/>
              </w:rPr>
              <w:t>Amino transferasa</w:t>
            </w:r>
            <w:proofErr w:type="gramEnd"/>
            <w:r w:rsidRPr="004567B2">
              <w:rPr>
                <w:rFonts w:ascii="Arial" w:eastAsia="Times New Roman" w:hAnsi="Arial" w:cs="Arial"/>
                <w:kern w:val="0"/>
                <w:lang w:eastAsia="es-CO"/>
                <w14:ligatures w14:val="none"/>
              </w:rPr>
              <w:t> </w:t>
            </w:r>
          </w:p>
        </w:tc>
        <w:tc>
          <w:tcPr>
            <w:tcW w:w="4680" w:type="dxa"/>
            <w:tcBorders>
              <w:top w:val="single" w:sz="6" w:space="0" w:color="000000"/>
              <w:left w:val="single" w:sz="6" w:space="0" w:color="000000"/>
              <w:bottom w:val="single" w:sz="6" w:space="0" w:color="000000"/>
              <w:right w:val="single" w:sz="6" w:space="0" w:color="000000"/>
            </w:tcBorders>
            <w:hideMark/>
          </w:tcPr>
          <w:p w14:paraId="20EB96D5"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Ayuno para la toma de muestra. </w:t>
            </w:r>
          </w:p>
        </w:tc>
        <w:tc>
          <w:tcPr>
            <w:tcW w:w="1965" w:type="dxa"/>
            <w:tcBorders>
              <w:top w:val="single" w:sz="6" w:space="0" w:color="000000"/>
              <w:left w:val="single" w:sz="6" w:space="0" w:color="000000"/>
              <w:bottom w:val="single" w:sz="6" w:space="0" w:color="000000"/>
              <w:right w:val="single" w:sz="6" w:space="0" w:color="000000"/>
            </w:tcBorders>
            <w:hideMark/>
          </w:tcPr>
          <w:p w14:paraId="09063EBA"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día (tiempo de entrega) </w:t>
            </w:r>
          </w:p>
        </w:tc>
      </w:tr>
      <w:tr w:rsidR="004567B2" w:rsidRPr="004567B2" w14:paraId="419DA176" w14:textId="77777777">
        <w:trPr>
          <w:trHeight w:val="285"/>
        </w:trPr>
        <w:tc>
          <w:tcPr>
            <w:tcW w:w="2160" w:type="dxa"/>
            <w:tcBorders>
              <w:top w:val="single" w:sz="6" w:space="0" w:color="000000"/>
              <w:left w:val="single" w:sz="6" w:space="0" w:color="000000"/>
              <w:bottom w:val="single" w:sz="6" w:space="0" w:color="000000"/>
              <w:right w:val="single" w:sz="6" w:space="0" w:color="000000"/>
            </w:tcBorders>
            <w:hideMark/>
          </w:tcPr>
          <w:p w14:paraId="71A6DA66"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Glucosa en suero u otro fluido diferente a orina </w:t>
            </w:r>
          </w:p>
        </w:tc>
        <w:tc>
          <w:tcPr>
            <w:tcW w:w="4680" w:type="dxa"/>
            <w:tcBorders>
              <w:top w:val="single" w:sz="6" w:space="0" w:color="000000"/>
              <w:left w:val="single" w:sz="6" w:space="0" w:color="000000"/>
              <w:bottom w:val="single" w:sz="6" w:space="0" w:color="000000"/>
              <w:right w:val="single" w:sz="6" w:space="0" w:color="000000"/>
            </w:tcBorders>
            <w:hideMark/>
          </w:tcPr>
          <w:p w14:paraId="29157F88"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Ayuno para la toma de muestra. Ayuno estricto entre 10 y 12 horas. Dependiendo el caso puntual del paciente podría tomarse hasta con ayuno estricto máximo de 16 horas. </w:t>
            </w:r>
          </w:p>
        </w:tc>
        <w:tc>
          <w:tcPr>
            <w:tcW w:w="1965" w:type="dxa"/>
            <w:tcBorders>
              <w:top w:val="single" w:sz="6" w:space="0" w:color="000000"/>
              <w:left w:val="single" w:sz="6" w:space="0" w:color="000000"/>
              <w:bottom w:val="single" w:sz="6" w:space="0" w:color="000000"/>
              <w:right w:val="single" w:sz="6" w:space="0" w:color="000000"/>
            </w:tcBorders>
            <w:hideMark/>
          </w:tcPr>
          <w:p w14:paraId="38CA3D47" w14:textId="77777777" w:rsidR="004567B2" w:rsidRPr="004567B2" w:rsidRDefault="004567B2" w:rsidP="004567B2">
            <w:pPr>
              <w:spacing w:after="0" w:line="240" w:lineRule="auto"/>
              <w:jc w:val="both"/>
              <w:textAlignment w:val="baseline"/>
              <w:rPr>
                <w:rFonts w:ascii="Segoe UI" w:eastAsia="Times New Roman" w:hAnsi="Segoe UI" w:cs="Segoe UI"/>
                <w:kern w:val="0"/>
                <w:sz w:val="18"/>
                <w:szCs w:val="18"/>
                <w:lang w:eastAsia="es-CO"/>
                <w14:ligatures w14:val="none"/>
              </w:rPr>
            </w:pPr>
            <w:r w:rsidRPr="004567B2">
              <w:rPr>
                <w:rFonts w:ascii="Arial" w:eastAsia="Times New Roman" w:hAnsi="Arial" w:cs="Arial"/>
                <w:kern w:val="0"/>
                <w:lang w:eastAsia="es-CO"/>
                <w14:ligatures w14:val="none"/>
              </w:rPr>
              <w:t>1 día (tiempo de entrega) </w:t>
            </w:r>
          </w:p>
        </w:tc>
      </w:tr>
    </w:tbl>
    <w:p w14:paraId="018F18EC" w14:textId="77777777" w:rsidR="004567B2" w:rsidRDefault="004567B2" w:rsidP="25353256">
      <w:pPr>
        <w:spacing w:after="0" w:line="240" w:lineRule="auto"/>
        <w:ind w:left="720"/>
        <w:jc w:val="both"/>
        <w:rPr>
          <w:rFonts w:ascii="Verdana" w:eastAsia="Verdana" w:hAnsi="Verdana" w:cs="Verdana"/>
          <w:color w:val="000000" w:themeColor="text1"/>
        </w:rPr>
      </w:pPr>
    </w:p>
    <w:p w14:paraId="52CD1B89" w14:textId="77777777" w:rsidR="004567B2" w:rsidRDefault="004567B2" w:rsidP="25353256">
      <w:pPr>
        <w:spacing w:after="0" w:line="240" w:lineRule="auto"/>
        <w:ind w:left="720"/>
        <w:jc w:val="both"/>
        <w:rPr>
          <w:rFonts w:ascii="Verdana" w:eastAsia="Verdana" w:hAnsi="Verdana" w:cs="Verdana"/>
          <w:color w:val="000000" w:themeColor="text1"/>
        </w:rPr>
      </w:pPr>
    </w:p>
    <w:p w14:paraId="31B096C9" w14:textId="77777777" w:rsidR="004567B2" w:rsidRPr="004567B2" w:rsidRDefault="004567B2">
      <w:pPr>
        <w:numPr>
          <w:ilvl w:val="0"/>
          <w:numId w:val="6"/>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La cantidad de exámenes médicos de ingreso, egreso y periódicos relacionadas en el cuadro de especificaciones técnicas puede variar de acuerdo con los movimientos en la planta de personal es decir de acuerdo con ingresos y egresos. </w:t>
      </w:r>
    </w:p>
    <w:p w14:paraId="5E956FAA"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25E9B403" w14:textId="77777777" w:rsidR="004567B2" w:rsidRPr="004567B2" w:rsidRDefault="004567B2">
      <w:pPr>
        <w:numPr>
          <w:ilvl w:val="0"/>
          <w:numId w:val="7"/>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lastRenderedPageBreak/>
        <w:t>La jornada extramural en las instalaciones de la entidad ubicada en la Av. Cra 50 No 26-55 Int.2 CAN, será ejecutada para la realización de exámenes médicos ocupacionales periódicos, en la cual se llevarán a cabo audiometría, visiometría y examen médico periódico con énfasis osteomuscular a todos los funcionarios que se encuentren activos y que hayan ingresado hasta el año inmediatamente anterior, ésta será realizada como mínimo durante cinco (5) días, para cubrir la totalidad de los exámenes periódicos.  También se realizará toma previa de muestras de laboratorio (debe realizarse previamente de tal manera que cuando se genere la consulta médica ya se cuente con los resultados de los exámenes) y espirometría a los funcionarios descritos en el profesiograma.  </w:t>
      </w:r>
    </w:p>
    <w:p w14:paraId="11AB961C"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EAA5A6E" w14:textId="77777777" w:rsidR="004567B2" w:rsidRPr="004567B2" w:rsidRDefault="004567B2">
      <w:pPr>
        <w:numPr>
          <w:ilvl w:val="0"/>
          <w:numId w:val="8"/>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Instituto Nacional de metrología se reserva el derecho de realizar los exámenes ocupacionales periódicos en sus instalaciones, es decir, la ejecución de la jornada extramural, de acuerdo con las necesidades y dinámica de la entidad. </w:t>
      </w:r>
    </w:p>
    <w:p w14:paraId="685C18E2"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303377BC" w14:textId="77777777" w:rsidR="004567B2" w:rsidRPr="004567B2" w:rsidRDefault="004567B2">
      <w:pPr>
        <w:numPr>
          <w:ilvl w:val="0"/>
          <w:numId w:val="9"/>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Los exámenes médicos ocupacionales de ingreso, egreso, periódicos y reintegro serán ejecutados de acuerdo con el A-04-F-031 profesiograma del INM y deben ser realizados por profesionales de la salud con especialización en Seguridad y salud en el trabajo y licencia de SST vigente. </w:t>
      </w:r>
    </w:p>
    <w:p w14:paraId="418534C6"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2E4662BA" w14:textId="77777777" w:rsidR="004567B2" w:rsidRPr="004567B2" w:rsidRDefault="004567B2">
      <w:pPr>
        <w:numPr>
          <w:ilvl w:val="0"/>
          <w:numId w:val="10"/>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Las inspecciones de puesto de trabajo serán ejecutadas cuando la EPS del trabajador o las juntas de calificación lo soliciten al Instituto Nacional de Metrología. </w:t>
      </w:r>
    </w:p>
    <w:p w14:paraId="5D464865"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6C5427D3" w14:textId="77777777" w:rsidR="004567B2" w:rsidRPr="004567B2" w:rsidRDefault="004567B2">
      <w:pPr>
        <w:numPr>
          <w:ilvl w:val="0"/>
          <w:numId w:val="11"/>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Realización de inspección de puesto de trabajo con énfasis psicosocial para calificación de enfermedad de origen será realizada por un psicólogo con especialización en Seguridad y salud en el trabajo y licencia de SST vigente. </w:t>
      </w:r>
    </w:p>
    <w:p w14:paraId="7388C163"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606FD6FE" w14:textId="77777777" w:rsidR="004567B2" w:rsidRPr="004567B2" w:rsidRDefault="004567B2">
      <w:pPr>
        <w:numPr>
          <w:ilvl w:val="0"/>
          <w:numId w:val="12"/>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La ejecución de inspección de puesto de trabajo con énfasis osteomuscular para calificación de enfermedad de origen será realizada por un fisioterapeuta con especialización en Seguridad y salud en el trabajo y licencia de SST vigente. </w:t>
      </w:r>
    </w:p>
    <w:p w14:paraId="3D97BAFF"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00ED919F" w14:textId="77777777" w:rsidR="004567B2" w:rsidRPr="004567B2" w:rsidRDefault="004567B2">
      <w:pPr>
        <w:numPr>
          <w:ilvl w:val="0"/>
          <w:numId w:val="13"/>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xml:space="preserve">El proponente para la prestación del servicio en la jornada extramural en las instalaciones del INM deberá disponer de los recursos y equipos necesarios, cumpliendo con las normas sanitarias vigentes para la toma de las muestras de laboratorio y la realización de los exámenes en general. El proponente deberá acreditar mediante la suscripción de la carta de presentación de la propuesta que dispone del personal, los </w:t>
      </w:r>
      <w:r w:rsidRPr="004567B2">
        <w:rPr>
          <w:rFonts w:ascii="Verdana" w:eastAsia="Verdana" w:hAnsi="Verdana" w:cs="Verdana"/>
          <w:color w:val="000000" w:themeColor="text1"/>
        </w:rPr>
        <w:lastRenderedPageBreak/>
        <w:t>equipos y en general con los recursos para el cumplimiento de sus obligaciones. </w:t>
      </w:r>
    </w:p>
    <w:p w14:paraId="34F83117"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30801F44" w14:textId="77777777" w:rsidR="004567B2" w:rsidRDefault="004567B2">
      <w:pPr>
        <w:numPr>
          <w:ilvl w:val="0"/>
          <w:numId w:val="14"/>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Los servicios anteriormente descritos hacen parte integral de la propuesta económica y por ninguna circunstancia el INM reconocerá valores adicionales por conceptos de desplazamientos, infraestructura logística, administrativa y técnica para el desarrollo y ejecución de las actividades extramurales incluidas dentro del contrato. </w:t>
      </w:r>
    </w:p>
    <w:p w14:paraId="4159DF16" w14:textId="77777777" w:rsidR="004567B2" w:rsidRDefault="004567B2" w:rsidP="004567B2">
      <w:pPr>
        <w:spacing w:after="0" w:line="240" w:lineRule="auto"/>
        <w:ind w:left="720"/>
        <w:jc w:val="both"/>
        <w:rPr>
          <w:rFonts w:ascii="Verdana" w:eastAsia="Verdana" w:hAnsi="Verdana" w:cs="Verdana"/>
          <w:color w:val="000000" w:themeColor="text1"/>
        </w:rPr>
      </w:pPr>
    </w:p>
    <w:p w14:paraId="3D7D4614"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b/>
          <w:bCs/>
          <w:color w:val="000000" w:themeColor="text1"/>
        </w:rPr>
        <w:t>ESPECIFICACIONES TÉCNICAS ADICIONALES:</w:t>
      </w:r>
      <w:r w:rsidRPr="004567B2">
        <w:rPr>
          <w:rFonts w:ascii="Verdana" w:eastAsia="Verdana" w:hAnsi="Verdana" w:cs="Verdana"/>
          <w:color w:val="000000" w:themeColor="text1"/>
        </w:rPr>
        <w:t> </w:t>
      </w:r>
    </w:p>
    <w:p w14:paraId="09F63D71"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469FD92A"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D5AF42D" w14:textId="77777777" w:rsidR="004567B2" w:rsidRPr="004567B2" w:rsidRDefault="004567B2">
      <w:pPr>
        <w:numPr>
          <w:ilvl w:val="0"/>
          <w:numId w:val="15"/>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servicio de la realización de los diferentes exámenes requeridos por la Entidad, deberá́ ser prestada por una persona natural o Jurídica, consorcio o unión temporal, cuyo objeto social incluya la actividad o servicio que se pretende adquirir y con habilitación para la prestación de servicios de salud. </w:t>
      </w:r>
    </w:p>
    <w:p w14:paraId="25564CF9"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AD3B236" w14:textId="77777777" w:rsidR="004567B2" w:rsidRPr="004567B2" w:rsidRDefault="004567B2">
      <w:pPr>
        <w:numPr>
          <w:ilvl w:val="0"/>
          <w:numId w:val="16"/>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Proveedor debe contar con un equipo médico interdisciplinario conformado por médico especialista en medicina del trabajo o seguridad y salud en el trabajo, con licencia vigente en seguridad y salud en el trabajo. También se debe contar con optómetra, fonoaudiólogo, psicólogo y personal habilitado para efectuar los exámenes paraclínicos correspondientes, con sus respectivas licencias vigentes. </w:t>
      </w:r>
    </w:p>
    <w:p w14:paraId="2668C5F1"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1C7E8000" w14:textId="77777777" w:rsidR="004567B2" w:rsidRPr="004567B2" w:rsidRDefault="004567B2">
      <w:pPr>
        <w:numPr>
          <w:ilvl w:val="0"/>
          <w:numId w:val="17"/>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proveedor deberá́ prestar los servicios con equipos técnicos en óptimas condiciones, para lo cual la entidad podrá́ cuando lo considere necesario solicitar la revisión de los equipos utilizados en el servicio objeto del contrato.  </w:t>
      </w:r>
    </w:p>
    <w:p w14:paraId="3C01447C"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17AD23A3" w14:textId="77777777" w:rsidR="004567B2" w:rsidRPr="004567B2" w:rsidRDefault="004567B2">
      <w:pPr>
        <w:numPr>
          <w:ilvl w:val="0"/>
          <w:numId w:val="18"/>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Para la realización de las valoraciones médicas ocupacionales, el contratista deberá́ contar con disponibilidad para la atención del servidor dentro del término máximo de un (1) día calendario después del requerimiento realizado por el supervisor del contrato. </w:t>
      </w:r>
    </w:p>
    <w:p w14:paraId="683CEED7"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04A3AB04" w14:textId="77777777" w:rsidR="004567B2" w:rsidRPr="004567B2" w:rsidRDefault="004567B2">
      <w:pPr>
        <w:numPr>
          <w:ilvl w:val="0"/>
          <w:numId w:val="19"/>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De toda evaluación médica ocupacional se generará el certificado médico de aptitud individual por escrito y en medio magnético, y en él se indicarán las recomendaciones para que pueda desempeñar la labor;́ así mismo, recomendaciones generales encaminadas a la adquisición de hábitos de vida saludable y controles médicos.  </w:t>
      </w:r>
    </w:p>
    <w:p w14:paraId="15E46410"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5DF88B6" w14:textId="77777777" w:rsidR="004567B2" w:rsidRPr="004567B2" w:rsidRDefault="004567B2">
      <w:pPr>
        <w:numPr>
          <w:ilvl w:val="0"/>
          <w:numId w:val="20"/>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xml:space="preserve">El certificado médico debe ser enviado al responsable del Sistema de Gestión de Seguridad y Salud en el Trabajo del INM, al terminar la </w:t>
      </w:r>
      <w:r w:rsidRPr="004567B2">
        <w:rPr>
          <w:rFonts w:ascii="Verdana" w:eastAsia="Verdana" w:hAnsi="Verdana" w:cs="Verdana"/>
          <w:color w:val="000000" w:themeColor="text1"/>
        </w:rPr>
        <w:lastRenderedPageBreak/>
        <w:t>consulta, para ser archivado en la hoja de vida del servidor, verificando que no contenga apartados de la historia clínica.  </w:t>
      </w:r>
    </w:p>
    <w:p w14:paraId="1B8C9239" w14:textId="77777777" w:rsidR="004567B2" w:rsidRPr="004567B2" w:rsidRDefault="004567B2">
      <w:pPr>
        <w:numPr>
          <w:ilvl w:val="0"/>
          <w:numId w:val="21"/>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Acorde con lo establecido por el parágrafo del artículo 18 de la Resolución No. 1843 de 2025, al momento de realizar las pruebas o valoraciones complementarias deberá́ entregarse documento denominado consentimiento informado, para ser diligenciado por parte del trabajador.  </w:t>
      </w:r>
    </w:p>
    <w:p w14:paraId="7AD261F4"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404D841" w14:textId="77777777" w:rsidR="004567B2" w:rsidRPr="004567B2" w:rsidRDefault="004567B2">
      <w:pPr>
        <w:numPr>
          <w:ilvl w:val="0"/>
          <w:numId w:val="22"/>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proveedor está obligado a dar cumplimiento a al capítulo V de la Resolución 1843 de 2025 en lo concerniente a la “historia clínica ocupacional”. </w:t>
      </w:r>
    </w:p>
    <w:p w14:paraId="78E93750"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25FBE217" w14:textId="77777777" w:rsidR="004567B2" w:rsidRPr="004567B2" w:rsidRDefault="004567B2">
      <w:pPr>
        <w:numPr>
          <w:ilvl w:val="0"/>
          <w:numId w:val="23"/>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El proveedor entregara el “diagnóstico de condiciones de salud población trabajadora” de acuerdo con los exámenes médicos ocupacionales periódicos y de ingreso realizados en la vigencia, dando cumplimiento al artículo 20 de la Resolución 1843 de 2025. </w:t>
      </w:r>
    </w:p>
    <w:p w14:paraId="4B1D40BB"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3C491E80" w14:textId="77777777" w:rsidR="004567B2" w:rsidRPr="004567B2" w:rsidRDefault="004567B2">
      <w:pPr>
        <w:numPr>
          <w:ilvl w:val="0"/>
          <w:numId w:val="24"/>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Remitir el Registro Especial de Prestadores de Servicios de Salud (REPS), tal como lo define la normatividad legal vigente aplicable.  </w:t>
      </w:r>
    </w:p>
    <w:p w14:paraId="5C23E2CC"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67C0A531" w14:textId="77777777" w:rsidR="004567B2" w:rsidRPr="004567B2" w:rsidRDefault="004567B2">
      <w:pPr>
        <w:numPr>
          <w:ilvl w:val="0"/>
          <w:numId w:val="25"/>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Presentar copia de la licencia para la prestación de servicios de Seguridad y Salud en el Trabajo con personería jurídica, no mayor a 10 años de expedición.  </w:t>
      </w:r>
    </w:p>
    <w:p w14:paraId="648E3705"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3EE19C13" w14:textId="77777777" w:rsidR="004567B2" w:rsidRPr="004567B2" w:rsidRDefault="004567B2">
      <w:pPr>
        <w:numPr>
          <w:ilvl w:val="0"/>
          <w:numId w:val="26"/>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Contar con sede en la ciudad de Bogotá para la realización de las valoraciones médicas ocupacionales. </w:t>
      </w:r>
    </w:p>
    <w:p w14:paraId="702D55E6" w14:textId="77777777" w:rsidR="004567B2" w:rsidRPr="004567B2" w:rsidRDefault="004567B2" w:rsidP="004567B2">
      <w:p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16453FF5" w14:textId="77777777" w:rsidR="004567B2" w:rsidRPr="004567B2" w:rsidRDefault="004567B2">
      <w:pPr>
        <w:numPr>
          <w:ilvl w:val="0"/>
          <w:numId w:val="27"/>
        </w:numPr>
        <w:spacing w:after="0" w:line="240" w:lineRule="auto"/>
        <w:jc w:val="both"/>
        <w:rPr>
          <w:rFonts w:ascii="Verdana" w:eastAsia="Verdana" w:hAnsi="Verdana" w:cs="Verdana"/>
          <w:color w:val="000000" w:themeColor="text1"/>
        </w:rPr>
      </w:pPr>
      <w:r w:rsidRPr="004567B2">
        <w:rPr>
          <w:rFonts w:ascii="Verdana" w:eastAsia="Verdana" w:hAnsi="Verdana" w:cs="Verdana"/>
          <w:color w:val="000000" w:themeColor="text1"/>
        </w:rPr>
        <w:t>Presentar hoja de vida del personal solicitado, con los soportes que acrediten las condiciones de estudio y licencias vigentes en seguridad y salud en el trabajo. </w:t>
      </w:r>
    </w:p>
    <w:p w14:paraId="2D3408B4" w14:textId="77777777" w:rsidR="004567B2" w:rsidRPr="004567B2" w:rsidRDefault="004567B2" w:rsidP="004567B2">
      <w:pPr>
        <w:spacing w:after="0" w:line="240" w:lineRule="auto"/>
        <w:jc w:val="both"/>
        <w:rPr>
          <w:rFonts w:ascii="Verdana" w:eastAsia="Verdana" w:hAnsi="Verdana" w:cs="Verdana"/>
          <w:color w:val="000000" w:themeColor="text1"/>
        </w:rPr>
      </w:pPr>
    </w:p>
    <w:p w14:paraId="5F197E5E"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Atentamente, </w:t>
      </w:r>
    </w:p>
    <w:p w14:paraId="7011BB28"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p w14:paraId="7345D3A8"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 </w:t>
      </w:r>
    </w:p>
    <w:tbl>
      <w:tblPr>
        <w:tblW w:w="0"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0"/>
      </w:tblGrid>
      <w:tr w:rsidR="004567B2" w:rsidRPr="004567B2" w14:paraId="1BCEEF7B"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58D5C40C"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Nombre:</w:t>
            </w:r>
            <w:r w:rsidRPr="004567B2">
              <w:rPr>
                <w:rFonts w:ascii="Verdana" w:eastAsia="Verdana" w:hAnsi="Verdana" w:cs="Verdana"/>
                <w:color w:val="000000" w:themeColor="text1"/>
              </w:rPr>
              <w:tab/>
            </w:r>
            <w:r w:rsidRPr="004567B2">
              <w:rPr>
                <w:rFonts w:ascii="Verdana" w:eastAsia="Verdana" w:hAnsi="Verdana" w:cs="Verdana"/>
                <w:color w:val="000000" w:themeColor="text1"/>
              </w:rPr>
              <w:tab/>
              <w:t> </w:t>
            </w:r>
          </w:p>
        </w:tc>
      </w:tr>
      <w:tr w:rsidR="004567B2" w:rsidRPr="004567B2" w14:paraId="037FFEDF"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6CC60378" w14:textId="77777777" w:rsidR="004567B2" w:rsidRPr="004567B2" w:rsidRDefault="004567B2" w:rsidP="004567B2">
            <w:pPr>
              <w:spacing w:after="0" w:line="240" w:lineRule="auto"/>
              <w:ind w:left="720"/>
              <w:jc w:val="both"/>
              <w:rPr>
                <w:rFonts w:ascii="Verdana" w:eastAsia="Verdana" w:hAnsi="Verdana" w:cs="Verdana"/>
                <w:color w:val="000000" w:themeColor="text1"/>
              </w:rPr>
            </w:pPr>
            <w:proofErr w:type="spellStart"/>
            <w:r w:rsidRPr="004567B2">
              <w:rPr>
                <w:rFonts w:ascii="Verdana" w:eastAsia="Verdana" w:hAnsi="Verdana" w:cs="Verdana"/>
                <w:color w:val="000000" w:themeColor="text1"/>
              </w:rPr>
              <w:t>Nit</w:t>
            </w:r>
            <w:proofErr w:type="spellEnd"/>
            <w:r w:rsidRPr="004567B2">
              <w:rPr>
                <w:rFonts w:ascii="Verdana" w:eastAsia="Verdana" w:hAnsi="Verdana" w:cs="Verdana"/>
                <w:color w:val="000000" w:themeColor="text1"/>
              </w:rPr>
              <w:t> o C.C:</w:t>
            </w:r>
            <w:r w:rsidRPr="004567B2">
              <w:rPr>
                <w:rFonts w:ascii="Verdana" w:eastAsia="Verdana" w:hAnsi="Verdana" w:cs="Verdana"/>
                <w:color w:val="000000" w:themeColor="text1"/>
              </w:rPr>
              <w:tab/>
              <w:t> </w:t>
            </w:r>
          </w:p>
        </w:tc>
      </w:tr>
      <w:tr w:rsidR="004567B2" w:rsidRPr="004567B2" w14:paraId="1050C401"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60615041"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Dirección:</w:t>
            </w:r>
            <w:r w:rsidRPr="004567B2">
              <w:rPr>
                <w:rFonts w:ascii="Verdana" w:eastAsia="Verdana" w:hAnsi="Verdana" w:cs="Verdana"/>
                <w:color w:val="000000" w:themeColor="text1"/>
              </w:rPr>
              <w:tab/>
            </w:r>
            <w:r w:rsidRPr="004567B2">
              <w:rPr>
                <w:rFonts w:ascii="Verdana" w:eastAsia="Verdana" w:hAnsi="Verdana" w:cs="Verdana"/>
                <w:color w:val="000000" w:themeColor="text1"/>
              </w:rPr>
              <w:tab/>
              <w:t> </w:t>
            </w:r>
          </w:p>
        </w:tc>
      </w:tr>
      <w:tr w:rsidR="004567B2" w:rsidRPr="004567B2" w14:paraId="0320434C"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057C0D8B"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Teléfono:</w:t>
            </w:r>
            <w:r w:rsidRPr="004567B2">
              <w:rPr>
                <w:rFonts w:ascii="Verdana" w:eastAsia="Verdana" w:hAnsi="Verdana" w:cs="Verdana"/>
                <w:color w:val="000000" w:themeColor="text1"/>
              </w:rPr>
              <w:tab/>
            </w:r>
            <w:r w:rsidRPr="004567B2">
              <w:rPr>
                <w:rFonts w:ascii="Verdana" w:eastAsia="Verdana" w:hAnsi="Verdana" w:cs="Verdana"/>
                <w:color w:val="000000" w:themeColor="text1"/>
              </w:rPr>
              <w:tab/>
              <w:t>  </w:t>
            </w:r>
          </w:p>
        </w:tc>
      </w:tr>
      <w:tr w:rsidR="004567B2" w:rsidRPr="004567B2" w14:paraId="4B6D37FE"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07C27E20"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Correo electrónico  </w:t>
            </w:r>
          </w:p>
        </w:tc>
      </w:tr>
      <w:tr w:rsidR="004567B2" w:rsidRPr="004567B2" w14:paraId="6C59B9B4" w14:textId="77777777">
        <w:trPr>
          <w:trHeight w:val="285"/>
        </w:trPr>
        <w:tc>
          <w:tcPr>
            <w:tcW w:w="8460" w:type="dxa"/>
            <w:tcBorders>
              <w:top w:val="single" w:sz="6" w:space="0" w:color="auto"/>
              <w:left w:val="single" w:sz="6" w:space="0" w:color="auto"/>
              <w:bottom w:val="single" w:sz="6" w:space="0" w:color="auto"/>
              <w:right w:val="single" w:sz="6" w:space="0" w:color="auto"/>
            </w:tcBorders>
            <w:hideMark/>
          </w:tcPr>
          <w:p w14:paraId="3809D5BE" w14:textId="77777777" w:rsidR="004567B2" w:rsidRPr="004567B2" w:rsidRDefault="004567B2" w:rsidP="004567B2">
            <w:pPr>
              <w:spacing w:after="0" w:line="240" w:lineRule="auto"/>
              <w:ind w:left="720"/>
              <w:jc w:val="both"/>
              <w:rPr>
                <w:rFonts w:ascii="Verdana" w:eastAsia="Verdana" w:hAnsi="Verdana" w:cs="Verdana"/>
                <w:color w:val="000000" w:themeColor="text1"/>
              </w:rPr>
            </w:pPr>
            <w:r w:rsidRPr="004567B2">
              <w:rPr>
                <w:rFonts w:ascii="Verdana" w:eastAsia="Verdana" w:hAnsi="Verdana" w:cs="Verdana"/>
                <w:color w:val="000000" w:themeColor="text1"/>
              </w:rPr>
              <w:t>Ciudad:</w:t>
            </w:r>
            <w:r w:rsidRPr="004567B2">
              <w:rPr>
                <w:rFonts w:ascii="Verdana" w:eastAsia="Verdana" w:hAnsi="Verdana" w:cs="Verdana"/>
                <w:color w:val="000000" w:themeColor="text1"/>
              </w:rPr>
              <w:tab/>
            </w:r>
            <w:r w:rsidRPr="004567B2">
              <w:rPr>
                <w:rFonts w:ascii="Verdana" w:eastAsia="Verdana" w:hAnsi="Verdana" w:cs="Verdana"/>
                <w:color w:val="000000" w:themeColor="text1"/>
              </w:rPr>
              <w:tab/>
              <w:t> </w:t>
            </w:r>
          </w:p>
        </w:tc>
      </w:tr>
    </w:tbl>
    <w:p w14:paraId="7E72F00C" w14:textId="77777777" w:rsidR="004567B2" w:rsidRDefault="004567B2" w:rsidP="25353256">
      <w:pPr>
        <w:spacing w:after="0" w:line="240" w:lineRule="auto"/>
        <w:ind w:left="720"/>
        <w:jc w:val="both"/>
        <w:rPr>
          <w:rFonts w:ascii="Verdana" w:eastAsia="Verdana" w:hAnsi="Verdana" w:cs="Verdana"/>
          <w:color w:val="000000" w:themeColor="text1"/>
        </w:rPr>
      </w:pPr>
    </w:p>
    <w:sectPr w:rsidR="004567B2" w:rsidSect="00D30E89">
      <w:headerReference w:type="default" r:id="rId10"/>
      <w:footerReference w:type="default" r:id="rId11"/>
      <w:pgSz w:w="12240" w:h="15840" w:code="1"/>
      <w:pgMar w:top="1418" w:right="1701" w:bottom="1418"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AF3D3" w14:textId="77777777" w:rsidR="00F9021A" w:rsidRDefault="00F9021A" w:rsidP="006A6192">
      <w:pPr>
        <w:spacing w:after="0" w:line="240" w:lineRule="auto"/>
      </w:pPr>
      <w:r>
        <w:separator/>
      </w:r>
    </w:p>
  </w:endnote>
  <w:endnote w:type="continuationSeparator" w:id="0">
    <w:p w14:paraId="462922EB" w14:textId="77777777" w:rsidR="00F9021A" w:rsidRDefault="00F9021A" w:rsidP="006A6192">
      <w:pPr>
        <w:spacing w:after="0" w:line="240" w:lineRule="auto"/>
      </w:pPr>
      <w:r>
        <w:continuationSeparator/>
      </w:r>
    </w:p>
  </w:endnote>
  <w:endnote w:type="continuationNotice" w:id="1">
    <w:p w14:paraId="6F20B7AD" w14:textId="77777777" w:rsidR="00F9021A" w:rsidRDefault="00F902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20"/>
      </w:rPr>
      <w:id w:val="-1923405622"/>
      <w:docPartObj>
        <w:docPartGallery w:val="Page Numbers (Bottom of Page)"/>
        <w:docPartUnique/>
      </w:docPartObj>
    </w:sdtPr>
    <w:sdtContent>
      <w:sdt>
        <w:sdtPr>
          <w:rPr>
            <w:rFonts w:ascii="Verdana" w:hAnsi="Verdana"/>
            <w:sz w:val="20"/>
            <w:szCs w:val="20"/>
          </w:rPr>
          <w:id w:val="-1769616900"/>
          <w:docPartObj>
            <w:docPartGallery w:val="Page Numbers (Top of Page)"/>
            <w:docPartUnique/>
          </w:docPartObj>
        </w:sdtPr>
        <w:sdtContent>
          <w:p w14:paraId="3A7B1E52" w14:textId="77777777" w:rsidR="00AE1CC1" w:rsidRDefault="00AE1CC1">
            <w:pPr>
              <w:pStyle w:val="Piedepgina"/>
              <w:jc w:val="right"/>
              <w:rPr>
                <w:rFonts w:ascii="Verdana" w:hAnsi="Verdana"/>
                <w:sz w:val="20"/>
                <w:szCs w:val="20"/>
              </w:rPr>
            </w:pPr>
          </w:p>
          <w:p w14:paraId="15FDD80F" w14:textId="3DDBA331" w:rsidR="00A80029" w:rsidRPr="00DD5A71" w:rsidRDefault="00A80029">
            <w:pPr>
              <w:pStyle w:val="Piedepgina"/>
              <w:jc w:val="right"/>
              <w:rPr>
                <w:rFonts w:ascii="Verdana" w:hAnsi="Verdana"/>
                <w:sz w:val="20"/>
                <w:szCs w:val="20"/>
                <w:lang w:val="pt-PT"/>
              </w:rPr>
            </w:pPr>
            <w:r w:rsidRPr="00DD5A71">
              <w:rPr>
                <w:rFonts w:ascii="Verdana" w:hAnsi="Verdana"/>
                <w:sz w:val="20"/>
                <w:szCs w:val="20"/>
                <w:lang w:val="pt-PT"/>
              </w:rPr>
              <w:t xml:space="preserve">Código </w:t>
            </w:r>
            <w:r w:rsidR="007F4621">
              <w:rPr>
                <w:rFonts w:ascii="Verdana" w:hAnsi="Verdana"/>
                <w:sz w:val="20"/>
                <w:szCs w:val="20"/>
                <w:lang w:val="pt-PT"/>
              </w:rPr>
              <w:t>A</w:t>
            </w:r>
            <w:r w:rsidRPr="00DD5A71">
              <w:rPr>
                <w:rFonts w:ascii="Verdana" w:hAnsi="Verdana"/>
                <w:sz w:val="20"/>
                <w:szCs w:val="20"/>
                <w:lang w:val="pt-PT"/>
              </w:rPr>
              <w:t>-0</w:t>
            </w:r>
            <w:r w:rsidR="007F4621">
              <w:rPr>
                <w:rFonts w:ascii="Verdana" w:hAnsi="Verdana"/>
                <w:sz w:val="20"/>
                <w:szCs w:val="20"/>
                <w:lang w:val="pt-PT"/>
              </w:rPr>
              <w:t>7</w:t>
            </w:r>
            <w:r w:rsidRPr="00DD5A71">
              <w:rPr>
                <w:rFonts w:ascii="Verdana" w:hAnsi="Verdana"/>
                <w:sz w:val="20"/>
                <w:szCs w:val="20"/>
                <w:lang w:val="pt-PT"/>
              </w:rPr>
              <w:t>-F-</w:t>
            </w:r>
            <w:r w:rsidR="007F4621">
              <w:rPr>
                <w:rFonts w:ascii="Verdana" w:hAnsi="Verdana"/>
                <w:sz w:val="20"/>
                <w:szCs w:val="20"/>
                <w:lang w:val="pt-PT"/>
              </w:rPr>
              <w:t>0</w:t>
            </w:r>
            <w:r w:rsidR="007039B9">
              <w:rPr>
                <w:rFonts w:ascii="Verdana" w:hAnsi="Verdana"/>
                <w:sz w:val="20"/>
                <w:szCs w:val="20"/>
                <w:lang w:val="pt-PT"/>
              </w:rPr>
              <w:t>16</w:t>
            </w:r>
          </w:p>
          <w:p w14:paraId="53B3FA5A" w14:textId="1607FF8E" w:rsidR="00F42AB9" w:rsidRPr="00DD5A71" w:rsidRDefault="00F42AB9">
            <w:pPr>
              <w:pStyle w:val="Piedepgina"/>
              <w:jc w:val="right"/>
              <w:rPr>
                <w:rFonts w:ascii="Verdana" w:hAnsi="Verdana"/>
                <w:sz w:val="20"/>
                <w:szCs w:val="20"/>
                <w:lang w:val="pt-PT"/>
              </w:rPr>
            </w:pPr>
            <w:proofErr w:type="spellStart"/>
            <w:r w:rsidRPr="00DD5A71">
              <w:rPr>
                <w:rFonts w:ascii="Verdana" w:hAnsi="Verdana"/>
                <w:sz w:val="20"/>
                <w:szCs w:val="20"/>
                <w:lang w:val="pt-PT"/>
              </w:rPr>
              <w:t>Versión</w:t>
            </w:r>
            <w:proofErr w:type="spellEnd"/>
            <w:r w:rsidRPr="00DD5A71">
              <w:rPr>
                <w:rFonts w:ascii="Verdana" w:hAnsi="Verdana"/>
                <w:sz w:val="20"/>
                <w:szCs w:val="20"/>
                <w:lang w:val="pt-PT"/>
              </w:rPr>
              <w:t xml:space="preserve"> </w:t>
            </w:r>
            <w:r w:rsidR="003E3408">
              <w:rPr>
                <w:rFonts w:ascii="Verdana" w:hAnsi="Verdana"/>
                <w:sz w:val="20"/>
                <w:szCs w:val="20"/>
                <w:lang w:val="pt-PT"/>
              </w:rPr>
              <w:t>3</w:t>
            </w:r>
          </w:p>
          <w:p w14:paraId="5DC066D9" w14:textId="44742781" w:rsidR="008E50A9" w:rsidRPr="00571698" w:rsidRDefault="008E50A9" w:rsidP="00571698">
            <w:pPr>
              <w:pStyle w:val="Piedepgina"/>
              <w:jc w:val="right"/>
              <w:rPr>
                <w:rFonts w:ascii="Verdana" w:hAnsi="Verdana"/>
                <w:sz w:val="20"/>
                <w:szCs w:val="20"/>
              </w:rPr>
            </w:pPr>
            <w:r w:rsidRPr="00DD5A71">
              <w:rPr>
                <w:rFonts w:ascii="Verdana" w:hAnsi="Verdana"/>
                <w:sz w:val="20"/>
                <w:szCs w:val="20"/>
                <w:lang w:val="es-ES"/>
              </w:rPr>
              <w:t xml:space="preserve">Página </w:t>
            </w:r>
            <w:r w:rsidRPr="00DD5A71">
              <w:rPr>
                <w:rFonts w:ascii="Verdana" w:hAnsi="Verdana"/>
                <w:b/>
                <w:bCs/>
                <w:sz w:val="20"/>
                <w:szCs w:val="20"/>
              </w:rPr>
              <w:fldChar w:fldCharType="begin"/>
            </w:r>
            <w:r w:rsidRPr="00DD5A71">
              <w:rPr>
                <w:rFonts w:ascii="Verdana" w:hAnsi="Verdana"/>
                <w:b/>
                <w:bCs/>
                <w:sz w:val="20"/>
                <w:szCs w:val="20"/>
              </w:rPr>
              <w:instrText>PAGE</w:instrText>
            </w:r>
            <w:r w:rsidRPr="00DD5A71">
              <w:rPr>
                <w:rFonts w:ascii="Verdana" w:hAnsi="Verdana"/>
                <w:b/>
                <w:bCs/>
                <w:sz w:val="20"/>
                <w:szCs w:val="20"/>
              </w:rPr>
              <w:fldChar w:fldCharType="separate"/>
            </w:r>
            <w:r w:rsidR="00391436">
              <w:rPr>
                <w:rFonts w:ascii="Verdana" w:hAnsi="Verdana"/>
                <w:b/>
                <w:bCs/>
                <w:noProof/>
                <w:sz w:val="20"/>
                <w:szCs w:val="20"/>
              </w:rPr>
              <w:t>21</w:t>
            </w:r>
            <w:r w:rsidRPr="00DD5A71">
              <w:rPr>
                <w:rFonts w:ascii="Verdana" w:hAnsi="Verdana"/>
                <w:b/>
                <w:bCs/>
                <w:sz w:val="20"/>
                <w:szCs w:val="20"/>
              </w:rPr>
              <w:fldChar w:fldCharType="end"/>
            </w:r>
            <w:r w:rsidRPr="00DD5A71">
              <w:rPr>
                <w:rFonts w:ascii="Verdana" w:hAnsi="Verdana"/>
                <w:sz w:val="20"/>
                <w:szCs w:val="20"/>
                <w:lang w:val="es-ES"/>
              </w:rPr>
              <w:t xml:space="preserve"> de </w:t>
            </w:r>
            <w:r w:rsidRPr="00DD5A71">
              <w:rPr>
                <w:rFonts w:ascii="Verdana" w:hAnsi="Verdana"/>
                <w:b/>
                <w:bCs/>
                <w:sz w:val="20"/>
                <w:szCs w:val="20"/>
              </w:rPr>
              <w:fldChar w:fldCharType="begin"/>
            </w:r>
            <w:r w:rsidRPr="00DD5A71">
              <w:rPr>
                <w:rFonts w:ascii="Verdana" w:hAnsi="Verdana"/>
                <w:b/>
                <w:bCs/>
                <w:sz w:val="20"/>
                <w:szCs w:val="20"/>
              </w:rPr>
              <w:instrText>NUMPAGES</w:instrText>
            </w:r>
            <w:r w:rsidRPr="00DD5A71">
              <w:rPr>
                <w:rFonts w:ascii="Verdana" w:hAnsi="Verdana"/>
                <w:b/>
                <w:bCs/>
                <w:sz w:val="20"/>
                <w:szCs w:val="20"/>
              </w:rPr>
              <w:fldChar w:fldCharType="separate"/>
            </w:r>
            <w:r w:rsidR="00391436">
              <w:rPr>
                <w:rFonts w:ascii="Verdana" w:hAnsi="Verdana"/>
                <w:b/>
                <w:bCs/>
                <w:noProof/>
                <w:sz w:val="20"/>
                <w:szCs w:val="20"/>
              </w:rPr>
              <w:t>21</w:t>
            </w:r>
            <w:r w:rsidRPr="00DD5A71">
              <w:rPr>
                <w:rFonts w:ascii="Verdana" w:hAnsi="Verdana"/>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78AD8" w14:textId="77777777" w:rsidR="00F9021A" w:rsidRDefault="00F9021A" w:rsidP="006A6192">
      <w:pPr>
        <w:spacing w:after="0" w:line="240" w:lineRule="auto"/>
      </w:pPr>
      <w:r>
        <w:separator/>
      </w:r>
    </w:p>
  </w:footnote>
  <w:footnote w:type="continuationSeparator" w:id="0">
    <w:p w14:paraId="12836B3A" w14:textId="77777777" w:rsidR="00F9021A" w:rsidRDefault="00F9021A" w:rsidP="006A6192">
      <w:pPr>
        <w:spacing w:after="0" w:line="240" w:lineRule="auto"/>
      </w:pPr>
      <w:r>
        <w:continuationSeparator/>
      </w:r>
    </w:p>
  </w:footnote>
  <w:footnote w:type="continuationNotice" w:id="1">
    <w:p w14:paraId="03491F66" w14:textId="77777777" w:rsidR="00F9021A" w:rsidRDefault="00F902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7C41A" w14:textId="62C0D029" w:rsidR="006A6192" w:rsidRDefault="0021027B">
    <w:pPr>
      <w:pStyle w:val="Encabezado"/>
    </w:pPr>
    <w:r>
      <w:rPr>
        <w:rFonts w:ascii="Verdana" w:eastAsia="Times New Roman" w:hAnsi="Verdana" w:cs="Times New Roman"/>
        <w:noProof/>
        <w:color w:val="000000"/>
        <w:kern w:val="0"/>
        <w:lang w:val="en-US"/>
      </w:rPr>
      <w:drawing>
        <wp:anchor distT="0" distB="0" distL="114300" distR="114300" simplePos="0" relativeHeight="251658240" behindDoc="1" locked="0" layoutInCell="1" allowOverlap="1" wp14:anchorId="3AF20BD1" wp14:editId="65EF5608">
          <wp:simplePos x="0" y="0"/>
          <wp:positionH relativeFrom="page">
            <wp:align>left</wp:align>
          </wp:positionH>
          <wp:positionV relativeFrom="paragraph">
            <wp:posOffset>-436880</wp:posOffset>
          </wp:positionV>
          <wp:extent cx="7751267" cy="10030690"/>
          <wp:effectExtent l="0" t="0" r="2540" b="8890"/>
          <wp:wrapNone/>
          <wp:docPr id="1122558166"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p w14:paraId="5DF6BC3E" w14:textId="5621B010" w:rsidR="006A6192" w:rsidRDefault="006A6192" w:rsidP="006A6192">
    <w:pPr>
      <w:pStyle w:val="Encabezado"/>
      <w:tabs>
        <w:tab w:val="clear" w:pos="4419"/>
        <w:tab w:val="clear" w:pos="8838"/>
        <w:tab w:val="left" w:pos="2964"/>
      </w:tabs>
    </w:pPr>
  </w:p>
  <w:p w14:paraId="4DE1D463" w14:textId="5D7EC10C" w:rsidR="006A6192" w:rsidRDefault="006A6192" w:rsidP="006A6192">
    <w:pPr>
      <w:pStyle w:val="Encabezado"/>
      <w:tabs>
        <w:tab w:val="clear" w:pos="4419"/>
        <w:tab w:val="clear" w:pos="8838"/>
        <w:tab w:val="left" w:pos="2964"/>
      </w:tabs>
    </w:pPr>
  </w:p>
  <w:p w14:paraId="1D102B9D" w14:textId="656C3113" w:rsidR="006A6192" w:rsidRDefault="006A6192" w:rsidP="009035E0">
    <w:pPr>
      <w:pStyle w:val="Encabezado"/>
      <w:tabs>
        <w:tab w:val="clear" w:pos="4419"/>
        <w:tab w:val="clear" w:pos="8838"/>
        <w:tab w:val="left" w:pos="1284"/>
      </w:tabs>
    </w:pPr>
  </w:p>
  <w:p w14:paraId="2EF74105" w14:textId="1D126AFD" w:rsidR="006A6192" w:rsidRDefault="006A6192" w:rsidP="006A6192">
    <w:pPr>
      <w:pStyle w:val="Encabezado"/>
      <w:tabs>
        <w:tab w:val="clear" w:pos="4419"/>
        <w:tab w:val="clear" w:pos="8838"/>
        <w:tab w:val="left" w:pos="2964"/>
      </w:tabs>
    </w:pPr>
  </w:p>
  <w:p w14:paraId="485845D8" w14:textId="77777777" w:rsidR="006A6192" w:rsidRDefault="006A6192" w:rsidP="006A6192">
    <w:pPr>
      <w:pStyle w:val="Encabezado"/>
      <w:tabs>
        <w:tab w:val="clear" w:pos="4419"/>
        <w:tab w:val="clear" w:pos="8838"/>
        <w:tab w:val="left" w:pos="296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1F7"/>
    <w:multiLevelType w:val="multilevel"/>
    <w:tmpl w:val="DF38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E053A"/>
    <w:multiLevelType w:val="multilevel"/>
    <w:tmpl w:val="4216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065BBF"/>
    <w:multiLevelType w:val="multilevel"/>
    <w:tmpl w:val="E4EE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FA0C37"/>
    <w:multiLevelType w:val="multilevel"/>
    <w:tmpl w:val="B0D0B0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E0DCD"/>
    <w:multiLevelType w:val="multilevel"/>
    <w:tmpl w:val="47CA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5324BF"/>
    <w:multiLevelType w:val="multilevel"/>
    <w:tmpl w:val="D7568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756163"/>
    <w:multiLevelType w:val="multilevel"/>
    <w:tmpl w:val="DAB4E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32E46"/>
    <w:multiLevelType w:val="multilevel"/>
    <w:tmpl w:val="F1BA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0B1DF1"/>
    <w:multiLevelType w:val="multilevel"/>
    <w:tmpl w:val="CD3A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BF43D4"/>
    <w:multiLevelType w:val="multilevel"/>
    <w:tmpl w:val="99F4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4E198D"/>
    <w:multiLevelType w:val="multilevel"/>
    <w:tmpl w:val="EC66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025522"/>
    <w:multiLevelType w:val="multilevel"/>
    <w:tmpl w:val="6114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654EB4"/>
    <w:multiLevelType w:val="multilevel"/>
    <w:tmpl w:val="4C80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B75606"/>
    <w:multiLevelType w:val="multilevel"/>
    <w:tmpl w:val="F374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5E1D67"/>
    <w:multiLevelType w:val="multilevel"/>
    <w:tmpl w:val="417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F1750B"/>
    <w:multiLevelType w:val="multilevel"/>
    <w:tmpl w:val="0F80DD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7D6B1E"/>
    <w:multiLevelType w:val="multilevel"/>
    <w:tmpl w:val="6BFC3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310E5A"/>
    <w:multiLevelType w:val="multilevel"/>
    <w:tmpl w:val="93F0DD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7858E6"/>
    <w:multiLevelType w:val="multilevel"/>
    <w:tmpl w:val="9066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BD3772"/>
    <w:multiLevelType w:val="multilevel"/>
    <w:tmpl w:val="997E22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EF7374"/>
    <w:multiLevelType w:val="multilevel"/>
    <w:tmpl w:val="073C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73460C"/>
    <w:multiLevelType w:val="multilevel"/>
    <w:tmpl w:val="E1D8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6C4FC1"/>
    <w:multiLevelType w:val="multilevel"/>
    <w:tmpl w:val="EE42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DF6B3F"/>
    <w:multiLevelType w:val="multilevel"/>
    <w:tmpl w:val="4246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F03DF1"/>
    <w:multiLevelType w:val="multilevel"/>
    <w:tmpl w:val="E958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621AD2"/>
    <w:multiLevelType w:val="multilevel"/>
    <w:tmpl w:val="5A0E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073994"/>
    <w:multiLevelType w:val="multilevel"/>
    <w:tmpl w:val="2DCE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3425169">
    <w:abstractNumId w:val="6"/>
  </w:num>
  <w:num w:numId="2" w16cid:durableId="2096055138">
    <w:abstractNumId w:val="17"/>
  </w:num>
  <w:num w:numId="3" w16cid:durableId="703016203">
    <w:abstractNumId w:val="19"/>
  </w:num>
  <w:num w:numId="4" w16cid:durableId="1796173834">
    <w:abstractNumId w:val="15"/>
  </w:num>
  <w:num w:numId="5" w16cid:durableId="411239537">
    <w:abstractNumId w:val="3"/>
  </w:num>
  <w:num w:numId="6" w16cid:durableId="1248731364">
    <w:abstractNumId w:val="5"/>
  </w:num>
  <w:num w:numId="7" w16cid:durableId="969091019">
    <w:abstractNumId w:val="4"/>
  </w:num>
  <w:num w:numId="8" w16cid:durableId="1374690029">
    <w:abstractNumId w:val="20"/>
  </w:num>
  <w:num w:numId="9" w16cid:durableId="1326126483">
    <w:abstractNumId w:val="12"/>
  </w:num>
  <w:num w:numId="10" w16cid:durableId="1055591988">
    <w:abstractNumId w:val="21"/>
  </w:num>
  <w:num w:numId="11" w16cid:durableId="16274837">
    <w:abstractNumId w:val="1"/>
  </w:num>
  <w:num w:numId="12" w16cid:durableId="230698097">
    <w:abstractNumId w:val="0"/>
  </w:num>
  <w:num w:numId="13" w16cid:durableId="1066029849">
    <w:abstractNumId w:val="14"/>
  </w:num>
  <w:num w:numId="14" w16cid:durableId="1510682255">
    <w:abstractNumId w:val="11"/>
  </w:num>
  <w:num w:numId="15" w16cid:durableId="1008483589">
    <w:abstractNumId w:val="2"/>
  </w:num>
  <w:num w:numId="16" w16cid:durableId="1343623393">
    <w:abstractNumId w:val="7"/>
  </w:num>
  <w:num w:numId="17" w16cid:durableId="955021544">
    <w:abstractNumId w:val="18"/>
  </w:num>
  <w:num w:numId="18" w16cid:durableId="1321274080">
    <w:abstractNumId w:val="9"/>
  </w:num>
  <w:num w:numId="19" w16cid:durableId="105850563">
    <w:abstractNumId w:val="22"/>
  </w:num>
  <w:num w:numId="20" w16cid:durableId="1394890588">
    <w:abstractNumId w:val="13"/>
  </w:num>
  <w:num w:numId="21" w16cid:durableId="1619796679">
    <w:abstractNumId w:val="8"/>
  </w:num>
  <w:num w:numId="22" w16cid:durableId="1417704441">
    <w:abstractNumId w:val="26"/>
  </w:num>
  <w:num w:numId="23" w16cid:durableId="2101176636">
    <w:abstractNumId w:val="24"/>
  </w:num>
  <w:num w:numId="24" w16cid:durableId="1444181267">
    <w:abstractNumId w:val="25"/>
  </w:num>
  <w:num w:numId="25" w16cid:durableId="882212647">
    <w:abstractNumId w:val="10"/>
  </w:num>
  <w:num w:numId="26" w16cid:durableId="1812551160">
    <w:abstractNumId w:val="23"/>
  </w:num>
  <w:num w:numId="27" w16cid:durableId="1918588223">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92"/>
    <w:rsid w:val="000124E7"/>
    <w:rsid w:val="000161EE"/>
    <w:rsid w:val="00041A19"/>
    <w:rsid w:val="000554E9"/>
    <w:rsid w:val="000853DE"/>
    <w:rsid w:val="00091049"/>
    <w:rsid w:val="000A07A0"/>
    <w:rsid w:val="000A430F"/>
    <w:rsid w:val="000A6371"/>
    <w:rsid w:val="000C6546"/>
    <w:rsid w:val="000D121F"/>
    <w:rsid w:val="000D20DC"/>
    <w:rsid w:val="000D3A2E"/>
    <w:rsid w:val="000E53AE"/>
    <w:rsid w:val="00102BFE"/>
    <w:rsid w:val="00102CD2"/>
    <w:rsid w:val="00106B9A"/>
    <w:rsid w:val="00127452"/>
    <w:rsid w:val="0013214F"/>
    <w:rsid w:val="00137A90"/>
    <w:rsid w:val="001421AF"/>
    <w:rsid w:val="001452A3"/>
    <w:rsid w:val="00172ACA"/>
    <w:rsid w:val="001937AF"/>
    <w:rsid w:val="001A6C13"/>
    <w:rsid w:val="001E253A"/>
    <w:rsid w:val="001E73C4"/>
    <w:rsid w:val="002056AF"/>
    <w:rsid w:val="0021027B"/>
    <w:rsid w:val="00220562"/>
    <w:rsid w:val="00222519"/>
    <w:rsid w:val="00236CC1"/>
    <w:rsid w:val="002472C3"/>
    <w:rsid w:val="00250DBA"/>
    <w:rsid w:val="00255C89"/>
    <w:rsid w:val="00287610"/>
    <w:rsid w:val="002D778E"/>
    <w:rsid w:val="002D7F9A"/>
    <w:rsid w:val="002E2D08"/>
    <w:rsid w:val="002E7DE3"/>
    <w:rsid w:val="002F7874"/>
    <w:rsid w:val="00304A49"/>
    <w:rsid w:val="0031652A"/>
    <w:rsid w:val="003553C7"/>
    <w:rsid w:val="0035780B"/>
    <w:rsid w:val="003804DC"/>
    <w:rsid w:val="00391436"/>
    <w:rsid w:val="003D546E"/>
    <w:rsid w:val="003D77C6"/>
    <w:rsid w:val="003E3408"/>
    <w:rsid w:val="003F14B6"/>
    <w:rsid w:val="003F5D1E"/>
    <w:rsid w:val="00400F8A"/>
    <w:rsid w:val="00414CEA"/>
    <w:rsid w:val="00427167"/>
    <w:rsid w:val="00430688"/>
    <w:rsid w:val="00431F56"/>
    <w:rsid w:val="004567B2"/>
    <w:rsid w:val="00476164"/>
    <w:rsid w:val="004768D4"/>
    <w:rsid w:val="004A1891"/>
    <w:rsid w:val="004C7189"/>
    <w:rsid w:val="004F15E4"/>
    <w:rsid w:val="00524449"/>
    <w:rsid w:val="00535382"/>
    <w:rsid w:val="00547832"/>
    <w:rsid w:val="0056237A"/>
    <w:rsid w:val="005630BC"/>
    <w:rsid w:val="00570A7F"/>
    <w:rsid w:val="00571698"/>
    <w:rsid w:val="00581FE3"/>
    <w:rsid w:val="00584A74"/>
    <w:rsid w:val="0059247A"/>
    <w:rsid w:val="00592C2E"/>
    <w:rsid w:val="00593F49"/>
    <w:rsid w:val="005B18AA"/>
    <w:rsid w:val="005D2B4B"/>
    <w:rsid w:val="005D5FCE"/>
    <w:rsid w:val="005E1B90"/>
    <w:rsid w:val="006009E4"/>
    <w:rsid w:val="00620C92"/>
    <w:rsid w:val="00625AC2"/>
    <w:rsid w:val="00633FAC"/>
    <w:rsid w:val="00651977"/>
    <w:rsid w:val="006635E7"/>
    <w:rsid w:val="00670DDB"/>
    <w:rsid w:val="0069507A"/>
    <w:rsid w:val="006958BB"/>
    <w:rsid w:val="006A6192"/>
    <w:rsid w:val="006B34B4"/>
    <w:rsid w:val="006B73BC"/>
    <w:rsid w:val="006C3EC5"/>
    <w:rsid w:val="006C55C5"/>
    <w:rsid w:val="006D5826"/>
    <w:rsid w:val="006F1761"/>
    <w:rsid w:val="006F42F0"/>
    <w:rsid w:val="007039B9"/>
    <w:rsid w:val="00716C05"/>
    <w:rsid w:val="00724FCF"/>
    <w:rsid w:val="0073213B"/>
    <w:rsid w:val="00742A6B"/>
    <w:rsid w:val="00760920"/>
    <w:rsid w:val="00782E97"/>
    <w:rsid w:val="0079711C"/>
    <w:rsid w:val="007A6F95"/>
    <w:rsid w:val="007D4458"/>
    <w:rsid w:val="007D44BD"/>
    <w:rsid w:val="007E43E4"/>
    <w:rsid w:val="007F317B"/>
    <w:rsid w:val="007F4621"/>
    <w:rsid w:val="008205F7"/>
    <w:rsid w:val="008309DB"/>
    <w:rsid w:val="00830CDE"/>
    <w:rsid w:val="00837710"/>
    <w:rsid w:val="008377EA"/>
    <w:rsid w:val="0084302C"/>
    <w:rsid w:val="00845700"/>
    <w:rsid w:val="008721F9"/>
    <w:rsid w:val="008770ED"/>
    <w:rsid w:val="0089490A"/>
    <w:rsid w:val="008B0CA4"/>
    <w:rsid w:val="008C1C49"/>
    <w:rsid w:val="008D4CA6"/>
    <w:rsid w:val="008E50A9"/>
    <w:rsid w:val="009035E0"/>
    <w:rsid w:val="00927A8F"/>
    <w:rsid w:val="00941C50"/>
    <w:rsid w:val="00947770"/>
    <w:rsid w:val="009736C5"/>
    <w:rsid w:val="00982BB5"/>
    <w:rsid w:val="00996F86"/>
    <w:rsid w:val="00997337"/>
    <w:rsid w:val="009A6F56"/>
    <w:rsid w:val="009D1403"/>
    <w:rsid w:val="00A027F3"/>
    <w:rsid w:val="00A2297F"/>
    <w:rsid w:val="00A36D88"/>
    <w:rsid w:val="00A66D30"/>
    <w:rsid w:val="00A80029"/>
    <w:rsid w:val="00A859CE"/>
    <w:rsid w:val="00AB0826"/>
    <w:rsid w:val="00AC0860"/>
    <w:rsid w:val="00AE0939"/>
    <w:rsid w:val="00AE1CC1"/>
    <w:rsid w:val="00B16608"/>
    <w:rsid w:val="00B30291"/>
    <w:rsid w:val="00B621F2"/>
    <w:rsid w:val="00B83426"/>
    <w:rsid w:val="00BB2E75"/>
    <w:rsid w:val="00BB7649"/>
    <w:rsid w:val="00BC7B18"/>
    <w:rsid w:val="00BD10AC"/>
    <w:rsid w:val="00BD60B3"/>
    <w:rsid w:val="00BF6D1A"/>
    <w:rsid w:val="00BF6ED7"/>
    <w:rsid w:val="00C025BD"/>
    <w:rsid w:val="00C06D9C"/>
    <w:rsid w:val="00C42A22"/>
    <w:rsid w:val="00C540D3"/>
    <w:rsid w:val="00C83146"/>
    <w:rsid w:val="00C9518B"/>
    <w:rsid w:val="00CE6D76"/>
    <w:rsid w:val="00CF3F32"/>
    <w:rsid w:val="00D30E89"/>
    <w:rsid w:val="00D33324"/>
    <w:rsid w:val="00D741BF"/>
    <w:rsid w:val="00DC4B2D"/>
    <w:rsid w:val="00DD5A71"/>
    <w:rsid w:val="00DF3650"/>
    <w:rsid w:val="00E05F3F"/>
    <w:rsid w:val="00E077B7"/>
    <w:rsid w:val="00E1203F"/>
    <w:rsid w:val="00E233A2"/>
    <w:rsid w:val="00E37211"/>
    <w:rsid w:val="00E512F4"/>
    <w:rsid w:val="00E63AA7"/>
    <w:rsid w:val="00E65DA1"/>
    <w:rsid w:val="00E74D74"/>
    <w:rsid w:val="00E81F89"/>
    <w:rsid w:val="00E86CB9"/>
    <w:rsid w:val="00EC1154"/>
    <w:rsid w:val="00ED4B26"/>
    <w:rsid w:val="00EF7E7B"/>
    <w:rsid w:val="00F33495"/>
    <w:rsid w:val="00F37B75"/>
    <w:rsid w:val="00F41AE3"/>
    <w:rsid w:val="00F42AB9"/>
    <w:rsid w:val="00F72AD1"/>
    <w:rsid w:val="00F77D44"/>
    <w:rsid w:val="00F826B9"/>
    <w:rsid w:val="00F9021A"/>
    <w:rsid w:val="00F91AE6"/>
    <w:rsid w:val="00FA227B"/>
    <w:rsid w:val="00FE15F3"/>
    <w:rsid w:val="00FE1B7B"/>
    <w:rsid w:val="00FE5466"/>
    <w:rsid w:val="026E05B9"/>
    <w:rsid w:val="0C50B215"/>
    <w:rsid w:val="0C703C6D"/>
    <w:rsid w:val="198AB687"/>
    <w:rsid w:val="1A42D0C4"/>
    <w:rsid w:val="1BC83B85"/>
    <w:rsid w:val="25353256"/>
    <w:rsid w:val="294D07AA"/>
    <w:rsid w:val="2C15A968"/>
    <w:rsid w:val="2C92C772"/>
    <w:rsid w:val="3B5185A3"/>
    <w:rsid w:val="3E61EC2E"/>
    <w:rsid w:val="3F46FD22"/>
    <w:rsid w:val="48FD2691"/>
    <w:rsid w:val="4C48CA5E"/>
    <w:rsid w:val="51238F5C"/>
    <w:rsid w:val="5529D46D"/>
    <w:rsid w:val="59DE384C"/>
    <w:rsid w:val="5F8CBE13"/>
    <w:rsid w:val="655875ED"/>
    <w:rsid w:val="6EBFC2DA"/>
    <w:rsid w:val="74288DA8"/>
    <w:rsid w:val="7BD4B2BA"/>
    <w:rsid w:val="7E66814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6474F"/>
  <w15:chartTrackingRefBased/>
  <w15:docId w15:val="{27DD233E-A4EA-4367-A5BC-88850A94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E0939"/>
    <w:pPr>
      <w:keepNext/>
      <w:keepLines/>
      <w:spacing w:before="240" w:after="0" w:line="276"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ar"/>
    <w:uiPriority w:val="9"/>
    <w:unhideWhenUsed/>
    <w:qFormat/>
    <w:rsid w:val="00AE0939"/>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A6192"/>
    <w:pPr>
      <w:tabs>
        <w:tab w:val="center" w:pos="4419"/>
        <w:tab w:val="right" w:pos="8838"/>
      </w:tabs>
      <w:spacing w:after="0" w:line="240" w:lineRule="auto"/>
    </w:pPr>
  </w:style>
  <w:style w:type="character" w:customStyle="1" w:styleId="EncabezadoCar">
    <w:name w:val="Encabezado Car"/>
    <w:link w:val="Encabezado"/>
    <w:uiPriority w:val="99"/>
    <w:rsid w:val="25353256"/>
  </w:style>
  <w:style w:type="paragraph" w:styleId="Piedepgina">
    <w:name w:val="footer"/>
    <w:basedOn w:val="Normal"/>
    <w:link w:val="PiedepginaCar"/>
    <w:uiPriority w:val="99"/>
    <w:unhideWhenUsed/>
    <w:rsid w:val="006A6192"/>
    <w:pPr>
      <w:tabs>
        <w:tab w:val="center" w:pos="4419"/>
        <w:tab w:val="right" w:pos="8838"/>
      </w:tabs>
      <w:spacing w:after="0" w:line="240" w:lineRule="auto"/>
    </w:pPr>
  </w:style>
  <w:style w:type="character" w:customStyle="1" w:styleId="PiedepginaCar">
    <w:name w:val="Pie de página Car"/>
    <w:link w:val="Piedepgina"/>
    <w:uiPriority w:val="99"/>
    <w:rsid w:val="25353256"/>
  </w:style>
  <w:style w:type="paragraph" w:styleId="NormalWeb">
    <w:name w:val="Normal (Web)"/>
    <w:basedOn w:val="Normal"/>
    <w:uiPriority w:val="99"/>
    <w:semiHidden/>
    <w:unhideWhenUsed/>
    <w:rsid w:val="004F15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uiPriority w:val="99"/>
    <w:rsid w:val="007F4621"/>
    <w:pPr>
      <w:spacing w:after="0" w:line="240" w:lineRule="auto"/>
      <w:jc w:val="both"/>
    </w:pPr>
    <w:rPr>
      <w:rFonts w:ascii="Garamond" w:eastAsia="Times New Roman" w:hAnsi="Garamond" w:cs="Times New Roman"/>
      <w:kern w:val="0"/>
      <w:sz w:val="24"/>
      <w:szCs w:val="20"/>
      <w:lang w:val="es-ES" w:eastAsia="es-ES"/>
      <w14:ligatures w14:val="none"/>
    </w:rPr>
  </w:style>
  <w:style w:type="character" w:customStyle="1" w:styleId="TextoindependienteCar">
    <w:name w:val="Texto independiente Car"/>
    <w:link w:val="Textoindependiente"/>
    <w:uiPriority w:val="99"/>
    <w:rsid w:val="25353256"/>
    <w:rPr>
      <w:rFonts w:ascii="Garamond" w:eastAsia="Times New Roman" w:hAnsi="Garamond" w:cs="Times New Roman"/>
      <w:sz w:val="24"/>
      <w:szCs w:val="24"/>
      <w:lang w:val="es-ES" w:eastAsia="es-ES"/>
    </w:rPr>
  </w:style>
  <w:style w:type="paragraph" w:styleId="Textoindependiente3">
    <w:name w:val="Body Text 3"/>
    <w:basedOn w:val="Normal"/>
    <w:link w:val="Textoindependiente3Car"/>
    <w:rsid w:val="007F4621"/>
    <w:pPr>
      <w:spacing w:after="0" w:line="240" w:lineRule="auto"/>
      <w:jc w:val="both"/>
    </w:pPr>
    <w:rPr>
      <w:rFonts w:ascii="Bookman Old Style" w:eastAsia="Times New Roman" w:hAnsi="Bookman Old Style" w:cs="Times New Roman"/>
      <w:i/>
      <w:kern w:val="0"/>
      <w:sz w:val="24"/>
      <w:szCs w:val="20"/>
      <w:lang w:val="es-ES" w:eastAsia="es-ES"/>
      <w14:ligatures w14:val="none"/>
    </w:rPr>
  </w:style>
  <w:style w:type="character" w:customStyle="1" w:styleId="Textoindependiente3Car">
    <w:name w:val="Texto independiente 3 Car"/>
    <w:link w:val="Textoindependiente3"/>
    <w:uiPriority w:val="1"/>
    <w:rsid w:val="25353256"/>
    <w:rPr>
      <w:rFonts w:ascii="Bookman Old Style" w:eastAsia="Times New Roman" w:hAnsi="Bookman Old Style" w:cs="Times New Roman"/>
      <w:i/>
      <w:iCs/>
      <w:sz w:val="24"/>
      <w:szCs w:val="24"/>
      <w:lang w:val="es-ES" w:eastAsia="es-ES"/>
    </w:rPr>
  </w:style>
  <w:style w:type="paragraph" w:styleId="Sinespaciado">
    <w:name w:val="No Spacing"/>
    <w:link w:val="SinespaciadoCar"/>
    <w:uiPriority w:val="1"/>
    <w:qFormat/>
    <w:rsid w:val="007F4621"/>
    <w:pPr>
      <w:spacing w:after="0" w:line="240" w:lineRule="auto"/>
    </w:pPr>
    <w:rPr>
      <w:rFonts w:ascii="Calibri" w:eastAsia="Calibri" w:hAnsi="Calibri" w:cs="Times New Roman"/>
      <w:kern w:val="0"/>
      <w14:ligatures w14:val="none"/>
    </w:rPr>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titulo 3,Bullets,H"/>
    <w:basedOn w:val="Normal"/>
    <w:link w:val="PrrafodelistaCar"/>
    <w:uiPriority w:val="34"/>
    <w:qFormat/>
    <w:rsid w:val="007F4621"/>
    <w:pPr>
      <w:spacing w:after="200" w:line="276" w:lineRule="auto"/>
      <w:ind w:left="708"/>
    </w:pPr>
    <w:rPr>
      <w:rFonts w:ascii="Calibri" w:eastAsia="Calibri" w:hAnsi="Calibri" w:cs="Times New Roman"/>
      <w:kern w:val="0"/>
      <w14:ligatures w14:val="none"/>
    </w:rPr>
  </w:style>
  <w:style w:type="table" w:styleId="Tablaconcuadrcula">
    <w:name w:val="Table Grid"/>
    <w:basedOn w:val="Tablanormal"/>
    <w:uiPriority w:val="59"/>
    <w:rsid w:val="007F4621"/>
    <w:pPr>
      <w:spacing w:after="0" w:line="240" w:lineRule="auto"/>
    </w:pPr>
    <w:rPr>
      <w:kern w:val="0"/>
      <w:lang w:val="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qFormat/>
    <w:rsid w:val="007F4621"/>
    <w:rPr>
      <w:rFonts w:cs="Times New Roman"/>
      <w:i/>
      <w:iCs/>
    </w:rPr>
  </w:style>
  <w:style w:type="character" w:styleId="Hipervnculo">
    <w:name w:val="Hyperlink"/>
    <w:uiPriority w:val="99"/>
    <w:unhideWhenUsed/>
    <w:rsid w:val="25353256"/>
    <w:rPr>
      <w:color w:val="0563C1"/>
      <w:u w:val="single"/>
    </w:rPr>
  </w:style>
  <w:style w:type="character" w:customStyle="1" w:styleId="TtuloCar">
    <w:name w:val="Título Car"/>
    <w:link w:val="Ttulo"/>
    <w:uiPriority w:val="1"/>
    <w:rsid w:val="25353256"/>
    <w:rPr>
      <w:rFonts w:ascii="Arial" w:hAnsi="Arial"/>
      <w:b/>
      <w:bCs/>
      <w:lang w:eastAsia="es-ES"/>
    </w:rPr>
  </w:style>
  <w:style w:type="paragraph" w:styleId="Ttulo">
    <w:name w:val="Title"/>
    <w:basedOn w:val="Normal"/>
    <w:link w:val="TtuloCar"/>
    <w:qFormat/>
    <w:rsid w:val="00625AC2"/>
    <w:pPr>
      <w:spacing w:after="0" w:line="240" w:lineRule="auto"/>
      <w:jc w:val="both"/>
    </w:pPr>
    <w:rPr>
      <w:rFonts w:ascii="Arial" w:hAnsi="Arial"/>
      <w:b/>
      <w:szCs w:val="24"/>
      <w:lang w:eastAsia="es-ES"/>
    </w:rPr>
  </w:style>
  <w:style w:type="character" w:customStyle="1" w:styleId="TtuloCar1">
    <w:name w:val="Título Car1"/>
    <w:uiPriority w:val="10"/>
    <w:rsid w:val="25353256"/>
    <w:rPr>
      <w:rFonts w:asciiTheme="majorHAnsi" w:eastAsiaTheme="majorEastAsia" w:hAnsiTheme="majorHAnsi" w:cstheme="majorBidi"/>
      <w:sz w:val="56"/>
      <w:szCs w:val="56"/>
    </w:rPr>
  </w:style>
  <w:style w:type="table" w:customStyle="1" w:styleId="Tablaconcuadrcula1">
    <w:name w:val="Tabla con cuadrícula1"/>
    <w:basedOn w:val="Tablanormal"/>
    <w:next w:val="Tablaconcuadrcula"/>
    <w:uiPriority w:val="39"/>
    <w:rsid w:val="00625AC2"/>
    <w:pPr>
      <w:spacing w:after="0" w:line="240" w:lineRule="auto"/>
    </w:pPr>
    <w:rPr>
      <w:kern w:val="0"/>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H Car"/>
    <w:link w:val="Prrafodelista"/>
    <w:uiPriority w:val="34"/>
    <w:qFormat/>
    <w:locked/>
    <w:rsid w:val="00625AC2"/>
    <w:rPr>
      <w:rFonts w:ascii="Calibri" w:eastAsia="Calibri" w:hAnsi="Calibri" w:cs="Times New Roman"/>
      <w:kern w:val="0"/>
      <w14:ligatures w14:val="none"/>
    </w:rPr>
  </w:style>
  <w:style w:type="character" w:customStyle="1" w:styleId="Ttulo1Car">
    <w:name w:val="Título 1 Car"/>
    <w:link w:val="Ttulo1"/>
    <w:uiPriority w:val="9"/>
    <w:rsid w:val="25353256"/>
    <w:rPr>
      <w:rFonts w:asciiTheme="majorHAnsi" w:eastAsiaTheme="majorEastAsia" w:hAnsiTheme="majorHAnsi" w:cstheme="majorBidi"/>
      <w:color w:val="2F5496" w:themeColor="accent1" w:themeShade="BF"/>
      <w:sz w:val="32"/>
      <w:szCs w:val="32"/>
    </w:rPr>
  </w:style>
  <w:style w:type="character" w:customStyle="1" w:styleId="Ttulo2Car">
    <w:name w:val="Título 2 Car"/>
    <w:link w:val="Ttulo2"/>
    <w:uiPriority w:val="9"/>
    <w:rsid w:val="25353256"/>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rsid w:val="00AE0939"/>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styleId="Refdecomentario">
    <w:name w:val="annotation reference"/>
    <w:uiPriority w:val="99"/>
    <w:semiHidden/>
    <w:unhideWhenUsed/>
    <w:rsid w:val="25353256"/>
    <w:rPr>
      <w:sz w:val="16"/>
      <w:szCs w:val="16"/>
    </w:rPr>
  </w:style>
  <w:style w:type="paragraph" w:styleId="Textocomentario">
    <w:name w:val="annotation text"/>
    <w:basedOn w:val="Normal"/>
    <w:link w:val="TextocomentarioCar"/>
    <w:uiPriority w:val="99"/>
    <w:unhideWhenUsed/>
    <w:rsid w:val="005B18AA"/>
    <w:pPr>
      <w:spacing w:after="200" w:line="240" w:lineRule="auto"/>
    </w:pPr>
    <w:rPr>
      <w:kern w:val="0"/>
      <w:sz w:val="20"/>
      <w:szCs w:val="20"/>
      <w14:ligatures w14:val="none"/>
    </w:rPr>
  </w:style>
  <w:style w:type="character" w:customStyle="1" w:styleId="TextocomentarioCar">
    <w:name w:val="Texto comentario Car"/>
    <w:link w:val="Textocomentario"/>
    <w:uiPriority w:val="99"/>
    <w:rsid w:val="25353256"/>
    <w:rPr>
      <w:sz w:val="20"/>
      <w:szCs w:val="20"/>
    </w:rPr>
  </w:style>
  <w:style w:type="paragraph" w:customStyle="1" w:styleId="TableParagraph">
    <w:name w:val="Table Paragraph"/>
    <w:basedOn w:val="Normal"/>
    <w:uiPriority w:val="1"/>
    <w:qFormat/>
    <w:rsid w:val="005B18A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SinespaciadoCar">
    <w:name w:val="Sin espaciado Car"/>
    <w:link w:val="Sinespaciado"/>
    <w:uiPriority w:val="1"/>
    <w:qFormat/>
    <w:locked/>
    <w:rsid w:val="005B18AA"/>
    <w:rPr>
      <w:rFonts w:ascii="Calibri" w:eastAsia="Calibri" w:hAnsi="Calibri" w:cs="Times New Roman"/>
      <w:kern w:val="0"/>
      <w14:ligatures w14:val="none"/>
    </w:rPr>
  </w:style>
  <w:style w:type="paragraph" w:styleId="Textodeglobo">
    <w:name w:val="Balloon Text"/>
    <w:basedOn w:val="Normal"/>
    <w:link w:val="TextodegloboCar"/>
    <w:uiPriority w:val="99"/>
    <w:semiHidden/>
    <w:unhideWhenUsed/>
    <w:rsid w:val="005B18A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25353256"/>
    <w:rPr>
      <w:rFonts w:ascii="Segoe UI" w:hAnsi="Segoe UI" w:cs="Segoe UI"/>
      <w:sz w:val="18"/>
      <w:szCs w:val="18"/>
    </w:rPr>
  </w:style>
  <w:style w:type="character" w:customStyle="1" w:styleId="DefaultCar">
    <w:name w:val="Default Car"/>
    <w:link w:val="Default"/>
    <w:uiPriority w:val="1"/>
    <w:rsid w:val="25353256"/>
    <w:rPr>
      <w:rFonts w:asciiTheme="minorHAnsi" w:eastAsiaTheme="minorEastAsia" w:hAnsiTheme="minorHAnsi" w:cstheme="minorBidi"/>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03093">
      <w:bodyDiv w:val="1"/>
      <w:marLeft w:val="0"/>
      <w:marRight w:val="0"/>
      <w:marTop w:val="0"/>
      <w:marBottom w:val="0"/>
      <w:divBdr>
        <w:top w:val="none" w:sz="0" w:space="0" w:color="auto"/>
        <w:left w:val="none" w:sz="0" w:space="0" w:color="auto"/>
        <w:bottom w:val="none" w:sz="0" w:space="0" w:color="auto"/>
        <w:right w:val="none" w:sz="0" w:space="0" w:color="auto"/>
      </w:divBdr>
    </w:div>
    <w:div w:id="526986122">
      <w:bodyDiv w:val="1"/>
      <w:marLeft w:val="0"/>
      <w:marRight w:val="0"/>
      <w:marTop w:val="0"/>
      <w:marBottom w:val="0"/>
      <w:divBdr>
        <w:top w:val="none" w:sz="0" w:space="0" w:color="auto"/>
        <w:left w:val="none" w:sz="0" w:space="0" w:color="auto"/>
        <w:bottom w:val="none" w:sz="0" w:space="0" w:color="auto"/>
        <w:right w:val="none" w:sz="0" w:space="0" w:color="auto"/>
      </w:divBdr>
    </w:div>
    <w:div w:id="600604665">
      <w:bodyDiv w:val="1"/>
      <w:marLeft w:val="0"/>
      <w:marRight w:val="0"/>
      <w:marTop w:val="0"/>
      <w:marBottom w:val="0"/>
      <w:divBdr>
        <w:top w:val="none" w:sz="0" w:space="0" w:color="auto"/>
        <w:left w:val="none" w:sz="0" w:space="0" w:color="auto"/>
        <w:bottom w:val="none" w:sz="0" w:space="0" w:color="auto"/>
        <w:right w:val="none" w:sz="0" w:space="0" w:color="auto"/>
      </w:divBdr>
    </w:div>
    <w:div w:id="796534232">
      <w:bodyDiv w:val="1"/>
      <w:marLeft w:val="0"/>
      <w:marRight w:val="0"/>
      <w:marTop w:val="0"/>
      <w:marBottom w:val="0"/>
      <w:divBdr>
        <w:top w:val="none" w:sz="0" w:space="0" w:color="auto"/>
        <w:left w:val="none" w:sz="0" w:space="0" w:color="auto"/>
        <w:bottom w:val="none" w:sz="0" w:space="0" w:color="auto"/>
        <w:right w:val="none" w:sz="0" w:space="0" w:color="auto"/>
      </w:divBdr>
    </w:div>
    <w:div w:id="955481076">
      <w:bodyDiv w:val="1"/>
      <w:marLeft w:val="0"/>
      <w:marRight w:val="0"/>
      <w:marTop w:val="0"/>
      <w:marBottom w:val="0"/>
      <w:divBdr>
        <w:top w:val="none" w:sz="0" w:space="0" w:color="auto"/>
        <w:left w:val="none" w:sz="0" w:space="0" w:color="auto"/>
        <w:bottom w:val="none" w:sz="0" w:space="0" w:color="auto"/>
        <w:right w:val="none" w:sz="0" w:space="0" w:color="auto"/>
      </w:divBdr>
    </w:div>
    <w:div w:id="1203252324">
      <w:bodyDiv w:val="1"/>
      <w:marLeft w:val="0"/>
      <w:marRight w:val="0"/>
      <w:marTop w:val="0"/>
      <w:marBottom w:val="0"/>
      <w:divBdr>
        <w:top w:val="none" w:sz="0" w:space="0" w:color="auto"/>
        <w:left w:val="none" w:sz="0" w:space="0" w:color="auto"/>
        <w:bottom w:val="none" w:sz="0" w:space="0" w:color="auto"/>
        <w:right w:val="none" w:sz="0" w:space="0" w:color="auto"/>
      </w:divBdr>
    </w:div>
    <w:div w:id="1463034526">
      <w:bodyDiv w:val="1"/>
      <w:marLeft w:val="0"/>
      <w:marRight w:val="0"/>
      <w:marTop w:val="0"/>
      <w:marBottom w:val="0"/>
      <w:divBdr>
        <w:top w:val="none" w:sz="0" w:space="0" w:color="auto"/>
        <w:left w:val="none" w:sz="0" w:space="0" w:color="auto"/>
        <w:bottom w:val="none" w:sz="0" w:space="0" w:color="auto"/>
        <w:right w:val="none" w:sz="0" w:space="0" w:color="auto"/>
      </w:divBdr>
    </w:div>
    <w:div w:id="205253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4AA3DD41E7CFA4E86C010F4EB486482" ma:contentTypeVersion="17" ma:contentTypeDescription="Crear nuevo documento." ma:contentTypeScope="" ma:versionID="c6f9969f3eccdc93b216274c76696a03">
  <xsd:schema xmlns:xsd="http://www.w3.org/2001/XMLSchema" xmlns:xs="http://www.w3.org/2001/XMLSchema" xmlns:p="http://schemas.microsoft.com/office/2006/metadata/properties" xmlns:ns2="eaa9bf3b-60c2-4456-916d-f4817fb08b4f" xmlns:ns3="a6c9a71c-da9e-42e3-bdc2-0dae5f46afe5" targetNamespace="http://schemas.microsoft.com/office/2006/metadata/properties" ma:root="true" ma:fieldsID="e70a11c0c893ab63138038fa1b9bf922" ns2:_="" ns3:_="">
    <xsd:import namespace="eaa9bf3b-60c2-4456-916d-f4817fb08b4f"/>
    <xsd:import namespace="a6c9a71c-da9e-42e3-bdc2-0dae5f46a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_Flow_SignoffStatus" minOccurs="0"/>
                <xsd:element ref="ns2:Rev"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9bf3b-60c2-4456-916d-f4817fb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46be75cd-527c-4463-91c3-691978e55a7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Estado de aprobación" ma:internalName="Estado_x0020_de_x0020_aprobaci_x00f3_n">
      <xsd:simpleType>
        <xsd:restriction base="dms:Text"/>
      </xsd:simpleType>
    </xsd:element>
    <xsd:element name="Rev" ma:index="24" nillable="true" ma:displayName="Rev" ma:description="Revisión para OM o inclusión en PMO y GP" ma:format="Dropdown" ma:internalName="Rev">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9a71c-da9e-42e3-bdc2-0dae5f46afe5"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66a70393-8045-4db5-b63b-83af5dd3d747}" ma:internalName="TaxCatchAll" ma:showField="CatchAllData" ma:web="a6c9a71c-da9e-42e3-bdc2-0dae5f46a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D190B-BE3A-48C3-A2F8-1BC8DC06A771}">
  <ds:schemaRefs>
    <ds:schemaRef ds:uri="http://schemas.microsoft.com/sharepoint/v3/contenttype/forms"/>
  </ds:schemaRefs>
</ds:datastoreItem>
</file>

<file path=customXml/itemProps2.xml><?xml version="1.0" encoding="utf-8"?>
<ds:datastoreItem xmlns:ds="http://schemas.openxmlformats.org/officeDocument/2006/customXml" ds:itemID="{BC5E8B66-DF7E-4002-8467-58C4322CF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9bf3b-60c2-4456-916d-f4817fb08b4f"/>
    <ds:schemaRef ds:uri="a6c9a71c-da9e-42e3-bdc2-0dae5f46a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EC2BB3-0766-4811-8D87-FEB2F8F86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2455</Words>
  <Characters>13507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GARCIA-H. NARIÑO</dc:creator>
  <cp:keywords/>
  <dc:description/>
  <cp:lastModifiedBy>Lisdaira Rojas Gamba</cp:lastModifiedBy>
  <cp:revision>3</cp:revision>
  <dcterms:created xsi:type="dcterms:W3CDTF">2026-07-21T20:06:00Z</dcterms:created>
  <dcterms:modified xsi:type="dcterms:W3CDTF">2026-07-21T20:08:00Z</dcterms:modified>
</cp:coreProperties>
</file>