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69DC7" w14:textId="77777777" w:rsidR="00FE4366" w:rsidRDefault="00FE4366">
      <w:pPr>
        <w:pBdr>
          <w:top w:val="nil"/>
          <w:left w:val="nil"/>
          <w:bottom w:val="nil"/>
          <w:right w:val="nil"/>
          <w:between w:val="nil"/>
        </w:pBdr>
        <w:jc w:val="center"/>
        <w:rPr>
          <w:rFonts w:ascii="Verdana" w:eastAsia="Verdana" w:hAnsi="Verdana" w:cs="Verdana"/>
          <w:b/>
          <w:color w:val="000000"/>
        </w:rPr>
      </w:pPr>
    </w:p>
    <w:p w14:paraId="2DAFCCBC" w14:textId="77777777" w:rsidR="00FE4366" w:rsidRDefault="005D365B">
      <w:pPr>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ANEXO:</w:t>
      </w:r>
    </w:p>
    <w:p w14:paraId="4C4E226F" w14:textId="77777777" w:rsidR="00FE4366" w:rsidRDefault="005D365B">
      <w:pPr>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ANÁLISIS DE ACUERDOS COMERCIALES APLICABLES AL PROCESO</w:t>
      </w:r>
    </w:p>
    <w:p w14:paraId="6C8BE9DE" w14:textId="77777777" w:rsidR="00FE4366" w:rsidRDefault="00FE4366">
      <w:pPr>
        <w:pBdr>
          <w:top w:val="nil"/>
          <w:left w:val="nil"/>
          <w:bottom w:val="nil"/>
          <w:right w:val="nil"/>
          <w:between w:val="nil"/>
        </w:pBdr>
        <w:jc w:val="both"/>
        <w:rPr>
          <w:rFonts w:ascii="Verdana" w:eastAsia="Verdana" w:hAnsi="Verdana" w:cs="Verdana"/>
          <w:b/>
          <w:color w:val="000000"/>
        </w:rPr>
      </w:pPr>
    </w:p>
    <w:p w14:paraId="6FCF55D5" w14:textId="77777777" w:rsidR="00A62556" w:rsidRDefault="00A62556">
      <w:pPr>
        <w:pBdr>
          <w:top w:val="nil"/>
          <w:left w:val="nil"/>
          <w:bottom w:val="nil"/>
          <w:right w:val="nil"/>
          <w:between w:val="nil"/>
        </w:pBdr>
        <w:jc w:val="both"/>
        <w:rPr>
          <w:rFonts w:ascii="Verdana" w:eastAsia="Verdana" w:hAnsi="Verdana" w:cs="Verdana"/>
          <w:b/>
          <w:color w:val="000000"/>
          <w:sz w:val="20"/>
          <w:szCs w:val="20"/>
        </w:rPr>
      </w:pPr>
    </w:p>
    <w:p w14:paraId="14407F9F" w14:textId="6EAC755C" w:rsidR="00FE4366" w:rsidRPr="00A62556" w:rsidRDefault="005D365B">
      <w:pPr>
        <w:pBdr>
          <w:top w:val="nil"/>
          <w:left w:val="nil"/>
          <w:bottom w:val="nil"/>
          <w:right w:val="nil"/>
          <w:between w:val="nil"/>
        </w:pBdr>
        <w:jc w:val="both"/>
        <w:rPr>
          <w:rFonts w:ascii="Verdana" w:eastAsia="Verdana" w:hAnsi="Verdana" w:cs="Verdana"/>
          <w:b/>
          <w:bCs/>
          <w:color w:val="000000"/>
          <w:sz w:val="20"/>
          <w:szCs w:val="20"/>
        </w:rPr>
      </w:pPr>
      <w:r>
        <w:rPr>
          <w:rFonts w:ascii="Verdana" w:eastAsia="Verdana" w:hAnsi="Verdana" w:cs="Verdana"/>
          <w:color w:val="000000"/>
          <w:sz w:val="20"/>
          <w:szCs w:val="20"/>
        </w:rPr>
        <w:t>En cumplimiento del deber de análisis de la existencia de acuerdos comerciales que cobijen el presente proceso de contratación, cuyo objeto es: “</w:t>
      </w:r>
      <w:r w:rsidR="00A62556" w:rsidRPr="00A62556">
        <w:rPr>
          <w:rFonts w:ascii="Verdana" w:eastAsia="Verdana" w:hAnsi="Verdana" w:cs="Verdana"/>
          <w:b/>
          <w:bCs/>
          <w:color w:val="000000"/>
          <w:sz w:val="20"/>
          <w:szCs w:val="20"/>
        </w:rPr>
        <w:t>Adquisición, instalación y puesta en funcionamiento de un equipo de Cromatografía Iónica con detector de conductividad, supresor, automuestreador, consumibles y demás accesorios y periféricos requeridos para su adecuado funcionamiento, para la sede Manizales de la dirección de laboratorios del Servicio Geológico Colombiano.</w:t>
      </w:r>
      <w:r>
        <w:rPr>
          <w:rFonts w:ascii="Verdana" w:eastAsia="Verdana" w:hAnsi="Verdana" w:cs="Verdana"/>
          <w:color w:val="000000"/>
          <w:sz w:val="20"/>
          <w:szCs w:val="20"/>
        </w:rPr>
        <w:t>”, para determinar las obligaciones del Estado Colombiano incluidas en los Acuerdos Comerciales, se realiza el análisis siguiendo los lineamientos incluidos en el Manual para el manejo de los Acuerdos Comerciales en Procesos de Contratación, de Colombia Compra Eficiente CCE-EICP-MA-03. Del análisis de presenta el siguiente resultado:</w:t>
      </w:r>
    </w:p>
    <w:p w14:paraId="096CB8ED" w14:textId="77777777" w:rsidR="00FE4366" w:rsidRDefault="00FE4366">
      <w:pPr>
        <w:pBdr>
          <w:top w:val="nil"/>
          <w:left w:val="nil"/>
          <w:bottom w:val="nil"/>
          <w:right w:val="nil"/>
          <w:between w:val="nil"/>
        </w:pBdr>
        <w:jc w:val="both"/>
        <w:rPr>
          <w:rFonts w:ascii="Verdana" w:eastAsia="Verdana" w:hAnsi="Verdana" w:cs="Verdana"/>
          <w:color w:val="000000"/>
          <w:sz w:val="20"/>
          <w:szCs w:val="20"/>
        </w:rPr>
      </w:pPr>
    </w:p>
    <w:tbl>
      <w:tblPr>
        <w:tblStyle w:val="a"/>
        <w:tblW w:w="99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307"/>
        <w:gridCol w:w="1143"/>
        <w:gridCol w:w="1163"/>
        <w:gridCol w:w="1695"/>
        <w:gridCol w:w="1535"/>
        <w:gridCol w:w="1985"/>
      </w:tblGrid>
      <w:tr w:rsidR="00FE4366" w14:paraId="12552A10" w14:textId="77777777">
        <w:trPr>
          <w:trHeight w:val="1017"/>
        </w:trPr>
        <w:tc>
          <w:tcPr>
            <w:tcW w:w="2436" w:type="dxa"/>
            <w:gridSpan w:val="2"/>
            <w:shd w:val="clear" w:color="auto" w:fill="F2F2F2"/>
            <w:vAlign w:val="center"/>
          </w:tcPr>
          <w:p w14:paraId="2AFF1E7C"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Acuerdo comercial</w:t>
            </w:r>
          </w:p>
        </w:tc>
        <w:tc>
          <w:tcPr>
            <w:tcW w:w="1143" w:type="dxa"/>
            <w:shd w:val="clear" w:color="auto" w:fill="F2F2F2"/>
          </w:tcPr>
          <w:p w14:paraId="18415257" w14:textId="77777777" w:rsidR="00FE4366" w:rsidRDefault="00FE4366">
            <w:pPr>
              <w:jc w:val="both"/>
              <w:rPr>
                <w:rFonts w:ascii="Verdana" w:eastAsia="Verdana" w:hAnsi="Verdana" w:cs="Verdana"/>
                <w:sz w:val="18"/>
                <w:szCs w:val="18"/>
              </w:rPr>
            </w:pPr>
          </w:p>
          <w:p w14:paraId="1D009E89" w14:textId="77777777" w:rsidR="00FE4366" w:rsidRDefault="00FE4366">
            <w:pPr>
              <w:jc w:val="both"/>
              <w:rPr>
                <w:rFonts w:ascii="Verdana" w:eastAsia="Verdana" w:hAnsi="Verdana" w:cs="Verdana"/>
                <w:sz w:val="18"/>
                <w:szCs w:val="18"/>
              </w:rPr>
            </w:pPr>
          </w:p>
          <w:p w14:paraId="3BCEB9D3" w14:textId="77777777" w:rsidR="00FE4366" w:rsidRDefault="00FE4366">
            <w:pPr>
              <w:jc w:val="both"/>
              <w:rPr>
                <w:rFonts w:ascii="Verdana" w:eastAsia="Verdana" w:hAnsi="Verdana" w:cs="Verdana"/>
                <w:sz w:val="18"/>
                <w:szCs w:val="18"/>
              </w:rPr>
            </w:pPr>
          </w:p>
          <w:p w14:paraId="04BB9525"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¿Vigente?</w:t>
            </w:r>
          </w:p>
        </w:tc>
        <w:tc>
          <w:tcPr>
            <w:tcW w:w="1163" w:type="dxa"/>
            <w:shd w:val="clear" w:color="auto" w:fill="F2F2F2"/>
            <w:vAlign w:val="center"/>
          </w:tcPr>
          <w:p w14:paraId="2B55567A"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Entidad Estatal cubierta</w:t>
            </w:r>
          </w:p>
        </w:tc>
        <w:tc>
          <w:tcPr>
            <w:tcW w:w="1695" w:type="dxa"/>
            <w:shd w:val="clear" w:color="auto" w:fill="F2F2F2"/>
            <w:vAlign w:val="center"/>
          </w:tcPr>
          <w:p w14:paraId="03E35C58"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Valor del Proceso de Contratación superior al umbral del Acuerdo Comercial</w:t>
            </w:r>
          </w:p>
        </w:tc>
        <w:tc>
          <w:tcPr>
            <w:tcW w:w="1535" w:type="dxa"/>
            <w:shd w:val="clear" w:color="auto" w:fill="F2F2F2"/>
            <w:vAlign w:val="center"/>
          </w:tcPr>
          <w:p w14:paraId="445A3D29"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Excepción aplicable al proceso de contratación</w:t>
            </w:r>
          </w:p>
        </w:tc>
        <w:tc>
          <w:tcPr>
            <w:tcW w:w="1985" w:type="dxa"/>
            <w:shd w:val="clear" w:color="auto" w:fill="F2F2F2"/>
            <w:vAlign w:val="center"/>
          </w:tcPr>
          <w:p w14:paraId="54E939A4"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Proceso de contratación cubierto por el acuerdo comercial</w:t>
            </w:r>
          </w:p>
        </w:tc>
      </w:tr>
      <w:tr w:rsidR="00FE4366" w14:paraId="6BD64118" w14:textId="77777777">
        <w:trPr>
          <w:trHeight w:val="141"/>
        </w:trPr>
        <w:tc>
          <w:tcPr>
            <w:tcW w:w="1129" w:type="dxa"/>
            <w:vMerge w:val="restart"/>
            <w:vAlign w:val="center"/>
          </w:tcPr>
          <w:p w14:paraId="683B6759"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Alianza Pacífico</w:t>
            </w:r>
          </w:p>
        </w:tc>
        <w:tc>
          <w:tcPr>
            <w:tcW w:w="1307" w:type="dxa"/>
          </w:tcPr>
          <w:p w14:paraId="49F8C2BC"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Chile</w:t>
            </w:r>
          </w:p>
        </w:tc>
        <w:tc>
          <w:tcPr>
            <w:tcW w:w="1143" w:type="dxa"/>
            <w:vAlign w:val="center"/>
          </w:tcPr>
          <w:p w14:paraId="6753745F"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vAlign w:val="center"/>
          </w:tcPr>
          <w:p w14:paraId="07A444B2"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43EC0E8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vAlign w:val="center"/>
          </w:tcPr>
          <w:p w14:paraId="51F5E473"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vAlign w:val="center"/>
          </w:tcPr>
          <w:p w14:paraId="6149EB57"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r>
      <w:tr w:rsidR="00FE4366" w14:paraId="38F495E9" w14:textId="77777777">
        <w:trPr>
          <w:trHeight w:val="141"/>
        </w:trPr>
        <w:tc>
          <w:tcPr>
            <w:tcW w:w="1129" w:type="dxa"/>
            <w:vMerge/>
            <w:vAlign w:val="center"/>
          </w:tcPr>
          <w:p w14:paraId="158C236B" w14:textId="77777777" w:rsidR="00FE4366" w:rsidRDefault="00FE4366">
            <w:pPr>
              <w:widowControl w:val="0"/>
              <w:pBdr>
                <w:top w:val="nil"/>
                <w:left w:val="nil"/>
                <w:bottom w:val="nil"/>
                <w:right w:val="nil"/>
                <w:between w:val="nil"/>
              </w:pBdr>
              <w:spacing w:line="276" w:lineRule="auto"/>
              <w:rPr>
                <w:rFonts w:ascii="Verdana" w:eastAsia="Verdana" w:hAnsi="Verdana" w:cs="Verdana"/>
                <w:sz w:val="18"/>
                <w:szCs w:val="18"/>
              </w:rPr>
            </w:pPr>
          </w:p>
        </w:tc>
        <w:tc>
          <w:tcPr>
            <w:tcW w:w="1307" w:type="dxa"/>
          </w:tcPr>
          <w:p w14:paraId="3C37705A"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México</w:t>
            </w:r>
          </w:p>
        </w:tc>
        <w:tc>
          <w:tcPr>
            <w:tcW w:w="1143" w:type="dxa"/>
            <w:vAlign w:val="center"/>
          </w:tcPr>
          <w:p w14:paraId="35DDF42E"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163" w:type="dxa"/>
            <w:vAlign w:val="center"/>
          </w:tcPr>
          <w:p w14:paraId="1EED4721"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0FCE7C3B"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535" w:type="dxa"/>
            <w:vAlign w:val="center"/>
          </w:tcPr>
          <w:p w14:paraId="7F80A298"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NO</w:t>
            </w:r>
          </w:p>
        </w:tc>
        <w:tc>
          <w:tcPr>
            <w:tcW w:w="1985" w:type="dxa"/>
            <w:vAlign w:val="center"/>
          </w:tcPr>
          <w:p w14:paraId="04EAA625"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r>
      <w:tr w:rsidR="00FE4366" w14:paraId="74FC63F4" w14:textId="77777777">
        <w:trPr>
          <w:trHeight w:val="141"/>
        </w:trPr>
        <w:tc>
          <w:tcPr>
            <w:tcW w:w="1129" w:type="dxa"/>
            <w:vMerge/>
            <w:vAlign w:val="center"/>
          </w:tcPr>
          <w:p w14:paraId="1A27D587" w14:textId="77777777" w:rsidR="00FE4366" w:rsidRDefault="00FE4366">
            <w:pPr>
              <w:widowControl w:val="0"/>
              <w:pBdr>
                <w:top w:val="nil"/>
                <w:left w:val="nil"/>
                <w:bottom w:val="nil"/>
                <w:right w:val="nil"/>
                <w:between w:val="nil"/>
              </w:pBdr>
              <w:spacing w:line="276" w:lineRule="auto"/>
              <w:rPr>
                <w:rFonts w:ascii="Verdana" w:eastAsia="Verdana" w:hAnsi="Verdana" w:cs="Verdana"/>
                <w:sz w:val="18"/>
                <w:szCs w:val="18"/>
              </w:rPr>
            </w:pPr>
          </w:p>
        </w:tc>
        <w:tc>
          <w:tcPr>
            <w:tcW w:w="1307" w:type="dxa"/>
          </w:tcPr>
          <w:p w14:paraId="05375345"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Perú</w:t>
            </w:r>
          </w:p>
        </w:tc>
        <w:tc>
          <w:tcPr>
            <w:tcW w:w="1143" w:type="dxa"/>
            <w:vAlign w:val="center"/>
          </w:tcPr>
          <w:p w14:paraId="36822C86"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163" w:type="dxa"/>
            <w:vAlign w:val="center"/>
          </w:tcPr>
          <w:p w14:paraId="3AF2DBD5"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11E85B57"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c>
          <w:tcPr>
            <w:tcW w:w="1535" w:type="dxa"/>
            <w:vAlign w:val="center"/>
          </w:tcPr>
          <w:p w14:paraId="1A04CDBB"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NO</w:t>
            </w:r>
          </w:p>
        </w:tc>
        <w:tc>
          <w:tcPr>
            <w:tcW w:w="1985" w:type="dxa"/>
            <w:vAlign w:val="center"/>
          </w:tcPr>
          <w:p w14:paraId="45555075" w14:textId="77777777" w:rsidR="00FE4366" w:rsidRDefault="005D365B">
            <w:pPr>
              <w:widowControl w:val="0"/>
              <w:pBdr>
                <w:top w:val="nil"/>
                <w:left w:val="nil"/>
                <w:bottom w:val="nil"/>
                <w:right w:val="nil"/>
                <w:between w:val="nil"/>
              </w:pBdr>
              <w:spacing w:line="276" w:lineRule="auto"/>
              <w:jc w:val="center"/>
              <w:rPr>
                <w:rFonts w:ascii="Verdana" w:eastAsia="Verdana" w:hAnsi="Verdana" w:cs="Verdana"/>
                <w:sz w:val="18"/>
                <w:szCs w:val="18"/>
              </w:rPr>
            </w:pPr>
            <w:r>
              <w:rPr>
                <w:rFonts w:ascii="Verdana" w:eastAsia="Verdana" w:hAnsi="Verdana" w:cs="Verdana"/>
                <w:sz w:val="18"/>
                <w:szCs w:val="18"/>
              </w:rPr>
              <w:t>SI</w:t>
            </w:r>
          </w:p>
        </w:tc>
      </w:tr>
      <w:tr w:rsidR="00FE4366" w14:paraId="62F98B33" w14:textId="77777777">
        <w:trPr>
          <w:trHeight w:val="258"/>
        </w:trPr>
        <w:tc>
          <w:tcPr>
            <w:tcW w:w="2436" w:type="dxa"/>
            <w:gridSpan w:val="2"/>
          </w:tcPr>
          <w:p w14:paraId="11938479"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Canadá</w:t>
            </w:r>
          </w:p>
        </w:tc>
        <w:tc>
          <w:tcPr>
            <w:tcW w:w="1143" w:type="dxa"/>
          </w:tcPr>
          <w:p w14:paraId="634DE11C"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3DC1D021"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4F5A5D7A"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58C0E2D7"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7ACB43E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1450573D" w14:textId="77777777">
        <w:trPr>
          <w:trHeight w:val="242"/>
        </w:trPr>
        <w:tc>
          <w:tcPr>
            <w:tcW w:w="2436" w:type="dxa"/>
            <w:gridSpan w:val="2"/>
            <w:vAlign w:val="center"/>
          </w:tcPr>
          <w:p w14:paraId="1A5E150C"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Chile</w:t>
            </w:r>
          </w:p>
        </w:tc>
        <w:tc>
          <w:tcPr>
            <w:tcW w:w="1143" w:type="dxa"/>
          </w:tcPr>
          <w:p w14:paraId="265A27F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6BBB9720"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16A19E83"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514AD30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3E8F2377"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1F2EC600" w14:textId="77777777">
        <w:trPr>
          <w:trHeight w:val="258"/>
        </w:trPr>
        <w:tc>
          <w:tcPr>
            <w:tcW w:w="2436" w:type="dxa"/>
            <w:gridSpan w:val="2"/>
          </w:tcPr>
          <w:p w14:paraId="692F6BD1"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Corea</w:t>
            </w:r>
          </w:p>
        </w:tc>
        <w:tc>
          <w:tcPr>
            <w:tcW w:w="1143" w:type="dxa"/>
          </w:tcPr>
          <w:p w14:paraId="5B4814A7"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774D41CD"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69E24E54"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29E3EC4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27EBE14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3BFDC98F" w14:textId="77777777">
        <w:trPr>
          <w:trHeight w:val="242"/>
        </w:trPr>
        <w:tc>
          <w:tcPr>
            <w:tcW w:w="2436" w:type="dxa"/>
            <w:gridSpan w:val="2"/>
          </w:tcPr>
          <w:p w14:paraId="606EB9FA"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Costa Rica</w:t>
            </w:r>
          </w:p>
        </w:tc>
        <w:tc>
          <w:tcPr>
            <w:tcW w:w="1143" w:type="dxa"/>
          </w:tcPr>
          <w:p w14:paraId="12E18CB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71DFA9E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2C86254A"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3151530A"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17EB613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55E3F73B" w14:textId="77777777">
        <w:trPr>
          <w:trHeight w:val="258"/>
        </w:trPr>
        <w:tc>
          <w:tcPr>
            <w:tcW w:w="2436" w:type="dxa"/>
            <w:gridSpan w:val="2"/>
          </w:tcPr>
          <w:p w14:paraId="122A4479"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Estados Unidos</w:t>
            </w:r>
          </w:p>
        </w:tc>
        <w:tc>
          <w:tcPr>
            <w:tcW w:w="1143" w:type="dxa"/>
          </w:tcPr>
          <w:p w14:paraId="7A91A16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3FEA0F9D"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1165C531"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084AA366"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326B352E"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1134ACA9" w14:textId="77777777">
        <w:trPr>
          <w:trHeight w:val="242"/>
        </w:trPr>
        <w:tc>
          <w:tcPr>
            <w:tcW w:w="2436" w:type="dxa"/>
            <w:gridSpan w:val="2"/>
          </w:tcPr>
          <w:p w14:paraId="25908440"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 xml:space="preserve">Estados AELC </w:t>
            </w:r>
            <w:r>
              <w:rPr>
                <w:rFonts w:ascii="Verdana" w:eastAsia="Verdana" w:hAnsi="Verdana" w:cs="Verdana"/>
                <w:b/>
                <w:sz w:val="18"/>
                <w:szCs w:val="18"/>
                <w:vertAlign w:val="superscript"/>
              </w:rPr>
              <w:footnoteReference w:id="1"/>
            </w:r>
          </w:p>
        </w:tc>
        <w:tc>
          <w:tcPr>
            <w:tcW w:w="1143" w:type="dxa"/>
          </w:tcPr>
          <w:p w14:paraId="342E61B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72679AD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0BAC49DB" w14:textId="483BD252" w:rsidR="00FE4366" w:rsidRDefault="007540F7">
            <w:pPr>
              <w:jc w:val="center"/>
              <w:rPr>
                <w:rFonts w:ascii="Verdana" w:eastAsia="Verdana" w:hAnsi="Verdana" w:cs="Verdana"/>
                <w:sz w:val="18"/>
                <w:szCs w:val="18"/>
              </w:rPr>
            </w:pPr>
            <w:r>
              <w:rPr>
                <w:rFonts w:ascii="Verdana" w:eastAsia="Verdana" w:hAnsi="Verdana" w:cs="Verdana"/>
                <w:sz w:val="18"/>
                <w:szCs w:val="18"/>
              </w:rPr>
              <w:t>NO</w:t>
            </w:r>
          </w:p>
        </w:tc>
        <w:tc>
          <w:tcPr>
            <w:tcW w:w="1535" w:type="dxa"/>
          </w:tcPr>
          <w:p w14:paraId="6B9A13EC"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10FB3BE0"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37E25BBF" w14:textId="77777777">
        <w:trPr>
          <w:trHeight w:val="258"/>
        </w:trPr>
        <w:tc>
          <w:tcPr>
            <w:tcW w:w="2436" w:type="dxa"/>
            <w:gridSpan w:val="2"/>
          </w:tcPr>
          <w:p w14:paraId="2CD09049"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México</w:t>
            </w:r>
          </w:p>
        </w:tc>
        <w:tc>
          <w:tcPr>
            <w:tcW w:w="1143" w:type="dxa"/>
          </w:tcPr>
          <w:p w14:paraId="583BFF8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10C6FB6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3CA71640"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710D76CE"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2C93A9B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611DB2BA" w14:textId="77777777">
        <w:trPr>
          <w:trHeight w:val="141"/>
        </w:trPr>
        <w:tc>
          <w:tcPr>
            <w:tcW w:w="1129" w:type="dxa"/>
            <w:vMerge w:val="restart"/>
            <w:vAlign w:val="center"/>
          </w:tcPr>
          <w:p w14:paraId="01E683CF"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Triángulo Norte</w:t>
            </w:r>
          </w:p>
        </w:tc>
        <w:tc>
          <w:tcPr>
            <w:tcW w:w="1307" w:type="dxa"/>
          </w:tcPr>
          <w:p w14:paraId="035B5260"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El Salvador</w:t>
            </w:r>
          </w:p>
        </w:tc>
        <w:tc>
          <w:tcPr>
            <w:tcW w:w="1143" w:type="dxa"/>
          </w:tcPr>
          <w:p w14:paraId="6173ECDD"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3752CFC4"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7EF9558F"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3E545A77"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451F6976"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r>
      <w:tr w:rsidR="00FE4366" w14:paraId="45700748" w14:textId="77777777">
        <w:trPr>
          <w:trHeight w:val="141"/>
        </w:trPr>
        <w:tc>
          <w:tcPr>
            <w:tcW w:w="1129" w:type="dxa"/>
            <w:vMerge/>
            <w:vAlign w:val="center"/>
          </w:tcPr>
          <w:p w14:paraId="4B5E61C3" w14:textId="77777777" w:rsidR="00FE4366" w:rsidRDefault="00FE4366">
            <w:pPr>
              <w:widowControl w:val="0"/>
              <w:pBdr>
                <w:top w:val="nil"/>
                <w:left w:val="nil"/>
                <w:bottom w:val="nil"/>
                <w:right w:val="nil"/>
                <w:between w:val="nil"/>
              </w:pBdr>
              <w:spacing w:line="276" w:lineRule="auto"/>
              <w:rPr>
                <w:rFonts w:ascii="Verdana" w:eastAsia="Verdana" w:hAnsi="Verdana" w:cs="Verdana"/>
                <w:sz w:val="18"/>
                <w:szCs w:val="18"/>
              </w:rPr>
            </w:pPr>
          </w:p>
        </w:tc>
        <w:tc>
          <w:tcPr>
            <w:tcW w:w="1307" w:type="dxa"/>
          </w:tcPr>
          <w:p w14:paraId="7ED947A8"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Guatemala</w:t>
            </w:r>
          </w:p>
        </w:tc>
        <w:tc>
          <w:tcPr>
            <w:tcW w:w="1143" w:type="dxa"/>
          </w:tcPr>
          <w:p w14:paraId="709F05B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1FAB5044"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0A331440"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649CA30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68274431"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r>
      <w:tr w:rsidR="00FE4366" w14:paraId="00EC219B" w14:textId="77777777">
        <w:trPr>
          <w:trHeight w:val="141"/>
        </w:trPr>
        <w:tc>
          <w:tcPr>
            <w:tcW w:w="1129" w:type="dxa"/>
            <w:vMerge/>
            <w:vAlign w:val="center"/>
          </w:tcPr>
          <w:p w14:paraId="75D43C2E" w14:textId="77777777" w:rsidR="00FE4366" w:rsidRDefault="00FE4366">
            <w:pPr>
              <w:widowControl w:val="0"/>
              <w:pBdr>
                <w:top w:val="nil"/>
                <w:left w:val="nil"/>
                <w:bottom w:val="nil"/>
                <w:right w:val="nil"/>
                <w:between w:val="nil"/>
              </w:pBdr>
              <w:spacing w:line="276" w:lineRule="auto"/>
              <w:rPr>
                <w:rFonts w:ascii="Verdana" w:eastAsia="Verdana" w:hAnsi="Verdana" w:cs="Verdana"/>
                <w:sz w:val="18"/>
                <w:szCs w:val="18"/>
              </w:rPr>
            </w:pPr>
          </w:p>
        </w:tc>
        <w:tc>
          <w:tcPr>
            <w:tcW w:w="1307" w:type="dxa"/>
          </w:tcPr>
          <w:p w14:paraId="6A15A78C"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Honduras</w:t>
            </w:r>
          </w:p>
        </w:tc>
        <w:tc>
          <w:tcPr>
            <w:tcW w:w="1143" w:type="dxa"/>
          </w:tcPr>
          <w:p w14:paraId="5BC982FE"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5CB34202"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63F82A9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42875B0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5DBB9912"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54A208EC" w14:textId="77777777">
        <w:trPr>
          <w:trHeight w:val="258"/>
        </w:trPr>
        <w:tc>
          <w:tcPr>
            <w:tcW w:w="2436" w:type="dxa"/>
            <w:gridSpan w:val="2"/>
            <w:vAlign w:val="center"/>
          </w:tcPr>
          <w:p w14:paraId="7DD1F785"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 xml:space="preserve">Unión Europea </w:t>
            </w:r>
            <w:r>
              <w:rPr>
                <w:rFonts w:ascii="Verdana" w:eastAsia="Verdana" w:hAnsi="Verdana" w:cs="Verdana"/>
                <w:b/>
                <w:sz w:val="18"/>
                <w:szCs w:val="18"/>
                <w:vertAlign w:val="superscript"/>
              </w:rPr>
              <w:footnoteReference w:id="2"/>
            </w:r>
          </w:p>
        </w:tc>
        <w:tc>
          <w:tcPr>
            <w:tcW w:w="1143" w:type="dxa"/>
          </w:tcPr>
          <w:p w14:paraId="7B119CB4"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6DB5A6A4"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6CC6C827" w14:textId="0174FC17" w:rsidR="00FE4366" w:rsidRDefault="007540F7">
            <w:pPr>
              <w:jc w:val="center"/>
              <w:rPr>
                <w:rFonts w:ascii="Verdana" w:eastAsia="Verdana" w:hAnsi="Verdana" w:cs="Verdana"/>
                <w:sz w:val="18"/>
                <w:szCs w:val="18"/>
              </w:rPr>
            </w:pPr>
            <w:r>
              <w:rPr>
                <w:rFonts w:ascii="Verdana" w:eastAsia="Verdana" w:hAnsi="Verdana" w:cs="Verdana"/>
                <w:sz w:val="18"/>
                <w:szCs w:val="18"/>
              </w:rPr>
              <w:t>NO</w:t>
            </w:r>
          </w:p>
        </w:tc>
        <w:tc>
          <w:tcPr>
            <w:tcW w:w="1535" w:type="dxa"/>
          </w:tcPr>
          <w:p w14:paraId="20F973A2"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1CD5E43F"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26E6880B" w14:textId="77777777">
        <w:trPr>
          <w:trHeight w:val="258"/>
        </w:trPr>
        <w:tc>
          <w:tcPr>
            <w:tcW w:w="2436" w:type="dxa"/>
            <w:gridSpan w:val="2"/>
            <w:vAlign w:val="center"/>
          </w:tcPr>
          <w:p w14:paraId="673D1CE0"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Israel</w:t>
            </w:r>
          </w:p>
        </w:tc>
        <w:tc>
          <w:tcPr>
            <w:tcW w:w="1143" w:type="dxa"/>
          </w:tcPr>
          <w:p w14:paraId="2E89A0BB"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70E7FA3A"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0E776A2D"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1630F16E"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6EAABB76"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67B6DBA4" w14:textId="77777777">
        <w:trPr>
          <w:trHeight w:val="258"/>
        </w:trPr>
        <w:tc>
          <w:tcPr>
            <w:tcW w:w="2436" w:type="dxa"/>
            <w:gridSpan w:val="2"/>
            <w:vAlign w:val="center"/>
          </w:tcPr>
          <w:p w14:paraId="74FDD04E"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Reino Unido e Irlanda del Norte</w:t>
            </w:r>
          </w:p>
        </w:tc>
        <w:tc>
          <w:tcPr>
            <w:tcW w:w="1143" w:type="dxa"/>
          </w:tcPr>
          <w:p w14:paraId="482D3706"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09A4B03C"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695" w:type="dxa"/>
          </w:tcPr>
          <w:p w14:paraId="0E09931D" w14:textId="532C2256" w:rsidR="00FE4366" w:rsidRDefault="00E41CB3">
            <w:pPr>
              <w:jc w:val="center"/>
              <w:rPr>
                <w:rFonts w:ascii="Verdana" w:eastAsia="Verdana" w:hAnsi="Verdana" w:cs="Verdana"/>
                <w:sz w:val="18"/>
                <w:szCs w:val="18"/>
              </w:rPr>
            </w:pPr>
            <w:r>
              <w:rPr>
                <w:rFonts w:ascii="Verdana" w:eastAsia="Verdana" w:hAnsi="Verdana" w:cs="Verdana"/>
                <w:sz w:val="18"/>
                <w:szCs w:val="18"/>
              </w:rPr>
              <w:t>NO</w:t>
            </w:r>
          </w:p>
        </w:tc>
        <w:tc>
          <w:tcPr>
            <w:tcW w:w="1535" w:type="dxa"/>
          </w:tcPr>
          <w:p w14:paraId="205D848C"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3EB2AD80"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r>
      <w:tr w:rsidR="00FE4366" w14:paraId="23F403C2" w14:textId="77777777">
        <w:trPr>
          <w:trHeight w:val="242"/>
        </w:trPr>
        <w:tc>
          <w:tcPr>
            <w:tcW w:w="2436" w:type="dxa"/>
            <w:gridSpan w:val="2"/>
            <w:vAlign w:val="center"/>
          </w:tcPr>
          <w:p w14:paraId="6D15221B" w14:textId="77777777" w:rsidR="00FE4366" w:rsidRDefault="005D365B">
            <w:pPr>
              <w:jc w:val="both"/>
              <w:rPr>
                <w:rFonts w:ascii="Verdana" w:eastAsia="Verdana" w:hAnsi="Verdana" w:cs="Verdana"/>
                <w:sz w:val="18"/>
                <w:szCs w:val="18"/>
              </w:rPr>
            </w:pPr>
            <w:r>
              <w:rPr>
                <w:rFonts w:ascii="Verdana" w:eastAsia="Verdana" w:hAnsi="Verdana" w:cs="Verdana"/>
                <w:sz w:val="18"/>
                <w:szCs w:val="18"/>
              </w:rPr>
              <w:t xml:space="preserve">Comunidad Andina </w:t>
            </w:r>
            <w:r>
              <w:rPr>
                <w:rFonts w:ascii="Verdana" w:eastAsia="Verdana" w:hAnsi="Verdana" w:cs="Verdana"/>
                <w:b/>
                <w:sz w:val="18"/>
                <w:szCs w:val="18"/>
                <w:vertAlign w:val="superscript"/>
              </w:rPr>
              <w:footnoteReference w:id="3"/>
            </w:r>
          </w:p>
        </w:tc>
        <w:tc>
          <w:tcPr>
            <w:tcW w:w="1143" w:type="dxa"/>
          </w:tcPr>
          <w:p w14:paraId="5ECA457E"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163" w:type="dxa"/>
          </w:tcPr>
          <w:p w14:paraId="10D8CAF8"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695" w:type="dxa"/>
          </w:tcPr>
          <w:p w14:paraId="67EF378D"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c>
          <w:tcPr>
            <w:tcW w:w="1535" w:type="dxa"/>
          </w:tcPr>
          <w:p w14:paraId="5F33038C"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NO</w:t>
            </w:r>
          </w:p>
        </w:tc>
        <w:tc>
          <w:tcPr>
            <w:tcW w:w="1985" w:type="dxa"/>
          </w:tcPr>
          <w:p w14:paraId="431BFE35" w14:textId="77777777" w:rsidR="00FE4366" w:rsidRDefault="005D365B">
            <w:pPr>
              <w:jc w:val="center"/>
              <w:rPr>
                <w:rFonts w:ascii="Verdana" w:eastAsia="Verdana" w:hAnsi="Verdana" w:cs="Verdana"/>
                <w:sz w:val="18"/>
                <w:szCs w:val="18"/>
              </w:rPr>
            </w:pPr>
            <w:r>
              <w:rPr>
                <w:rFonts w:ascii="Verdana" w:eastAsia="Verdana" w:hAnsi="Verdana" w:cs="Verdana"/>
                <w:sz w:val="18"/>
                <w:szCs w:val="18"/>
              </w:rPr>
              <w:t>SI</w:t>
            </w:r>
          </w:p>
        </w:tc>
      </w:tr>
    </w:tbl>
    <w:p w14:paraId="6340EE69" w14:textId="77777777" w:rsidR="00FE4366" w:rsidRDefault="005D365B">
      <w:pPr>
        <w:pBdr>
          <w:top w:val="nil"/>
          <w:left w:val="nil"/>
          <w:bottom w:val="nil"/>
          <w:right w:val="nil"/>
          <w:between w:val="nil"/>
        </w:pBdr>
        <w:rPr>
          <w:rFonts w:ascii="Verdana" w:eastAsia="Verdana" w:hAnsi="Verdana" w:cs="Verdana"/>
          <w:b/>
          <w:color w:val="000000"/>
          <w:sz w:val="20"/>
          <w:szCs w:val="20"/>
        </w:rPr>
      </w:pPr>
      <w:r>
        <w:rPr>
          <w:rFonts w:ascii="Verdana" w:eastAsia="Verdana" w:hAnsi="Verdana" w:cs="Verdana"/>
          <w:b/>
          <w:color w:val="000000"/>
          <w:sz w:val="20"/>
          <w:szCs w:val="20"/>
        </w:rPr>
        <w:t xml:space="preserve"> </w:t>
      </w:r>
    </w:p>
    <w:sectPr w:rsidR="00FE4366">
      <w:headerReference w:type="even" r:id="rId7"/>
      <w:headerReference w:type="default" r:id="rId8"/>
      <w:footerReference w:type="even" r:id="rId9"/>
      <w:footerReference w:type="default" r:id="rId10"/>
      <w:headerReference w:type="first" r:id="rId11"/>
      <w:footerReference w:type="first" r:id="rId12"/>
      <w:pgSz w:w="12240" w:h="15840"/>
      <w:pgMar w:top="1701"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9DD2F" w14:textId="77777777" w:rsidR="008E400B" w:rsidRDefault="008E400B">
      <w:r>
        <w:separator/>
      </w:r>
    </w:p>
  </w:endnote>
  <w:endnote w:type="continuationSeparator" w:id="0">
    <w:p w14:paraId="06B6FD8D" w14:textId="77777777" w:rsidR="008E400B" w:rsidRDefault="008E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5A767" w14:textId="77777777" w:rsidR="00FE4366" w:rsidRDefault="00FE4366">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4F730" w14:textId="77777777" w:rsidR="00FE4366" w:rsidRDefault="005D365B">
    <w:pPr>
      <w:spacing w:line="275" w:lineRule="auto"/>
      <w:jc w:val="both"/>
      <w:rPr>
        <w:rFonts w:ascii="Verdana" w:eastAsia="Verdana" w:hAnsi="Verdana" w:cs="Verdana"/>
        <w:color w:val="808080"/>
        <w:sz w:val="14"/>
        <w:szCs w:val="14"/>
      </w:rPr>
    </w:pPr>
    <w:r>
      <w:rPr>
        <w:rFonts w:ascii="Verdana" w:eastAsia="Verdana" w:hAnsi="Verdana" w:cs="Verdana"/>
        <w:color w:val="808080"/>
        <w:sz w:val="14"/>
        <w:szCs w:val="14"/>
      </w:rPr>
      <w:t>________________________________________________________________________</w:t>
    </w:r>
  </w:p>
  <w:p w14:paraId="701BEAB0" w14:textId="77777777" w:rsidR="00FE4366" w:rsidRDefault="005D365B">
    <w:pPr>
      <w:spacing w:line="275" w:lineRule="auto"/>
      <w:jc w:val="both"/>
      <w:rPr>
        <w:rFonts w:ascii="Verdana" w:eastAsia="Verdana" w:hAnsi="Verdana" w:cs="Verdana"/>
        <w:color w:val="808080"/>
        <w:sz w:val="14"/>
        <w:szCs w:val="14"/>
      </w:rPr>
    </w:pPr>
    <w:r>
      <w:rPr>
        <w:rFonts w:ascii="Verdana" w:eastAsia="Verdana" w:hAnsi="Verdana" w:cs="Verdana"/>
        <w:b/>
        <w:color w:val="808080"/>
        <w:sz w:val="14"/>
        <w:szCs w:val="14"/>
      </w:rPr>
      <w:t>Servicio Geológico Colombiano</w:t>
    </w:r>
  </w:p>
  <w:p w14:paraId="7A07649C" w14:textId="77777777" w:rsidR="00FE4366" w:rsidRDefault="005D365B">
    <w:pPr>
      <w:spacing w:line="275" w:lineRule="auto"/>
      <w:jc w:val="both"/>
      <w:rPr>
        <w:rFonts w:ascii="Verdana" w:eastAsia="Verdana" w:hAnsi="Verdana" w:cs="Verdana"/>
        <w:color w:val="808080"/>
        <w:sz w:val="14"/>
        <w:szCs w:val="14"/>
      </w:rPr>
    </w:pPr>
    <w:r>
      <w:rPr>
        <w:rFonts w:ascii="Verdana" w:eastAsia="Verdana" w:hAnsi="Verdana" w:cs="Verdana"/>
        <w:color w:val="808080"/>
        <w:sz w:val="14"/>
        <w:szCs w:val="14"/>
      </w:rPr>
      <w:t>Dirección: Diagonal 53 No. 34 - 53, Bogotá D.C., Colombia</w:t>
    </w:r>
  </w:p>
  <w:p w14:paraId="08ABAC7C" w14:textId="77777777" w:rsidR="00FE4366" w:rsidRDefault="005D365B">
    <w:pPr>
      <w:spacing w:line="275" w:lineRule="auto"/>
      <w:jc w:val="both"/>
      <w:rPr>
        <w:rFonts w:ascii="Verdana" w:eastAsia="Verdana" w:hAnsi="Verdana" w:cs="Verdana"/>
        <w:color w:val="808080"/>
        <w:sz w:val="14"/>
        <w:szCs w:val="14"/>
      </w:rPr>
    </w:pPr>
    <w:r>
      <w:rPr>
        <w:rFonts w:ascii="Verdana" w:eastAsia="Verdana" w:hAnsi="Verdana" w:cs="Verdana"/>
        <w:color w:val="808080"/>
        <w:sz w:val="14"/>
        <w:szCs w:val="14"/>
      </w:rPr>
      <w:t>Conmutador: (601) 220 0200 - (601) 220 0100 - (601) 222 1811</w:t>
    </w:r>
  </w:p>
  <w:p w14:paraId="3D04D59B" w14:textId="77777777" w:rsidR="00FE4366" w:rsidRDefault="005D365B">
    <w:pPr>
      <w:spacing w:line="275" w:lineRule="auto"/>
      <w:jc w:val="both"/>
      <w:rPr>
        <w:rFonts w:ascii="Verdana" w:eastAsia="Verdana" w:hAnsi="Verdana" w:cs="Verdana"/>
        <w:color w:val="808080"/>
        <w:sz w:val="14"/>
        <w:szCs w:val="14"/>
      </w:rPr>
    </w:pPr>
    <w:r>
      <w:rPr>
        <w:rFonts w:ascii="Verdana" w:eastAsia="Verdana" w:hAnsi="Verdana" w:cs="Verdana"/>
        <w:color w:val="808080"/>
        <w:sz w:val="14"/>
        <w:szCs w:val="14"/>
      </w:rPr>
      <w:t>Línea gratuita: (+57) 01 8000 913666</w:t>
    </w:r>
  </w:p>
  <w:p w14:paraId="7D837CDD" w14:textId="77777777" w:rsidR="00FE4366" w:rsidRDefault="005D365B">
    <w:pPr>
      <w:pBdr>
        <w:top w:val="nil"/>
        <w:left w:val="nil"/>
        <w:bottom w:val="nil"/>
        <w:right w:val="nil"/>
        <w:between w:val="nil"/>
      </w:pBdr>
      <w:tabs>
        <w:tab w:val="center" w:pos="4419"/>
        <w:tab w:val="right" w:pos="8838"/>
      </w:tabs>
      <w:jc w:val="right"/>
      <w:rPr>
        <w:rFonts w:ascii="Verdana" w:eastAsia="Verdana" w:hAnsi="Verdana" w:cs="Verdana"/>
        <w:color w:val="808080"/>
        <w:sz w:val="14"/>
        <w:szCs w:val="14"/>
      </w:rPr>
    </w:pPr>
    <w:r>
      <w:rPr>
        <w:rFonts w:ascii="Verdana" w:eastAsia="Verdana" w:hAnsi="Verdana" w:cs="Verdana"/>
        <w:color w:val="808080"/>
        <w:sz w:val="18"/>
        <w:szCs w:val="18"/>
      </w:rPr>
      <w:t>Página</w:t>
    </w:r>
    <w:r>
      <w:rPr>
        <w:rFonts w:ascii="Verdana" w:eastAsia="Verdana" w:hAnsi="Verdana" w:cs="Verdana"/>
        <w:color w:val="808080"/>
        <w:sz w:val="14"/>
        <w:szCs w:val="14"/>
      </w:rPr>
      <w:t xml:space="preserve"> </w:t>
    </w:r>
    <w:r>
      <w:rPr>
        <w:rFonts w:ascii="Verdana" w:eastAsia="Verdana" w:hAnsi="Verdana" w:cs="Verdana"/>
        <w:color w:val="808080"/>
        <w:sz w:val="14"/>
        <w:szCs w:val="14"/>
      </w:rPr>
      <w:fldChar w:fldCharType="begin"/>
    </w:r>
    <w:r>
      <w:rPr>
        <w:rFonts w:ascii="Verdana" w:eastAsia="Verdana" w:hAnsi="Verdana" w:cs="Verdana"/>
        <w:color w:val="808080"/>
        <w:sz w:val="14"/>
        <w:szCs w:val="14"/>
      </w:rPr>
      <w:instrText>PAGE</w:instrText>
    </w:r>
    <w:r>
      <w:rPr>
        <w:rFonts w:ascii="Verdana" w:eastAsia="Verdana" w:hAnsi="Verdana" w:cs="Verdana"/>
        <w:color w:val="808080"/>
        <w:sz w:val="14"/>
        <w:szCs w:val="14"/>
      </w:rPr>
      <w:fldChar w:fldCharType="separate"/>
    </w:r>
    <w:r w:rsidR="000A1AE5">
      <w:rPr>
        <w:rFonts w:ascii="Verdana" w:eastAsia="Verdana" w:hAnsi="Verdana" w:cs="Verdana"/>
        <w:noProof/>
        <w:color w:val="808080"/>
        <w:sz w:val="14"/>
        <w:szCs w:val="14"/>
      </w:rPr>
      <w:t>1</w:t>
    </w:r>
    <w:r>
      <w:rPr>
        <w:rFonts w:ascii="Verdana" w:eastAsia="Verdana" w:hAnsi="Verdana" w:cs="Verdana"/>
        <w:color w:val="808080"/>
        <w:sz w:val="14"/>
        <w:szCs w:val="14"/>
      </w:rPr>
      <w:fldChar w:fldCharType="end"/>
    </w:r>
    <w:r>
      <w:rPr>
        <w:rFonts w:ascii="Verdana" w:eastAsia="Verdana" w:hAnsi="Verdana" w:cs="Verdana"/>
        <w:color w:val="808080"/>
        <w:sz w:val="14"/>
        <w:szCs w:val="14"/>
      </w:rPr>
      <w:t xml:space="preserve"> | </w:t>
    </w:r>
    <w:r>
      <w:rPr>
        <w:rFonts w:ascii="Verdana" w:eastAsia="Verdana" w:hAnsi="Verdana" w:cs="Verdana"/>
        <w:color w:val="808080"/>
        <w:sz w:val="14"/>
        <w:szCs w:val="14"/>
      </w:rPr>
      <w:fldChar w:fldCharType="begin"/>
    </w:r>
    <w:r>
      <w:rPr>
        <w:rFonts w:ascii="Verdana" w:eastAsia="Verdana" w:hAnsi="Verdana" w:cs="Verdana"/>
        <w:color w:val="808080"/>
        <w:sz w:val="14"/>
        <w:szCs w:val="14"/>
      </w:rPr>
      <w:instrText>NUMPAGES</w:instrText>
    </w:r>
    <w:r>
      <w:rPr>
        <w:rFonts w:ascii="Verdana" w:eastAsia="Verdana" w:hAnsi="Verdana" w:cs="Verdana"/>
        <w:color w:val="808080"/>
        <w:sz w:val="14"/>
        <w:szCs w:val="14"/>
      </w:rPr>
      <w:fldChar w:fldCharType="separate"/>
    </w:r>
    <w:r w:rsidR="000A1AE5">
      <w:rPr>
        <w:rFonts w:ascii="Verdana" w:eastAsia="Verdana" w:hAnsi="Verdana" w:cs="Verdana"/>
        <w:noProof/>
        <w:color w:val="808080"/>
        <w:sz w:val="14"/>
        <w:szCs w:val="14"/>
      </w:rPr>
      <w:t>1</w:t>
    </w:r>
    <w:r>
      <w:rPr>
        <w:rFonts w:ascii="Verdana" w:eastAsia="Verdana" w:hAnsi="Verdana" w:cs="Verdana"/>
        <w:color w:val="808080"/>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64D9E" w14:textId="77777777" w:rsidR="00FE4366" w:rsidRDefault="00FE4366">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D3705" w14:textId="77777777" w:rsidR="008E400B" w:rsidRDefault="008E400B">
      <w:r>
        <w:separator/>
      </w:r>
    </w:p>
  </w:footnote>
  <w:footnote w:type="continuationSeparator" w:id="0">
    <w:p w14:paraId="3A14308B" w14:textId="77777777" w:rsidR="008E400B" w:rsidRDefault="008E400B">
      <w:r>
        <w:continuationSeparator/>
      </w:r>
    </w:p>
  </w:footnote>
  <w:footnote w:id="1">
    <w:p w14:paraId="187E0A20" w14:textId="77777777" w:rsidR="00FE4366" w:rsidRDefault="005D365B">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Islandia, Liechtenstein, Noruega y Suiza</w:t>
      </w:r>
    </w:p>
  </w:footnote>
  <w:footnote w:id="2">
    <w:p w14:paraId="36571EDB" w14:textId="77777777" w:rsidR="00FE4366" w:rsidRDefault="005D365B">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Alemania, Austria, Bélgica, Chipre, Dinamarca, Eslovaquia, España, Estonia, Finlandia, Francia, Grecia, Hungría, Irlanda, Italia, Letonia, Lituania, Luxemburgo, Países Bajos, Polonia, Portugal, Reino Unido, República Checa, Rumania y Suecia.</w:t>
      </w:r>
    </w:p>
  </w:footnote>
  <w:footnote w:id="3">
    <w:p w14:paraId="474777FF" w14:textId="77777777" w:rsidR="00FE4366" w:rsidRDefault="005D365B">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Colombia, Bolivia, Ecuador y Perú.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640CD" w14:textId="77777777" w:rsidR="00FE4366" w:rsidRDefault="00FE4366">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A242C" w14:textId="77777777" w:rsidR="00FE4366" w:rsidRDefault="005D365B">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5B945982" wp14:editId="653AB6A7">
          <wp:simplePos x="0" y="0"/>
          <wp:positionH relativeFrom="column">
            <wp:posOffset>2435065</wp:posOffset>
          </wp:positionH>
          <wp:positionV relativeFrom="paragraph">
            <wp:posOffset>-124459</wp:posOffset>
          </wp:positionV>
          <wp:extent cx="1462088" cy="635908"/>
          <wp:effectExtent l="0" t="0" r="0" b="0"/>
          <wp:wrapNone/>
          <wp:docPr id="8721893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2088" cy="635908"/>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3085" w14:textId="77777777" w:rsidR="00FE4366" w:rsidRDefault="00FE4366">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366"/>
    <w:rsid w:val="000A1AE5"/>
    <w:rsid w:val="005A7F3D"/>
    <w:rsid w:val="005D365B"/>
    <w:rsid w:val="00702052"/>
    <w:rsid w:val="007540F7"/>
    <w:rsid w:val="008D7A8B"/>
    <w:rsid w:val="008E400B"/>
    <w:rsid w:val="00A62556"/>
    <w:rsid w:val="00D66C5C"/>
    <w:rsid w:val="00E41CB3"/>
    <w:rsid w:val="00F25898"/>
    <w:rsid w:val="00FE43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8DDA"/>
  <w15:docId w15:val="{2904B24F-68CB-C84C-9A7C-440AB9417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uiPriority w:val="1"/>
    <w:qFormat/>
    <w:rsid w:val="00BC10BC"/>
    <w:rPr>
      <w:lang w:eastAsia="es-CO"/>
    </w:rPr>
  </w:style>
  <w:style w:type="paragraph" w:styleId="Encabezado">
    <w:name w:val="header"/>
    <w:basedOn w:val="Normal"/>
    <w:link w:val="EncabezadoCar"/>
    <w:uiPriority w:val="99"/>
    <w:unhideWhenUsed/>
    <w:rsid w:val="00F6790F"/>
    <w:pPr>
      <w:tabs>
        <w:tab w:val="center" w:pos="4419"/>
        <w:tab w:val="right" w:pos="8838"/>
      </w:tabs>
    </w:pPr>
  </w:style>
  <w:style w:type="character" w:customStyle="1" w:styleId="EncabezadoCar">
    <w:name w:val="Encabezado Car"/>
    <w:basedOn w:val="Fuentedeprrafopredeter"/>
    <w:link w:val="Encabezado"/>
    <w:uiPriority w:val="99"/>
    <w:rsid w:val="00F6790F"/>
    <w:rPr>
      <w:rFonts w:ascii="Times New Roman" w:eastAsia="Times New Roman" w:hAnsi="Times New Roman" w:cs="Times New Roman"/>
      <w:kern w:val="0"/>
      <w:sz w:val="24"/>
      <w:szCs w:val="24"/>
      <w:lang w:eastAsia="es-CO"/>
    </w:rPr>
  </w:style>
  <w:style w:type="paragraph" w:styleId="Piedepgina">
    <w:name w:val="footer"/>
    <w:basedOn w:val="Normal"/>
    <w:link w:val="PiedepginaCar"/>
    <w:uiPriority w:val="99"/>
    <w:unhideWhenUsed/>
    <w:rsid w:val="00F6790F"/>
    <w:pPr>
      <w:tabs>
        <w:tab w:val="center" w:pos="4419"/>
        <w:tab w:val="right" w:pos="8838"/>
      </w:tabs>
    </w:pPr>
  </w:style>
  <w:style w:type="character" w:customStyle="1" w:styleId="PiedepginaCar">
    <w:name w:val="Pie de página Car"/>
    <w:basedOn w:val="Fuentedeprrafopredeter"/>
    <w:link w:val="Piedepgina"/>
    <w:uiPriority w:val="99"/>
    <w:rsid w:val="00F6790F"/>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vsJr1o1+s9Vfb9gwKJ8m/fBiLA==">CgMxLjA4AGotChRzdWdnZXN0LnZqdTdwd2lxb3owcxIVRGFuaWVsYSBIZW5hbyBUYWJvcmRhai0KFHN1Z2dlc3QuOG5peHFoaXJ0em04EhVEYW5pZWxhIEhlbmFvIFRhYm9yZGFyITEwS0h3Q2ZNTksxaXJ0TG1hT3BqZUtjMVJIQk1iM1JOcA==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247</Words>
  <Characters>1363</Characters>
  <Application>Microsoft Office Word</Application>
  <DocSecurity>0</DocSecurity>
  <Lines>11</Lines>
  <Paragraphs>3</Paragraphs>
  <ScaleCrop>false</ScaleCrop>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MARIYENIS REGALADO BADILLO</dc:creator>
  <cp:lastModifiedBy>Jullieth Paola Reyes Corredor</cp:lastModifiedBy>
  <cp:revision>4</cp:revision>
  <dcterms:created xsi:type="dcterms:W3CDTF">2026-06-12T21:53:00Z</dcterms:created>
  <dcterms:modified xsi:type="dcterms:W3CDTF">2026-06-12T23:23:00Z</dcterms:modified>
</cp:coreProperties>
</file>