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688" w:rsidRPr="006B6688" w:rsidRDefault="006B6688" w:rsidP="006B668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  <w:sz w:val="20"/>
          <w:szCs w:val="20"/>
        </w:rPr>
      </w:pPr>
      <w:r w:rsidRPr="006B6688">
        <w:rPr>
          <w:rFonts w:ascii="Arial" w:eastAsia="Calibri" w:hAnsi="Arial" w:cs="Arial"/>
          <w:b/>
          <w:bCs/>
          <w:color w:val="000000"/>
          <w:sz w:val="20"/>
          <w:szCs w:val="20"/>
        </w:rPr>
        <w:t>ANEXO “</w:t>
      </w:r>
      <w:r w:rsidR="00E8254E">
        <w:rPr>
          <w:rFonts w:ascii="Arial" w:eastAsia="Calibri" w:hAnsi="Arial" w:cs="Arial"/>
          <w:b/>
          <w:bCs/>
          <w:color w:val="000000"/>
          <w:sz w:val="20"/>
          <w:szCs w:val="20"/>
        </w:rPr>
        <w:t>N</w:t>
      </w:r>
      <w:r w:rsidRPr="006B6688">
        <w:rPr>
          <w:rFonts w:ascii="Arial" w:eastAsia="Calibri" w:hAnsi="Arial" w:cs="Arial"/>
          <w:b/>
          <w:bCs/>
          <w:color w:val="000000"/>
          <w:sz w:val="20"/>
          <w:szCs w:val="20"/>
        </w:rPr>
        <w:t>”</w:t>
      </w:r>
    </w:p>
    <w:p w:rsidR="006B6688" w:rsidRPr="006B6688" w:rsidRDefault="006B6688" w:rsidP="006B668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:rsidR="006B6688" w:rsidRPr="006B6688" w:rsidRDefault="006B6688" w:rsidP="006B6688">
      <w:pPr>
        <w:spacing w:after="200" w:line="276" w:lineRule="auto"/>
        <w:ind w:left="142" w:right="191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6B668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“MATRIZ DE RIESGOS”</w:t>
      </w:r>
    </w:p>
    <w:p w:rsidR="006B6688" w:rsidRPr="006B6688" w:rsidRDefault="006B6688" w:rsidP="006B6688">
      <w:pPr>
        <w:spacing w:after="200" w:line="276" w:lineRule="auto"/>
        <w:jc w:val="center"/>
        <w:rPr>
          <w:rFonts w:ascii="Arial" w:eastAsia="Times New Roman" w:hAnsi="Arial" w:cs="Arial"/>
          <w:b/>
          <w:bCs/>
          <w:sz w:val="12"/>
          <w:szCs w:val="12"/>
          <w:lang w:eastAsia="es-CO"/>
        </w:rPr>
      </w:pPr>
      <w:r w:rsidRPr="006B6688">
        <w:rPr>
          <w:rFonts w:ascii="Arial" w:eastAsia="Times New Roman" w:hAnsi="Arial" w:cs="Arial"/>
          <w:b/>
          <w:bCs/>
          <w:sz w:val="12"/>
          <w:szCs w:val="12"/>
          <w:lang w:eastAsia="es-CO"/>
        </w:rPr>
        <w:t>Tabla 1 Matriz de riesgos</w:t>
      </w:r>
    </w:p>
    <w:tbl>
      <w:tblPr>
        <w:tblW w:w="9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8"/>
        <w:gridCol w:w="878"/>
        <w:gridCol w:w="1372"/>
        <w:gridCol w:w="1187"/>
        <w:gridCol w:w="299"/>
        <w:gridCol w:w="1418"/>
        <w:gridCol w:w="772"/>
        <w:gridCol w:w="1104"/>
        <w:gridCol w:w="772"/>
        <w:gridCol w:w="1403"/>
      </w:tblGrid>
      <w:tr w:rsidR="006B6688" w:rsidRPr="006B6688" w:rsidTr="00676CD1">
        <w:trPr>
          <w:trHeight w:val="184"/>
          <w:jc w:val="center"/>
        </w:trPr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b/>
                <w:sz w:val="12"/>
                <w:szCs w:val="12"/>
                <w:lang w:eastAsia="es-ES"/>
              </w:rPr>
              <w:t>NUMERICA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b/>
                <w:sz w:val="12"/>
                <w:szCs w:val="12"/>
                <w:lang w:eastAsia="es-ES"/>
              </w:rPr>
              <w:t>HISTORICA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</w:p>
        </w:tc>
        <w:tc>
          <w:tcPr>
            <w:tcW w:w="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</w:p>
        </w:tc>
        <w:tc>
          <w:tcPr>
            <w:tcW w:w="5469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808080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b/>
                <w:color w:val="FFFFFF"/>
                <w:sz w:val="12"/>
                <w:szCs w:val="12"/>
                <w:lang w:eastAsia="es-ES"/>
              </w:rPr>
              <w:t>IMPACTO</w:t>
            </w:r>
          </w:p>
        </w:tc>
      </w:tr>
      <w:tr w:rsidR="006B6688" w:rsidRPr="006B6688" w:rsidTr="00676CD1">
        <w:trPr>
          <w:trHeight w:val="171"/>
          <w:jc w:val="center"/>
        </w:trPr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noProof/>
                <w:sz w:val="12"/>
                <w:szCs w:val="12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8E1FFEE" wp14:editId="512430BD">
                      <wp:simplePos x="0" y="0"/>
                      <wp:positionH relativeFrom="column">
                        <wp:posOffset>313690</wp:posOffset>
                      </wp:positionH>
                      <wp:positionV relativeFrom="paragraph">
                        <wp:posOffset>15240</wp:posOffset>
                      </wp:positionV>
                      <wp:extent cx="123825" cy="142875"/>
                      <wp:effectExtent l="19050" t="0" r="47625" b="47625"/>
                      <wp:wrapNone/>
                      <wp:docPr id="57" name="Flecha abaj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23825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1ED048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Flecha abajo 2" o:spid="_x0000_s1026" type="#_x0000_t67" style="position:absolute;margin-left:24.7pt;margin-top:1.2pt;width:9.75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" adj="12240" fillcolor="#4f81bd" strokecolor="#385d8a" strokeweight="2pt">
                      <v:path arrowok="t"/>
                    </v:shape>
                  </w:pict>
                </mc:Fallback>
              </mc:AlternateConten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noProof/>
                <w:sz w:val="12"/>
                <w:szCs w:val="12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46EB659" wp14:editId="56565F8E">
                      <wp:simplePos x="0" y="0"/>
                      <wp:positionH relativeFrom="column">
                        <wp:posOffset>255905</wp:posOffset>
                      </wp:positionH>
                      <wp:positionV relativeFrom="paragraph">
                        <wp:posOffset>24765</wp:posOffset>
                      </wp:positionV>
                      <wp:extent cx="123825" cy="142875"/>
                      <wp:effectExtent l="19050" t="0" r="47625" b="47625"/>
                      <wp:wrapNone/>
                      <wp:docPr id="56" name="Flecha abaj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23825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1BD36B" id="Flecha abajo 3" o:spid="_x0000_s1026" type="#_x0000_t67" style="position:absolute;margin-left:20.15pt;margin-top:1.95pt;width:9.75pt;height:1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" adj="12240" fillcolor="#4f81bd" strokecolor="#385d8a" strokeweight="2pt">
                      <v:path arrowok="t"/>
                    </v:shape>
                  </w:pict>
                </mc:Fallback>
              </mc:AlternateConten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</w:p>
        </w:tc>
        <w:tc>
          <w:tcPr>
            <w:tcW w:w="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b/>
                <w:sz w:val="12"/>
                <w:szCs w:val="12"/>
                <w:lang w:eastAsia="es-ES"/>
              </w:rPr>
              <w:t>INSIGNIFICANTE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b/>
                <w:sz w:val="12"/>
                <w:szCs w:val="12"/>
                <w:lang w:eastAsia="es-ES"/>
              </w:rPr>
              <w:t>MENOR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b/>
                <w:sz w:val="12"/>
                <w:szCs w:val="12"/>
                <w:lang w:eastAsia="es-ES"/>
              </w:rPr>
              <w:t>MODERADO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b/>
                <w:sz w:val="12"/>
                <w:szCs w:val="12"/>
                <w:lang w:eastAsia="es-ES"/>
              </w:rPr>
              <w:t>MAYOR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b/>
                <w:sz w:val="12"/>
                <w:szCs w:val="12"/>
                <w:lang w:eastAsia="es-ES"/>
              </w:rPr>
              <w:t>CATASTROFICO</w:t>
            </w:r>
          </w:p>
        </w:tc>
      </w:tr>
      <w:tr w:rsidR="006B6688" w:rsidRPr="006B6688" w:rsidTr="00676CD1">
        <w:trPr>
          <w:trHeight w:val="184"/>
          <w:jc w:val="center"/>
        </w:trPr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b/>
                <w:sz w:val="12"/>
                <w:szCs w:val="12"/>
                <w:lang w:eastAsia="es-ES"/>
              </w:rPr>
              <w:t>1</w:t>
            </w:r>
          </w:p>
        </w:tc>
        <w:tc>
          <w:tcPr>
            <w:tcW w:w="772" w:type="dxa"/>
            <w:tcBorders>
              <w:top w:val="single" w:sz="4" w:space="0" w:color="auto"/>
            </w:tcBorders>
            <w:shd w:val="clear" w:color="auto" w:fill="auto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b/>
                <w:sz w:val="12"/>
                <w:szCs w:val="12"/>
                <w:lang w:eastAsia="es-ES"/>
              </w:rPr>
              <w:t>2</w:t>
            </w:r>
          </w:p>
        </w:tc>
        <w:tc>
          <w:tcPr>
            <w:tcW w:w="1104" w:type="dxa"/>
            <w:tcBorders>
              <w:top w:val="single" w:sz="4" w:space="0" w:color="auto"/>
            </w:tcBorders>
            <w:shd w:val="clear" w:color="auto" w:fill="auto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b/>
                <w:sz w:val="12"/>
                <w:szCs w:val="12"/>
                <w:lang w:eastAsia="es-ES"/>
              </w:rPr>
              <w:t>3</w:t>
            </w:r>
          </w:p>
        </w:tc>
        <w:tc>
          <w:tcPr>
            <w:tcW w:w="772" w:type="dxa"/>
            <w:tcBorders>
              <w:top w:val="single" w:sz="4" w:space="0" w:color="auto"/>
            </w:tcBorders>
            <w:shd w:val="clear" w:color="auto" w:fill="auto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b/>
                <w:sz w:val="12"/>
                <w:szCs w:val="12"/>
                <w:lang w:eastAsia="es-ES"/>
              </w:rPr>
              <w:t>4</w:t>
            </w:r>
          </w:p>
        </w:tc>
        <w:tc>
          <w:tcPr>
            <w:tcW w:w="1403" w:type="dxa"/>
            <w:tcBorders>
              <w:top w:val="single" w:sz="4" w:space="0" w:color="auto"/>
            </w:tcBorders>
            <w:shd w:val="clear" w:color="auto" w:fill="auto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b/>
                <w:sz w:val="12"/>
                <w:szCs w:val="12"/>
                <w:lang w:eastAsia="es-ES"/>
              </w:rPr>
              <w:t>5</w:t>
            </w:r>
          </w:p>
        </w:tc>
      </w:tr>
      <w:tr w:rsidR="006B6688" w:rsidRPr="006B6688" w:rsidTr="00676CD1">
        <w:trPr>
          <w:trHeight w:val="424"/>
          <w:jc w:val="center"/>
        </w:trPr>
        <w:tc>
          <w:tcPr>
            <w:tcW w:w="398" w:type="dxa"/>
            <w:vMerge w:val="restart"/>
            <w:tcBorders>
              <w:top w:val="single" w:sz="4" w:space="0" w:color="auto"/>
            </w:tcBorders>
            <w:shd w:val="clear" w:color="auto" w:fill="000000"/>
            <w:textDirection w:val="btL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b/>
                <w:color w:val="FFFFFF"/>
                <w:sz w:val="12"/>
                <w:szCs w:val="12"/>
                <w:lang w:eastAsia="es-ES"/>
              </w:rPr>
              <w:t>PROBABILIDAD</w:t>
            </w:r>
          </w:p>
        </w:tc>
        <w:tc>
          <w:tcPr>
            <w:tcW w:w="8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1 EN 10.000-100.000</w:t>
            </w:r>
          </w:p>
        </w:tc>
        <w:tc>
          <w:tcPr>
            <w:tcW w:w="1372" w:type="dxa"/>
            <w:tcBorders>
              <w:top w:val="single" w:sz="4" w:space="0" w:color="auto"/>
            </w:tcBorders>
            <w:shd w:val="clear" w:color="auto" w:fill="auto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Puede ocurrir pero solo en circunstancias excepcionales</w:t>
            </w:r>
          </w:p>
        </w:tc>
        <w:tc>
          <w:tcPr>
            <w:tcW w:w="1187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RARO</w:t>
            </w:r>
          </w:p>
        </w:tc>
        <w:tc>
          <w:tcPr>
            <w:tcW w:w="29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b/>
                <w:sz w:val="12"/>
                <w:szCs w:val="12"/>
                <w:lang w:eastAsia="es-ES"/>
              </w:rPr>
              <w:t>1</w:t>
            </w:r>
          </w:p>
        </w:tc>
        <w:tc>
          <w:tcPr>
            <w:tcW w:w="1418" w:type="dxa"/>
            <w:shd w:val="clear" w:color="auto" w:fill="00B050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b/>
                <w:color w:val="FFFFFF"/>
                <w:sz w:val="12"/>
                <w:szCs w:val="12"/>
                <w:lang w:eastAsia="es-ES"/>
              </w:rPr>
              <w:t>2</w:t>
            </w:r>
          </w:p>
        </w:tc>
        <w:tc>
          <w:tcPr>
            <w:tcW w:w="772" w:type="dxa"/>
            <w:shd w:val="clear" w:color="auto" w:fill="00B050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b/>
                <w:color w:val="FFFFFF"/>
                <w:sz w:val="12"/>
                <w:szCs w:val="12"/>
                <w:lang w:eastAsia="es-ES"/>
              </w:rPr>
              <w:t>3</w:t>
            </w:r>
          </w:p>
        </w:tc>
        <w:tc>
          <w:tcPr>
            <w:tcW w:w="1104" w:type="dxa"/>
            <w:shd w:val="clear" w:color="auto" w:fill="00B050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b/>
                <w:color w:val="FFFFFF"/>
                <w:sz w:val="12"/>
                <w:szCs w:val="12"/>
                <w:lang w:eastAsia="es-ES"/>
              </w:rPr>
              <w:t>4</w:t>
            </w:r>
          </w:p>
        </w:tc>
        <w:tc>
          <w:tcPr>
            <w:tcW w:w="772" w:type="dxa"/>
            <w:shd w:val="clear" w:color="auto" w:fill="FFFF00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5</w:t>
            </w:r>
          </w:p>
        </w:tc>
        <w:tc>
          <w:tcPr>
            <w:tcW w:w="1403" w:type="dxa"/>
            <w:shd w:val="clear" w:color="auto" w:fill="FFC000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6</w:t>
            </w:r>
          </w:p>
        </w:tc>
      </w:tr>
      <w:tr w:rsidR="006B6688" w:rsidRPr="006B6688" w:rsidTr="00676CD1">
        <w:trPr>
          <w:trHeight w:val="141"/>
          <w:jc w:val="center"/>
        </w:trPr>
        <w:tc>
          <w:tcPr>
            <w:tcW w:w="398" w:type="dxa"/>
            <w:vMerge/>
            <w:shd w:val="clear" w:color="auto" w:fill="000000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</w:p>
        </w:tc>
        <w:tc>
          <w:tcPr>
            <w:tcW w:w="878" w:type="dxa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1 EN 1.000-10.000</w:t>
            </w:r>
          </w:p>
        </w:tc>
        <w:tc>
          <w:tcPr>
            <w:tcW w:w="1372" w:type="dxa"/>
            <w:shd w:val="clear" w:color="auto" w:fill="auto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Podría  ocurrir pero dudoso</w:t>
            </w:r>
          </w:p>
        </w:tc>
        <w:tc>
          <w:tcPr>
            <w:tcW w:w="1187" w:type="dxa"/>
            <w:shd w:val="clear" w:color="auto" w:fill="D9D9D9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IMPROBABLE</w:t>
            </w:r>
          </w:p>
        </w:tc>
        <w:tc>
          <w:tcPr>
            <w:tcW w:w="299" w:type="dxa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b/>
                <w:sz w:val="12"/>
                <w:szCs w:val="12"/>
                <w:lang w:eastAsia="es-ES"/>
              </w:rPr>
              <w:t>2</w:t>
            </w:r>
          </w:p>
        </w:tc>
        <w:tc>
          <w:tcPr>
            <w:tcW w:w="1418" w:type="dxa"/>
            <w:shd w:val="clear" w:color="auto" w:fill="00B050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b/>
                <w:color w:val="FFFFFF"/>
                <w:sz w:val="12"/>
                <w:szCs w:val="12"/>
                <w:lang w:eastAsia="es-ES"/>
              </w:rPr>
              <w:t>3</w:t>
            </w:r>
          </w:p>
        </w:tc>
        <w:tc>
          <w:tcPr>
            <w:tcW w:w="772" w:type="dxa"/>
            <w:shd w:val="clear" w:color="auto" w:fill="00B050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b/>
                <w:color w:val="FFFFFF"/>
                <w:sz w:val="12"/>
                <w:szCs w:val="12"/>
                <w:lang w:eastAsia="es-ES"/>
              </w:rPr>
              <w:t>4</w:t>
            </w:r>
          </w:p>
        </w:tc>
        <w:tc>
          <w:tcPr>
            <w:tcW w:w="1104" w:type="dxa"/>
            <w:shd w:val="clear" w:color="auto" w:fill="FFFF00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5</w:t>
            </w:r>
          </w:p>
        </w:tc>
        <w:tc>
          <w:tcPr>
            <w:tcW w:w="772" w:type="dxa"/>
            <w:shd w:val="clear" w:color="auto" w:fill="FFC000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6</w:t>
            </w:r>
          </w:p>
        </w:tc>
        <w:tc>
          <w:tcPr>
            <w:tcW w:w="1403" w:type="dxa"/>
            <w:shd w:val="clear" w:color="auto" w:fill="FFC000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7</w:t>
            </w:r>
          </w:p>
        </w:tc>
      </w:tr>
      <w:tr w:rsidR="006B6688" w:rsidRPr="006B6688" w:rsidTr="00676CD1">
        <w:trPr>
          <w:trHeight w:val="141"/>
          <w:jc w:val="center"/>
        </w:trPr>
        <w:tc>
          <w:tcPr>
            <w:tcW w:w="398" w:type="dxa"/>
            <w:vMerge/>
            <w:shd w:val="clear" w:color="auto" w:fill="000000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</w:p>
        </w:tc>
        <w:tc>
          <w:tcPr>
            <w:tcW w:w="878" w:type="dxa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1 EN 100-1.000</w:t>
            </w:r>
          </w:p>
        </w:tc>
        <w:tc>
          <w:tcPr>
            <w:tcW w:w="1372" w:type="dxa"/>
            <w:shd w:val="clear" w:color="auto" w:fill="auto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Podría ocurrir en cualquier momento futuro</w:t>
            </w:r>
          </w:p>
        </w:tc>
        <w:tc>
          <w:tcPr>
            <w:tcW w:w="1187" w:type="dxa"/>
            <w:shd w:val="clear" w:color="auto" w:fill="D9D9D9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POSIBLE</w:t>
            </w:r>
          </w:p>
        </w:tc>
        <w:tc>
          <w:tcPr>
            <w:tcW w:w="299" w:type="dxa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b/>
                <w:sz w:val="12"/>
                <w:szCs w:val="12"/>
                <w:lang w:eastAsia="es-ES"/>
              </w:rPr>
              <w:t>3</w:t>
            </w:r>
          </w:p>
        </w:tc>
        <w:tc>
          <w:tcPr>
            <w:tcW w:w="1418" w:type="dxa"/>
            <w:shd w:val="clear" w:color="auto" w:fill="00B050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b/>
                <w:color w:val="FFFFFF"/>
                <w:sz w:val="12"/>
                <w:szCs w:val="12"/>
                <w:lang w:eastAsia="es-ES"/>
              </w:rPr>
              <w:t>4</w:t>
            </w:r>
          </w:p>
        </w:tc>
        <w:tc>
          <w:tcPr>
            <w:tcW w:w="772" w:type="dxa"/>
            <w:shd w:val="clear" w:color="auto" w:fill="FFFF00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5</w:t>
            </w:r>
          </w:p>
        </w:tc>
        <w:tc>
          <w:tcPr>
            <w:tcW w:w="1104" w:type="dxa"/>
            <w:shd w:val="clear" w:color="auto" w:fill="FFC000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6</w:t>
            </w:r>
          </w:p>
        </w:tc>
        <w:tc>
          <w:tcPr>
            <w:tcW w:w="772" w:type="dxa"/>
            <w:shd w:val="clear" w:color="auto" w:fill="FFC000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7</w:t>
            </w:r>
          </w:p>
        </w:tc>
        <w:tc>
          <w:tcPr>
            <w:tcW w:w="1403" w:type="dxa"/>
            <w:shd w:val="clear" w:color="auto" w:fill="FF0000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b/>
                <w:color w:val="FFFFFF"/>
                <w:sz w:val="12"/>
                <w:szCs w:val="12"/>
                <w:lang w:eastAsia="es-ES"/>
              </w:rPr>
              <w:t>8</w:t>
            </w:r>
          </w:p>
        </w:tc>
      </w:tr>
      <w:tr w:rsidR="006B6688" w:rsidRPr="006B6688" w:rsidTr="00676CD1">
        <w:trPr>
          <w:trHeight w:val="141"/>
          <w:jc w:val="center"/>
        </w:trPr>
        <w:tc>
          <w:tcPr>
            <w:tcW w:w="398" w:type="dxa"/>
            <w:vMerge/>
            <w:shd w:val="clear" w:color="auto" w:fill="000000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</w:p>
        </w:tc>
        <w:tc>
          <w:tcPr>
            <w:tcW w:w="878" w:type="dxa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1 EN 10-100</w:t>
            </w:r>
          </w:p>
        </w:tc>
        <w:tc>
          <w:tcPr>
            <w:tcW w:w="1372" w:type="dxa"/>
            <w:shd w:val="clear" w:color="auto" w:fill="auto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Probablemente ocurrirá</w:t>
            </w:r>
          </w:p>
        </w:tc>
        <w:tc>
          <w:tcPr>
            <w:tcW w:w="1187" w:type="dxa"/>
            <w:shd w:val="clear" w:color="auto" w:fill="D9D9D9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PROBABLE</w:t>
            </w:r>
          </w:p>
        </w:tc>
        <w:tc>
          <w:tcPr>
            <w:tcW w:w="299" w:type="dxa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b/>
                <w:sz w:val="12"/>
                <w:szCs w:val="12"/>
                <w:lang w:eastAsia="es-ES"/>
              </w:rPr>
              <w:t>4</w:t>
            </w:r>
          </w:p>
        </w:tc>
        <w:tc>
          <w:tcPr>
            <w:tcW w:w="1418" w:type="dxa"/>
            <w:shd w:val="clear" w:color="auto" w:fill="FFFF00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5</w:t>
            </w:r>
          </w:p>
        </w:tc>
        <w:tc>
          <w:tcPr>
            <w:tcW w:w="772" w:type="dxa"/>
            <w:shd w:val="clear" w:color="auto" w:fill="FFC000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6</w:t>
            </w:r>
          </w:p>
        </w:tc>
        <w:tc>
          <w:tcPr>
            <w:tcW w:w="1104" w:type="dxa"/>
            <w:shd w:val="clear" w:color="auto" w:fill="FFC000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7</w:t>
            </w:r>
          </w:p>
        </w:tc>
        <w:tc>
          <w:tcPr>
            <w:tcW w:w="772" w:type="dxa"/>
            <w:shd w:val="clear" w:color="auto" w:fill="FF0000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b/>
                <w:color w:val="FFFFFF"/>
                <w:sz w:val="12"/>
                <w:szCs w:val="12"/>
                <w:lang w:eastAsia="es-ES"/>
              </w:rPr>
              <w:t>8</w:t>
            </w:r>
          </w:p>
        </w:tc>
        <w:tc>
          <w:tcPr>
            <w:tcW w:w="1403" w:type="dxa"/>
            <w:shd w:val="clear" w:color="auto" w:fill="FF0000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b/>
                <w:color w:val="FFFFFF"/>
                <w:sz w:val="12"/>
                <w:szCs w:val="12"/>
                <w:lang w:eastAsia="es-ES"/>
              </w:rPr>
              <w:t>9</w:t>
            </w:r>
          </w:p>
        </w:tc>
      </w:tr>
      <w:tr w:rsidR="006B6688" w:rsidRPr="006B6688" w:rsidTr="00676CD1">
        <w:trPr>
          <w:trHeight w:val="141"/>
          <w:jc w:val="center"/>
        </w:trPr>
        <w:tc>
          <w:tcPr>
            <w:tcW w:w="398" w:type="dxa"/>
            <w:vMerge/>
            <w:shd w:val="clear" w:color="auto" w:fill="000000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</w:p>
        </w:tc>
        <w:tc>
          <w:tcPr>
            <w:tcW w:w="878" w:type="dxa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1 EN 10</w:t>
            </w:r>
          </w:p>
        </w:tc>
        <w:tc>
          <w:tcPr>
            <w:tcW w:w="1372" w:type="dxa"/>
            <w:shd w:val="clear" w:color="auto" w:fill="auto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Se espera que ocurra en la mayoría de  circunstancias</w:t>
            </w:r>
          </w:p>
        </w:tc>
        <w:tc>
          <w:tcPr>
            <w:tcW w:w="1187" w:type="dxa"/>
            <w:shd w:val="clear" w:color="auto" w:fill="D9D9D9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CASI CIERTO</w:t>
            </w:r>
          </w:p>
        </w:tc>
        <w:tc>
          <w:tcPr>
            <w:tcW w:w="299" w:type="dxa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b/>
                <w:sz w:val="12"/>
                <w:szCs w:val="12"/>
                <w:lang w:eastAsia="es-ES"/>
              </w:rPr>
              <w:t>5</w:t>
            </w:r>
          </w:p>
        </w:tc>
        <w:tc>
          <w:tcPr>
            <w:tcW w:w="1418" w:type="dxa"/>
            <w:shd w:val="clear" w:color="auto" w:fill="FFC000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6</w:t>
            </w:r>
          </w:p>
        </w:tc>
        <w:tc>
          <w:tcPr>
            <w:tcW w:w="772" w:type="dxa"/>
            <w:shd w:val="clear" w:color="auto" w:fill="FFC000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7</w:t>
            </w:r>
          </w:p>
        </w:tc>
        <w:tc>
          <w:tcPr>
            <w:tcW w:w="1104" w:type="dxa"/>
            <w:shd w:val="clear" w:color="auto" w:fill="FF0000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b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b/>
                <w:color w:val="FFFFFF"/>
                <w:sz w:val="12"/>
                <w:szCs w:val="12"/>
                <w:lang w:eastAsia="es-ES"/>
              </w:rPr>
              <w:t>8</w:t>
            </w:r>
          </w:p>
        </w:tc>
        <w:tc>
          <w:tcPr>
            <w:tcW w:w="772" w:type="dxa"/>
            <w:shd w:val="clear" w:color="auto" w:fill="FF0000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b/>
                <w:color w:val="FFFFFF"/>
                <w:sz w:val="12"/>
                <w:szCs w:val="12"/>
                <w:lang w:eastAsia="es-ES"/>
              </w:rPr>
              <w:t>9</w:t>
            </w:r>
          </w:p>
        </w:tc>
        <w:tc>
          <w:tcPr>
            <w:tcW w:w="1403" w:type="dxa"/>
            <w:shd w:val="clear" w:color="auto" w:fill="FF0000"/>
            <w:vAlign w:val="center"/>
          </w:tcPr>
          <w:p w:rsidR="006B6688" w:rsidRPr="006B6688" w:rsidRDefault="006B6688" w:rsidP="006B6688">
            <w:pPr>
              <w:spacing w:after="0" w:line="240" w:lineRule="auto"/>
              <w:rPr>
                <w:rFonts w:ascii="Arial" w:eastAsia="Times New Roman" w:hAnsi="Arial" w:cs="Arial"/>
                <w:b/>
                <w:color w:val="FFFFFF"/>
                <w:sz w:val="12"/>
                <w:szCs w:val="12"/>
                <w:lang w:eastAsia="es-ES"/>
              </w:rPr>
            </w:pPr>
            <w:r w:rsidRPr="006B6688">
              <w:rPr>
                <w:rFonts w:ascii="Arial" w:eastAsia="Times New Roman" w:hAnsi="Arial" w:cs="Arial"/>
                <w:b/>
                <w:color w:val="FFFFFF"/>
                <w:sz w:val="12"/>
                <w:szCs w:val="12"/>
                <w:lang w:eastAsia="es-ES"/>
              </w:rPr>
              <w:t>10</w:t>
            </w:r>
          </w:p>
        </w:tc>
      </w:tr>
    </w:tbl>
    <w:p w:rsidR="006B6688" w:rsidRPr="006B6688" w:rsidRDefault="006B6688" w:rsidP="006B6688">
      <w:pPr>
        <w:spacing w:after="200" w:line="276" w:lineRule="auto"/>
        <w:rPr>
          <w:rFonts w:ascii="Arial" w:eastAsia="Times New Roman" w:hAnsi="Arial" w:cs="Arial"/>
          <w:sz w:val="12"/>
          <w:szCs w:val="12"/>
          <w:lang w:eastAsia="es-CO"/>
        </w:rPr>
      </w:pPr>
    </w:p>
    <w:p w:rsidR="006B6688" w:rsidRPr="006B6688" w:rsidRDefault="006B6688" w:rsidP="006B6688">
      <w:pPr>
        <w:spacing w:after="200" w:line="276" w:lineRule="auto"/>
        <w:jc w:val="both"/>
        <w:rPr>
          <w:rFonts w:ascii="Arial" w:eastAsia="Times New Roman" w:hAnsi="Arial" w:cs="Arial"/>
          <w:sz w:val="12"/>
          <w:szCs w:val="12"/>
          <w:lang w:eastAsia="es-CO"/>
        </w:rPr>
      </w:pPr>
      <w:r w:rsidRPr="006B6688">
        <w:rPr>
          <w:rFonts w:ascii="Arial" w:eastAsia="Times New Roman" w:hAnsi="Arial" w:cs="Arial"/>
          <w:sz w:val="12"/>
          <w:szCs w:val="12"/>
          <w:lang w:eastAsia="es-CO"/>
        </w:rPr>
        <w:t>El orden de prioridades fue establecido asignando un puntaje de acuerdo con la probabilidad de ocurrencia (raro; improbable; posible; probable; casi cierto) y de su impacto (insignificante; menor; moderado; mayor; catastrófico). Los riesgos fueron clasificados teniendo cuenta su calificación de acuerdo con Tabla 2.</w:t>
      </w:r>
    </w:p>
    <w:p w:rsidR="006B6688" w:rsidRPr="006B6688" w:rsidRDefault="006B6688" w:rsidP="006B6688">
      <w:pPr>
        <w:spacing w:after="200" w:line="276" w:lineRule="auto"/>
        <w:rPr>
          <w:rFonts w:ascii="Arial" w:eastAsia="Times New Roman" w:hAnsi="Arial" w:cs="Arial"/>
          <w:b/>
          <w:bCs/>
          <w:sz w:val="12"/>
          <w:szCs w:val="12"/>
          <w:lang w:eastAsia="es-CO"/>
        </w:rPr>
      </w:pPr>
    </w:p>
    <w:p w:rsidR="006B6688" w:rsidRPr="006B6688" w:rsidRDefault="006B6688" w:rsidP="006B6688">
      <w:pPr>
        <w:spacing w:after="200" w:line="276" w:lineRule="auto"/>
        <w:rPr>
          <w:rFonts w:ascii="Arial" w:eastAsia="Times New Roman" w:hAnsi="Arial" w:cs="Arial"/>
          <w:b/>
          <w:bCs/>
          <w:sz w:val="12"/>
          <w:szCs w:val="12"/>
          <w:lang w:eastAsia="es-CO"/>
        </w:rPr>
      </w:pPr>
      <w:r w:rsidRPr="006B6688">
        <w:rPr>
          <w:rFonts w:ascii="Arial" w:eastAsia="Times New Roman" w:hAnsi="Arial" w:cs="Arial"/>
          <w:b/>
          <w:bCs/>
          <w:sz w:val="12"/>
          <w:szCs w:val="12"/>
          <w:lang w:eastAsia="es-CO"/>
        </w:rPr>
        <w:t>Tabla 2 Prioridad de tratamiento y control del riesgo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5245"/>
      </w:tblGrid>
      <w:tr w:rsidR="006B6688" w:rsidRPr="006B6688" w:rsidTr="00676CD1">
        <w:trPr>
          <w:jc w:val="center"/>
        </w:trPr>
        <w:tc>
          <w:tcPr>
            <w:tcW w:w="1526" w:type="dxa"/>
            <w:shd w:val="clear" w:color="auto" w:fill="808080"/>
            <w:vAlign w:val="center"/>
          </w:tcPr>
          <w:p w:rsidR="006B6688" w:rsidRPr="006B6688" w:rsidRDefault="006B6688" w:rsidP="006B668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FFFF"/>
                <w:sz w:val="12"/>
                <w:szCs w:val="12"/>
                <w:lang w:val="es-ES" w:eastAsia="es-ES"/>
              </w:rPr>
            </w:pPr>
            <w:r w:rsidRPr="006B6688">
              <w:rPr>
                <w:rFonts w:ascii="Arial" w:eastAsia="Times New Roman" w:hAnsi="Arial" w:cs="Arial"/>
                <w:b/>
                <w:color w:val="FFFFFF"/>
                <w:sz w:val="12"/>
                <w:szCs w:val="12"/>
                <w:lang w:val="es-ES" w:eastAsia="es-ES"/>
              </w:rPr>
              <w:t>N°</w:t>
            </w:r>
          </w:p>
        </w:tc>
        <w:tc>
          <w:tcPr>
            <w:tcW w:w="5245" w:type="dxa"/>
            <w:shd w:val="clear" w:color="auto" w:fill="808080"/>
            <w:vAlign w:val="center"/>
          </w:tcPr>
          <w:p w:rsidR="006B6688" w:rsidRPr="006B6688" w:rsidRDefault="006B6688" w:rsidP="006B668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FFFF"/>
                <w:sz w:val="12"/>
                <w:szCs w:val="12"/>
                <w:lang w:val="es-ES" w:eastAsia="es-ES"/>
              </w:rPr>
            </w:pPr>
            <w:r w:rsidRPr="006B6688">
              <w:rPr>
                <w:rFonts w:ascii="Arial" w:eastAsia="Times New Roman" w:hAnsi="Arial" w:cs="Arial"/>
                <w:b/>
                <w:color w:val="FFFFFF"/>
                <w:sz w:val="12"/>
                <w:szCs w:val="12"/>
                <w:lang w:val="es-ES" w:eastAsia="es-ES"/>
              </w:rPr>
              <w:t>Factor de escogencia y</w:t>
            </w:r>
            <w:bookmarkStart w:id="0" w:name="_GoBack"/>
            <w:bookmarkEnd w:id="0"/>
            <w:r w:rsidRPr="006B6688">
              <w:rPr>
                <w:rFonts w:ascii="Arial" w:eastAsia="Times New Roman" w:hAnsi="Arial" w:cs="Arial"/>
                <w:b/>
                <w:color w:val="FFFFFF"/>
                <w:sz w:val="12"/>
                <w:szCs w:val="12"/>
                <w:lang w:val="es-ES" w:eastAsia="es-ES"/>
              </w:rPr>
              <w:t xml:space="preserve"> calificación</w:t>
            </w:r>
          </w:p>
        </w:tc>
      </w:tr>
      <w:tr w:rsidR="006B6688" w:rsidRPr="006B6688" w:rsidTr="00676CD1">
        <w:trPr>
          <w:jc w:val="center"/>
        </w:trPr>
        <w:tc>
          <w:tcPr>
            <w:tcW w:w="1526" w:type="dxa"/>
            <w:shd w:val="clear" w:color="auto" w:fill="auto"/>
          </w:tcPr>
          <w:p w:rsidR="006B6688" w:rsidRPr="006B6688" w:rsidRDefault="006B6688" w:rsidP="006B668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ES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ES"/>
              </w:rPr>
              <w:t xml:space="preserve">Riesgo &gt; 7 </w:t>
            </w:r>
          </w:p>
        </w:tc>
        <w:tc>
          <w:tcPr>
            <w:tcW w:w="5245" w:type="dxa"/>
            <w:shd w:val="clear" w:color="auto" w:fill="auto"/>
          </w:tcPr>
          <w:p w:rsidR="006B6688" w:rsidRPr="006B6688" w:rsidRDefault="006B6688" w:rsidP="006B668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ES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ES"/>
              </w:rPr>
              <w:t xml:space="preserve">Riesgo Extremo: Se requiere un plan de acción detallado </w:t>
            </w:r>
          </w:p>
        </w:tc>
      </w:tr>
      <w:tr w:rsidR="006B6688" w:rsidRPr="006B6688" w:rsidTr="00676CD1">
        <w:trPr>
          <w:jc w:val="center"/>
        </w:trPr>
        <w:tc>
          <w:tcPr>
            <w:tcW w:w="1526" w:type="dxa"/>
            <w:shd w:val="clear" w:color="auto" w:fill="auto"/>
          </w:tcPr>
          <w:p w:rsidR="006B6688" w:rsidRPr="006B6688" w:rsidRDefault="006B6688" w:rsidP="006B668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ES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ES"/>
              </w:rPr>
              <w:t xml:space="preserve">6 &lt;= Riesgo &lt;= 7 </w:t>
            </w:r>
          </w:p>
        </w:tc>
        <w:tc>
          <w:tcPr>
            <w:tcW w:w="5245" w:type="dxa"/>
            <w:shd w:val="clear" w:color="auto" w:fill="auto"/>
          </w:tcPr>
          <w:p w:rsidR="006B6688" w:rsidRPr="006B6688" w:rsidRDefault="006B6688" w:rsidP="006B668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ES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ES"/>
              </w:rPr>
              <w:t xml:space="preserve">Riesgo Alto: Se necesita una atención mayor de la administración </w:t>
            </w:r>
          </w:p>
        </w:tc>
      </w:tr>
      <w:tr w:rsidR="006B6688" w:rsidRPr="006B6688" w:rsidTr="00676CD1">
        <w:trPr>
          <w:jc w:val="center"/>
        </w:trPr>
        <w:tc>
          <w:tcPr>
            <w:tcW w:w="1526" w:type="dxa"/>
            <w:shd w:val="clear" w:color="auto" w:fill="auto"/>
          </w:tcPr>
          <w:p w:rsidR="006B6688" w:rsidRPr="006B6688" w:rsidRDefault="006B6688" w:rsidP="006B668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ES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ES"/>
              </w:rPr>
              <w:t xml:space="preserve">Riesgo = 5 </w:t>
            </w:r>
          </w:p>
        </w:tc>
        <w:tc>
          <w:tcPr>
            <w:tcW w:w="5245" w:type="dxa"/>
            <w:shd w:val="clear" w:color="auto" w:fill="auto"/>
          </w:tcPr>
          <w:p w:rsidR="006B6688" w:rsidRPr="006B6688" w:rsidRDefault="006B6688" w:rsidP="006B668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ES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ES"/>
              </w:rPr>
              <w:t xml:space="preserve">Riesgo Medio: Especificar responsabilidad de la administración </w:t>
            </w:r>
          </w:p>
        </w:tc>
      </w:tr>
      <w:tr w:rsidR="006B6688" w:rsidRPr="006B6688" w:rsidTr="00676CD1">
        <w:trPr>
          <w:jc w:val="center"/>
        </w:trPr>
        <w:tc>
          <w:tcPr>
            <w:tcW w:w="1526" w:type="dxa"/>
            <w:shd w:val="clear" w:color="auto" w:fill="auto"/>
          </w:tcPr>
          <w:p w:rsidR="006B6688" w:rsidRPr="006B6688" w:rsidRDefault="006B6688" w:rsidP="006B668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ES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ES"/>
              </w:rPr>
              <w:t xml:space="preserve">Riesgo &lt; 5 </w:t>
            </w:r>
          </w:p>
        </w:tc>
        <w:tc>
          <w:tcPr>
            <w:tcW w:w="5245" w:type="dxa"/>
            <w:shd w:val="clear" w:color="auto" w:fill="auto"/>
          </w:tcPr>
          <w:p w:rsidR="006B6688" w:rsidRPr="006B6688" w:rsidRDefault="006B6688" w:rsidP="006B6688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ES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val="es-ES" w:eastAsia="es-ES"/>
              </w:rPr>
              <w:t xml:space="preserve">Riesgo Bajo: Administrar por procedimientos de rutina </w:t>
            </w:r>
          </w:p>
        </w:tc>
      </w:tr>
    </w:tbl>
    <w:p w:rsidR="006B6688" w:rsidRPr="006B6688" w:rsidRDefault="006B6688" w:rsidP="006B6688">
      <w:pPr>
        <w:spacing w:after="200" w:line="276" w:lineRule="auto"/>
        <w:jc w:val="center"/>
        <w:rPr>
          <w:rFonts w:ascii="Arial" w:eastAsia="Times New Roman" w:hAnsi="Arial" w:cs="Arial"/>
          <w:b/>
          <w:bCs/>
          <w:sz w:val="12"/>
          <w:szCs w:val="12"/>
          <w:lang w:eastAsia="es-CO"/>
        </w:rPr>
      </w:pPr>
    </w:p>
    <w:p w:rsidR="006B6688" w:rsidRPr="006B6688" w:rsidRDefault="006B6688" w:rsidP="006B6688">
      <w:pPr>
        <w:spacing w:after="200" w:line="276" w:lineRule="auto"/>
        <w:jc w:val="center"/>
        <w:rPr>
          <w:rFonts w:ascii="Arial" w:eastAsia="Times New Roman" w:hAnsi="Arial" w:cs="Arial"/>
          <w:b/>
          <w:bCs/>
          <w:sz w:val="12"/>
          <w:szCs w:val="12"/>
          <w:lang w:eastAsia="es-CO"/>
        </w:rPr>
      </w:pPr>
    </w:p>
    <w:p w:rsidR="006B6688" w:rsidRPr="006B6688" w:rsidRDefault="006B6688" w:rsidP="006B6688">
      <w:pPr>
        <w:spacing w:after="200" w:line="276" w:lineRule="auto"/>
        <w:jc w:val="center"/>
        <w:rPr>
          <w:rFonts w:ascii="Arial" w:eastAsia="Times New Roman" w:hAnsi="Arial" w:cs="Arial"/>
          <w:b/>
          <w:bCs/>
          <w:sz w:val="12"/>
          <w:szCs w:val="12"/>
          <w:lang w:eastAsia="es-CO"/>
        </w:rPr>
      </w:pPr>
    </w:p>
    <w:p w:rsidR="006B6688" w:rsidRPr="006B6688" w:rsidRDefault="006B6688" w:rsidP="006B6688">
      <w:pPr>
        <w:spacing w:after="200" w:line="276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6B6688">
        <w:rPr>
          <w:rFonts w:ascii="Arial" w:eastAsia="Times New Roman" w:hAnsi="Arial" w:cs="Arial"/>
          <w:b/>
          <w:bCs/>
          <w:sz w:val="12"/>
          <w:szCs w:val="12"/>
          <w:lang w:eastAsia="es-CO"/>
        </w:rPr>
        <w:t>Tabla 3 Mapa de identificación de riesgos</w:t>
      </w:r>
    </w:p>
    <w:p w:rsidR="006B6688" w:rsidRPr="006B6688" w:rsidRDefault="006B6688" w:rsidP="006B6688">
      <w:pPr>
        <w:spacing w:after="200" w:line="276" w:lineRule="auto"/>
        <w:jc w:val="center"/>
        <w:rPr>
          <w:rFonts w:ascii="Arial" w:eastAsia="Times New Roman" w:hAnsi="Arial" w:cs="Arial"/>
          <w:sz w:val="20"/>
          <w:szCs w:val="20"/>
          <w:lang w:eastAsia="es-CO"/>
        </w:rPr>
      </w:pPr>
    </w:p>
    <w:p w:rsidR="006B6688" w:rsidRPr="006B6688" w:rsidRDefault="006B6688" w:rsidP="006B6688">
      <w:pPr>
        <w:spacing w:after="200" w:line="276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6B668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Tabla 3 Mapa de identificación de riesgos</w:t>
      </w:r>
    </w:p>
    <w:tbl>
      <w:tblPr>
        <w:tblW w:w="131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"/>
        <w:gridCol w:w="505"/>
        <w:gridCol w:w="505"/>
        <w:gridCol w:w="505"/>
        <w:gridCol w:w="505"/>
        <w:gridCol w:w="1021"/>
        <w:gridCol w:w="1021"/>
        <w:gridCol w:w="505"/>
        <w:gridCol w:w="505"/>
        <w:gridCol w:w="505"/>
        <w:gridCol w:w="505"/>
        <w:gridCol w:w="505"/>
        <w:gridCol w:w="1021"/>
        <w:gridCol w:w="505"/>
        <w:gridCol w:w="505"/>
        <w:gridCol w:w="505"/>
        <w:gridCol w:w="505"/>
        <w:gridCol w:w="505"/>
        <w:gridCol w:w="505"/>
        <w:gridCol w:w="505"/>
        <w:gridCol w:w="881"/>
        <w:gridCol w:w="661"/>
      </w:tblGrid>
      <w:tr w:rsidR="006B6688" w:rsidRPr="006B6688" w:rsidTr="00676CD1">
        <w:trPr>
          <w:cantSplit/>
          <w:trHeight w:val="1134"/>
          <w:jc w:val="center"/>
        </w:trPr>
        <w:tc>
          <w:tcPr>
            <w:tcW w:w="505" w:type="dxa"/>
            <w:vMerge w:val="restart"/>
            <w:shd w:val="clear" w:color="000000" w:fill="BFBFBF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lastRenderedPageBreak/>
              <w:t>No</w:t>
            </w:r>
          </w:p>
        </w:tc>
        <w:tc>
          <w:tcPr>
            <w:tcW w:w="505" w:type="dxa"/>
            <w:vMerge w:val="restart"/>
            <w:shd w:val="clear" w:color="000000" w:fill="BFBFBF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Clase</w:t>
            </w:r>
          </w:p>
        </w:tc>
        <w:tc>
          <w:tcPr>
            <w:tcW w:w="505" w:type="dxa"/>
            <w:vMerge w:val="restart"/>
            <w:shd w:val="clear" w:color="000000" w:fill="BFBFBF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Área</w:t>
            </w:r>
          </w:p>
        </w:tc>
        <w:tc>
          <w:tcPr>
            <w:tcW w:w="505" w:type="dxa"/>
            <w:vMerge w:val="restart"/>
            <w:shd w:val="clear" w:color="000000" w:fill="BFBFBF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Etapa</w:t>
            </w:r>
          </w:p>
        </w:tc>
        <w:tc>
          <w:tcPr>
            <w:tcW w:w="505" w:type="dxa"/>
            <w:vMerge w:val="restart"/>
            <w:shd w:val="clear" w:color="000000" w:fill="BFBFBF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Tipo</w:t>
            </w:r>
          </w:p>
        </w:tc>
        <w:tc>
          <w:tcPr>
            <w:tcW w:w="1021" w:type="dxa"/>
            <w:vMerge w:val="restart"/>
            <w:shd w:val="clear" w:color="000000" w:fill="BFBFBF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descripción (qué puede pasar y, si es posible, cómo puede pasar)</w:t>
            </w:r>
          </w:p>
        </w:tc>
        <w:tc>
          <w:tcPr>
            <w:tcW w:w="1021" w:type="dxa"/>
            <w:vMerge w:val="restart"/>
            <w:shd w:val="clear" w:color="000000" w:fill="BFBFBF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Consecuencia de la ocurrencia del evento</w:t>
            </w:r>
          </w:p>
        </w:tc>
        <w:tc>
          <w:tcPr>
            <w:tcW w:w="505" w:type="dxa"/>
            <w:vMerge w:val="restart"/>
            <w:shd w:val="clear" w:color="000000" w:fill="BFBFBF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Probabilidad</w:t>
            </w:r>
          </w:p>
        </w:tc>
        <w:tc>
          <w:tcPr>
            <w:tcW w:w="505" w:type="dxa"/>
            <w:vMerge w:val="restart"/>
            <w:shd w:val="clear" w:color="000000" w:fill="BFBFBF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Impacto</w:t>
            </w:r>
          </w:p>
        </w:tc>
        <w:tc>
          <w:tcPr>
            <w:tcW w:w="505" w:type="dxa"/>
            <w:vMerge w:val="restart"/>
            <w:shd w:val="clear" w:color="000000" w:fill="BFBFBF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Calificación</w:t>
            </w:r>
          </w:p>
        </w:tc>
        <w:tc>
          <w:tcPr>
            <w:tcW w:w="505" w:type="dxa"/>
            <w:vMerge w:val="restart"/>
            <w:shd w:val="clear" w:color="000000" w:fill="BFBFBF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Prioridad</w:t>
            </w:r>
          </w:p>
        </w:tc>
        <w:tc>
          <w:tcPr>
            <w:tcW w:w="505" w:type="dxa"/>
            <w:vMerge w:val="restart"/>
            <w:shd w:val="clear" w:color="000000" w:fill="BFBFBF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¿A quién se le asigna?</w:t>
            </w:r>
          </w:p>
        </w:tc>
        <w:tc>
          <w:tcPr>
            <w:tcW w:w="1021" w:type="dxa"/>
            <w:vMerge w:val="restart"/>
            <w:shd w:val="clear" w:color="000000" w:fill="BFBFBF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Tratamiento/controles a ser implementados</w:t>
            </w:r>
          </w:p>
        </w:tc>
        <w:tc>
          <w:tcPr>
            <w:tcW w:w="1515" w:type="dxa"/>
            <w:gridSpan w:val="3"/>
            <w:shd w:val="clear" w:color="000000" w:fill="BFBFBF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Impacto después del tratamiento</w:t>
            </w:r>
          </w:p>
        </w:tc>
        <w:tc>
          <w:tcPr>
            <w:tcW w:w="505" w:type="dxa"/>
            <w:vMerge w:val="restart"/>
            <w:shd w:val="clear" w:color="000000" w:fill="BFBFBF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Afecta la ejecución el contrato</w:t>
            </w:r>
          </w:p>
        </w:tc>
        <w:tc>
          <w:tcPr>
            <w:tcW w:w="505" w:type="dxa"/>
            <w:vMerge w:val="restart"/>
            <w:shd w:val="clear" w:color="000000" w:fill="BFBFBF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Persona que implementa el tratamiento</w:t>
            </w:r>
          </w:p>
        </w:tc>
        <w:tc>
          <w:tcPr>
            <w:tcW w:w="505" w:type="dxa"/>
            <w:vMerge w:val="restart"/>
            <w:shd w:val="clear" w:color="000000" w:fill="BFBFBF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Fecha inicio tratamiento</w:t>
            </w:r>
          </w:p>
        </w:tc>
        <w:tc>
          <w:tcPr>
            <w:tcW w:w="505" w:type="dxa"/>
            <w:vMerge w:val="restart"/>
            <w:shd w:val="clear" w:color="000000" w:fill="BFBFBF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Fecha término tratamiento</w:t>
            </w:r>
          </w:p>
        </w:tc>
        <w:tc>
          <w:tcPr>
            <w:tcW w:w="1542" w:type="dxa"/>
            <w:gridSpan w:val="2"/>
            <w:shd w:val="clear" w:color="000000" w:fill="BFBFBF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Monitoreo y revisión</w:t>
            </w:r>
          </w:p>
        </w:tc>
      </w:tr>
      <w:tr w:rsidR="006B6688" w:rsidRPr="006B6688" w:rsidTr="00676CD1">
        <w:trPr>
          <w:cantSplit/>
          <w:trHeight w:val="1134"/>
          <w:jc w:val="center"/>
        </w:trPr>
        <w:tc>
          <w:tcPr>
            <w:tcW w:w="505" w:type="dxa"/>
            <w:vMerge/>
            <w:shd w:val="clear" w:color="000000" w:fill="BFBFBF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05" w:type="dxa"/>
            <w:vMerge/>
            <w:shd w:val="clear" w:color="000000" w:fill="BFBFBF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05" w:type="dxa"/>
            <w:vMerge/>
            <w:shd w:val="clear" w:color="000000" w:fill="BFBFBF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05" w:type="dxa"/>
            <w:vMerge/>
            <w:shd w:val="clear" w:color="000000" w:fill="BFBFBF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05" w:type="dxa"/>
            <w:vMerge/>
            <w:shd w:val="clear" w:color="000000" w:fill="BFBFBF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021" w:type="dxa"/>
            <w:vMerge/>
            <w:shd w:val="clear" w:color="000000" w:fill="BFBFBF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021" w:type="dxa"/>
            <w:vMerge/>
            <w:shd w:val="clear" w:color="000000" w:fill="BFBFBF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05" w:type="dxa"/>
            <w:vMerge/>
            <w:shd w:val="clear" w:color="000000" w:fill="BFBFBF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05" w:type="dxa"/>
            <w:vMerge/>
            <w:shd w:val="clear" w:color="000000" w:fill="BFBFBF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05" w:type="dxa"/>
            <w:vMerge/>
            <w:shd w:val="clear" w:color="000000" w:fill="BFBFBF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05" w:type="dxa"/>
            <w:vMerge/>
            <w:shd w:val="clear" w:color="000000" w:fill="BFBFBF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05" w:type="dxa"/>
            <w:vMerge/>
            <w:shd w:val="clear" w:color="000000" w:fill="BFBFBF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1021" w:type="dxa"/>
            <w:vMerge/>
            <w:shd w:val="clear" w:color="000000" w:fill="BFBFBF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05" w:type="dxa"/>
            <w:shd w:val="clear" w:color="000000" w:fill="BFBFBF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probabilidad</w:t>
            </w:r>
          </w:p>
        </w:tc>
        <w:tc>
          <w:tcPr>
            <w:tcW w:w="505" w:type="dxa"/>
            <w:shd w:val="clear" w:color="000000" w:fill="BFBFBF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impacto</w:t>
            </w:r>
          </w:p>
        </w:tc>
        <w:tc>
          <w:tcPr>
            <w:tcW w:w="505" w:type="dxa"/>
            <w:shd w:val="clear" w:color="000000" w:fill="BFBFBF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Valoración del riesgo</w:t>
            </w:r>
          </w:p>
        </w:tc>
        <w:tc>
          <w:tcPr>
            <w:tcW w:w="505" w:type="dxa"/>
            <w:vMerge/>
            <w:shd w:val="clear" w:color="000000" w:fill="BFBFBF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05" w:type="dxa"/>
            <w:vMerge/>
            <w:shd w:val="clear" w:color="000000" w:fill="BFBFBF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05" w:type="dxa"/>
            <w:vMerge/>
            <w:shd w:val="clear" w:color="000000" w:fill="BFBFBF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505" w:type="dxa"/>
            <w:vMerge/>
            <w:shd w:val="clear" w:color="000000" w:fill="BFBFBF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881" w:type="dxa"/>
            <w:shd w:val="clear" w:color="000000" w:fill="BFBFBF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Forma de realizar monitoreo</w:t>
            </w:r>
          </w:p>
        </w:tc>
        <w:tc>
          <w:tcPr>
            <w:tcW w:w="661" w:type="dxa"/>
            <w:shd w:val="clear" w:color="000000" w:fill="BFBFBF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Periodicidad monitoreo / ¿Cuando?</w:t>
            </w:r>
          </w:p>
        </w:tc>
      </w:tr>
      <w:tr w:rsidR="006B6688" w:rsidRPr="006B6688" w:rsidTr="00676CD1">
        <w:trPr>
          <w:cantSplit/>
          <w:trHeight w:val="1134"/>
          <w:jc w:val="center"/>
        </w:trPr>
        <w:tc>
          <w:tcPr>
            <w:tcW w:w="505" w:type="dxa"/>
            <w:shd w:val="clear" w:color="auto" w:fill="auto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50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50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50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Planeación</w:t>
            </w:r>
          </w:p>
        </w:tc>
        <w:tc>
          <w:tcPr>
            <w:tcW w:w="50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Social o político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dispersión de la normatividad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En materia de contratación estatal, existen numerosas normas, directrices, conceptos e interpretaciones sobre el procedimiento de contratación </w:t>
            </w:r>
          </w:p>
        </w:tc>
        <w:tc>
          <w:tcPr>
            <w:tcW w:w="50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50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50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 (Riesgo bajo)</w:t>
            </w:r>
          </w:p>
        </w:tc>
        <w:tc>
          <w:tcPr>
            <w:tcW w:w="50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</w:t>
            </w:r>
          </w:p>
        </w:tc>
        <w:tc>
          <w:tcPr>
            <w:tcW w:w="50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021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Hacer seguimiento de las normas de contratación y de sus modificaciones</w:t>
            </w:r>
          </w:p>
        </w:tc>
        <w:tc>
          <w:tcPr>
            <w:tcW w:w="50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50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50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50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50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Asesor de Contratación</w:t>
            </w:r>
          </w:p>
        </w:tc>
        <w:tc>
          <w:tcPr>
            <w:tcW w:w="50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Desde la elaboración del estudio previo</w:t>
            </w:r>
          </w:p>
        </w:tc>
        <w:tc>
          <w:tcPr>
            <w:tcW w:w="50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Hasta la liquidación del contrato</w:t>
            </w:r>
          </w:p>
        </w:tc>
        <w:tc>
          <w:tcPr>
            <w:tcW w:w="881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Verificando el portal de CCE</w:t>
            </w:r>
          </w:p>
        </w:tc>
        <w:tc>
          <w:tcPr>
            <w:tcW w:w="661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Semanal</w:t>
            </w:r>
          </w:p>
        </w:tc>
      </w:tr>
      <w:tr w:rsidR="006B6688" w:rsidRPr="006B6688" w:rsidTr="00676CD1">
        <w:trPr>
          <w:cantSplit/>
          <w:trHeight w:val="1256"/>
          <w:jc w:val="center"/>
        </w:trPr>
        <w:tc>
          <w:tcPr>
            <w:tcW w:w="505" w:type="dxa"/>
            <w:shd w:val="clear" w:color="auto" w:fill="auto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2.</w:t>
            </w:r>
          </w:p>
        </w:tc>
        <w:tc>
          <w:tcPr>
            <w:tcW w:w="50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50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50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Planeación</w:t>
            </w:r>
          </w:p>
        </w:tc>
        <w:tc>
          <w:tcPr>
            <w:tcW w:w="50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deficiente planeación de los contratos en la unidad delegataria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Que no se armonicen los elementos a adquirir con cargo al futuro contrato con el sistema presupuestal y el Plan Anual de Adquisiciones</w:t>
            </w:r>
          </w:p>
        </w:tc>
        <w:tc>
          <w:tcPr>
            <w:tcW w:w="50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50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50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3(Riesgo bajo)</w:t>
            </w:r>
          </w:p>
        </w:tc>
        <w:tc>
          <w:tcPr>
            <w:tcW w:w="50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</w:t>
            </w:r>
          </w:p>
        </w:tc>
        <w:tc>
          <w:tcPr>
            <w:tcW w:w="50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021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El bien objeto del futuro contrato debe estar incluido dentro del  Plan Anual de Adquisiciones</w:t>
            </w:r>
          </w:p>
        </w:tc>
        <w:tc>
          <w:tcPr>
            <w:tcW w:w="50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50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50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50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50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Dependencia Usuaria</w:t>
            </w:r>
          </w:p>
        </w:tc>
        <w:tc>
          <w:tcPr>
            <w:tcW w:w="50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Desde la elaboración del estudio previo</w:t>
            </w:r>
          </w:p>
        </w:tc>
        <w:tc>
          <w:tcPr>
            <w:tcW w:w="50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Hasta la liquidación del contrato</w:t>
            </w:r>
          </w:p>
        </w:tc>
        <w:tc>
          <w:tcPr>
            <w:tcW w:w="881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Formato Plan Anual de Adquisiciones</w:t>
            </w:r>
          </w:p>
        </w:tc>
        <w:tc>
          <w:tcPr>
            <w:tcW w:w="661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Previo a la apertura del proceso</w:t>
            </w:r>
          </w:p>
        </w:tc>
      </w:tr>
      <w:tr w:rsidR="006B6688" w:rsidRPr="006B6688" w:rsidTr="00676CD1">
        <w:trPr>
          <w:cantSplit/>
          <w:trHeight w:val="1134"/>
          <w:jc w:val="center"/>
        </w:trPr>
        <w:tc>
          <w:tcPr>
            <w:tcW w:w="505" w:type="dxa"/>
            <w:shd w:val="clear" w:color="auto" w:fill="auto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50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50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50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Planeación</w:t>
            </w:r>
          </w:p>
        </w:tc>
        <w:tc>
          <w:tcPr>
            <w:tcW w:w="50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deficiente determinación de especificaciones técnicas mínimas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Las especificaciones técnicas mínimas no permiten que se satisfaga la necesidad</w:t>
            </w:r>
          </w:p>
        </w:tc>
        <w:tc>
          <w:tcPr>
            <w:tcW w:w="50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50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50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4(Riesgo bajo)</w:t>
            </w:r>
          </w:p>
        </w:tc>
        <w:tc>
          <w:tcPr>
            <w:tcW w:w="50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</w:t>
            </w:r>
          </w:p>
        </w:tc>
        <w:tc>
          <w:tcPr>
            <w:tcW w:w="50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021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Se efectúa verificación del estudio previo presentado realizando observaciones cuando las especificaciones no ofrecen claridad</w:t>
            </w:r>
          </w:p>
        </w:tc>
        <w:tc>
          <w:tcPr>
            <w:tcW w:w="50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50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50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50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50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Asesor de contratación</w:t>
            </w:r>
          </w:p>
        </w:tc>
        <w:tc>
          <w:tcPr>
            <w:tcW w:w="50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 la llegada del estudio previo</w:t>
            </w:r>
          </w:p>
        </w:tc>
        <w:tc>
          <w:tcPr>
            <w:tcW w:w="50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Cinco días hábiles siguientes a la recepción</w:t>
            </w:r>
          </w:p>
        </w:tc>
        <w:tc>
          <w:tcPr>
            <w:tcW w:w="881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Documento solicitando aclaración</w:t>
            </w:r>
          </w:p>
        </w:tc>
        <w:tc>
          <w:tcPr>
            <w:tcW w:w="661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Llegada estudio previo corregido</w:t>
            </w:r>
          </w:p>
        </w:tc>
      </w:tr>
      <w:tr w:rsidR="006B6688" w:rsidRPr="006B6688" w:rsidTr="00676CD1">
        <w:trPr>
          <w:cantSplit/>
          <w:trHeight w:val="1134"/>
          <w:jc w:val="center"/>
        </w:trPr>
        <w:tc>
          <w:tcPr>
            <w:tcW w:w="505" w:type="dxa"/>
            <w:shd w:val="clear" w:color="auto" w:fill="auto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lastRenderedPageBreak/>
              <w:t>4</w:t>
            </w:r>
          </w:p>
        </w:tc>
        <w:tc>
          <w:tcPr>
            <w:tcW w:w="50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50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50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Planeación</w:t>
            </w:r>
          </w:p>
        </w:tc>
        <w:tc>
          <w:tcPr>
            <w:tcW w:w="50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manejo del proceso de contratación por personal que no está calificado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El proceso de adquisiciones se encuentra impulsado por personal que no tiene las calidades y conocimiento de la normatividad</w:t>
            </w:r>
          </w:p>
        </w:tc>
        <w:tc>
          <w:tcPr>
            <w:tcW w:w="50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50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50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2(Riesgo bajo)</w:t>
            </w:r>
          </w:p>
        </w:tc>
        <w:tc>
          <w:tcPr>
            <w:tcW w:w="50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</w:t>
            </w:r>
          </w:p>
        </w:tc>
        <w:tc>
          <w:tcPr>
            <w:tcW w:w="50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021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Capacitar al personal de Abastecimientos en la normatividad vigente en el proceso de contratación</w:t>
            </w:r>
          </w:p>
        </w:tc>
        <w:tc>
          <w:tcPr>
            <w:tcW w:w="50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50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50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50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50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Jefe división precontractual</w:t>
            </w:r>
          </w:p>
        </w:tc>
        <w:tc>
          <w:tcPr>
            <w:tcW w:w="50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Desde la elaboración del estudio previo</w:t>
            </w:r>
          </w:p>
        </w:tc>
        <w:tc>
          <w:tcPr>
            <w:tcW w:w="50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Hasta la liquidación del contrato</w:t>
            </w:r>
          </w:p>
        </w:tc>
        <w:tc>
          <w:tcPr>
            <w:tcW w:w="881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Acta de la capacitación</w:t>
            </w:r>
          </w:p>
        </w:tc>
        <w:tc>
          <w:tcPr>
            <w:tcW w:w="661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semestral</w:t>
            </w:r>
          </w:p>
        </w:tc>
      </w:tr>
    </w:tbl>
    <w:p w:rsidR="006B6688" w:rsidRPr="006B6688" w:rsidRDefault="006B6688" w:rsidP="006B6688">
      <w:pPr>
        <w:spacing w:after="200" w:line="276" w:lineRule="auto"/>
        <w:jc w:val="center"/>
        <w:rPr>
          <w:rFonts w:ascii="Arial" w:eastAsia="Times New Roman" w:hAnsi="Arial" w:cs="Arial"/>
          <w:sz w:val="12"/>
          <w:szCs w:val="12"/>
          <w:lang w:eastAsia="es-CO"/>
        </w:rPr>
      </w:pPr>
    </w:p>
    <w:p w:rsidR="006B6688" w:rsidRPr="006B6688" w:rsidRDefault="006B6688" w:rsidP="006B6688">
      <w:pPr>
        <w:spacing w:after="200" w:line="276" w:lineRule="auto"/>
        <w:jc w:val="center"/>
        <w:rPr>
          <w:rFonts w:ascii="Arial" w:eastAsia="Times New Roman" w:hAnsi="Arial" w:cs="Arial"/>
          <w:sz w:val="12"/>
          <w:szCs w:val="12"/>
          <w:lang w:eastAsia="es-CO"/>
        </w:rPr>
      </w:pPr>
    </w:p>
    <w:p w:rsidR="006B6688" w:rsidRPr="006B6688" w:rsidRDefault="006B6688" w:rsidP="006B6688">
      <w:pPr>
        <w:spacing w:after="200" w:line="276" w:lineRule="auto"/>
        <w:rPr>
          <w:rFonts w:ascii="Arial" w:eastAsia="Times New Roman" w:hAnsi="Arial" w:cs="Arial"/>
          <w:sz w:val="12"/>
          <w:szCs w:val="12"/>
          <w:lang w:eastAsia="es-CO"/>
        </w:rPr>
      </w:pPr>
    </w:p>
    <w:p w:rsidR="006B6688" w:rsidRPr="006B6688" w:rsidRDefault="006B6688" w:rsidP="006B6688">
      <w:pPr>
        <w:tabs>
          <w:tab w:val="left" w:pos="12992"/>
        </w:tabs>
        <w:spacing w:after="200" w:line="276" w:lineRule="auto"/>
        <w:rPr>
          <w:rFonts w:ascii="Arial" w:eastAsia="Times New Roman" w:hAnsi="Arial" w:cs="Arial"/>
          <w:sz w:val="12"/>
          <w:szCs w:val="12"/>
          <w:lang w:eastAsia="es-CO"/>
        </w:rPr>
      </w:pPr>
      <w:r w:rsidRPr="006B6688">
        <w:rPr>
          <w:rFonts w:ascii="Arial" w:eastAsia="Times New Roman" w:hAnsi="Arial" w:cs="Arial"/>
          <w:sz w:val="12"/>
          <w:szCs w:val="12"/>
          <w:lang w:eastAsia="es-CO"/>
        </w:rPr>
        <w:tab/>
      </w:r>
    </w:p>
    <w:tbl>
      <w:tblPr>
        <w:tblW w:w="127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4"/>
        <w:gridCol w:w="505"/>
        <w:gridCol w:w="505"/>
        <w:gridCol w:w="505"/>
        <w:gridCol w:w="505"/>
        <w:gridCol w:w="1121"/>
        <w:gridCol w:w="948"/>
        <w:gridCol w:w="505"/>
        <w:gridCol w:w="505"/>
        <w:gridCol w:w="505"/>
        <w:gridCol w:w="505"/>
        <w:gridCol w:w="505"/>
        <w:gridCol w:w="994"/>
        <w:gridCol w:w="505"/>
        <w:gridCol w:w="505"/>
        <w:gridCol w:w="505"/>
        <w:gridCol w:w="505"/>
        <w:gridCol w:w="505"/>
        <w:gridCol w:w="505"/>
        <w:gridCol w:w="505"/>
        <w:gridCol w:w="828"/>
        <w:gridCol w:w="808"/>
      </w:tblGrid>
      <w:tr w:rsidR="006B6688" w:rsidRPr="006B6688" w:rsidTr="00676CD1">
        <w:trPr>
          <w:cantSplit/>
          <w:trHeight w:val="1320"/>
          <w:jc w:val="center"/>
        </w:trPr>
        <w:tc>
          <w:tcPr>
            <w:tcW w:w="294" w:type="dxa"/>
            <w:shd w:val="clear" w:color="auto" w:fill="auto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9</w:t>
            </w:r>
          </w:p>
        </w:tc>
        <w:tc>
          <w:tcPr>
            <w:tcW w:w="658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General </w:t>
            </w:r>
          </w:p>
        </w:tc>
        <w:tc>
          <w:tcPr>
            <w:tcW w:w="530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Externo </w:t>
            </w:r>
          </w:p>
        </w:tc>
        <w:tc>
          <w:tcPr>
            <w:tcW w:w="640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Contratación </w:t>
            </w:r>
          </w:p>
        </w:tc>
        <w:tc>
          <w:tcPr>
            <w:tcW w:w="763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Operacional </w:t>
            </w:r>
          </w:p>
        </w:tc>
        <w:tc>
          <w:tcPr>
            <w:tcW w:w="1111" w:type="dxa"/>
            <w:shd w:val="clear" w:color="auto" w:fill="auto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No se presenten las garantías requeridas en los documentos del proceso de contratación o que su presentación sea tardía.</w:t>
            </w:r>
          </w:p>
        </w:tc>
        <w:tc>
          <w:tcPr>
            <w:tcW w:w="1113" w:type="dxa"/>
            <w:shd w:val="clear" w:color="auto" w:fill="auto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Retraso en el inicio de la ejecución y cumplimiento del contrato, y por lo tanto no satisfacción oportuna de la necesidad.</w:t>
            </w:r>
          </w:p>
        </w:tc>
        <w:tc>
          <w:tcPr>
            <w:tcW w:w="29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9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536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5(Riesgo medio)</w:t>
            </w:r>
          </w:p>
        </w:tc>
        <w:tc>
          <w:tcPr>
            <w:tcW w:w="516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</w:t>
            </w:r>
          </w:p>
        </w:tc>
        <w:tc>
          <w:tcPr>
            <w:tcW w:w="712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Proponente</w:t>
            </w:r>
          </w:p>
        </w:tc>
        <w:tc>
          <w:tcPr>
            <w:tcW w:w="1085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Hacer efectiva póliza de garantía de seriedad de la propuesta en caso de haberse solicitado. -Iniciar proceso de reclamo de garantías por Incumplimiento del contrato.</w:t>
            </w:r>
          </w:p>
        </w:tc>
        <w:tc>
          <w:tcPr>
            <w:tcW w:w="29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9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96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296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387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Jefe División precontractual</w:t>
            </w:r>
          </w:p>
        </w:tc>
        <w:tc>
          <w:tcPr>
            <w:tcW w:w="486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Termino para la firma del contrato </w:t>
            </w:r>
          </w:p>
        </w:tc>
        <w:tc>
          <w:tcPr>
            <w:tcW w:w="443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Vigencia garantía de seriedad </w:t>
            </w:r>
          </w:p>
        </w:tc>
        <w:tc>
          <w:tcPr>
            <w:tcW w:w="832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Seguimiento al proceso de reclamo de garantía de seriedad  y/o revisión adjudicación segundo menor valor </w:t>
            </w:r>
          </w:p>
        </w:tc>
        <w:tc>
          <w:tcPr>
            <w:tcW w:w="868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Posterior a la adjudicación y previo al vencimiento del plazo de ejecución </w:t>
            </w:r>
          </w:p>
        </w:tc>
      </w:tr>
      <w:tr w:rsidR="006B6688" w:rsidRPr="006B6688" w:rsidTr="00676CD1">
        <w:trPr>
          <w:cantSplit/>
          <w:trHeight w:val="1350"/>
          <w:jc w:val="center"/>
        </w:trPr>
        <w:tc>
          <w:tcPr>
            <w:tcW w:w="294" w:type="dxa"/>
            <w:shd w:val="clear" w:color="auto" w:fill="auto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10</w:t>
            </w:r>
          </w:p>
        </w:tc>
        <w:tc>
          <w:tcPr>
            <w:tcW w:w="658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General </w:t>
            </w:r>
          </w:p>
        </w:tc>
        <w:tc>
          <w:tcPr>
            <w:tcW w:w="530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Interno </w:t>
            </w:r>
          </w:p>
        </w:tc>
        <w:tc>
          <w:tcPr>
            <w:tcW w:w="640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Contratación </w:t>
            </w:r>
          </w:p>
        </w:tc>
        <w:tc>
          <w:tcPr>
            <w:tcW w:w="763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Operacional </w:t>
            </w:r>
          </w:p>
        </w:tc>
        <w:tc>
          <w:tcPr>
            <w:tcW w:w="1111" w:type="dxa"/>
            <w:shd w:val="clear" w:color="auto" w:fill="auto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incumplimiento del registro presupuestal </w:t>
            </w:r>
          </w:p>
        </w:tc>
        <w:tc>
          <w:tcPr>
            <w:tcW w:w="1113" w:type="dxa"/>
            <w:shd w:val="clear" w:color="auto" w:fill="auto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Retraso en el inicio de la ejecución y cumplimiento del </w:t>
            </w:r>
            <w:proofErr w:type="gramStart"/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contrato,  y</w:t>
            </w:r>
            <w:proofErr w:type="gramEnd"/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por lo tanto no satisfacción oportuna de la necesidad. -Incumplimiento de pago del contrato.</w:t>
            </w:r>
          </w:p>
        </w:tc>
        <w:tc>
          <w:tcPr>
            <w:tcW w:w="29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9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536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2(Riesgo bajo)</w:t>
            </w:r>
          </w:p>
        </w:tc>
        <w:tc>
          <w:tcPr>
            <w:tcW w:w="516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</w:t>
            </w:r>
          </w:p>
        </w:tc>
        <w:tc>
          <w:tcPr>
            <w:tcW w:w="712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085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Gestión oportuna para agilizar expedición de CRP una vez suscrito el contrato.</w:t>
            </w:r>
          </w:p>
        </w:tc>
        <w:tc>
          <w:tcPr>
            <w:tcW w:w="29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9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96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96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387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Dependencia Presupuesto</w:t>
            </w:r>
          </w:p>
        </w:tc>
        <w:tc>
          <w:tcPr>
            <w:tcW w:w="486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Termino para el cumplimiento de requisitos de ejecución </w:t>
            </w:r>
          </w:p>
        </w:tc>
        <w:tc>
          <w:tcPr>
            <w:tcW w:w="443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Termino para el cumplimiento de requisitos de ejecución </w:t>
            </w:r>
          </w:p>
        </w:tc>
        <w:tc>
          <w:tcPr>
            <w:tcW w:w="832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Verificación expedición de certificado de registro presupuestal </w:t>
            </w:r>
          </w:p>
        </w:tc>
        <w:tc>
          <w:tcPr>
            <w:tcW w:w="868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Una vez suscrito el contrato </w:t>
            </w:r>
          </w:p>
        </w:tc>
      </w:tr>
      <w:tr w:rsidR="006B6688" w:rsidRPr="006B6688" w:rsidTr="00676CD1">
        <w:trPr>
          <w:cantSplit/>
          <w:trHeight w:val="1155"/>
          <w:jc w:val="center"/>
        </w:trPr>
        <w:tc>
          <w:tcPr>
            <w:tcW w:w="294" w:type="dxa"/>
            <w:shd w:val="clear" w:color="auto" w:fill="auto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11</w:t>
            </w:r>
          </w:p>
        </w:tc>
        <w:tc>
          <w:tcPr>
            <w:tcW w:w="658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General </w:t>
            </w:r>
          </w:p>
        </w:tc>
        <w:tc>
          <w:tcPr>
            <w:tcW w:w="530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640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Contratación </w:t>
            </w:r>
          </w:p>
        </w:tc>
        <w:tc>
          <w:tcPr>
            <w:tcW w:w="763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Operacional </w:t>
            </w:r>
          </w:p>
        </w:tc>
        <w:tc>
          <w:tcPr>
            <w:tcW w:w="1111" w:type="dxa"/>
            <w:shd w:val="clear" w:color="auto" w:fill="auto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reclamos de terceros sobre la selección del oferente que retrasen el perfeccionamiento del contrato</w:t>
            </w:r>
          </w:p>
        </w:tc>
        <w:tc>
          <w:tcPr>
            <w:tcW w:w="1113" w:type="dxa"/>
            <w:shd w:val="clear" w:color="auto" w:fill="auto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Retraso en el inicio de la ejecución y cumplimiento del contrato, y por lo tanto no satisfacción oportuna de la necesidad.</w:t>
            </w:r>
          </w:p>
        </w:tc>
        <w:tc>
          <w:tcPr>
            <w:tcW w:w="29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9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536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 (Riesgo bajo)</w:t>
            </w:r>
          </w:p>
        </w:tc>
        <w:tc>
          <w:tcPr>
            <w:tcW w:w="516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</w:t>
            </w:r>
          </w:p>
        </w:tc>
        <w:tc>
          <w:tcPr>
            <w:tcW w:w="712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Entidad </w:t>
            </w:r>
          </w:p>
        </w:tc>
        <w:tc>
          <w:tcPr>
            <w:tcW w:w="1085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Responder y aclarar en el menor tiempo posible las observaciones presentadas</w:t>
            </w:r>
          </w:p>
        </w:tc>
        <w:tc>
          <w:tcPr>
            <w:tcW w:w="29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9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96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96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387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Jefe División precontractual</w:t>
            </w:r>
          </w:p>
        </w:tc>
        <w:tc>
          <w:tcPr>
            <w:tcW w:w="486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Termino de evaluación de las propuestas </w:t>
            </w:r>
          </w:p>
        </w:tc>
        <w:tc>
          <w:tcPr>
            <w:tcW w:w="443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Termino de evaluación de las propuestas </w:t>
            </w:r>
          </w:p>
        </w:tc>
        <w:tc>
          <w:tcPr>
            <w:tcW w:w="832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Revisión de respuestas de los comités </w:t>
            </w:r>
          </w:p>
        </w:tc>
        <w:tc>
          <w:tcPr>
            <w:tcW w:w="868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Previo a la adjudicación </w:t>
            </w:r>
          </w:p>
        </w:tc>
      </w:tr>
      <w:tr w:rsidR="006B6688" w:rsidRPr="006B6688" w:rsidTr="00676CD1">
        <w:trPr>
          <w:cantSplit/>
          <w:trHeight w:val="1134"/>
          <w:jc w:val="center"/>
        </w:trPr>
        <w:tc>
          <w:tcPr>
            <w:tcW w:w="294" w:type="dxa"/>
            <w:shd w:val="clear" w:color="auto" w:fill="auto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lastRenderedPageBreak/>
              <w:t>12</w:t>
            </w:r>
          </w:p>
        </w:tc>
        <w:tc>
          <w:tcPr>
            <w:tcW w:w="658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530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640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Contratación</w:t>
            </w:r>
          </w:p>
        </w:tc>
        <w:tc>
          <w:tcPr>
            <w:tcW w:w="763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Económico</w:t>
            </w:r>
          </w:p>
        </w:tc>
        <w:tc>
          <w:tcPr>
            <w:tcW w:w="1111" w:type="dxa"/>
            <w:shd w:val="clear" w:color="auto" w:fill="auto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Sobrecostos en bienes y/o servicios</w:t>
            </w:r>
          </w:p>
        </w:tc>
        <w:tc>
          <w:tcPr>
            <w:tcW w:w="1113" w:type="dxa"/>
            <w:shd w:val="clear" w:color="auto" w:fill="auto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Los bienes/ servicios objeto del futuro contrato no se encuentran acordes a los precios del mercado</w:t>
            </w:r>
          </w:p>
        </w:tc>
        <w:tc>
          <w:tcPr>
            <w:tcW w:w="29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9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536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3(Riesgo bajo)</w:t>
            </w:r>
          </w:p>
        </w:tc>
        <w:tc>
          <w:tcPr>
            <w:tcW w:w="516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</w:t>
            </w:r>
          </w:p>
        </w:tc>
        <w:tc>
          <w:tcPr>
            <w:tcW w:w="712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1085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Realizar un análisis de mercado que permita determinar que los bienes/servicios se encuentran de acuerdo con los precios de mercado</w:t>
            </w:r>
          </w:p>
        </w:tc>
        <w:tc>
          <w:tcPr>
            <w:tcW w:w="29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9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96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96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387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Dependencia Usuaria/ Comité Económico</w:t>
            </w:r>
          </w:p>
        </w:tc>
        <w:tc>
          <w:tcPr>
            <w:tcW w:w="486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Ver plazo de ejecución</w:t>
            </w:r>
          </w:p>
        </w:tc>
        <w:tc>
          <w:tcPr>
            <w:tcW w:w="443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Ver plazo de ejecución</w:t>
            </w:r>
          </w:p>
        </w:tc>
        <w:tc>
          <w:tcPr>
            <w:tcW w:w="832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Estudio previo/ evaluación comité</w:t>
            </w:r>
          </w:p>
        </w:tc>
        <w:tc>
          <w:tcPr>
            <w:tcW w:w="868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previo a la adjudicación</w:t>
            </w:r>
          </w:p>
        </w:tc>
      </w:tr>
      <w:tr w:rsidR="006B6688" w:rsidRPr="006B6688" w:rsidTr="00676CD1">
        <w:trPr>
          <w:cantSplit/>
          <w:trHeight w:val="1290"/>
          <w:jc w:val="center"/>
        </w:trPr>
        <w:tc>
          <w:tcPr>
            <w:tcW w:w="294" w:type="dxa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13</w:t>
            </w:r>
          </w:p>
        </w:tc>
        <w:tc>
          <w:tcPr>
            <w:tcW w:w="658" w:type="dxa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530" w:type="dxa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640" w:type="dxa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763" w:type="dxa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Económico</w:t>
            </w:r>
          </w:p>
        </w:tc>
        <w:tc>
          <w:tcPr>
            <w:tcW w:w="1111" w:type="dxa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incumplimiento de los plazos de pago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Incumplir el plazo de pago del valor del contrato al contratista, impidiendo la liquidez para el cumplimiento de las obligaciones derivadas del contrato</w:t>
            </w:r>
          </w:p>
        </w:tc>
        <w:tc>
          <w:tcPr>
            <w:tcW w:w="295" w:type="dxa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95" w:type="dxa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536" w:type="dxa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2(Riesgo bajo)</w:t>
            </w:r>
          </w:p>
        </w:tc>
        <w:tc>
          <w:tcPr>
            <w:tcW w:w="516" w:type="dxa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</w:t>
            </w:r>
          </w:p>
        </w:tc>
        <w:tc>
          <w:tcPr>
            <w:tcW w:w="712" w:type="dxa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085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Dar cumplimiento al procedimiento de la cadena presupuestal y el Programa Anual </w:t>
            </w:r>
            <w:proofErr w:type="spellStart"/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Mensualizado</w:t>
            </w:r>
            <w:proofErr w:type="spellEnd"/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de Caja</w:t>
            </w:r>
          </w:p>
        </w:tc>
        <w:tc>
          <w:tcPr>
            <w:tcW w:w="29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9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96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96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387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Jefe División Presupuesto</w:t>
            </w:r>
          </w:p>
        </w:tc>
        <w:tc>
          <w:tcPr>
            <w:tcW w:w="486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Ver plazo de ejecución</w:t>
            </w:r>
          </w:p>
        </w:tc>
        <w:tc>
          <w:tcPr>
            <w:tcW w:w="443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mensual</w:t>
            </w:r>
          </w:p>
        </w:tc>
        <w:tc>
          <w:tcPr>
            <w:tcW w:w="832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Documentos soporte para pago</w:t>
            </w:r>
          </w:p>
        </w:tc>
        <w:tc>
          <w:tcPr>
            <w:tcW w:w="868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mensual</w:t>
            </w:r>
          </w:p>
        </w:tc>
      </w:tr>
    </w:tbl>
    <w:p w:rsidR="006B6688" w:rsidRPr="006B6688" w:rsidRDefault="006B6688" w:rsidP="006B6688">
      <w:pPr>
        <w:spacing w:after="200" w:line="276" w:lineRule="auto"/>
        <w:jc w:val="center"/>
        <w:rPr>
          <w:rFonts w:ascii="Arial" w:eastAsia="Times New Roman" w:hAnsi="Arial" w:cs="Arial"/>
          <w:b/>
          <w:color w:val="FF0000"/>
          <w:sz w:val="12"/>
          <w:szCs w:val="12"/>
          <w:u w:val="single"/>
          <w:lang w:eastAsia="es-CO"/>
        </w:rPr>
      </w:pPr>
    </w:p>
    <w:p w:rsidR="006B6688" w:rsidRPr="006B6688" w:rsidRDefault="006B6688" w:rsidP="006B6688">
      <w:pPr>
        <w:spacing w:after="200" w:line="276" w:lineRule="auto"/>
        <w:jc w:val="center"/>
        <w:rPr>
          <w:rFonts w:ascii="Arial" w:eastAsia="Times New Roman" w:hAnsi="Arial" w:cs="Arial"/>
          <w:b/>
          <w:color w:val="FF0000"/>
          <w:sz w:val="12"/>
          <w:szCs w:val="12"/>
          <w:u w:val="single"/>
          <w:lang w:eastAsia="es-CO"/>
        </w:rPr>
      </w:pPr>
    </w:p>
    <w:p w:rsidR="006B6688" w:rsidRPr="006B6688" w:rsidRDefault="006B6688" w:rsidP="006B6688">
      <w:pPr>
        <w:spacing w:after="200" w:line="276" w:lineRule="auto"/>
        <w:jc w:val="center"/>
        <w:rPr>
          <w:rFonts w:ascii="Arial" w:eastAsia="Times New Roman" w:hAnsi="Arial" w:cs="Arial"/>
          <w:b/>
          <w:color w:val="FF0000"/>
          <w:sz w:val="12"/>
          <w:szCs w:val="12"/>
          <w:u w:val="single"/>
          <w:lang w:eastAsia="es-CO"/>
        </w:rPr>
      </w:pPr>
    </w:p>
    <w:p w:rsidR="006B6688" w:rsidRPr="006B6688" w:rsidRDefault="006B6688" w:rsidP="006B6688">
      <w:pPr>
        <w:spacing w:after="200" w:line="276" w:lineRule="auto"/>
        <w:jc w:val="center"/>
        <w:rPr>
          <w:rFonts w:ascii="Arial" w:eastAsia="Times New Roman" w:hAnsi="Arial" w:cs="Arial"/>
          <w:b/>
          <w:color w:val="FF0000"/>
          <w:sz w:val="12"/>
          <w:szCs w:val="12"/>
          <w:u w:val="single"/>
          <w:lang w:eastAsia="es-CO"/>
        </w:rPr>
      </w:pPr>
    </w:p>
    <w:tbl>
      <w:tblPr>
        <w:tblW w:w="127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4"/>
        <w:gridCol w:w="567"/>
        <w:gridCol w:w="514"/>
        <w:gridCol w:w="661"/>
        <w:gridCol w:w="701"/>
        <w:gridCol w:w="808"/>
        <w:gridCol w:w="967"/>
        <w:gridCol w:w="505"/>
        <w:gridCol w:w="505"/>
        <w:gridCol w:w="505"/>
        <w:gridCol w:w="505"/>
        <w:gridCol w:w="505"/>
        <w:gridCol w:w="894"/>
        <w:gridCol w:w="505"/>
        <w:gridCol w:w="505"/>
        <w:gridCol w:w="505"/>
        <w:gridCol w:w="505"/>
        <w:gridCol w:w="505"/>
        <w:gridCol w:w="505"/>
        <w:gridCol w:w="505"/>
        <w:gridCol w:w="981"/>
        <w:gridCol w:w="868"/>
      </w:tblGrid>
      <w:tr w:rsidR="006B6688" w:rsidRPr="006B6688" w:rsidTr="00676CD1">
        <w:trPr>
          <w:cantSplit/>
          <w:trHeight w:val="1590"/>
          <w:jc w:val="center"/>
        </w:trPr>
        <w:tc>
          <w:tcPr>
            <w:tcW w:w="295" w:type="dxa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14</w:t>
            </w:r>
          </w:p>
        </w:tc>
        <w:tc>
          <w:tcPr>
            <w:tcW w:w="660" w:type="dxa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642" w:type="dxa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766" w:type="dxa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1111" w:type="dxa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mecanismo de cobertura del riesgo</w:t>
            </w:r>
          </w:p>
        </w:tc>
        <w:tc>
          <w:tcPr>
            <w:tcW w:w="1114" w:type="dxa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No exigir los amparos por los porcentajes y tiempos establecidos en la ley y el mercado, exigiendo valores y plazos indiscriminados que no corresponden a la naturaleza del contrato</w:t>
            </w:r>
          </w:p>
        </w:tc>
        <w:tc>
          <w:tcPr>
            <w:tcW w:w="295" w:type="dxa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95" w:type="dxa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3(Riesgo bajo)</w:t>
            </w:r>
          </w:p>
        </w:tc>
        <w:tc>
          <w:tcPr>
            <w:tcW w:w="517" w:type="dxa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</w:t>
            </w:r>
          </w:p>
        </w:tc>
        <w:tc>
          <w:tcPr>
            <w:tcW w:w="715" w:type="dxa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086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Dar cumplimiento a la normatividad sobre el porcentaje y vigencia de los amparos para cubrir el cumplimiento del contrato y realizar un análisis de mercado para aquellos amparos sujetos a los tiempos comerciales</w:t>
            </w:r>
          </w:p>
        </w:tc>
        <w:tc>
          <w:tcPr>
            <w:tcW w:w="29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9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96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96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388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Dependencia Usuaria</w:t>
            </w:r>
          </w:p>
        </w:tc>
        <w:tc>
          <w:tcPr>
            <w:tcW w:w="35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Desde la elaboración del estudio previo</w:t>
            </w:r>
          </w:p>
        </w:tc>
        <w:tc>
          <w:tcPr>
            <w:tcW w:w="408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Hasta el término establecido para la expedición de adendas</w:t>
            </w:r>
          </w:p>
        </w:tc>
        <w:tc>
          <w:tcPr>
            <w:tcW w:w="981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Estudio previo</w:t>
            </w:r>
          </w:p>
        </w:tc>
        <w:tc>
          <w:tcPr>
            <w:tcW w:w="868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Previo a la apertura del proceso</w:t>
            </w:r>
          </w:p>
        </w:tc>
      </w:tr>
      <w:tr w:rsidR="006B6688" w:rsidRPr="006B6688" w:rsidTr="00676CD1">
        <w:trPr>
          <w:cantSplit/>
          <w:trHeight w:val="1134"/>
          <w:jc w:val="center"/>
        </w:trPr>
        <w:tc>
          <w:tcPr>
            <w:tcW w:w="295" w:type="dxa"/>
            <w:shd w:val="clear" w:color="auto" w:fill="auto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lastRenderedPageBreak/>
              <w:t>15</w:t>
            </w:r>
          </w:p>
        </w:tc>
        <w:tc>
          <w:tcPr>
            <w:tcW w:w="660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531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642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766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1111" w:type="dxa"/>
            <w:shd w:val="clear" w:color="auto" w:fill="auto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tecnológico en la publicación de los documentos del proceso</w:t>
            </w:r>
          </w:p>
        </w:tc>
        <w:tc>
          <w:tcPr>
            <w:tcW w:w="1114" w:type="dxa"/>
            <w:shd w:val="clear" w:color="auto" w:fill="auto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No se publiquen los documentos dando cumplimiento a los parámetros establecidos en la legislación vigente</w:t>
            </w:r>
          </w:p>
        </w:tc>
        <w:tc>
          <w:tcPr>
            <w:tcW w:w="29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9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2(Riesgo bajo)</w:t>
            </w:r>
          </w:p>
        </w:tc>
        <w:tc>
          <w:tcPr>
            <w:tcW w:w="517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</w:t>
            </w:r>
          </w:p>
        </w:tc>
        <w:tc>
          <w:tcPr>
            <w:tcW w:w="71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Entidad</w:t>
            </w:r>
          </w:p>
        </w:tc>
        <w:tc>
          <w:tcPr>
            <w:tcW w:w="1086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Publicar los documentos con tiempo suficiente y dentro de los plazos establecidos en la legislación vigente</w:t>
            </w:r>
          </w:p>
        </w:tc>
        <w:tc>
          <w:tcPr>
            <w:tcW w:w="29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9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96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96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388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Jefe División precontractual</w:t>
            </w:r>
          </w:p>
        </w:tc>
        <w:tc>
          <w:tcPr>
            <w:tcW w:w="35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Desde la elaboración del estudio previo</w:t>
            </w:r>
          </w:p>
        </w:tc>
        <w:tc>
          <w:tcPr>
            <w:tcW w:w="408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Hasta la liquidación del contrato</w:t>
            </w:r>
          </w:p>
        </w:tc>
        <w:tc>
          <w:tcPr>
            <w:tcW w:w="981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Actos administrativos</w:t>
            </w:r>
          </w:p>
        </w:tc>
        <w:tc>
          <w:tcPr>
            <w:tcW w:w="868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Dentro de los tres días siguientes a la expedición</w:t>
            </w:r>
          </w:p>
        </w:tc>
      </w:tr>
      <w:tr w:rsidR="006B6688" w:rsidRPr="006B6688" w:rsidTr="00676CD1">
        <w:trPr>
          <w:cantSplit/>
          <w:trHeight w:val="1134"/>
          <w:jc w:val="center"/>
        </w:trPr>
        <w:tc>
          <w:tcPr>
            <w:tcW w:w="295" w:type="dxa"/>
            <w:shd w:val="clear" w:color="auto" w:fill="auto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16</w:t>
            </w:r>
          </w:p>
        </w:tc>
        <w:tc>
          <w:tcPr>
            <w:tcW w:w="660" w:type="dxa"/>
            <w:shd w:val="clear" w:color="auto" w:fill="auto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531" w:type="dxa"/>
            <w:shd w:val="clear" w:color="auto" w:fill="auto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766" w:type="dxa"/>
            <w:shd w:val="clear" w:color="auto" w:fill="auto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Financiero</w:t>
            </w:r>
          </w:p>
        </w:tc>
        <w:tc>
          <w:tcPr>
            <w:tcW w:w="1111" w:type="dxa"/>
            <w:shd w:val="clear" w:color="auto" w:fill="auto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consecución financiación </w:t>
            </w:r>
          </w:p>
        </w:tc>
        <w:tc>
          <w:tcPr>
            <w:tcW w:w="1114" w:type="dxa"/>
            <w:shd w:val="clear" w:color="auto" w:fill="auto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El contratista no cuenta con los recursos para cumplir con los compromisos adquiridos en el contrato</w:t>
            </w:r>
          </w:p>
        </w:tc>
        <w:tc>
          <w:tcPr>
            <w:tcW w:w="295" w:type="dxa"/>
            <w:shd w:val="clear" w:color="auto" w:fill="auto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95" w:type="dxa"/>
            <w:shd w:val="clear" w:color="auto" w:fill="auto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4(Riesgo bajo)</w:t>
            </w:r>
          </w:p>
        </w:tc>
        <w:tc>
          <w:tcPr>
            <w:tcW w:w="517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</w:t>
            </w:r>
          </w:p>
        </w:tc>
        <w:tc>
          <w:tcPr>
            <w:tcW w:w="715" w:type="dxa"/>
            <w:shd w:val="clear" w:color="auto" w:fill="auto"/>
            <w:textDirection w:val="btLr"/>
            <w:vAlign w:val="center"/>
            <w:hideMark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1086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El contratista debe prever todos los costos generados en el cumplimiento del objeto del contrato y conseguir la financiación y recursos que le garanticen la liquidez para el desarrollo del mismo</w:t>
            </w:r>
          </w:p>
        </w:tc>
        <w:tc>
          <w:tcPr>
            <w:tcW w:w="29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9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96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96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388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Supervisor</w:t>
            </w:r>
          </w:p>
        </w:tc>
        <w:tc>
          <w:tcPr>
            <w:tcW w:w="35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Desde la publicación de la aceptación de oferta</w:t>
            </w:r>
          </w:p>
        </w:tc>
        <w:tc>
          <w:tcPr>
            <w:tcW w:w="408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Hasta la entrega total de los bienes y/o servicios contratados</w:t>
            </w:r>
          </w:p>
        </w:tc>
        <w:tc>
          <w:tcPr>
            <w:tcW w:w="981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Requerimientos de bienes o servicios</w:t>
            </w:r>
          </w:p>
        </w:tc>
        <w:tc>
          <w:tcPr>
            <w:tcW w:w="868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permanente</w:t>
            </w:r>
          </w:p>
        </w:tc>
      </w:tr>
      <w:tr w:rsidR="006B6688" w:rsidRPr="006B6688" w:rsidTr="00676CD1">
        <w:trPr>
          <w:cantSplit/>
          <w:trHeight w:val="1134"/>
          <w:jc w:val="center"/>
        </w:trPr>
        <w:tc>
          <w:tcPr>
            <w:tcW w:w="295" w:type="dxa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17</w:t>
            </w:r>
          </w:p>
        </w:tc>
        <w:tc>
          <w:tcPr>
            <w:tcW w:w="660" w:type="dxa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Especifico</w:t>
            </w: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642" w:type="dxa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766" w:type="dxa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1111" w:type="dxa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retrasos en la entrega de bienes y/o servicios</w:t>
            </w:r>
          </w:p>
        </w:tc>
        <w:tc>
          <w:tcPr>
            <w:tcW w:w="1114" w:type="dxa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Que no se entreguen oportunamente los bienes y/o servicios impidiendo el normal desarrollo del proceso de adquisiciones en la Unidad Delegataria</w:t>
            </w:r>
          </w:p>
        </w:tc>
        <w:tc>
          <w:tcPr>
            <w:tcW w:w="295" w:type="dxa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95" w:type="dxa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537" w:type="dxa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6 (Riesgo alto)</w:t>
            </w:r>
          </w:p>
        </w:tc>
        <w:tc>
          <w:tcPr>
            <w:tcW w:w="517" w:type="dxa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715" w:type="dxa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1086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Establecer plazos dentro del contrato para la entrega de los conceptos y determinar un procedimiento para su revisión y aprobación por parte del supervisor del contrato</w:t>
            </w:r>
          </w:p>
        </w:tc>
        <w:tc>
          <w:tcPr>
            <w:tcW w:w="29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9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96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296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388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Dependencia Usuaria</w:t>
            </w:r>
          </w:p>
        </w:tc>
        <w:tc>
          <w:tcPr>
            <w:tcW w:w="355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Desde la publicación de la aceptación de oferta</w:t>
            </w:r>
          </w:p>
        </w:tc>
        <w:tc>
          <w:tcPr>
            <w:tcW w:w="408" w:type="dxa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Hasta la entrega total de los bienes y/o servicios contratados</w:t>
            </w:r>
          </w:p>
        </w:tc>
        <w:tc>
          <w:tcPr>
            <w:tcW w:w="981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Verificación de actas de levantamiento de requerimientos</w:t>
            </w:r>
          </w:p>
        </w:tc>
        <w:tc>
          <w:tcPr>
            <w:tcW w:w="868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Mensual (acuerdo lo necesitado por la dependencia)</w:t>
            </w:r>
          </w:p>
        </w:tc>
      </w:tr>
    </w:tbl>
    <w:p w:rsidR="006B6688" w:rsidRPr="006B6688" w:rsidRDefault="006B6688" w:rsidP="006B6688">
      <w:pPr>
        <w:spacing w:after="200" w:line="276" w:lineRule="auto"/>
        <w:jc w:val="center"/>
        <w:rPr>
          <w:rFonts w:ascii="Arial" w:eastAsia="Times New Roman" w:hAnsi="Arial" w:cs="Arial"/>
          <w:b/>
          <w:color w:val="FF0000"/>
          <w:sz w:val="12"/>
          <w:szCs w:val="12"/>
          <w:u w:val="single"/>
          <w:lang w:eastAsia="es-CO"/>
        </w:rPr>
      </w:pPr>
    </w:p>
    <w:p w:rsidR="006B6688" w:rsidRPr="006B6688" w:rsidRDefault="006B6688" w:rsidP="006B6688">
      <w:pPr>
        <w:spacing w:after="200" w:line="276" w:lineRule="auto"/>
        <w:jc w:val="center"/>
        <w:rPr>
          <w:rFonts w:ascii="Arial" w:eastAsia="Times New Roman" w:hAnsi="Arial" w:cs="Arial"/>
          <w:b/>
          <w:color w:val="FF0000"/>
          <w:sz w:val="12"/>
          <w:szCs w:val="12"/>
          <w:u w:val="single"/>
          <w:lang w:eastAsia="es-CO"/>
        </w:rPr>
      </w:pPr>
    </w:p>
    <w:p w:rsidR="006B6688" w:rsidRPr="006B6688" w:rsidRDefault="006B6688" w:rsidP="006B6688">
      <w:pPr>
        <w:spacing w:after="200" w:line="276" w:lineRule="auto"/>
        <w:jc w:val="center"/>
        <w:rPr>
          <w:rFonts w:ascii="Arial" w:eastAsia="Times New Roman" w:hAnsi="Arial" w:cs="Arial"/>
          <w:b/>
          <w:color w:val="FF0000"/>
          <w:sz w:val="12"/>
          <w:szCs w:val="12"/>
          <w:u w:val="single"/>
          <w:lang w:eastAsia="es-CO"/>
        </w:rPr>
      </w:pPr>
    </w:p>
    <w:p w:rsidR="006B6688" w:rsidRPr="006B6688" w:rsidRDefault="006B6688" w:rsidP="006B6688">
      <w:pPr>
        <w:spacing w:after="200" w:line="276" w:lineRule="auto"/>
        <w:jc w:val="center"/>
        <w:rPr>
          <w:rFonts w:ascii="Arial" w:eastAsia="Times New Roman" w:hAnsi="Arial" w:cs="Arial"/>
          <w:b/>
          <w:color w:val="FF0000"/>
          <w:sz w:val="12"/>
          <w:szCs w:val="12"/>
          <w:u w:val="single"/>
          <w:lang w:eastAsia="es-CO"/>
        </w:rPr>
      </w:pPr>
    </w:p>
    <w:p w:rsidR="006B6688" w:rsidRPr="006B6688" w:rsidRDefault="006B6688" w:rsidP="006B6688">
      <w:pPr>
        <w:spacing w:after="200" w:line="276" w:lineRule="auto"/>
        <w:jc w:val="center"/>
        <w:rPr>
          <w:rFonts w:ascii="Arial" w:eastAsia="Times New Roman" w:hAnsi="Arial" w:cs="Arial"/>
          <w:b/>
          <w:color w:val="FF0000"/>
          <w:sz w:val="12"/>
          <w:szCs w:val="12"/>
          <w:u w:val="single"/>
          <w:lang w:eastAsia="es-CO"/>
        </w:rPr>
      </w:pPr>
    </w:p>
    <w:p w:rsidR="006B6688" w:rsidRPr="006B6688" w:rsidRDefault="006B6688" w:rsidP="006B6688">
      <w:pPr>
        <w:spacing w:after="200" w:line="276" w:lineRule="auto"/>
        <w:jc w:val="center"/>
        <w:rPr>
          <w:rFonts w:ascii="Arial" w:eastAsia="Times New Roman" w:hAnsi="Arial" w:cs="Arial"/>
          <w:b/>
          <w:color w:val="FF0000"/>
          <w:sz w:val="12"/>
          <w:szCs w:val="12"/>
          <w:u w:val="single"/>
          <w:lang w:eastAsia="es-CO"/>
        </w:rPr>
      </w:pPr>
    </w:p>
    <w:p w:rsidR="006B6688" w:rsidRPr="006B6688" w:rsidRDefault="006B6688" w:rsidP="006B6688">
      <w:pPr>
        <w:spacing w:after="200" w:line="276" w:lineRule="auto"/>
        <w:jc w:val="center"/>
        <w:rPr>
          <w:rFonts w:ascii="Arial" w:eastAsia="Times New Roman" w:hAnsi="Arial" w:cs="Arial"/>
          <w:b/>
          <w:color w:val="FF0000"/>
          <w:sz w:val="12"/>
          <w:szCs w:val="12"/>
          <w:u w:val="single"/>
          <w:lang w:eastAsia="es-CO"/>
        </w:rPr>
      </w:pPr>
    </w:p>
    <w:tbl>
      <w:tblPr>
        <w:tblW w:w="127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4"/>
        <w:gridCol w:w="660"/>
        <w:gridCol w:w="27"/>
        <w:gridCol w:w="498"/>
        <w:gridCol w:w="17"/>
        <w:gridCol w:w="616"/>
        <w:gridCol w:w="45"/>
        <w:gridCol w:w="721"/>
        <w:gridCol w:w="67"/>
        <w:gridCol w:w="811"/>
        <w:gridCol w:w="30"/>
        <w:gridCol w:w="848"/>
        <w:gridCol w:w="42"/>
        <w:gridCol w:w="463"/>
        <w:gridCol w:w="88"/>
        <w:gridCol w:w="417"/>
        <w:gridCol w:w="88"/>
        <w:gridCol w:w="482"/>
        <w:gridCol w:w="27"/>
        <w:gridCol w:w="478"/>
        <w:gridCol w:w="27"/>
        <w:gridCol w:w="685"/>
        <w:gridCol w:w="36"/>
        <w:gridCol w:w="937"/>
        <w:gridCol w:w="24"/>
        <w:gridCol w:w="481"/>
        <w:gridCol w:w="53"/>
        <w:gridCol w:w="452"/>
        <w:gridCol w:w="53"/>
        <w:gridCol w:w="452"/>
        <w:gridCol w:w="53"/>
        <w:gridCol w:w="452"/>
        <w:gridCol w:w="53"/>
        <w:gridCol w:w="469"/>
        <w:gridCol w:w="36"/>
        <w:gridCol w:w="470"/>
        <w:gridCol w:w="35"/>
        <w:gridCol w:w="481"/>
        <w:gridCol w:w="24"/>
        <w:gridCol w:w="833"/>
        <w:gridCol w:w="9"/>
        <w:gridCol w:w="694"/>
      </w:tblGrid>
      <w:tr w:rsidR="006B6688" w:rsidRPr="006B6688" w:rsidTr="00676CD1">
        <w:trPr>
          <w:cantSplit/>
          <w:trHeight w:val="1359"/>
          <w:jc w:val="center"/>
        </w:trPr>
        <w:tc>
          <w:tcPr>
            <w:tcW w:w="294" w:type="dxa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18</w:t>
            </w:r>
          </w:p>
        </w:tc>
        <w:tc>
          <w:tcPr>
            <w:tcW w:w="687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Especifico</w:t>
            </w:r>
          </w:p>
        </w:tc>
        <w:tc>
          <w:tcPr>
            <w:tcW w:w="529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661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788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1101" w:type="dxa"/>
            <w:gridSpan w:val="2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Deficiencia en la calidad de los bienes y/o servicios adquiridos</w:t>
            </w:r>
          </w:p>
        </w:tc>
        <w:tc>
          <w:tcPr>
            <w:tcW w:w="1105" w:type="dxa"/>
            <w:gridSpan w:val="2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Que los bienes y/o servicios no correspondan a los requeridos por la entidad</w:t>
            </w:r>
          </w:p>
        </w:tc>
        <w:tc>
          <w:tcPr>
            <w:tcW w:w="295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95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528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5 (Riesgo Medio)</w:t>
            </w:r>
          </w:p>
        </w:tc>
        <w:tc>
          <w:tcPr>
            <w:tcW w:w="508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</w:t>
            </w:r>
          </w:p>
        </w:tc>
        <w:tc>
          <w:tcPr>
            <w:tcW w:w="721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1077" w:type="dxa"/>
            <w:gridSpan w:val="2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Dar cumplimiento al estándar de calidad que será verificado por el supervisor del contrato durante la fabricación y la entrega</w:t>
            </w:r>
          </w:p>
        </w:tc>
        <w:tc>
          <w:tcPr>
            <w:tcW w:w="295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95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96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296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384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Supervisor</w:t>
            </w:r>
          </w:p>
        </w:tc>
        <w:tc>
          <w:tcPr>
            <w:tcW w:w="352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Desde la publicación de la aceptación de oferta</w:t>
            </w:r>
          </w:p>
        </w:tc>
        <w:tc>
          <w:tcPr>
            <w:tcW w:w="403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Hasta la entrega total de los bienes y/o servicios contratados</w:t>
            </w:r>
          </w:p>
        </w:tc>
        <w:tc>
          <w:tcPr>
            <w:tcW w:w="975" w:type="dxa"/>
            <w:gridSpan w:val="2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Verificación del material previa recepción</w:t>
            </w:r>
          </w:p>
        </w:tc>
        <w:tc>
          <w:tcPr>
            <w:tcW w:w="861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Mensual/a criterio del supervisor</w:t>
            </w:r>
          </w:p>
        </w:tc>
      </w:tr>
      <w:tr w:rsidR="006B6688" w:rsidRPr="006B6688" w:rsidTr="00676CD1">
        <w:trPr>
          <w:cantSplit/>
          <w:trHeight w:val="1134"/>
          <w:jc w:val="center"/>
        </w:trPr>
        <w:tc>
          <w:tcPr>
            <w:tcW w:w="294" w:type="dxa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20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19</w:t>
            </w:r>
          </w:p>
        </w:tc>
        <w:tc>
          <w:tcPr>
            <w:tcW w:w="687" w:type="dxa"/>
            <w:gridSpan w:val="2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Especifico</w:t>
            </w:r>
          </w:p>
        </w:tc>
        <w:tc>
          <w:tcPr>
            <w:tcW w:w="529" w:type="dxa"/>
            <w:gridSpan w:val="2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661" w:type="dxa"/>
            <w:gridSpan w:val="2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788" w:type="dxa"/>
            <w:gridSpan w:val="2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1101" w:type="dxa"/>
            <w:gridSpan w:val="2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Retraso en el pago a los trabajadores.</w:t>
            </w:r>
          </w:p>
        </w:tc>
        <w:tc>
          <w:tcPr>
            <w:tcW w:w="1105" w:type="dxa"/>
            <w:gridSpan w:val="2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Tratándose de servicio que amerita el concurso de varias personas se corre el riesgo que el contratista deje de cancelar salarios y prestaciones sociales a su cargo.</w:t>
            </w:r>
          </w:p>
        </w:tc>
        <w:tc>
          <w:tcPr>
            <w:tcW w:w="295" w:type="dxa"/>
            <w:gridSpan w:val="2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95" w:type="dxa"/>
            <w:gridSpan w:val="2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528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5 (Riesgo medio)</w:t>
            </w:r>
          </w:p>
        </w:tc>
        <w:tc>
          <w:tcPr>
            <w:tcW w:w="508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</w:t>
            </w:r>
          </w:p>
        </w:tc>
        <w:tc>
          <w:tcPr>
            <w:tcW w:w="721" w:type="dxa"/>
            <w:gridSpan w:val="2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1077" w:type="dxa"/>
            <w:gridSpan w:val="2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Exigir al contratista el pago de los salarios y prestaciones sociales y aportes parafiscales a que tenga derecho el trabajador</w:t>
            </w:r>
          </w:p>
        </w:tc>
        <w:tc>
          <w:tcPr>
            <w:tcW w:w="295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95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96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296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384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Supervisor del contrato</w:t>
            </w:r>
          </w:p>
        </w:tc>
        <w:tc>
          <w:tcPr>
            <w:tcW w:w="352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Desde la publicación de la aceptación de oferta</w:t>
            </w:r>
          </w:p>
        </w:tc>
        <w:tc>
          <w:tcPr>
            <w:tcW w:w="403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Hasta la entrega total de los bienes y/o servicios contratados</w:t>
            </w:r>
          </w:p>
        </w:tc>
        <w:tc>
          <w:tcPr>
            <w:tcW w:w="975" w:type="dxa"/>
            <w:gridSpan w:val="2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Seguimiento de los pagos de los salarios y prestaciones sociales </w:t>
            </w:r>
          </w:p>
        </w:tc>
        <w:tc>
          <w:tcPr>
            <w:tcW w:w="861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mensual</w:t>
            </w:r>
          </w:p>
        </w:tc>
      </w:tr>
      <w:tr w:rsidR="006B6688" w:rsidRPr="006B6688" w:rsidTr="00676CD1">
        <w:trPr>
          <w:cantSplit/>
          <w:trHeight w:val="1134"/>
          <w:jc w:val="center"/>
        </w:trPr>
        <w:tc>
          <w:tcPr>
            <w:tcW w:w="294" w:type="dxa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20</w:t>
            </w:r>
          </w:p>
        </w:tc>
        <w:tc>
          <w:tcPr>
            <w:tcW w:w="687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Especifico</w:t>
            </w:r>
          </w:p>
        </w:tc>
        <w:tc>
          <w:tcPr>
            <w:tcW w:w="529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661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788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1101" w:type="dxa"/>
            <w:gridSpan w:val="2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Accidentes de trabajo</w:t>
            </w:r>
          </w:p>
        </w:tc>
        <w:tc>
          <w:tcPr>
            <w:tcW w:w="1105" w:type="dxa"/>
            <w:gridSpan w:val="2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Durante la ejecución de los trabajos pueden presentarse accidentes </w:t>
            </w:r>
          </w:p>
        </w:tc>
        <w:tc>
          <w:tcPr>
            <w:tcW w:w="295" w:type="dxa"/>
            <w:gridSpan w:val="2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95" w:type="dxa"/>
            <w:gridSpan w:val="2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528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5 (Riesgo medio)</w:t>
            </w:r>
          </w:p>
        </w:tc>
        <w:tc>
          <w:tcPr>
            <w:tcW w:w="508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</w:t>
            </w:r>
          </w:p>
        </w:tc>
        <w:tc>
          <w:tcPr>
            <w:tcW w:w="721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1077" w:type="dxa"/>
            <w:gridSpan w:val="2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Exigir al contratista que los trabajadores se encuentren afiliados a EPS, ARL PENSION, y que durante la ejecución de los trabajos cumplan con las normas de seguridad industrial</w:t>
            </w:r>
          </w:p>
        </w:tc>
        <w:tc>
          <w:tcPr>
            <w:tcW w:w="295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95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296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296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384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Supervisor del contrato</w:t>
            </w:r>
          </w:p>
        </w:tc>
        <w:tc>
          <w:tcPr>
            <w:tcW w:w="352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Desde la publicación de la aceptación de oferta</w:t>
            </w:r>
          </w:p>
        </w:tc>
        <w:tc>
          <w:tcPr>
            <w:tcW w:w="403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Hasta la entrega total de los bienes y/o servicios contratados</w:t>
            </w:r>
          </w:p>
        </w:tc>
        <w:tc>
          <w:tcPr>
            <w:tcW w:w="975" w:type="dxa"/>
            <w:gridSpan w:val="2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Exigir los soportes de los pagos a EPS, ARL, PENSION y los elementos de seguridad industrial</w:t>
            </w:r>
          </w:p>
        </w:tc>
        <w:tc>
          <w:tcPr>
            <w:tcW w:w="861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mensual</w:t>
            </w:r>
          </w:p>
        </w:tc>
      </w:tr>
      <w:tr w:rsidR="006B6688" w:rsidRPr="006B6688" w:rsidTr="00676CD1">
        <w:trPr>
          <w:cantSplit/>
          <w:trHeight w:val="1134"/>
          <w:jc w:val="center"/>
        </w:trPr>
        <w:tc>
          <w:tcPr>
            <w:tcW w:w="294" w:type="dxa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lastRenderedPageBreak/>
              <w:t>21</w:t>
            </w:r>
          </w:p>
        </w:tc>
        <w:tc>
          <w:tcPr>
            <w:tcW w:w="687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529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661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788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Social o político</w:t>
            </w:r>
          </w:p>
        </w:tc>
        <w:tc>
          <w:tcPr>
            <w:tcW w:w="1101" w:type="dxa"/>
            <w:gridSpan w:val="2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Alteración de precios por especulación</w:t>
            </w:r>
          </w:p>
        </w:tc>
        <w:tc>
          <w:tcPr>
            <w:tcW w:w="1105" w:type="dxa"/>
            <w:gridSpan w:val="2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Limitación en el alcance o menores actividades a ejecutar en las obras</w:t>
            </w:r>
          </w:p>
        </w:tc>
        <w:tc>
          <w:tcPr>
            <w:tcW w:w="295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95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528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7 (Riesgo alto)</w:t>
            </w:r>
          </w:p>
        </w:tc>
        <w:tc>
          <w:tcPr>
            <w:tcW w:w="508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721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1077" w:type="dxa"/>
            <w:gridSpan w:val="2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Analizar estudio de mercado y propuesta económicos que demuestre si los precios fueron alterados por especulación (Declaración de emergencia sanitaria) y de ser así requerir al proponente para que explique y demuestre porque sostiene esos precios.</w:t>
            </w:r>
          </w:p>
        </w:tc>
        <w:tc>
          <w:tcPr>
            <w:tcW w:w="295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95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96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96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384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Asesor de Contratación – Jefe División precontractual - Usuario</w:t>
            </w:r>
          </w:p>
        </w:tc>
        <w:tc>
          <w:tcPr>
            <w:tcW w:w="352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Desde la elaboración del estudio previo</w:t>
            </w:r>
          </w:p>
        </w:tc>
        <w:tc>
          <w:tcPr>
            <w:tcW w:w="403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Hasta la liquidación del contrato</w:t>
            </w:r>
          </w:p>
        </w:tc>
        <w:tc>
          <w:tcPr>
            <w:tcW w:w="975" w:type="dxa"/>
            <w:gridSpan w:val="2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Reportes económicos Construcción DANE, Revistas </w:t>
            </w:r>
            <w:proofErr w:type="spellStart"/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Construdata</w:t>
            </w:r>
            <w:proofErr w:type="spellEnd"/>
          </w:p>
        </w:tc>
        <w:tc>
          <w:tcPr>
            <w:tcW w:w="861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Semanal</w:t>
            </w:r>
          </w:p>
        </w:tc>
      </w:tr>
      <w:tr w:rsidR="006B6688" w:rsidRPr="006B6688" w:rsidTr="00676CD1">
        <w:trPr>
          <w:cantSplit/>
          <w:trHeight w:val="1134"/>
          <w:jc w:val="center"/>
        </w:trPr>
        <w:tc>
          <w:tcPr>
            <w:tcW w:w="294" w:type="dxa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t>22</w:t>
            </w:r>
          </w:p>
        </w:tc>
        <w:tc>
          <w:tcPr>
            <w:tcW w:w="687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Específica</w:t>
            </w:r>
          </w:p>
        </w:tc>
        <w:tc>
          <w:tcPr>
            <w:tcW w:w="529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661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788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Social o político</w:t>
            </w:r>
          </w:p>
        </w:tc>
        <w:tc>
          <w:tcPr>
            <w:tcW w:w="1101" w:type="dxa"/>
            <w:gridSpan w:val="2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Riesgo de ejecución tardía de la obra por Emergencia Sanitaria (COVID 19)</w:t>
            </w:r>
          </w:p>
        </w:tc>
        <w:tc>
          <w:tcPr>
            <w:tcW w:w="1105" w:type="dxa"/>
            <w:gridSpan w:val="2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Inicio tardío de la ejecución de las obras, o suspensión de la obra en cierta fecha.</w:t>
            </w:r>
          </w:p>
        </w:tc>
        <w:tc>
          <w:tcPr>
            <w:tcW w:w="295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95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528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7 (Riesgo alto)</w:t>
            </w:r>
          </w:p>
        </w:tc>
        <w:tc>
          <w:tcPr>
            <w:tcW w:w="508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721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1077" w:type="dxa"/>
            <w:gridSpan w:val="2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Verificación </w:t>
            </w:r>
            <w:proofErr w:type="gramStart"/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la excepciones</w:t>
            </w:r>
            <w:proofErr w:type="gramEnd"/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de decreto 457 de 2020. Aislamiento preventivo en el país. Las actividades de los servidores públicos y contratistas del Estado que sean estrictamente necesarias para prevenir, mitigar y atender la emergencia sanitaria por causa del coronavirus COVID-19, y garantizar el funcionamiento de los servicios indispensables del Estado. Posible ampliación del tiempo de ejecución.</w:t>
            </w:r>
          </w:p>
        </w:tc>
        <w:tc>
          <w:tcPr>
            <w:tcW w:w="295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95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96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96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384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Usuarios - Supervisor</w:t>
            </w:r>
          </w:p>
        </w:tc>
        <w:tc>
          <w:tcPr>
            <w:tcW w:w="352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Desde la elaboración del estudio previo</w:t>
            </w:r>
          </w:p>
        </w:tc>
        <w:tc>
          <w:tcPr>
            <w:tcW w:w="403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Hasta la liquidación del contrato</w:t>
            </w:r>
          </w:p>
        </w:tc>
        <w:tc>
          <w:tcPr>
            <w:tcW w:w="975" w:type="dxa"/>
            <w:gridSpan w:val="2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Monitoreo decretos emitidos por el ejecutivo. </w:t>
            </w:r>
          </w:p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</w:p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Control avances de obras en frentes críticos.</w:t>
            </w:r>
          </w:p>
        </w:tc>
        <w:tc>
          <w:tcPr>
            <w:tcW w:w="861" w:type="dxa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Semanal</w:t>
            </w:r>
          </w:p>
        </w:tc>
      </w:tr>
      <w:tr w:rsidR="006B6688" w:rsidRPr="006B6688" w:rsidTr="00676CD1">
        <w:trPr>
          <w:cantSplit/>
          <w:trHeight w:val="1134"/>
          <w:jc w:val="center"/>
        </w:trPr>
        <w:tc>
          <w:tcPr>
            <w:tcW w:w="294" w:type="dxa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2"/>
                <w:lang w:eastAsia="es-CO"/>
              </w:rPr>
              <w:lastRenderedPageBreak/>
              <w:t>23</w:t>
            </w:r>
          </w:p>
        </w:tc>
        <w:tc>
          <w:tcPr>
            <w:tcW w:w="660" w:type="dxa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Específica</w:t>
            </w:r>
          </w:p>
        </w:tc>
        <w:tc>
          <w:tcPr>
            <w:tcW w:w="530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Externa</w:t>
            </w:r>
          </w:p>
        </w:tc>
        <w:tc>
          <w:tcPr>
            <w:tcW w:w="642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766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Social o político</w:t>
            </w:r>
          </w:p>
        </w:tc>
        <w:tc>
          <w:tcPr>
            <w:tcW w:w="1111" w:type="dxa"/>
            <w:gridSpan w:val="2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Hurto o pérdida del material o herramientas necesarias para el desarrollo de la obra.</w:t>
            </w:r>
          </w:p>
        </w:tc>
        <w:tc>
          <w:tcPr>
            <w:tcW w:w="1114" w:type="dxa"/>
            <w:gridSpan w:val="2"/>
            <w:shd w:val="clear" w:color="auto" w:fill="auto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Inicio tardío de la ejecución de las obras, o suspensión de la obra en cierta fecha.</w:t>
            </w:r>
          </w:p>
        </w:tc>
        <w:tc>
          <w:tcPr>
            <w:tcW w:w="295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95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537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7 (Riesgo alto)</w:t>
            </w:r>
          </w:p>
        </w:tc>
        <w:tc>
          <w:tcPr>
            <w:tcW w:w="517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</w:t>
            </w:r>
          </w:p>
        </w:tc>
        <w:tc>
          <w:tcPr>
            <w:tcW w:w="715" w:type="dxa"/>
            <w:gridSpan w:val="2"/>
            <w:shd w:val="clear" w:color="auto" w:fill="auto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1086" w:type="dxa"/>
            <w:gridSpan w:val="2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El contratista tiene bajo su salvaguarda y protección todos los equipos, bienes y herramientas necesarias para el desarrollo de la labor.</w:t>
            </w:r>
          </w:p>
        </w:tc>
        <w:tc>
          <w:tcPr>
            <w:tcW w:w="295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295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296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296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388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Usuarios - Supervisor</w:t>
            </w:r>
          </w:p>
        </w:tc>
        <w:tc>
          <w:tcPr>
            <w:tcW w:w="355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Desde la elaboración del estudio previo</w:t>
            </w:r>
          </w:p>
        </w:tc>
        <w:tc>
          <w:tcPr>
            <w:tcW w:w="408" w:type="dxa"/>
            <w:gridSpan w:val="2"/>
            <w:textDirection w:val="btLr"/>
            <w:vAlign w:val="center"/>
          </w:tcPr>
          <w:p w:rsidR="006B6688" w:rsidRPr="006B6688" w:rsidRDefault="006B6688" w:rsidP="006B6688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Hasta la liquidación del contrato</w:t>
            </w:r>
          </w:p>
        </w:tc>
        <w:tc>
          <w:tcPr>
            <w:tcW w:w="981" w:type="dxa"/>
            <w:gridSpan w:val="2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both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Monitoreo del desarrollo de la obra, gestión directa de los trabajos.</w:t>
            </w:r>
          </w:p>
        </w:tc>
        <w:tc>
          <w:tcPr>
            <w:tcW w:w="870" w:type="dxa"/>
            <w:gridSpan w:val="2"/>
            <w:vAlign w:val="center"/>
          </w:tcPr>
          <w:p w:rsidR="006B6688" w:rsidRPr="006B6688" w:rsidRDefault="006B6688" w:rsidP="006B6688">
            <w:pPr>
              <w:spacing w:after="200" w:line="276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6B6688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Semanal</w:t>
            </w:r>
          </w:p>
        </w:tc>
      </w:tr>
    </w:tbl>
    <w:p w:rsidR="006B6688" w:rsidRPr="006B6688" w:rsidRDefault="006B6688" w:rsidP="006B668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:rsidR="00E427E7" w:rsidRDefault="00E427E7"/>
    <w:sectPr w:rsidR="00E427E7" w:rsidSect="00741B64">
      <w:footnotePr>
        <w:pos w:val="beneathText"/>
      </w:footnotePr>
      <w:pgSz w:w="18720" w:h="12240" w:orient="landscape" w:code="14"/>
      <w:pgMar w:top="1701" w:right="1701" w:bottom="1134" w:left="2268" w:header="284" w:footer="2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688"/>
    <w:rsid w:val="006B6688"/>
    <w:rsid w:val="00E427E7"/>
    <w:rsid w:val="00E82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0CAAE"/>
  <w15:chartTrackingRefBased/>
  <w15:docId w15:val="{41FB3BAD-9473-430E-961A-C724E7C99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2029</Words>
  <Characters>11163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TA12 PATRICIA SILVA DE LEON</dc:creator>
  <cp:keywords/>
  <dc:description/>
  <cp:lastModifiedBy>TA12 PATRICIA SILVA DE LEON</cp:lastModifiedBy>
  <cp:revision>2</cp:revision>
  <dcterms:created xsi:type="dcterms:W3CDTF">2021-01-22T13:59:00Z</dcterms:created>
  <dcterms:modified xsi:type="dcterms:W3CDTF">2021-01-22T15:57:00Z</dcterms:modified>
</cp:coreProperties>
</file>