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50D" w:rsidRPr="00890B0A" w:rsidRDefault="0045296B">
      <w:pPr>
        <w:spacing w:after="40"/>
        <w:jc w:val="center"/>
      </w:pPr>
      <w:r w:rsidRPr="00890B0A">
        <w:rPr>
          <w:b/>
          <w:bCs/>
          <w:sz w:val="28"/>
          <w:szCs w:val="28"/>
        </w:rPr>
        <w:t>ANÁLISIS COMP</w:t>
      </w:r>
      <w:r w:rsidR="004C6484">
        <w:rPr>
          <w:b/>
          <w:bCs/>
          <w:sz w:val="28"/>
          <w:szCs w:val="28"/>
        </w:rPr>
        <w:t xml:space="preserve">ARATIVO Y CONCEPTO DE REVISIÓN </w:t>
      </w:r>
    </w:p>
    <w:p w:rsidR="00A6450D" w:rsidRPr="00890B0A" w:rsidRDefault="0045296B">
      <w:pPr>
        <w:spacing w:after="60"/>
        <w:jc w:val="center"/>
      </w:pPr>
      <w:r w:rsidRPr="00890B0A">
        <w:rPr>
          <w:b/>
          <w:bCs/>
          <w:sz w:val="19"/>
          <w:szCs w:val="19"/>
        </w:rPr>
        <w:t>Proceso de Mínima C</w:t>
      </w:r>
      <w:r w:rsidR="00890B0A" w:rsidRPr="00890B0A">
        <w:rPr>
          <w:b/>
          <w:bCs/>
          <w:sz w:val="19"/>
          <w:szCs w:val="19"/>
        </w:rPr>
        <w:t xml:space="preserve">uantía  </w:t>
      </w:r>
      <w:r w:rsidRPr="00890B0A">
        <w:rPr>
          <w:b/>
          <w:bCs/>
          <w:sz w:val="19"/>
          <w:szCs w:val="19"/>
        </w:rPr>
        <w:t xml:space="preserve"> — Suministro a monto agotable de dotación para gestores locales, Proyecto 2842</w:t>
      </w:r>
    </w:p>
    <w:p w:rsidR="00A6450D" w:rsidRPr="00890B0A" w:rsidRDefault="00A6450D">
      <w:pPr>
        <w:pBdr>
          <w:bottom w:val="single" w:sz="12" w:space="4" w:color="1F3864"/>
        </w:pBdr>
        <w:spacing w:after="160"/>
      </w:pPr>
    </w:p>
    <w:p w:rsidR="00A6450D" w:rsidRPr="00890B0A" w:rsidRDefault="0045296B">
      <w:pPr>
        <w:pStyle w:val="Ttulo2"/>
        <w:spacing w:after="120"/>
        <w:rPr>
          <w:b/>
          <w:color w:val="auto"/>
        </w:rPr>
      </w:pPr>
      <w:r w:rsidRPr="00890B0A">
        <w:rPr>
          <w:b/>
          <w:color w:val="auto"/>
          <w:sz w:val="21"/>
          <w:szCs w:val="21"/>
        </w:rPr>
        <w:t>1. Síntesis</w:t>
      </w:r>
    </w:p>
    <w:p w:rsidR="00A6450D" w:rsidRPr="00890B0A" w:rsidRDefault="0045296B" w:rsidP="00890B0A">
      <w:pPr>
        <w:spacing w:after="180"/>
        <w:jc w:val="both"/>
      </w:pPr>
      <w:r w:rsidRPr="00890B0A">
        <w:t>Sobre las versiones ajustadas del Estudio Previo y de la Invitación se verificó el estado de las observaciones formuladas y la consistencia entre ambos documentos. La mayoría de las observa</w:t>
      </w:r>
      <w:r w:rsidR="00890B0A" w:rsidRPr="00890B0A">
        <w:t>ciones fueron acogidas; el CDP No. 969</w:t>
      </w:r>
      <w:r w:rsidRPr="00890B0A">
        <w:t xml:space="preserve"> y la numeración de notas y</w:t>
      </w:r>
      <w:r w:rsidRPr="00890B0A">
        <w:t>a se corrigieron. Quedan pendientes de ajuste en el texto la d</w:t>
      </w:r>
      <w:r w:rsidR="00890B0A" w:rsidRPr="00890B0A">
        <w:t>enominación de los ítems 1 y 15.</w:t>
      </w:r>
    </w:p>
    <w:p w:rsidR="00A6450D" w:rsidRPr="00890B0A" w:rsidRDefault="0045296B">
      <w:pPr>
        <w:pStyle w:val="Ttulo2"/>
        <w:spacing w:after="120"/>
        <w:rPr>
          <w:b/>
          <w:color w:val="auto"/>
        </w:rPr>
      </w:pPr>
      <w:r w:rsidRPr="00890B0A">
        <w:rPr>
          <w:b/>
          <w:color w:val="auto"/>
          <w:sz w:val="21"/>
          <w:szCs w:val="21"/>
        </w:rPr>
        <w:t>2. Estado de las observaciones</w:t>
      </w:r>
    </w:p>
    <w:tbl>
      <w:tblPr>
        <w:tblW w:w="9360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0"/>
        <w:gridCol w:w="3300"/>
        <w:gridCol w:w="1500"/>
        <w:gridCol w:w="4040"/>
      </w:tblGrid>
      <w:tr w:rsidR="00890B0A" w:rsidRPr="00890B0A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shd w:val="clear" w:color="auto" w:fill="1F3864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3300" w:type="dxa"/>
            <w:shd w:val="clear" w:color="auto" w:fill="1F3864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b/>
                <w:bCs/>
                <w:sz w:val="20"/>
                <w:szCs w:val="20"/>
              </w:rPr>
              <w:t>Observación (Dra. Laura)</w:t>
            </w:r>
          </w:p>
        </w:tc>
        <w:tc>
          <w:tcPr>
            <w:tcW w:w="1500" w:type="dxa"/>
            <w:shd w:val="clear" w:color="auto" w:fill="1F3864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b/>
                <w:bCs/>
                <w:sz w:val="20"/>
                <w:szCs w:val="20"/>
              </w:rPr>
              <w:t>Estado</w:t>
            </w:r>
          </w:p>
        </w:tc>
        <w:tc>
          <w:tcPr>
            <w:tcW w:w="4040" w:type="dxa"/>
            <w:shd w:val="clear" w:color="auto" w:fill="1F3864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b/>
                <w:bCs/>
                <w:sz w:val="20"/>
                <w:szCs w:val="20"/>
              </w:rPr>
              <w:t>Concepto</w:t>
            </w:r>
          </w:p>
        </w:tc>
      </w:tr>
      <w:tr w:rsidR="00890B0A" w:rsidRPr="00890B0A">
        <w:tblPrEx>
          <w:tblCellMar>
            <w:top w:w="0" w:type="dxa"/>
            <w:bottom w:w="0" w:type="dxa"/>
          </w:tblCellMar>
        </w:tblPrEx>
        <w:tc>
          <w:tcPr>
            <w:tcW w:w="52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sz w:val="19"/>
                <w:szCs w:val="19"/>
              </w:rPr>
              <w:t>1</w:t>
            </w:r>
          </w:p>
        </w:tc>
        <w:tc>
          <w:tcPr>
            <w:tcW w:w="3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sz w:val="20"/>
                <w:szCs w:val="20"/>
              </w:rPr>
              <w:t>Ítems 1 y 15: nombres genéricos sin marcas + nota de imágenes ilustrativas.</w:t>
            </w:r>
          </w:p>
        </w:tc>
        <w:tc>
          <w:tcPr>
            <w:tcW w:w="1500" w:type="dxa"/>
            <w:shd w:val="clear" w:color="auto" w:fill="FFF2CC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b/>
                <w:bCs/>
                <w:sz w:val="20"/>
                <w:szCs w:val="20"/>
              </w:rPr>
              <w:t>Parcial</w:t>
            </w:r>
          </w:p>
        </w:tc>
        <w:tc>
          <w:tcPr>
            <w:tcW w:w="40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 w:rsidP="00890B0A">
            <w:pPr>
              <w:spacing w:after="40"/>
            </w:pPr>
            <w:r w:rsidRPr="00890B0A">
              <w:rPr>
                <w:b/>
                <w:bCs/>
                <w:sz w:val="20"/>
                <w:szCs w:val="20"/>
              </w:rPr>
              <w:t xml:space="preserve">Nota de imágenes: incorporada. </w:t>
            </w:r>
            <w:r w:rsidRPr="00890B0A">
              <w:rPr>
                <w:sz w:val="20"/>
                <w:szCs w:val="20"/>
              </w:rPr>
              <w:t>Ítems 1 (‘…RECARGABLETRU’) y 15 (‘ZAPAPICO COLIMA’): pendientes de depurar en el texto de ambos document</w:t>
            </w:r>
            <w:r w:rsidR="00890B0A" w:rsidRPr="00890B0A">
              <w:rPr>
                <w:sz w:val="20"/>
                <w:szCs w:val="20"/>
              </w:rPr>
              <w:t xml:space="preserve">os; ya están comentados. En la Estructura de Costos y Formato de Oferta Económica </w:t>
            </w:r>
            <w:r w:rsidRPr="00890B0A">
              <w:rPr>
                <w:sz w:val="20"/>
                <w:szCs w:val="20"/>
              </w:rPr>
              <w:t>la denominación ya está corregida.</w:t>
            </w:r>
          </w:p>
        </w:tc>
      </w:tr>
      <w:tr w:rsidR="00890B0A" w:rsidRPr="00890B0A">
        <w:tblPrEx>
          <w:tblCellMar>
            <w:top w:w="0" w:type="dxa"/>
            <w:bottom w:w="0" w:type="dxa"/>
          </w:tblCellMar>
        </w:tblPrEx>
        <w:tc>
          <w:tcPr>
            <w:tcW w:w="52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sz w:val="19"/>
                <w:szCs w:val="19"/>
              </w:rPr>
              <w:t>2</w:t>
            </w:r>
          </w:p>
        </w:tc>
        <w:tc>
          <w:tcPr>
            <w:tcW w:w="3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sz w:val="20"/>
                <w:szCs w:val="20"/>
              </w:rPr>
              <w:t>Ítems no previstos: adoptar el menor valor (no el promedio).</w:t>
            </w:r>
          </w:p>
        </w:tc>
        <w:tc>
          <w:tcPr>
            <w:tcW w:w="1500" w:type="dxa"/>
            <w:shd w:val="clear" w:color="auto" w:fill="E2EFD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b/>
                <w:bCs/>
                <w:sz w:val="20"/>
                <w:szCs w:val="20"/>
              </w:rPr>
              <w:t>Acogida</w:t>
            </w:r>
          </w:p>
        </w:tc>
        <w:tc>
          <w:tcPr>
            <w:tcW w:w="40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sz w:val="20"/>
                <w:szCs w:val="20"/>
              </w:rPr>
              <w:t>Incorporada en ambos documentos. Procedente.</w:t>
            </w:r>
          </w:p>
        </w:tc>
      </w:tr>
      <w:tr w:rsidR="00890B0A" w:rsidRPr="00890B0A">
        <w:tblPrEx>
          <w:tblCellMar>
            <w:top w:w="0" w:type="dxa"/>
            <w:bottom w:w="0" w:type="dxa"/>
          </w:tblCellMar>
        </w:tblPrEx>
        <w:tc>
          <w:tcPr>
            <w:tcW w:w="52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sz w:val="19"/>
                <w:szCs w:val="19"/>
              </w:rPr>
              <w:t>3</w:t>
            </w:r>
          </w:p>
        </w:tc>
        <w:tc>
          <w:tcPr>
            <w:tcW w:w="3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sz w:val="20"/>
                <w:szCs w:val="20"/>
              </w:rPr>
              <w:t>Completar información del CDP.</w:t>
            </w:r>
          </w:p>
        </w:tc>
        <w:tc>
          <w:tcPr>
            <w:tcW w:w="1500" w:type="dxa"/>
            <w:shd w:val="clear" w:color="auto" w:fill="E2EFD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b/>
                <w:bCs/>
                <w:sz w:val="20"/>
                <w:szCs w:val="20"/>
              </w:rPr>
              <w:t>Acogida</w:t>
            </w:r>
          </w:p>
        </w:tc>
        <w:tc>
          <w:tcPr>
            <w:tcW w:w="40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sz w:val="20"/>
                <w:szCs w:val="20"/>
              </w:rPr>
              <w:t>Ya diligenciado: CDP No. 969 del 9 de julio de 2026, en el Estudio Previo y en la Invitación.</w:t>
            </w:r>
          </w:p>
        </w:tc>
      </w:tr>
      <w:tr w:rsidR="00890B0A" w:rsidRPr="00890B0A" w:rsidTr="00890B0A">
        <w:tblPrEx>
          <w:tblCellMar>
            <w:top w:w="0" w:type="dxa"/>
            <w:bottom w:w="0" w:type="dxa"/>
          </w:tblCellMar>
        </w:tblPrEx>
        <w:tc>
          <w:tcPr>
            <w:tcW w:w="52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sz w:val="19"/>
                <w:szCs w:val="19"/>
              </w:rPr>
              <w:t>4</w:t>
            </w:r>
          </w:p>
        </w:tc>
        <w:tc>
          <w:tcPr>
            <w:tcW w:w="3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sz w:val="20"/>
                <w:szCs w:val="20"/>
              </w:rPr>
              <w:t>Redacción confusa de la causal de rechazo (monto agotable por precios unitarios).</w:t>
            </w:r>
          </w:p>
        </w:tc>
        <w:tc>
          <w:tcPr>
            <w:tcW w:w="1500" w:type="dxa"/>
            <w:shd w:val="clear" w:color="auto" w:fill="E2EFD9" w:themeFill="accent6" w:themeFillTint="3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890B0A" w:rsidP="00890B0A">
            <w:pPr>
              <w:spacing w:after="40"/>
              <w:rPr>
                <w:b/>
                <w:bCs/>
                <w:sz w:val="20"/>
                <w:szCs w:val="20"/>
              </w:rPr>
            </w:pPr>
            <w:r w:rsidRPr="00890B0A">
              <w:rPr>
                <w:b/>
                <w:bCs/>
                <w:sz w:val="20"/>
                <w:szCs w:val="20"/>
              </w:rPr>
              <w:t>Acogida</w:t>
            </w:r>
          </w:p>
        </w:tc>
        <w:tc>
          <w:tcPr>
            <w:tcW w:w="40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890B0A" w:rsidP="00890B0A">
            <w:pPr>
              <w:spacing w:after="40"/>
            </w:pPr>
            <w:r w:rsidRPr="00890B0A">
              <w:rPr>
                <w:sz w:val="20"/>
                <w:szCs w:val="20"/>
              </w:rPr>
              <w:t>Ajustada.</w:t>
            </w:r>
          </w:p>
        </w:tc>
      </w:tr>
      <w:tr w:rsidR="00890B0A" w:rsidRPr="00890B0A" w:rsidTr="00890B0A">
        <w:tblPrEx>
          <w:tblCellMar>
            <w:top w:w="0" w:type="dxa"/>
            <w:bottom w:w="0" w:type="dxa"/>
          </w:tblCellMar>
        </w:tblPrEx>
        <w:tc>
          <w:tcPr>
            <w:tcW w:w="52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sz w:val="19"/>
                <w:szCs w:val="19"/>
              </w:rPr>
              <w:t>5</w:t>
            </w:r>
          </w:p>
        </w:tc>
        <w:tc>
          <w:tcPr>
            <w:tcW w:w="3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sz w:val="20"/>
                <w:szCs w:val="20"/>
              </w:rPr>
              <w:t>Garantías: unificar amparos de calidad y eliminar amparo de salarios.</w:t>
            </w:r>
          </w:p>
        </w:tc>
        <w:tc>
          <w:tcPr>
            <w:tcW w:w="1500" w:type="dxa"/>
            <w:shd w:val="clear" w:color="auto" w:fill="E2EFD9" w:themeFill="accent6" w:themeFillTint="33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  <w:rPr>
                <w:b/>
                <w:bCs/>
                <w:sz w:val="20"/>
                <w:szCs w:val="20"/>
              </w:rPr>
            </w:pPr>
            <w:r w:rsidRPr="00890B0A">
              <w:rPr>
                <w:b/>
                <w:bCs/>
                <w:sz w:val="20"/>
                <w:szCs w:val="20"/>
              </w:rPr>
              <w:t>Acogida</w:t>
            </w:r>
          </w:p>
        </w:tc>
        <w:tc>
          <w:tcPr>
            <w:tcW w:w="404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6450D" w:rsidRPr="00890B0A" w:rsidRDefault="0045296B">
            <w:pPr>
              <w:spacing w:after="40"/>
            </w:pPr>
            <w:r w:rsidRPr="00890B0A">
              <w:rPr>
                <w:sz w:val="20"/>
                <w:szCs w:val="20"/>
              </w:rPr>
              <w:t>Un solo amparo de calidad (10%); eliminado el de salarios. Se conserva Cumplimiento (10%) y RCE (200 SMLMV). Procedente.</w:t>
            </w:r>
          </w:p>
        </w:tc>
      </w:tr>
    </w:tbl>
    <w:p w:rsidR="00890B0A" w:rsidRPr="00890B0A" w:rsidRDefault="00890B0A">
      <w:pPr>
        <w:pStyle w:val="Ttulo2"/>
        <w:spacing w:after="120"/>
        <w:rPr>
          <w:color w:val="auto"/>
          <w:sz w:val="21"/>
          <w:szCs w:val="21"/>
        </w:rPr>
      </w:pPr>
    </w:p>
    <w:p w:rsidR="00A6450D" w:rsidRPr="00890B0A" w:rsidRDefault="0045296B">
      <w:pPr>
        <w:pStyle w:val="Ttulo2"/>
        <w:spacing w:after="120"/>
        <w:rPr>
          <w:b/>
          <w:color w:val="auto"/>
        </w:rPr>
      </w:pPr>
      <w:r w:rsidRPr="00890B0A">
        <w:rPr>
          <w:b/>
          <w:color w:val="auto"/>
          <w:sz w:val="21"/>
          <w:szCs w:val="21"/>
        </w:rPr>
        <w:t>3. Consistencia entre el Estudio Previo y la Invitación</w:t>
      </w:r>
    </w:p>
    <w:p w:rsidR="00A6450D" w:rsidRDefault="0045296B" w:rsidP="00175AFE">
      <w:pPr>
        <w:spacing w:after="180"/>
        <w:jc w:val="both"/>
      </w:pPr>
      <w:r w:rsidRPr="00890B0A">
        <w:t>Se cotejaron ambos documentos y coinciden en contenido y alcance en: objeto; cuadro de los 27 ítems y sus descripciones; notas del cuadro (imágenes ilustrativas, normas EPP y muestras); ítems no previstos; notas de adjudicación del monto agotable; causal d</w:t>
      </w:r>
      <w:r w:rsidRPr="00890B0A">
        <w:t>e rechazo; garantías; y valor, plazo, forma de pago, CDP y rubro. No se detectaron divergencias de fondo entre los dos documentos.</w:t>
      </w:r>
    </w:p>
    <w:p w:rsidR="00175AFE" w:rsidRPr="00175AFE" w:rsidRDefault="00175AFE" w:rsidP="00175AFE">
      <w:pPr>
        <w:spacing w:after="180"/>
        <w:jc w:val="both"/>
      </w:pPr>
      <w:r w:rsidRPr="00175AFE">
        <w:rPr>
          <w:b/>
        </w:rPr>
        <w:t>4. Revisión de la Matriz de Riesgos</w:t>
      </w:r>
    </w:p>
    <w:p w:rsidR="00175AFE" w:rsidRPr="00175AFE" w:rsidRDefault="00175AFE" w:rsidP="00175AFE">
      <w:pPr>
        <w:spacing w:after="180"/>
        <w:jc w:val="both"/>
      </w:pPr>
      <w:r>
        <w:t>S</w:t>
      </w:r>
      <w:r w:rsidRPr="00175AFE">
        <w:t>e recomienda al área ajustar los siguientes puntos:</w:t>
      </w:r>
    </w:p>
    <w:p w:rsidR="00175AFE" w:rsidRPr="00175AFE" w:rsidRDefault="00175AFE" w:rsidP="00175AFE">
      <w:pPr>
        <w:spacing w:after="180"/>
        <w:jc w:val="both"/>
      </w:pPr>
      <w:r>
        <w:rPr>
          <w:b/>
        </w:rPr>
        <w:t xml:space="preserve">1. Riesgo </w:t>
      </w:r>
      <w:r w:rsidRPr="00175AFE">
        <w:rPr>
          <w:b/>
        </w:rPr>
        <w:t>Defectos de calidad o incumplimien</w:t>
      </w:r>
      <w:r>
        <w:rPr>
          <w:b/>
        </w:rPr>
        <w:t>to de especificaciones técnicas</w:t>
      </w:r>
      <w:r w:rsidRPr="00175AFE">
        <w:rPr>
          <w:b/>
        </w:rPr>
        <w:t xml:space="preserve">: </w:t>
      </w:r>
      <w:r w:rsidRPr="00175AFE">
        <w:t>re</w:t>
      </w:r>
      <w:r>
        <w:t xml:space="preserve">formularlo únicamente como </w:t>
      </w:r>
      <w:r w:rsidRPr="00175AFE">
        <w:t>Defectos de calidad</w:t>
      </w:r>
      <w:r>
        <w:t xml:space="preserve"> en los elementos suministrados</w:t>
      </w:r>
      <w:r w:rsidRPr="00175AFE">
        <w:t xml:space="preserve"> y asignarlo al contratista. El incumplimiento no constituye un riesgo previsible tratable, pues se atiende mediante la potestad sancionatoria</w:t>
      </w:r>
      <w:r>
        <w:t xml:space="preserve"> </w:t>
      </w:r>
      <w:r w:rsidRPr="00175AFE">
        <w:t>de la Entidad</w:t>
      </w:r>
      <w:r>
        <w:t xml:space="preserve"> y la afectación de las garantías.  </w:t>
      </w:r>
    </w:p>
    <w:p w:rsidR="00175AFE" w:rsidRPr="00175AFE" w:rsidRDefault="00175AFE" w:rsidP="00175AFE">
      <w:pPr>
        <w:spacing w:after="180"/>
        <w:jc w:val="both"/>
      </w:pPr>
      <w:r>
        <w:rPr>
          <w:b/>
        </w:rPr>
        <w:t xml:space="preserve">2. Denominación </w:t>
      </w:r>
      <w:r w:rsidRPr="00175AFE">
        <w:rPr>
          <w:b/>
        </w:rPr>
        <w:t xml:space="preserve">Defectos en los </w:t>
      </w:r>
      <w:r w:rsidR="0045296B">
        <w:rPr>
          <w:b/>
        </w:rPr>
        <w:t>bienes como COLECCIONES A ENTREGAR</w:t>
      </w:r>
      <w:r w:rsidRPr="00175AFE">
        <w:rPr>
          <w:b/>
        </w:rPr>
        <w:t xml:space="preserve">: </w:t>
      </w:r>
      <w:r>
        <w:t>depurar la expresión colecciones a entregar</w:t>
      </w:r>
      <w:r w:rsidRPr="00175AFE">
        <w:t>,</w:t>
      </w:r>
      <w:r>
        <w:t xml:space="preserve"> que a otro</w:t>
      </w:r>
      <w:r w:rsidRPr="00175AFE">
        <w:t xml:space="preserve"> objeto con</w:t>
      </w:r>
      <w:bookmarkStart w:id="0" w:name="_GoBack"/>
      <w:bookmarkEnd w:id="0"/>
      <w:r w:rsidRPr="00175AFE">
        <w:t>tractual.</w:t>
      </w:r>
    </w:p>
    <w:p w:rsidR="00175AFE" w:rsidRPr="00175AFE" w:rsidRDefault="00175AFE" w:rsidP="00175AFE">
      <w:pPr>
        <w:spacing w:after="180"/>
        <w:jc w:val="both"/>
      </w:pPr>
      <w:r w:rsidRPr="00175AFE">
        <w:rPr>
          <w:b/>
        </w:rPr>
        <w:lastRenderedPageBreak/>
        <w:t xml:space="preserve">3. Riesgos de la etapa de ejecución sin clasificar: </w:t>
      </w:r>
      <w:r w:rsidRPr="00175AFE">
        <w:t>los riesgos de demora en el cambio de implementos defectuosos y de demora en las entregas aparecen sin clase ni fuente; asignarles clase y fuente (Específico / Externo).</w:t>
      </w:r>
    </w:p>
    <w:p w:rsidR="00175AFE" w:rsidRPr="00890B0A" w:rsidRDefault="00175AFE" w:rsidP="00175AFE">
      <w:pPr>
        <w:spacing w:after="180"/>
        <w:jc w:val="both"/>
      </w:pPr>
      <w:r w:rsidRPr="00175AFE">
        <w:rPr>
          <w:b/>
        </w:rPr>
        <w:t xml:space="preserve">4. Norma ISO 14001: </w:t>
      </w:r>
      <w:r w:rsidRPr="00175AFE">
        <w:t>actualizar la r</w:t>
      </w:r>
      <w:r>
        <w:t xml:space="preserve">eferencia a la versión vigente 2015. </w:t>
      </w:r>
    </w:p>
    <w:p w:rsidR="00175AFE" w:rsidRDefault="00175AFE" w:rsidP="00175AFE">
      <w:pPr>
        <w:pStyle w:val="Ttulo2"/>
        <w:spacing w:after="120"/>
        <w:jc w:val="both"/>
        <w:rPr>
          <w:b/>
          <w:color w:val="auto"/>
          <w:sz w:val="21"/>
          <w:szCs w:val="21"/>
        </w:rPr>
      </w:pPr>
      <w:r>
        <w:rPr>
          <w:b/>
          <w:color w:val="auto"/>
          <w:sz w:val="21"/>
          <w:szCs w:val="21"/>
        </w:rPr>
        <w:t xml:space="preserve">5. Conclusión </w:t>
      </w:r>
    </w:p>
    <w:p w:rsidR="00A6450D" w:rsidRPr="00890B0A" w:rsidRDefault="0045296B" w:rsidP="00175AFE">
      <w:pPr>
        <w:pStyle w:val="Ttulo2"/>
        <w:spacing w:after="120"/>
        <w:jc w:val="both"/>
        <w:rPr>
          <w:color w:val="auto"/>
        </w:rPr>
      </w:pPr>
      <w:r w:rsidRPr="00890B0A">
        <w:rPr>
          <w:color w:val="auto"/>
          <w:sz w:val="21"/>
          <w:szCs w:val="21"/>
        </w:rPr>
        <w:t xml:space="preserve">El Estudio Previo y la Invitación son consistentes entre sí y la mayoría de las observaciones fueron acogidas. </w:t>
      </w:r>
      <w:r w:rsidRPr="00890B0A">
        <w:rPr>
          <w:color w:val="auto"/>
          <w:sz w:val="21"/>
          <w:szCs w:val="21"/>
        </w:rPr>
        <w:t>Antes de publicar se recomienda depurar la denominación de los ítems 1 y 15 y armonizar la redacción del mecanismo de monto agotable, puntos que quedaron señalados como comentarios en los respectivos documentos para su corrección por el área.</w:t>
      </w:r>
    </w:p>
    <w:sectPr w:rsidR="00A6450D" w:rsidRPr="00890B0A">
      <w:pgSz w:w="12240" w:h="15840"/>
      <w:pgMar w:top="1200" w:right="1440" w:bottom="120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E01401"/>
    <w:multiLevelType w:val="hybridMultilevel"/>
    <w:tmpl w:val="2DE03B12"/>
    <w:lvl w:ilvl="0" w:tplc="96E65DA8">
      <w:start w:val="1"/>
      <w:numFmt w:val="bullet"/>
      <w:lvlText w:val="●"/>
      <w:lvlJc w:val="left"/>
      <w:pPr>
        <w:ind w:left="720" w:hanging="360"/>
      </w:pPr>
    </w:lvl>
    <w:lvl w:ilvl="1" w:tplc="50E01DC4">
      <w:start w:val="1"/>
      <w:numFmt w:val="bullet"/>
      <w:lvlText w:val="○"/>
      <w:lvlJc w:val="left"/>
      <w:pPr>
        <w:ind w:left="1440" w:hanging="360"/>
      </w:pPr>
    </w:lvl>
    <w:lvl w:ilvl="2" w:tplc="5BBA5A78">
      <w:start w:val="1"/>
      <w:numFmt w:val="bullet"/>
      <w:lvlText w:val="■"/>
      <w:lvlJc w:val="left"/>
      <w:pPr>
        <w:ind w:left="2160" w:hanging="360"/>
      </w:pPr>
    </w:lvl>
    <w:lvl w:ilvl="3" w:tplc="0A3E4C32">
      <w:start w:val="1"/>
      <w:numFmt w:val="bullet"/>
      <w:lvlText w:val="●"/>
      <w:lvlJc w:val="left"/>
      <w:pPr>
        <w:ind w:left="2880" w:hanging="360"/>
      </w:pPr>
    </w:lvl>
    <w:lvl w:ilvl="4" w:tplc="AF8639C0">
      <w:start w:val="1"/>
      <w:numFmt w:val="bullet"/>
      <w:lvlText w:val="○"/>
      <w:lvlJc w:val="left"/>
      <w:pPr>
        <w:ind w:left="3600" w:hanging="360"/>
      </w:pPr>
    </w:lvl>
    <w:lvl w:ilvl="5" w:tplc="F2AC43D0">
      <w:start w:val="1"/>
      <w:numFmt w:val="bullet"/>
      <w:lvlText w:val="■"/>
      <w:lvlJc w:val="left"/>
      <w:pPr>
        <w:ind w:left="4320" w:hanging="360"/>
      </w:pPr>
    </w:lvl>
    <w:lvl w:ilvl="6" w:tplc="0F5CA160">
      <w:start w:val="1"/>
      <w:numFmt w:val="bullet"/>
      <w:lvlText w:val="●"/>
      <w:lvlJc w:val="left"/>
      <w:pPr>
        <w:ind w:left="5040" w:hanging="360"/>
      </w:pPr>
    </w:lvl>
    <w:lvl w:ilvl="7" w:tplc="5E00881C">
      <w:start w:val="1"/>
      <w:numFmt w:val="bullet"/>
      <w:lvlText w:val="●"/>
      <w:lvlJc w:val="left"/>
      <w:pPr>
        <w:ind w:left="5760" w:hanging="360"/>
      </w:pPr>
    </w:lvl>
    <w:lvl w:ilvl="8" w:tplc="2A30B79E">
      <w:start w:val="1"/>
      <w:numFmt w:val="bullet"/>
      <w:lvlText w:val="●"/>
      <w:lvlJc w:val="left"/>
      <w:pPr>
        <w:ind w:left="6480" w:hanging="360"/>
      </w:pPr>
    </w:lvl>
  </w:abstractNum>
  <w:abstractNum w:abstractNumId="1">
    <w:nsid w:val="582307A6"/>
    <w:multiLevelType w:val="hybridMultilevel"/>
    <w:tmpl w:val="1BB8BFE6"/>
    <w:lvl w:ilvl="0" w:tplc="501A6A7E">
      <w:start w:val="1"/>
      <w:numFmt w:val="bullet"/>
      <w:lvlText w:val="•"/>
      <w:lvlJc w:val="left"/>
      <w:pPr>
        <w:ind w:left="360" w:hanging="220"/>
      </w:pPr>
    </w:lvl>
    <w:lvl w:ilvl="1" w:tplc="DE0E83DC">
      <w:numFmt w:val="decimal"/>
      <w:lvlText w:val=""/>
      <w:lvlJc w:val="left"/>
    </w:lvl>
    <w:lvl w:ilvl="2" w:tplc="0978B5BA">
      <w:numFmt w:val="decimal"/>
      <w:lvlText w:val=""/>
      <w:lvlJc w:val="left"/>
    </w:lvl>
    <w:lvl w:ilvl="3" w:tplc="1034000E">
      <w:numFmt w:val="decimal"/>
      <w:lvlText w:val=""/>
      <w:lvlJc w:val="left"/>
    </w:lvl>
    <w:lvl w:ilvl="4" w:tplc="54EAEEA4">
      <w:numFmt w:val="decimal"/>
      <w:lvlText w:val=""/>
      <w:lvlJc w:val="left"/>
    </w:lvl>
    <w:lvl w:ilvl="5" w:tplc="98963294">
      <w:numFmt w:val="decimal"/>
      <w:lvlText w:val=""/>
      <w:lvlJc w:val="left"/>
    </w:lvl>
    <w:lvl w:ilvl="6" w:tplc="BD96C234">
      <w:numFmt w:val="decimal"/>
      <w:lvlText w:val=""/>
      <w:lvlJc w:val="left"/>
    </w:lvl>
    <w:lvl w:ilvl="7" w:tplc="EE748FC0">
      <w:numFmt w:val="decimal"/>
      <w:lvlText w:val=""/>
      <w:lvlJc w:val="left"/>
    </w:lvl>
    <w:lvl w:ilvl="8" w:tplc="1C180F9C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50D"/>
    <w:rsid w:val="00175AFE"/>
    <w:rsid w:val="0045296B"/>
    <w:rsid w:val="004C6484"/>
    <w:rsid w:val="007F2D7A"/>
    <w:rsid w:val="00890B0A"/>
    <w:rsid w:val="00A6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E20A-959C-4E22-A452-02C68C3C0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1"/>
        <w:szCs w:val="21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488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Cuenta Microsoft</cp:lastModifiedBy>
  <cp:revision>4</cp:revision>
  <dcterms:created xsi:type="dcterms:W3CDTF">2026-07-23T09:45:00Z</dcterms:created>
  <dcterms:modified xsi:type="dcterms:W3CDTF">2026-07-23T10:03:00Z</dcterms:modified>
</cp:coreProperties>
</file>