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74A611E6" w:rsidR="3520600D" w:rsidRPr="00D23BA9" w:rsidRDefault="16AAF97D" w:rsidP="0057376D">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w:t>
      </w:r>
      <w:r w:rsidRPr="00D23BA9">
        <w:rPr>
          <w:rFonts w:ascii="Verdana" w:hAnsi="Verdana" w:cstheme="minorHAnsi"/>
          <w:sz w:val="22"/>
          <w:szCs w:val="22"/>
          <w:lang w:val="es-ES"/>
        </w:rPr>
        <w:lastRenderedPageBreak/>
        <w:t>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w:t>
      </w:r>
      <w:r w:rsidR="564B3A39" w:rsidRPr="00D23BA9">
        <w:rPr>
          <w:rFonts w:ascii="Verdana" w:eastAsiaTheme="minorEastAsia" w:hAnsi="Verdana" w:cstheme="minorBidi"/>
          <w:sz w:val="22"/>
          <w:szCs w:val="22"/>
          <w:lang w:val="es-ES" w:eastAsia="es-ES"/>
        </w:rPr>
        <w:lastRenderedPageBreak/>
        <w:t xml:space="preserve">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lastRenderedPageBreak/>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 xml:space="preserve">Son los índices que determinan la intervención máxima requerida para la construcción o adecuación de edificaciones en el suelo rural, en función de racionalizar la </w:t>
      </w:r>
      <w:r w:rsidRPr="00D23BA9">
        <w:rPr>
          <w:rFonts w:ascii="Verdana" w:eastAsiaTheme="minorEastAsia" w:hAnsi="Verdana" w:cstheme="minorHAnsi"/>
          <w:sz w:val="22"/>
          <w:szCs w:val="22"/>
          <w:lang w:val="es-ES" w:eastAsia="es-ES"/>
        </w:rPr>
        <w:lastRenderedPageBreak/>
        <w:t>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w:t>
      </w:r>
      <w:r w:rsidRPr="00D23BA9">
        <w:rPr>
          <w:rFonts w:ascii="Verdana" w:hAnsi="Verdana" w:cstheme="minorHAnsi"/>
          <w:sz w:val="22"/>
          <w:szCs w:val="22"/>
          <w:lang w:val="es-ES"/>
        </w:rPr>
        <w:lastRenderedPageBreak/>
        <w:t>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xml:space="preserve">, tales como: tribunales, juzgados, Fiscalía, Cuerpo Técnico de Investigación (CTI), DECYPOL, cárceles, Palacio de Justicia, Palacio nacional, defensorías de </w:t>
      </w:r>
      <w:r w:rsidRPr="00D23BA9">
        <w:rPr>
          <w:rFonts w:ascii="Verdana" w:eastAsiaTheme="minorEastAsia" w:hAnsi="Verdana" w:cstheme="minorBidi"/>
          <w:sz w:val="22"/>
          <w:szCs w:val="22"/>
          <w:lang w:eastAsia="es-ES"/>
        </w:rPr>
        <w:lastRenderedPageBreak/>
        <w:t>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autoridades públicas o por particulares, cuya finalidad es prestar un año de educación preescolar y nueve (9) grados de educación básica como mínimo y la media. Deben contar con licencia de funcionamiento o </w:t>
      </w:r>
      <w:r w:rsidRPr="00D23BA9">
        <w:rPr>
          <w:rFonts w:ascii="Verdana" w:hAnsi="Verdana" w:cstheme="minorHAnsi"/>
          <w:sz w:val="22"/>
          <w:szCs w:val="22"/>
          <w:lang w:val="es-ES"/>
        </w:rPr>
        <w:lastRenderedPageBreak/>
        <w:t>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w:t>
      </w:r>
      <w:r w:rsidRPr="00D23BA9">
        <w:rPr>
          <w:rFonts w:ascii="Verdana" w:eastAsiaTheme="minorEastAsia" w:hAnsi="Verdana" w:cstheme="minorHAnsi"/>
          <w:sz w:val="22"/>
          <w:szCs w:val="22"/>
          <w:lang w:val="es-ES" w:eastAsia="es-ES"/>
        </w:rPr>
        <w:lastRenderedPageBreak/>
        <w:t>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w:t>
      </w:r>
      <w:r w:rsidRPr="00D23BA9">
        <w:rPr>
          <w:rFonts w:ascii="Verdana" w:eastAsiaTheme="minorEastAsia" w:hAnsi="Verdana" w:cstheme="minorHAnsi"/>
          <w:sz w:val="22"/>
          <w:szCs w:val="22"/>
          <w:lang w:val="es-ES" w:eastAsia="es-ES"/>
        </w:rPr>
        <w:lastRenderedPageBreak/>
        <w:t>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xml:space="preserve"> Parques en los que entre el 1% y el 30% de área está destinada a la recreación activa, permitiendo </w:t>
      </w:r>
      <w:r w:rsidRPr="00D23BA9">
        <w:rPr>
          <w:rFonts w:ascii="Verdana" w:hAnsi="Verdana" w:cstheme="minorHAnsi"/>
          <w:sz w:val="22"/>
          <w:szCs w:val="22"/>
          <w:lang w:val="es-ES"/>
        </w:rPr>
        <w:lastRenderedPageBreak/>
        <w:t>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w:t>
      </w:r>
      <w:r w:rsidRPr="00D23BA9">
        <w:rPr>
          <w:rFonts w:ascii="Verdana" w:hAnsi="Verdana" w:cstheme="minorHAnsi"/>
          <w:sz w:val="22"/>
          <w:szCs w:val="22"/>
          <w:lang w:val="es-ES"/>
        </w:rPr>
        <w:lastRenderedPageBreak/>
        <w:t>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lastRenderedPageBreak/>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(artículo </w:t>
      </w:r>
      <w:r w:rsidRPr="00D23BA9">
        <w:rPr>
          <w:rFonts w:ascii="Verdana" w:eastAsiaTheme="minorEastAsia" w:hAnsi="Verdana" w:cstheme="minorHAnsi"/>
          <w:sz w:val="22"/>
          <w:szCs w:val="22"/>
          <w:lang w:eastAsia="es-ES"/>
        </w:rPr>
        <w:lastRenderedPageBreak/>
        <w:t>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dependiendo </w:t>
      </w:r>
      <w:r w:rsidRPr="00D23BA9">
        <w:rPr>
          <w:rFonts w:ascii="Verdana" w:eastAsiaTheme="minorEastAsia" w:hAnsi="Verdana" w:cstheme="minorHAnsi"/>
          <w:sz w:val="22"/>
          <w:szCs w:val="22"/>
          <w:lang w:eastAsia="es-ES"/>
        </w:rPr>
        <w:lastRenderedPageBreak/>
        <w:t>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2FB82" w14:textId="77777777" w:rsidR="003F74C6" w:rsidRDefault="003F74C6" w:rsidP="004F2C35">
      <w:r>
        <w:separator/>
      </w:r>
    </w:p>
  </w:endnote>
  <w:endnote w:type="continuationSeparator" w:id="0">
    <w:p w14:paraId="110C5C32" w14:textId="77777777" w:rsidR="003F74C6" w:rsidRDefault="003F74C6" w:rsidP="004F2C35">
      <w:r>
        <w:continuationSeparator/>
      </w:r>
    </w:p>
  </w:endnote>
  <w:endnote w:type="continuationNotice" w:id="1">
    <w:p w14:paraId="1ABA07B7" w14:textId="77777777" w:rsidR="003F74C6" w:rsidRDefault="003F74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7821C" w14:textId="77777777" w:rsidR="003F74C6" w:rsidRDefault="003F74C6" w:rsidP="004F2C35">
      <w:r>
        <w:separator/>
      </w:r>
    </w:p>
  </w:footnote>
  <w:footnote w:type="continuationSeparator" w:id="0">
    <w:p w14:paraId="73744E2D" w14:textId="77777777" w:rsidR="003F74C6" w:rsidRDefault="003F74C6" w:rsidP="004F2C35">
      <w:r>
        <w:continuationSeparator/>
      </w:r>
    </w:p>
  </w:footnote>
  <w:footnote w:type="continuationNotice" w:id="1">
    <w:p w14:paraId="140A86C0" w14:textId="77777777" w:rsidR="003F74C6" w:rsidRDefault="003F74C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896555119">
    <w:abstractNumId w:val="2"/>
  </w:num>
  <w:num w:numId="2" w16cid:durableId="849681350">
    <w:abstractNumId w:val="5"/>
  </w:num>
  <w:num w:numId="3" w16cid:durableId="733311120">
    <w:abstractNumId w:val="11"/>
  </w:num>
  <w:num w:numId="4" w16cid:durableId="545338985">
    <w:abstractNumId w:val="7"/>
  </w:num>
  <w:num w:numId="5" w16cid:durableId="1443764185">
    <w:abstractNumId w:val="15"/>
  </w:num>
  <w:num w:numId="6" w16cid:durableId="2044016178">
    <w:abstractNumId w:val="9"/>
  </w:num>
  <w:num w:numId="7" w16cid:durableId="1453013059">
    <w:abstractNumId w:val="12"/>
  </w:num>
  <w:num w:numId="8" w16cid:durableId="1066487572">
    <w:abstractNumId w:val="0"/>
  </w:num>
  <w:num w:numId="9" w16cid:durableId="518743700">
    <w:abstractNumId w:val="8"/>
  </w:num>
  <w:num w:numId="10" w16cid:durableId="1223101907">
    <w:abstractNumId w:val="13"/>
  </w:num>
  <w:num w:numId="11" w16cid:durableId="279529854">
    <w:abstractNumId w:val="14"/>
  </w:num>
  <w:num w:numId="12" w16cid:durableId="1490059024">
    <w:abstractNumId w:val="4"/>
  </w:num>
  <w:num w:numId="13" w16cid:durableId="274870989">
    <w:abstractNumId w:val="3"/>
  </w:num>
  <w:num w:numId="14" w16cid:durableId="2078434452">
    <w:abstractNumId w:val="10"/>
  </w:num>
  <w:num w:numId="15" w16cid:durableId="439035021">
    <w:abstractNumId w:val="1"/>
  </w:num>
  <w:num w:numId="16" w16cid:durableId="171318980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3F74C6"/>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376D"/>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1D0"/>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67</Pages>
  <Words>23745</Words>
  <Characters>130601</Characters>
  <Application>Microsoft Office Word</Application>
  <DocSecurity>0</DocSecurity>
  <Lines>1088</Lines>
  <Paragraphs>308</Paragraphs>
  <ScaleCrop>false</ScaleCrop>
  <Company/>
  <LinksUpToDate>false</LinksUpToDate>
  <CharactersWithSpaces>154038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Leonardo Bayona Diaz</cp:lastModifiedBy>
  <cp:revision>122</cp:revision>
  <cp:lastPrinted>2022-06-28T19:25:00Z</cp:lastPrinted>
  <dcterms:created xsi:type="dcterms:W3CDTF">2024-06-06T15:04:00Z</dcterms:created>
  <dcterms:modified xsi:type="dcterms:W3CDTF">2026-06-04T20:00:00Z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