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D2740F" w:rsidRDefault="0077727E" w:rsidP="0077727E">
      <w:pPr>
        <w:jc w:val="center"/>
        <w:rPr>
          <w:rFonts w:ascii="Arial" w:hAnsi="Arial" w:cs="Arial"/>
          <w:b/>
          <w:color w:val="000000" w:themeColor="text1"/>
          <w:sz w:val="20"/>
          <w:szCs w:val="20"/>
        </w:rPr>
      </w:pPr>
      <w:r w:rsidRPr="00D2740F">
        <w:rPr>
          <w:rFonts w:ascii="Arial" w:hAnsi="Arial" w:cs="Arial"/>
          <w:b/>
          <w:color w:val="000000" w:themeColor="text1"/>
          <w:sz w:val="20"/>
          <w:szCs w:val="20"/>
        </w:rPr>
        <w:t>MATRIZ 3</w:t>
      </w:r>
      <w:r w:rsidR="00136C78" w:rsidRPr="00D2740F">
        <w:rPr>
          <w:rFonts w:ascii="Arial" w:hAnsi="Arial" w:cs="Arial"/>
          <w:b/>
          <w:color w:val="000000" w:themeColor="text1"/>
          <w:sz w:val="20"/>
          <w:szCs w:val="20"/>
        </w:rPr>
        <w:t xml:space="preserve"> - </w:t>
      </w:r>
      <w:r w:rsidRPr="00D2740F">
        <w:rPr>
          <w:rFonts w:ascii="Arial" w:hAnsi="Arial" w:cs="Arial"/>
          <w:b/>
          <w:color w:val="000000" w:themeColor="text1"/>
          <w:sz w:val="20"/>
          <w:szCs w:val="20"/>
        </w:rPr>
        <w:t>RIESGOS</w:t>
      </w:r>
    </w:p>
    <w:p w14:paraId="3146EDED" w14:textId="77777777" w:rsidR="00B81B1F" w:rsidRPr="00D2740F" w:rsidRDefault="00B81B1F" w:rsidP="007C702A">
      <w:pPr>
        <w:rPr>
          <w:rFonts w:ascii="Arial" w:hAnsi="Arial" w:cs="Arial"/>
          <w:color w:val="000000" w:themeColor="text1"/>
          <w:sz w:val="20"/>
          <w:szCs w:val="20"/>
          <w:lang w:val="es-ES_tradnl" w:eastAsia="es-CO"/>
        </w:rPr>
      </w:pPr>
    </w:p>
    <w:p w14:paraId="09226901" w14:textId="77777777" w:rsidR="0058222E" w:rsidRPr="00D2740F" w:rsidRDefault="0058222E" w:rsidP="007C702A">
      <w:pPr>
        <w:rPr>
          <w:rFonts w:ascii="Arial" w:hAnsi="Arial" w:cs="Arial"/>
          <w:color w:val="000000" w:themeColor="text1"/>
          <w:sz w:val="20"/>
          <w:szCs w:val="20"/>
          <w:lang w:val="es-ES_tradnl" w:eastAsia="es-CO"/>
        </w:rPr>
      </w:pPr>
    </w:p>
    <w:p w14:paraId="0822FEEB" w14:textId="5A00D6E2" w:rsidR="00D70D7B" w:rsidRPr="00D2740F" w:rsidRDefault="00D70D7B" w:rsidP="36089662">
      <w:pPr>
        <w:rPr>
          <w:rFonts w:ascii="Arial" w:hAnsi="Arial" w:cs="Arial"/>
          <w:color w:val="000000" w:themeColor="text1"/>
          <w:sz w:val="20"/>
          <w:szCs w:val="20"/>
          <w:lang w:val="es-ES" w:eastAsia="es-CO"/>
        </w:rPr>
      </w:pPr>
      <w:r w:rsidRPr="36089662">
        <w:rPr>
          <w:rFonts w:ascii="Arial" w:hAnsi="Arial" w:cs="Arial"/>
          <w:color w:val="000000" w:themeColor="text1"/>
          <w:sz w:val="20"/>
          <w:szCs w:val="20"/>
          <w:lang w:val="es-ES" w:eastAsia="es-CO"/>
        </w:rPr>
        <w:t xml:space="preserve">Para el presente </w:t>
      </w:r>
      <w:r w:rsidR="00C61BDB" w:rsidRPr="36089662">
        <w:rPr>
          <w:rFonts w:ascii="Arial" w:hAnsi="Arial" w:cs="Arial"/>
          <w:color w:val="000000" w:themeColor="text1"/>
          <w:sz w:val="20"/>
          <w:szCs w:val="20"/>
          <w:lang w:val="es-ES" w:eastAsia="es-CO"/>
        </w:rPr>
        <w:t xml:space="preserve">procedimiento </w:t>
      </w:r>
      <w:r w:rsidRPr="36089662">
        <w:rPr>
          <w:rFonts w:ascii="Arial" w:hAnsi="Arial" w:cs="Arial"/>
          <w:color w:val="000000" w:themeColor="text1"/>
          <w:sz w:val="20"/>
          <w:szCs w:val="20"/>
          <w:lang w:val="es-ES" w:eastAsia="es-CO"/>
        </w:rPr>
        <w:t xml:space="preserve">contractual, en atención </w:t>
      </w:r>
      <w:r w:rsidR="00B81B1F" w:rsidRPr="36089662">
        <w:rPr>
          <w:rFonts w:ascii="Arial" w:hAnsi="Arial" w:cs="Arial"/>
          <w:color w:val="000000" w:themeColor="text1"/>
          <w:sz w:val="20"/>
          <w:szCs w:val="20"/>
          <w:lang w:val="es-ES" w:eastAsia="es-CO"/>
        </w:rPr>
        <w:t>a la</w:t>
      </w:r>
      <w:r w:rsidRPr="36089662">
        <w:rPr>
          <w:rFonts w:ascii="Arial" w:hAnsi="Arial" w:cs="Arial"/>
          <w:color w:val="000000" w:themeColor="text1"/>
          <w:sz w:val="20"/>
          <w:szCs w:val="20"/>
          <w:lang w:val="es-ES" w:eastAsia="es-CO"/>
        </w:rPr>
        <w:t xml:space="preserve"> Ley 1150 de 2007 y los artículos 2.2.1.1.1.3.1 y 2.2.1.1.1.6.</w:t>
      </w:r>
      <w:r w:rsidR="00B81B1F" w:rsidRPr="36089662">
        <w:rPr>
          <w:rFonts w:ascii="Arial" w:hAnsi="Arial" w:cs="Arial"/>
          <w:color w:val="000000" w:themeColor="text1"/>
          <w:sz w:val="20"/>
          <w:szCs w:val="20"/>
          <w:lang w:val="es-ES" w:eastAsia="es-CO"/>
        </w:rPr>
        <w:t>3. del</w:t>
      </w:r>
      <w:r w:rsidRPr="36089662">
        <w:rPr>
          <w:rFonts w:ascii="Arial" w:hAnsi="Arial" w:cs="Arial"/>
          <w:color w:val="000000" w:themeColor="text1"/>
          <w:sz w:val="20"/>
          <w:szCs w:val="20"/>
          <w:lang w:val="es-ES" w:eastAsia="es-CO"/>
        </w:rPr>
        <w:t xml:space="preserve"> Decreto </w:t>
      </w:r>
      <w:r w:rsidR="00B81B1F" w:rsidRPr="36089662">
        <w:rPr>
          <w:rFonts w:ascii="Arial" w:hAnsi="Arial" w:cs="Arial"/>
          <w:color w:val="000000" w:themeColor="text1"/>
          <w:sz w:val="20"/>
          <w:szCs w:val="20"/>
          <w:lang w:val="es-ES" w:eastAsia="es-CO"/>
        </w:rPr>
        <w:t>1082 de</w:t>
      </w:r>
      <w:r w:rsidR="006E6D9B" w:rsidRPr="36089662">
        <w:rPr>
          <w:rFonts w:ascii="Arial" w:hAnsi="Arial" w:cs="Arial"/>
          <w:color w:val="000000" w:themeColor="text1"/>
          <w:sz w:val="20"/>
          <w:szCs w:val="20"/>
          <w:lang w:val="es-ES" w:eastAsia="es-CO"/>
        </w:rPr>
        <w:t xml:space="preserve"> 2015, entiéndase por </w:t>
      </w:r>
      <w:r w:rsidR="00624AC2" w:rsidRPr="36089662">
        <w:rPr>
          <w:rFonts w:ascii="Arial" w:hAnsi="Arial" w:cs="Arial"/>
          <w:color w:val="000000" w:themeColor="text1"/>
          <w:sz w:val="20"/>
          <w:szCs w:val="20"/>
          <w:lang w:val="es-ES" w:eastAsia="es-CO"/>
        </w:rPr>
        <w:t>r</w:t>
      </w:r>
      <w:r w:rsidRPr="36089662">
        <w:rPr>
          <w:rFonts w:ascii="Arial" w:hAnsi="Arial" w:cs="Arial"/>
          <w:color w:val="000000" w:themeColor="text1"/>
          <w:sz w:val="20"/>
          <w:szCs w:val="20"/>
          <w:lang w:val="es-ES" w:eastAsia="es-CO"/>
        </w:rPr>
        <w:t>iesgo</w:t>
      </w:r>
      <w:r w:rsidR="006E6D9B" w:rsidRPr="36089662">
        <w:rPr>
          <w:rFonts w:ascii="Arial" w:hAnsi="Arial" w:cs="Arial"/>
          <w:color w:val="000000" w:themeColor="text1"/>
          <w:sz w:val="20"/>
          <w:szCs w:val="20"/>
          <w:lang w:val="es-ES" w:eastAsia="es-CO"/>
        </w:rPr>
        <w:t xml:space="preserve"> </w:t>
      </w:r>
      <w:r w:rsidRPr="36089662">
        <w:rPr>
          <w:rFonts w:ascii="Arial" w:hAnsi="Arial" w:cs="Arial"/>
          <w:color w:val="000000" w:themeColor="text1"/>
          <w:sz w:val="20"/>
          <w:szCs w:val="20"/>
          <w:lang w:val="es-ES" w:eastAsia="es-CO"/>
        </w:rPr>
        <w:t xml:space="preserve">la probabilidad de ocurrencia de eventos aleatorios que afecten el desarrollo del mismo, generando una variación sobre el resultado esperado, tanto en relación con los costos </w:t>
      </w:r>
      <w:r w:rsidR="00B81B1F" w:rsidRPr="36089662">
        <w:rPr>
          <w:rFonts w:ascii="Arial" w:hAnsi="Arial" w:cs="Arial"/>
          <w:color w:val="000000" w:themeColor="text1"/>
          <w:sz w:val="20"/>
          <w:szCs w:val="20"/>
          <w:lang w:val="es-ES" w:eastAsia="es-CO"/>
        </w:rPr>
        <w:t>como con</w:t>
      </w:r>
      <w:r w:rsidRPr="36089662">
        <w:rPr>
          <w:rFonts w:ascii="Arial" w:hAnsi="Arial" w:cs="Arial"/>
          <w:color w:val="000000" w:themeColor="text1"/>
          <w:sz w:val="20"/>
          <w:szCs w:val="20"/>
          <w:lang w:val="es-ES" w:eastAsia="es-CO"/>
        </w:rPr>
        <w:t xml:space="preserve"> las actividades a desarrollar en la ejecución contractual.</w:t>
      </w:r>
    </w:p>
    <w:p w14:paraId="419A2FA6" w14:textId="77777777" w:rsidR="00B81B1F" w:rsidRPr="00D2740F" w:rsidRDefault="00B81B1F" w:rsidP="007C702A">
      <w:pPr>
        <w:rPr>
          <w:rFonts w:ascii="Arial" w:hAnsi="Arial" w:cs="Arial"/>
          <w:color w:val="000000" w:themeColor="text1"/>
          <w:sz w:val="20"/>
          <w:szCs w:val="20"/>
          <w:lang w:val="es-ES_tradnl" w:eastAsia="es-CO"/>
        </w:rPr>
      </w:pPr>
    </w:p>
    <w:p w14:paraId="5322C892" w14:textId="6D4072CB" w:rsidR="00D70D7B" w:rsidRPr="00D2740F" w:rsidRDefault="00D70D7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Corresponderá al contratista seleccionado la asunción de</w:t>
      </w:r>
      <w:r w:rsidR="006E6D9B" w:rsidRPr="00D2740F">
        <w:rPr>
          <w:rFonts w:ascii="Arial" w:hAnsi="Arial" w:cs="Arial"/>
          <w:color w:val="000000" w:themeColor="text1"/>
          <w:sz w:val="20"/>
          <w:szCs w:val="20"/>
          <w:lang w:val="es-ES_tradnl" w:eastAsia="es-CO"/>
        </w:rPr>
        <w:t>l R</w:t>
      </w:r>
      <w:r w:rsidRPr="00D2740F">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w:t>
      </w:r>
      <w:r w:rsidR="00624AC2">
        <w:rPr>
          <w:rFonts w:ascii="Arial" w:hAnsi="Arial" w:cs="Arial"/>
          <w:color w:val="000000" w:themeColor="text1"/>
          <w:sz w:val="20"/>
          <w:szCs w:val="20"/>
          <w:lang w:val="es-ES_tradnl" w:eastAsia="es-CO"/>
        </w:rPr>
        <w:t>e</w:t>
      </w:r>
      <w:r w:rsidRPr="00D2740F">
        <w:rPr>
          <w:rFonts w:ascii="Arial" w:hAnsi="Arial" w:cs="Arial"/>
          <w:color w:val="000000" w:themeColor="text1"/>
          <w:sz w:val="20"/>
          <w:szCs w:val="20"/>
          <w:lang w:val="es-ES_tradnl" w:eastAsia="es-CO"/>
        </w:rPr>
        <w:t xml:space="preserve">ntidad en el contrato. </w:t>
      </w:r>
    </w:p>
    <w:p w14:paraId="78757E00" w14:textId="77777777" w:rsidR="00B81B1F" w:rsidRPr="00D2740F" w:rsidRDefault="00B81B1F" w:rsidP="007C702A">
      <w:pPr>
        <w:rPr>
          <w:rFonts w:ascii="Arial" w:hAnsi="Arial" w:cs="Arial"/>
          <w:color w:val="000000" w:themeColor="text1"/>
          <w:sz w:val="20"/>
          <w:szCs w:val="20"/>
          <w:lang w:val="es-ES_tradnl" w:eastAsia="es-CO"/>
        </w:rPr>
      </w:pPr>
    </w:p>
    <w:p w14:paraId="2E7008F5" w14:textId="14484365" w:rsidR="00545461" w:rsidRPr="00D2740F" w:rsidRDefault="006E6D9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 xml:space="preserve">De acuerdo con </w:t>
      </w:r>
      <w:r w:rsidR="00C61BDB" w:rsidRPr="00D2740F">
        <w:rPr>
          <w:rFonts w:ascii="Arial" w:hAnsi="Arial" w:cs="Arial"/>
          <w:color w:val="000000" w:themeColor="text1"/>
          <w:sz w:val="20"/>
          <w:szCs w:val="20"/>
          <w:lang w:val="es-ES_tradnl" w:eastAsia="es-CO"/>
        </w:rPr>
        <w:t xml:space="preserve">procedimiento </w:t>
      </w:r>
      <w:r w:rsidR="00545461" w:rsidRPr="00D2740F">
        <w:rPr>
          <w:rFonts w:ascii="Arial" w:hAnsi="Arial" w:cs="Arial"/>
          <w:color w:val="000000" w:themeColor="text1"/>
          <w:sz w:val="20"/>
          <w:szCs w:val="20"/>
          <w:lang w:val="es-ES_tradnl" w:eastAsia="es-CO"/>
        </w:rPr>
        <w:t xml:space="preserve">de la referencia, nos permitimos establecer la tipificación, estimación y asignación de los riesgos previsibles que puedan afectar el presente </w:t>
      </w:r>
      <w:r w:rsidR="00C61BDB" w:rsidRPr="00D2740F">
        <w:rPr>
          <w:rFonts w:ascii="Arial" w:hAnsi="Arial" w:cs="Arial"/>
          <w:color w:val="000000" w:themeColor="text1"/>
          <w:sz w:val="20"/>
          <w:szCs w:val="20"/>
          <w:lang w:val="es-ES_tradnl" w:eastAsia="es-CO"/>
        </w:rPr>
        <w:t>procedimiento</w:t>
      </w:r>
      <w:r w:rsidR="00545461" w:rsidRPr="00D2740F">
        <w:rPr>
          <w:rFonts w:ascii="Arial" w:hAnsi="Arial" w:cs="Arial"/>
          <w:color w:val="000000" w:themeColor="text1"/>
          <w:sz w:val="20"/>
          <w:szCs w:val="20"/>
          <w:lang w:val="es-ES_tradnl" w:eastAsia="es-CO"/>
        </w:rPr>
        <w:t>.</w:t>
      </w:r>
    </w:p>
    <w:p w14:paraId="77031AF6" w14:textId="250AF235" w:rsidR="0058222E" w:rsidRPr="00D2740F" w:rsidRDefault="0058222E" w:rsidP="007C702A">
      <w:pPr>
        <w:rPr>
          <w:rFonts w:ascii="Arial" w:hAnsi="Arial" w:cs="Arial"/>
          <w:color w:val="000000" w:themeColor="text1"/>
          <w:sz w:val="20"/>
          <w:szCs w:val="20"/>
          <w:lang w:val="es-ES_tradnl" w:eastAsia="es-CO"/>
        </w:rPr>
      </w:pPr>
    </w:p>
    <w:p w14:paraId="4D84E88B" w14:textId="77777777" w:rsidR="0058222E" w:rsidRPr="00D2740F" w:rsidRDefault="00815604" w:rsidP="00D70D7B">
      <w:pPr>
        <w:spacing w:after="100" w:afterAutospacing="1"/>
        <w:rPr>
          <w:rFonts w:ascii="Arial" w:eastAsia="SimSun" w:hAnsi="Arial" w:cs="Arial"/>
          <w:color w:val="000000" w:themeColor="text1"/>
          <w:kern w:val="3"/>
          <w:sz w:val="20"/>
          <w:szCs w:val="20"/>
          <w:lang w:eastAsia="zh-CN" w:bidi="hi-IN"/>
        </w:rPr>
      </w:pPr>
      <w:r w:rsidRPr="00D2740F">
        <w:rPr>
          <w:rFonts w:ascii="Arial" w:eastAsia="SimSun" w:hAnsi="Arial" w:cs="Arial"/>
          <w:b/>
          <w:color w:val="000000" w:themeColor="text1"/>
          <w:kern w:val="3"/>
          <w:sz w:val="20"/>
          <w:szCs w:val="20"/>
          <w:u w:val="single"/>
          <w:lang w:eastAsia="zh-CN" w:bidi="hi-IN"/>
        </w:rPr>
        <w:t>Matriz de Riesgos</w:t>
      </w: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tbl>
      <w:tblPr>
        <w:tblW w:w="8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0"/>
        <w:gridCol w:w="230"/>
        <w:gridCol w:w="230"/>
        <w:gridCol w:w="230"/>
        <w:gridCol w:w="230"/>
        <w:gridCol w:w="681"/>
        <w:gridCol w:w="556"/>
        <w:gridCol w:w="230"/>
        <w:gridCol w:w="230"/>
        <w:gridCol w:w="230"/>
        <w:gridCol w:w="325"/>
        <w:gridCol w:w="453"/>
        <w:gridCol w:w="566"/>
        <w:gridCol w:w="882"/>
        <w:gridCol w:w="230"/>
        <w:gridCol w:w="230"/>
        <w:gridCol w:w="230"/>
        <w:gridCol w:w="325"/>
        <w:gridCol w:w="487"/>
        <w:gridCol w:w="592"/>
        <w:gridCol w:w="592"/>
        <w:gridCol w:w="592"/>
        <w:gridCol w:w="619"/>
        <w:gridCol w:w="592"/>
      </w:tblGrid>
      <w:tr w:rsidR="00EB718C" w:rsidRPr="00B821D5" w14:paraId="0F105A1D" w14:textId="77777777" w:rsidTr="001E29CD">
        <w:trPr>
          <w:trHeight w:val="720"/>
        </w:trPr>
        <w:tc>
          <w:tcPr>
            <w:tcW w:w="135" w:type="dxa"/>
            <w:vMerge w:val="restart"/>
            <w:shd w:val="clear" w:color="auto" w:fill="D9D9D9" w:themeFill="background1" w:themeFillShade="D9"/>
            <w:textDirection w:val="btLr"/>
            <w:vAlign w:val="center"/>
            <w:hideMark/>
          </w:tcPr>
          <w:p w14:paraId="0F1C7F20"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bookmarkStart w:id="0" w:name="_Hlk175047745"/>
            <w:r w:rsidRPr="00B821D5">
              <w:rPr>
                <w:rFonts w:ascii="Arial Narrow" w:hAnsi="Arial Narrow" w:cs="Arial"/>
                <w:b/>
                <w:bCs/>
                <w:color w:val="000000" w:themeColor="text1"/>
                <w:sz w:val="10"/>
                <w:szCs w:val="10"/>
                <w:lang w:eastAsia="es-CO"/>
              </w:rPr>
              <w:t>No.</w:t>
            </w:r>
          </w:p>
        </w:tc>
        <w:tc>
          <w:tcPr>
            <w:tcW w:w="141" w:type="dxa"/>
            <w:vMerge w:val="restart"/>
            <w:shd w:val="clear" w:color="auto" w:fill="D9D9D9" w:themeFill="background1" w:themeFillShade="D9"/>
            <w:textDirection w:val="btLr"/>
            <w:vAlign w:val="center"/>
            <w:hideMark/>
          </w:tcPr>
          <w:p w14:paraId="5345AF70"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Clase</w:t>
            </w:r>
          </w:p>
        </w:tc>
        <w:tc>
          <w:tcPr>
            <w:tcW w:w="142" w:type="dxa"/>
            <w:vMerge w:val="restart"/>
            <w:shd w:val="clear" w:color="auto" w:fill="D9D9D9" w:themeFill="background1" w:themeFillShade="D9"/>
            <w:textDirection w:val="btLr"/>
            <w:vAlign w:val="center"/>
            <w:hideMark/>
          </w:tcPr>
          <w:p w14:paraId="33683A19"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Fuente</w:t>
            </w:r>
          </w:p>
        </w:tc>
        <w:tc>
          <w:tcPr>
            <w:tcW w:w="142" w:type="dxa"/>
            <w:vMerge w:val="restart"/>
            <w:shd w:val="clear" w:color="auto" w:fill="D9D9D9" w:themeFill="background1" w:themeFillShade="D9"/>
            <w:textDirection w:val="btLr"/>
            <w:vAlign w:val="center"/>
            <w:hideMark/>
          </w:tcPr>
          <w:p w14:paraId="4089A5D4"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Etapa</w:t>
            </w:r>
          </w:p>
        </w:tc>
        <w:tc>
          <w:tcPr>
            <w:tcW w:w="142" w:type="dxa"/>
            <w:vMerge w:val="restart"/>
            <w:shd w:val="clear" w:color="auto" w:fill="D9D9D9" w:themeFill="background1" w:themeFillShade="D9"/>
            <w:textDirection w:val="btLr"/>
            <w:vAlign w:val="center"/>
            <w:hideMark/>
          </w:tcPr>
          <w:p w14:paraId="7BAB7A32"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Tipo de Riesgo</w:t>
            </w:r>
          </w:p>
        </w:tc>
        <w:tc>
          <w:tcPr>
            <w:tcW w:w="726" w:type="dxa"/>
            <w:vMerge w:val="restart"/>
            <w:shd w:val="clear" w:color="auto" w:fill="D9D9D9" w:themeFill="background1" w:themeFillShade="D9"/>
            <w:vAlign w:val="center"/>
            <w:hideMark/>
          </w:tcPr>
          <w:p w14:paraId="7C7BDB9A"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Descripcion (Que puede pasar y como puede ocurrir)</w:t>
            </w:r>
          </w:p>
        </w:tc>
        <w:tc>
          <w:tcPr>
            <w:tcW w:w="601" w:type="dxa"/>
            <w:vMerge w:val="restart"/>
            <w:shd w:val="clear" w:color="auto" w:fill="D9D9D9" w:themeFill="background1" w:themeFillShade="D9"/>
            <w:vAlign w:val="center"/>
            <w:hideMark/>
          </w:tcPr>
          <w:p w14:paraId="36A4A47F"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xml:space="preserve">Consecuencia de ocurrencia del evento </w:t>
            </w:r>
          </w:p>
        </w:tc>
        <w:tc>
          <w:tcPr>
            <w:tcW w:w="136" w:type="dxa"/>
            <w:vMerge w:val="restart"/>
            <w:shd w:val="clear" w:color="auto" w:fill="D9D9D9" w:themeFill="background1" w:themeFillShade="D9"/>
            <w:textDirection w:val="btLr"/>
            <w:vAlign w:val="center"/>
            <w:hideMark/>
          </w:tcPr>
          <w:p w14:paraId="65477839"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Probabilidad</w:t>
            </w:r>
          </w:p>
        </w:tc>
        <w:tc>
          <w:tcPr>
            <w:tcW w:w="136" w:type="dxa"/>
            <w:vMerge w:val="restart"/>
            <w:shd w:val="clear" w:color="auto" w:fill="D9D9D9" w:themeFill="background1" w:themeFillShade="D9"/>
            <w:textDirection w:val="btLr"/>
            <w:vAlign w:val="center"/>
            <w:hideMark/>
          </w:tcPr>
          <w:p w14:paraId="01DC059E"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Impacto</w:t>
            </w:r>
          </w:p>
        </w:tc>
        <w:tc>
          <w:tcPr>
            <w:tcW w:w="136" w:type="dxa"/>
            <w:vMerge w:val="restart"/>
            <w:shd w:val="clear" w:color="auto" w:fill="D9D9D9" w:themeFill="background1" w:themeFillShade="D9"/>
            <w:textDirection w:val="btLr"/>
            <w:vAlign w:val="center"/>
            <w:hideMark/>
          </w:tcPr>
          <w:p w14:paraId="70D028E1"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Valoración</w:t>
            </w:r>
          </w:p>
        </w:tc>
        <w:tc>
          <w:tcPr>
            <w:tcW w:w="263" w:type="dxa"/>
            <w:vMerge w:val="restart"/>
            <w:shd w:val="clear" w:color="auto" w:fill="D9D9D9" w:themeFill="background1" w:themeFillShade="D9"/>
            <w:textDirection w:val="btLr"/>
            <w:vAlign w:val="center"/>
            <w:hideMark/>
          </w:tcPr>
          <w:p w14:paraId="7CBD3F91"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Categoria</w:t>
            </w:r>
          </w:p>
        </w:tc>
        <w:tc>
          <w:tcPr>
            <w:tcW w:w="813" w:type="dxa"/>
            <w:gridSpan w:val="2"/>
            <w:shd w:val="clear" w:color="auto" w:fill="D9D9D9" w:themeFill="background1" w:themeFillShade="D9"/>
            <w:vAlign w:val="center"/>
            <w:hideMark/>
          </w:tcPr>
          <w:p w14:paraId="033C89F4"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A QUIEN SE ASIGNA</w:t>
            </w:r>
          </w:p>
        </w:tc>
        <w:tc>
          <w:tcPr>
            <w:tcW w:w="926" w:type="dxa"/>
            <w:vMerge w:val="restart"/>
            <w:shd w:val="clear" w:color="auto" w:fill="D9D9D9" w:themeFill="background1" w:themeFillShade="D9"/>
            <w:vAlign w:val="center"/>
            <w:hideMark/>
          </w:tcPr>
          <w:p w14:paraId="4484F4E3"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TRATAMIENTO/CONTROL A SER IMPLEMENTADO</w:t>
            </w:r>
          </w:p>
        </w:tc>
        <w:tc>
          <w:tcPr>
            <w:tcW w:w="671" w:type="dxa"/>
            <w:gridSpan w:val="4"/>
            <w:shd w:val="clear" w:color="auto" w:fill="D9D9D9" w:themeFill="background1" w:themeFillShade="D9"/>
            <w:vAlign w:val="center"/>
            <w:hideMark/>
          </w:tcPr>
          <w:p w14:paraId="3BB3787E"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IMPACTO DESPUÉS DEL TRATAMIENTO</w:t>
            </w:r>
          </w:p>
        </w:tc>
        <w:tc>
          <w:tcPr>
            <w:tcW w:w="481" w:type="dxa"/>
            <w:vMerge w:val="restart"/>
            <w:shd w:val="clear" w:color="auto" w:fill="D9D9D9" w:themeFill="background1" w:themeFillShade="D9"/>
            <w:vAlign w:val="center"/>
            <w:hideMark/>
          </w:tcPr>
          <w:p w14:paraId="6F2243F3"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AFECTA LA EJECUCION DEL CONTRATO</w:t>
            </w:r>
          </w:p>
        </w:tc>
        <w:tc>
          <w:tcPr>
            <w:tcW w:w="576" w:type="dxa"/>
            <w:vMerge w:val="restart"/>
            <w:shd w:val="clear" w:color="auto" w:fill="D9D9D9" w:themeFill="background1" w:themeFillShade="D9"/>
            <w:vAlign w:val="center"/>
            <w:hideMark/>
          </w:tcPr>
          <w:p w14:paraId="1095BABD"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RESPONSABLE POR IMPLEMENTAR EL TRATAMIENTO</w:t>
            </w:r>
          </w:p>
        </w:tc>
        <w:tc>
          <w:tcPr>
            <w:tcW w:w="654" w:type="dxa"/>
            <w:shd w:val="clear" w:color="auto" w:fill="D9D9D9" w:themeFill="background1" w:themeFillShade="D9"/>
            <w:vAlign w:val="center"/>
            <w:hideMark/>
          </w:tcPr>
          <w:p w14:paraId="5B29A911"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w:t>
            </w:r>
          </w:p>
        </w:tc>
        <w:tc>
          <w:tcPr>
            <w:tcW w:w="654" w:type="dxa"/>
            <w:shd w:val="clear" w:color="auto" w:fill="D9D9D9" w:themeFill="background1" w:themeFillShade="D9"/>
            <w:vAlign w:val="center"/>
            <w:hideMark/>
          </w:tcPr>
          <w:p w14:paraId="6847EB28"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w:t>
            </w:r>
          </w:p>
        </w:tc>
        <w:tc>
          <w:tcPr>
            <w:tcW w:w="1343" w:type="dxa"/>
            <w:gridSpan w:val="2"/>
            <w:shd w:val="clear" w:color="auto" w:fill="D9D9D9" w:themeFill="background1" w:themeFillShade="D9"/>
            <w:vAlign w:val="center"/>
            <w:hideMark/>
          </w:tcPr>
          <w:p w14:paraId="2A1552A5"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MONITOREO Y REVISIÓN</w:t>
            </w:r>
          </w:p>
        </w:tc>
      </w:tr>
      <w:tr w:rsidR="00EB718C" w:rsidRPr="00B821D5" w14:paraId="26C497DA" w14:textId="77777777" w:rsidTr="001E29CD">
        <w:trPr>
          <w:trHeight w:val="300"/>
        </w:trPr>
        <w:tc>
          <w:tcPr>
            <w:tcW w:w="135" w:type="dxa"/>
            <w:vMerge/>
            <w:shd w:val="clear" w:color="auto" w:fill="D9D9D9" w:themeFill="background1" w:themeFillShade="D9"/>
            <w:vAlign w:val="center"/>
            <w:hideMark/>
          </w:tcPr>
          <w:p w14:paraId="015DB9AB"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141" w:type="dxa"/>
            <w:vMerge/>
            <w:shd w:val="clear" w:color="auto" w:fill="D9D9D9" w:themeFill="background1" w:themeFillShade="D9"/>
            <w:vAlign w:val="center"/>
            <w:hideMark/>
          </w:tcPr>
          <w:p w14:paraId="03A89244"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142" w:type="dxa"/>
            <w:vMerge/>
            <w:shd w:val="clear" w:color="auto" w:fill="D9D9D9" w:themeFill="background1" w:themeFillShade="D9"/>
            <w:vAlign w:val="center"/>
            <w:hideMark/>
          </w:tcPr>
          <w:p w14:paraId="74FFF692"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142" w:type="dxa"/>
            <w:vMerge/>
            <w:shd w:val="clear" w:color="auto" w:fill="D9D9D9" w:themeFill="background1" w:themeFillShade="D9"/>
            <w:vAlign w:val="center"/>
            <w:hideMark/>
          </w:tcPr>
          <w:p w14:paraId="1AA32966"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142" w:type="dxa"/>
            <w:vMerge/>
            <w:shd w:val="clear" w:color="auto" w:fill="D9D9D9" w:themeFill="background1" w:themeFillShade="D9"/>
            <w:vAlign w:val="center"/>
            <w:hideMark/>
          </w:tcPr>
          <w:p w14:paraId="0077E6EE"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726" w:type="dxa"/>
            <w:vMerge/>
            <w:shd w:val="clear" w:color="auto" w:fill="D9D9D9" w:themeFill="background1" w:themeFillShade="D9"/>
            <w:vAlign w:val="center"/>
            <w:hideMark/>
          </w:tcPr>
          <w:p w14:paraId="12E2E6C5"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601" w:type="dxa"/>
            <w:vMerge/>
            <w:shd w:val="clear" w:color="auto" w:fill="D9D9D9" w:themeFill="background1" w:themeFillShade="D9"/>
            <w:vAlign w:val="center"/>
            <w:hideMark/>
          </w:tcPr>
          <w:p w14:paraId="25BBD0C9"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136" w:type="dxa"/>
            <w:vMerge/>
            <w:shd w:val="clear" w:color="auto" w:fill="D9D9D9" w:themeFill="background1" w:themeFillShade="D9"/>
            <w:vAlign w:val="center"/>
            <w:hideMark/>
          </w:tcPr>
          <w:p w14:paraId="31457D5C"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136" w:type="dxa"/>
            <w:vMerge/>
            <w:shd w:val="clear" w:color="auto" w:fill="D9D9D9" w:themeFill="background1" w:themeFillShade="D9"/>
            <w:vAlign w:val="center"/>
            <w:hideMark/>
          </w:tcPr>
          <w:p w14:paraId="51E6F572"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136" w:type="dxa"/>
            <w:vMerge/>
            <w:shd w:val="clear" w:color="auto" w:fill="D9D9D9" w:themeFill="background1" w:themeFillShade="D9"/>
            <w:vAlign w:val="center"/>
            <w:hideMark/>
          </w:tcPr>
          <w:p w14:paraId="2462EF65"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263" w:type="dxa"/>
            <w:vMerge/>
            <w:shd w:val="clear" w:color="auto" w:fill="D9D9D9" w:themeFill="background1" w:themeFillShade="D9"/>
            <w:vAlign w:val="center"/>
            <w:hideMark/>
          </w:tcPr>
          <w:p w14:paraId="0286B0BD"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269" w:type="dxa"/>
            <w:shd w:val="clear" w:color="auto" w:fill="D9D9D9" w:themeFill="background1" w:themeFillShade="D9"/>
            <w:vAlign w:val="center"/>
            <w:hideMark/>
          </w:tcPr>
          <w:p w14:paraId="0436FB3C"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w:t>
            </w:r>
          </w:p>
        </w:tc>
        <w:tc>
          <w:tcPr>
            <w:tcW w:w="544" w:type="dxa"/>
            <w:shd w:val="clear" w:color="auto" w:fill="D9D9D9" w:themeFill="background1" w:themeFillShade="D9"/>
            <w:vAlign w:val="center"/>
            <w:hideMark/>
          </w:tcPr>
          <w:p w14:paraId="4C50E598"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w:t>
            </w:r>
          </w:p>
        </w:tc>
        <w:tc>
          <w:tcPr>
            <w:tcW w:w="926" w:type="dxa"/>
            <w:vMerge/>
            <w:shd w:val="clear" w:color="auto" w:fill="D9D9D9" w:themeFill="background1" w:themeFillShade="D9"/>
            <w:vAlign w:val="center"/>
            <w:hideMark/>
          </w:tcPr>
          <w:p w14:paraId="5684DCE9"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136" w:type="dxa"/>
            <w:shd w:val="clear" w:color="auto" w:fill="D9D9D9" w:themeFill="background1" w:themeFillShade="D9"/>
            <w:vAlign w:val="center"/>
            <w:hideMark/>
          </w:tcPr>
          <w:p w14:paraId="421BCC5B"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w:t>
            </w:r>
          </w:p>
        </w:tc>
        <w:tc>
          <w:tcPr>
            <w:tcW w:w="136" w:type="dxa"/>
            <w:shd w:val="clear" w:color="auto" w:fill="D9D9D9" w:themeFill="background1" w:themeFillShade="D9"/>
            <w:vAlign w:val="center"/>
            <w:hideMark/>
          </w:tcPr>
          <w:p w14:paraId="3F7BA69C"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w:t>
            </w:r>
          </w:p>
        </w:tc>
        <w:tc>
          <w:tcPr>
            <w:tcW w:w="136" w:type="dxa"/>
            <w:shd w:val="clear" w:color="auto" w:fill="D9D9D9" w:themeFill="background1" w:themeFillShade="D9"/>
            <w:vAlign w:val="center"/>
            <w:hideMark/>
          </w:tcPr>
          <w:p w14:paraId="05B38990"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w:t>
            </w:r>
          </w:p>
        </w:tc>
        <w:tc>
          <w:tcPr>
            <w:tcW w:w="263" w:type="dxa"/>
            <w:shd w:val="clear" w:color="auto" w:fill="D9D9D9" w:themeFill="background1" w:themeFillShade="D9"/>
            <w:vAlign w:val="center"/>
            <w:hideMark/>
          </w:tcPr>
          <w:p w14:paraId="53B11973"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w:t>
            </w:r>
          </w:p>
        </w:tc>
        <w:tc>
          <w:tcPr>
            <w:tcW w:w="481" w:type="dxa"/>
            <w:vMerge/>
            <w:shd w:val="clear" w:color="auto" w:fill="D9D9D9" w:themeFill="background1" w:themeFillShade="D9"/>
            <w:vAlign w:val="center"/>
            <w:hideMark/>
          </w:tcPr>
          <w:p w14:paraId="4C2A3D33"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576" w:type="dxa"/>
            <w:vMerge/>
            <w:shd w:val="clear" w:color="auto" w:fill="D9D9D9" w:themeFill="background1" w:themeFillShade="D9"/>
            <w:vAlign w:val="center"/>
            <w:hideMark/>
          </w:tcPr>
          <w:p w14:paraId="0B7AA100"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654" w:type="dxa"/>
            <w:shd w:val="clear" w:color="auto" w:fill="D9D9D9" w:themeFill="background1" w:themeFillShade="D9"/>
            <w:vAlign w:val="center"/>
            <w:hideMark/>
          </w:tcPr>
          <w:p w14:paraId="7A7F3DCF"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w:t>
            </w:r>
          </w:p>
        </w:tc>
        <w:tc>
          <w:tcPr>
            <w:tcW w:w="654" w:type="dxa"/>
            <w:shd w:val="clear" w:color="auto" w:fill="D9D9D9" w:themeFill="background1" w:themeFillShade="D9"/>
            <w:vAlign w:val="center"/>
            <w:hideMark/>
          </w:tcPr>
          <w:p w14:paraId="7E7332F8"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w:t>
            </w:r>
          </w:p>
        </w:tc>
        <w:tc>
          <w:tcPr>
            <w:tcW w:w="689" w:type="dxa"/>
            <w:shd w:val="clear" w:color="auto" w:fill="D9D9D9" w:themeFill="background1" w:themeFillShade="D9"/>
            <w:vAlign w:val="center"/>
            <w:hideMark/>
          </w:tcPr>
          <w:p w14:paraId="24774F34"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w:t>
            </w:r>
          </w:p>
        </w:tc>
        <w:tc>
          <w:tcPr>
            <w:tcW w:w="654" w:type="dxa"/>
            <w:shd w:val="clear" w:color="auto" w:fill="D9D9D9" w:themeFill="background1" w:themeFillShade="D9"/>
            <w:vAlign w:val="center"/>
            <w:hideMark/>
          </w:tcPr>
          <w:p w14:paraId="10264227"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w:t>
            </w:r>
          </w:p>
        </w:tc>
      </w:tr>
      <w:tr w:rsidR="00EB718C" w:rsidRPr="00B821D5" w14:paraId="673CDA54" w14:textId="77777777" w:rsidTr="001E29CD">
        <w:trPr>
          <w:trHeight w:val="2130"/>
        </w:trPr>
        <w:tc>
          <w:tcPr>
            <w:tcW w:w="135" w:type="dxa"/>
            <w:vMerge/>
            <w:vAlign w:val="center"/>
            <w:hideMark/>
          </w:tcPr>
          <w:p w14:paraId="5F025D2F"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141" w:type="dxa"/>
            <w:vMerge/>
            <w:vAlign w:val="center"/>
            <w:hideMark/>
          </w:tcPr>
          <w:p w14:paraId="78BDCFDA"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142" w:type="dxa"/>
            <w:vMerge/>
            <w:vAlign w:val="center"/>
            <w:hideMark/>
          </w:tcPr>
          <w:p w14:paraId="24DBE119"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142" w:type="dxa"/>
            <w:vMerge/>
            <w:vAlign w:val="center"/>
            <w:hideMark/>
          </w:tcPr>
          <w:p w14:paraId="22573C26"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142" w:type="dxa"/>
            <w:vMerge/>
            <w:vAlign w:val="center"/>
            <w:hideMark/>
          </w:tcPr>
          <w:p w14:paraId="07AB3CE6"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726" w:type="dxa"/>
            <w:vMerge/>
            <w:vAlign w:val="center"/>
            <w:hideMark/>
          </w:tcPr>
          <w:p w14:paraId="4F4BF4C8"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601" w:type="dxa"/>
            <w:vMerge/>
            <w:vAlign w:val="center"/>
            <w:hideMark/>
          </w:tcPr>
          <w:p w14:paraId="2FFA8376"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136" w:type="dxa"/>
            <w:vMerge/>
            <w:vAlign w:val="center"/>
            <w:hideMark/>
          </w:tcPr>
          <w:p w14:paraId="38920170"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136" w:type="dxa"/>
            <w:vMerge/>
            <w:vAlign w:val="center"/>
            <w:hideMark/>
          </w:tcPr>
          <w:p w14:paraId="544DE8AC"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136" w:type="dxa"/>
            <w:vMerge/>
            <w:vAlign w:val="center"/>
            <w:hideMark/>
          </w:tcPr>
          <w:p w14:paraId="4BE3F729"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263" w:type="dxa"/>
            <w:vMerge/>
            <w:vAlign w:val="center"/>
            <w:hideMark/>
          </w:tcPr>
          <w:p w14:paraId="038DB039"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269" w:type="dxa"/>
            <w:shd w:val="clear" w:color="auto" w:fill="D9D9D9" w:themeFill="background1" w:themeFillShade="D9"/>
            <w:vAlign w:val="center"/>
            <w:hideMark/>
          </w:tcPr>
          <w:p w14:paraId="6DAE2364"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xml:space="preserve">MUNICIPIO </w:t>
            </w:r>
          </w:p>
        </w:tc>
        <w:tc>
          <w:tcPr>
            <w:tcW w:w="544" w:type="dxa"/>
            <w:shd w:val="clear" w:color="auto" w:fill="D9D9D9" w:themeFill="background1" w:themeFillShade="D9"/>
            <w:vAlign w:val="center"/>
            <w:hideMark/>
          </w:tcPr>
          <w:p w14:paraId="4C90A55E"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xml:space="preserve">PROPONENTE Y/O CONTRATISTA </w:t>
            </w:r>
          </w:p>
        </w:tc>
        <w:tc>
          <w:tcPr>
            <w:tcW w:w="926" w:type="dxa"/>
            <w:vMerge/>
            <w:shd w:val="clear" w:color="auto" w:fill="D9D9D9" w:themeFill="background1" w:themeFillShade="D9"/>
            <w:vAlign w:val="center"/>
            <w:hideMark/>
          </w:tcPr>
          <w:p w14:paraId="6424F2AB"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136" w:type="dxa"/>
            <w:shd w:val="clear" w:color="auto" w:fill="D9D9D9" w:themeFill="background1" w:themeFillShade="D9"/>
            <w:textDirection w:val="btLr"/>
            <w:vAlign w:val="center"/>
            <w:hideMark/>
          </w:tcPr>
          <w:p w14:paraId="787E7D0F"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PROBABILIDAD</w:t>
            </w:r>
          </w:p>
        </w:tc>
        <w:tc>
          <w:tcPr>
            <w:tcW w:w="136" w:type="dxa"/>
            <w:shd w:val="clear" w:color="auto" w:fill="D9D9D9" w:themeFill="background1" w:themeFillShade="D9"/>
            <w:textDirection w:val="btLr"/>
            <w:vAlign w:val="center"/>
            <w:hideMark/>
          </w:tcPr>
          <w:p w14:paraId="27909AB7"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IMPACTO</w:t>
            </w:r>
          </w:p>
        </w:tc>
        <w:tc>
          <w:tcPr>
            <w:tcW w:w="136" w:type="dxa"/>
            <w:shd w:val="clear" w:color="auto" w:fill="D9D9D9" w:themeFill="background1" w:themeFillShade="D9"/>
            <w:textDirection w:val="btLr"/>
            <w:vAlign w:val="center"/>
            <w:hideMark/>
          </w:tcPr>
          <w:p w14:paraId="718C3877"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VALORACION</w:t>
            </w:r>
          </w:p>
        </w:tc>
        <w:tc>
          <w:tcPr>
            <w:tcW w:w="263" w:type="dxa"/>
            <w:shd w:val="clear" w:color="auto" w:fill="D9D9D9" w:themeFill="background1" w:themeFillShade="D9"/>
            <w:textDirection w:val="btLr"/>
            <w:vAlign w:val="center"/>
            <w:hideMark/>
          </w:tcPr>
          <w:p w14:paraId="2B5F3334"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CATEGORIA</w:t>
            </w:r>
          </w:p>
        </w:tc>
        <w:tc>
          <w:tcPr>
            <w:tcW w:w="481" w:type="dxa"/>
            <w:vMerge/>
            <w:shd w:val="clear" w:color="auto" w:fill="D9D9D9" w:themeFill="background1" w:themeFillShade="D9"/>
            <w:vAlign w:val="center"/>
            <w:hideMark/>
          </w:tcPr>
          <w:p w14:paraId="7E3C2309"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576" w:type="dxa"/>
            <w:vMerge/>
            <w:shd w:val="clear" w:color="auto" w:fill="D9D9D9" w:themeFill="background1" w:themeFillShade="D9"/>
            <w:vAlign w:val="center"/>
            <w:hideMark/>
          </w:tcPr>
          <w:p w14:paraId="6419059B" w14:textId="77777777" w:rsidR="00EB718C" w:rsidRPr="00B821D5" w:rsidRDefault="00EB718C" w:rsidP="001E29CD">
            <w:pPr>
              <w:spacing w:line="240" w:lineRule="auto"/>
              <w:rPr>
                <w:rFonts w:ascii="Arial Narrow" w:hAnsi="Arial Narrow" w:cs="Arial"/>
                <w:b/>
                <w:bCs/>
                <w:color w:val="000000" w:themeColor="text1"/>
                <w:sz w:val="10"/>
                <w:szCs w:val="10"/>
                <w:lang w:eastAsia="es-CO"/>
              </w:rPr>
            </w:pPr>
          </w:p>
        </w:tc>
        <w:tc>
          <w:tcPr>
            <w:tcW w:w="654" w:type="dxa"/>
            <w:shd w:val="clear" w:color="auto" w:fill="D9D9D9" w:themeFill="background1" w:themeFillShade="D9"/>
            <w:vAlign w:val="center"/>
            <w:hideMark/>
          </w:tcPr>
          <w:p w14:paraId="2EF8F688"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FECHA EN QUE SE INICIA EL TRATAMIENTO</w:t>
            </w:r>
          </w:p>
        </w:tc>
        <w:tc>
          <w:tcPr>
            <w:tcW w:w="654" w:type="dxa"/>
            <w:shd w:val="clear" w:color="auto" w:fill="D9D9D9" w:themeFill="background1" w:themeFillShade="D9"/>
            <w:vAlign w:val="center"/>
            <w:hideMark/>
          </w:tcPr>
          <w:p w14:paraId="2016967A"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FECHA EN QUE SE COMPLETA EL TRATAMIENTO</w:t>
            </w:r>
          </w:p>
        </w:tc>
        <w:tc>
          <w:tcPr>
            <w:tcW w:w="689" w:type="dxa"/>
            <w:shd w:val="clear" w:color="auto" w:fill="D9D9D9" w:themeFill="background1" w:themeFillShade="D9"/>
            <w:vAlign w:val="center"/>
            <w:hideMark/>
          </w:tcPr>
          <w:p w14:paraId="1D977C59"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¿CÓMO SE REALIZA  EL MONITOREO?</w:t>
            </w:r>
          </w:p>
        </w:tc>
        <w:tc>
          <w:tcPr>
            <w:tcW w:w="654" w:type="dxa"/>
            <w:shd w:val="clear" w:color="auto" w:fill="D9D9D9" w:themeFill="background1" w:themeFillShade="D9"/>
            <w:vAlign w:val="center"/>
            <w:hideMark/>
          </w:tcPr>
          <w:p w14:paraId="578A1462"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PERIODICIDAD</w:t>
            </w:r>
          </w:p>
        </w:tc>
      </w:tr>
      <w:tr w:rsidR="00EB718C" w:rsidRPr="00B821D5" w14:paraId="6A10798E" w14:textId="77777777" w:rsidTr="001E29CD">
        <w:trPr>
          <w:trHeight w:val="3045"/>
        </w:trPr>
        <w:tc>
          <w:tcPr>
            <w:tcW w:w="135" w:type="dxa"/>
            <w:shd w:val="clear" w:color="auto" w:fill="auto"/>
            <w:noWrap/>
            <w:vAlign w:val="center"/>
            <w:hideMark/>
          </w:tcPr>
          <w:p w14:paraId="2490A37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41" w:type="dxa"/>
            <w:shd w:val="clear" w:color="auto" w:fill="auto"/>
            <w:noWrap/>
            <w:textDirection w:val="btLr"/>
            <w:vAlign w:val="center"/>
            <w:hideMark/>
          </w:tcPr>
          <w:p w14:paraId="5BDC6CC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General</w:t>
            </w:r>
          </w:p>
        </w:tc>
        <w:tc>
          <w:tcPr>
            <w:tcW w:w="142" w:type="dxa"/>
            <w:shd w:val="clear" w:color="auto" w:fill="auto"/>
            <w:noWrap/>
            <w:textDirection w:val="btLr"/>
            <w:vAlign w:val="center"/>
            <w:hideMark/>
          </w:tcPr>
          <w:p w14:paraId="324669A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Externo</w:t>
            </w:r>
          </w:p>
        </w:tc>
        <w:tc>
          <w:tcPr>
            <w:tcW w:w="142" w:type="dxa"/>
            <w:shd w:val="clear" w:color="auto" w:fill="auto"/>
            <w:noWrap/>
            <w:textDirection w:val="btLr"/>
            <w:vAlign w:val="center"/>
            <w:hideMark/>
          </w:tcPr>
          <w:p w14:paraId="5251326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Selección - Ejecucion</w:t>
            </w:r>
          </w:p>
        </w:tc>
        <w:tc>
          <w:tcPr>
            <w:tcW w:w="142" w:type="dxa"/>
            <w:shd w:val="clear" w:color="auto" w:fill="auto"/>
            <w:textDirection w:val="btLr"/>
            <w:vAlign w:val="center"/>
            <w:hideMark/>
          </w:tcPr>
          <w:p w14:paraId="1008168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Economico - Riesgo Operacional</w:t>
            </w:r>
          </w:p>
        </w:tc>
        <w:tc>
          <w:tcPr>
            <w:tcW w:w="726" w:type="dxa"/>
            <w:shd w:val="clear" w:color="auto" w:fill="auto"/>
            <w:vAlign w:val="center"/>
            <w:hideMark/>
          </w:tcPr>
          <w:p w14:paraId="215502D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b/>
                <w:bCs/>
                <w:color w:val="000000" w:themeColor="text1"/>
                <w:sz w:val="10"/>
                <w:szCs w:val="10"/>
                <w:lang w:eastAsia="es-CO"/>
              </w:rPr>
              <w:t xml:space="preserve">Precios Artificialmente Bajos. </w:t>
            </w:r>
            <w:r w:rsidRPr="00B821D5">
              <w:rPr>
                <w:rFonts w:ascii="Arial Narrow" w:hAnsi="Arial Narrow" w:cs="Arial"/>
                <w:color w:val="000000" w:themeColor="text1"/>
                <w:sz w:val="10"/>
                <w:szCs w:val="10"/>
                <w:lang w:eastAsia="es-CO"/>
              </w:rPr>
              <w:t>Se refiere a la posibilidad de que la propuesta económica adjudicada disponga de precios muy por debajo del presupuesto oficial, ó por debajo de los ítems que lo conforman o  de  los insumos del APU del presupuesto oficial,  tales como equipos, materiales, mano de obra, transportes, AIU.</w:t>
            </w:r>
          </w:p>
        </w:tc>
        <w:tc>
          <w:tcPr>
            <w:tcW w:w="601" w:type="dxa"/>
            <w:shd w:val="clear" w:color="auto" w:fill="auto"/>
            <w:vAlign w:val="center"/>
            <w:hideMark/>
          </w:tcPr>
          <w:p w14:paraId="555B1573"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Impacto económico desfavorable al Contratista</w:t>
            </w:r>
          </w:p>
        </w:tc>
        <w:tc>
          <w:tcPr>
            <w:tcW w:w="136" w:type="dxa"/>
            <w:shd w:val="clear" w:color="auto" w:fill="auto"/>
            <w:noWrap/>
            <w:vAlign w:val="center"/>
            <w:hideMark/>
          </w:tcPr>
          <w:p w14:paraId="2252B5B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noWrap/>
            <w:vAlign w:val="center"/>
            <w:hideMark/>
          </w:tcPr>
          <w:p w14:paraId="5A121E9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noWrap/>
            <w:vAlign w:val="center"/>
            <w:hideMark/>
          </w:tcPr>
          <w:p w14:paraId="042D9E3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4</w:t>
            </w:r>
          </w:p>
        </w:tc>
        <w:tc>
          <w:tcPr>
            <w:tcW w:w="263" w:type="dxa"/>
            <w:shd w:val="clear" w:color="auto" w:fill="auto"/>
            <w:vAlign w:val="center"/>
            <w:hideMark/>
          </w:tcPr>
          <w:p w14:paraId="651C7A4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269" w:type="dxa"/>
            <w:shd w:val="clear" w:color="auto" w:fill="auto"/>
            <w:vAlign w:val="center"/>
            <w:hideMark/>
          </w:tcPr>
          <w:p w14:paraId="108ADF4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w:t>
            </w:r>
          </w:p>
        </w:tc>
        <w:tc>
          <w:tcPr>
            <w:tcW w:w="544" w:type="dxa"/>
            <w:shd w:val="clear" w:color="auto" w:fill="auto"/>
            <w:vAlign w:val="center"/>
            <w:hideMark/>
          </w:tcPr>
          <w:p w14:paraId="3AA3EA67"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926" w:type="dxa"/>
            <w:shd w:val="clear" w:color="auto" w:fill="auto"/>
            <w:vAlign w:val="center"/>
            <w:hideMark/>
          </w:tcPr>
          <w:p w14:paraId="3D643BD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Implementacion de Controles en la Fase precontractual y contractual que aseguren la eficiencia del contratista en la ejecucion del contrato conforme a la oferta tecnica y economica presentada.</w:t>
            </w:r>
          </w:p>
        </w:tc>
        <w:tc>
          <w:tcPr>
            <w:tcW w:w="136" w:type="dxa"/>
            <w:shd w:val="clear" w:color="auto" w:fill="auto"/>
            <w:vAlign w:val="center"/>
            <w:hideMark/>
          </w:tcPr>
          <w:p w14:paraId="4957CF4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vAlign w:val="center"/>
            <w:hideMark/>
          </w:tcPr>
          <w:p w14:paraId="48B8283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auto" w:fill="auto"/>
            <w:vAlign w:val="center"/>
            <w:hideMark/>
          </w:tcPr>
          <w:p w14:paraId="5BEBBA1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3</w:t>
            </w:r>
          </w:p>
        </w:tc>
        <w:tc>
          <w:tcPr>
            <w:tcW w:w="263" w:type="dxa"/>
            <w:shd w:val="clear" w:color="auto" w:fill="auto"/>
            <w:vAlign w:val="center"/>
            <w:hideMark/>
          </w:tcPr>
          <w:p w14:paraId="7D4FFF9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481" w:type="dxa"/>
            <w:shd w:val="clear" w:color="auto" w:fill="auto"/>
            <w:vAlign w:val="center"/>
            <w:hideMark/>
          </w:tcPr>
          <w:p w14:paraId="010C426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Si son muy bajos puede afectar la ejecución del contrato</w:t>
            </w:r>
          </w:p>
        </w:tc>
        <w:tc>
          <w:tcPr>
            <w:tcW w:w="576" w:type="dxa"/>
            <w:shd w:val="clear" w:color="auto" w:fill="auto"/>
            <w:vAlign w:val="center"/>
            <w:hideMark/>
          </w:tcPr>
          <w:p w14:paraId="4E5B61D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Gestores y/o Supervisores, Interventor, Contratista</w:t>
            </w:r>
          </w:p>
        </w:tc>
        <w:tc>
          <w:tcPr>
            <w:tcW w:w="654" w:type="dxa"/>
            <w:shd w:val="clear" w:color="auto" w:fill="auto"/>
            <w:vAlign w:val="center"/>
            <w:hideMark/>
          </w:tcPr>
          <w:p w14:paraId="22C691A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Al inicio de la ejecución del contrato</w:t>
            </w:r>
          </w:p>
        </w:tc>
        <w:tc>
          <w:tcPr>
            <w:tcW w:w="654" w:type="dxa"/>
            <w:shd w:val="clear" w:color="auto" w:fill="auto"/>
            <w:vAlign w:val="center"/>
            <w:hideMark/>
          </w:tcPr>
          <w:p w14:paraId="36CEEA0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 la terminación de la ejecución del contrato</w:t>
            </w:r>
          </w:p>
        </w:tc>
        <w:tc>
          <w:tcPr>
            <w:tcW w:w="689" w:type="dxa"/>
            <w:shd w:val="clear" w:color="auto" w:fill="auto"/>
            <w:vAlign w:val="center"/>
            <w:hideMark/>
          </w:tcPr>
          <w:p w14:paraId="3AF5862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Control de la ejecución de los items de obra con la calidad requerida en especificaciones técnicas. Seguimiento al avance de la obra, al cumplimiento del programa de inversiones.   Comites Técnicos, Seguimiento a informes, requerimientos escritos-Retroalimentación en los procedimientos adelantados por los responsables del tratamiento.</w:t>
            </w:r>
          </w:p>
        </w:tc>
        <w:tc>
          <w:tcPr>
            <w:tcW w:w="654" w:type="dxa"/>
            <w:shd w:val="clear" w:color="auto" w:fill="auto"/>
            <w:vAlign w:val="center"/>
            <w:hideMark/>
          </w:tcPr>
          <w:p w14:paraId="782978E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mensual</w:t>
            </w:r>
          </w:p>
        </w:tc>
      </w:tr>
      <w:tr w:rsidR="00EB718C" w:rsidRPr="00B821D5" w14:paraId="540A557A" w14:textId="77777777" w:rsidTr="001E29CD">
        <w:trPr>
          <w:trHeight w:val="2055"/>
        </w:trPr>
        <w:tc>
          <w:tcPr>
            <w:tcW w:w="135" w:type="dxa"/>
            <w:shd w:val="clear" w:color="auto" w:fill="auto"/>
            <w:noWrap/>
            <w:vAlign w:val="center"/>
            <w:hideMark/>
          </w:tcPr>
          <w:p w14:paraId="1514209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lastRenderedPageBreak/>
              <w:t>2</w:t>
            </w:r>
          </w:p>
        </w:tc>
        <w:tc>
          <w:tcPr>
            <w:tcW w:w="141" w:type="dxa"/>
            <w:shd w:val="clear" w:color="auto" w:fill="auto"/>
            <w:noWrap/>
            <w:textDirection w:val="btLr"/>
            <w:vAlign w:val="center"/>
            <w:hideMark/>
          </w:tcPr>
          <w:p w14:paraId="403413A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General</w:t>
            </w:r>
          </w:p>
        </w:tc>
        <w:tc>
          <w:tcPr>
            <w:tcW w:w="142" w:type="dxa"/>
            <w:shd w:val="clear" w:color="auto" w:fill="auto"/>
            <w:noWrap/>
            <w:textDirection w:val="btLr"/>
            <w:vAlign w:val="center"/>
            <w:hideMark/>
          </w:tcPr>
          <w:p w14:paraId="28E3E296"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Externo</w:t>
            </w:r>
          </w:p>
        </w:tc>
        <w:tc>
          <w:tcPr>
            <w:tcW w:w="142" w:type="dxa"/>
            <w:shd w:val="clear" w:color="auto" w:fill="auto"/>
            <w:noWrap/>
            <w:textDirection w:val="btLr"/>
            <w:vAlign w:val="center"/>
            <w:hideMark/>
          </w:tcPr>
          <w:p w14:paraId="49786F4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Ejecucion</w:t>
            </w:r>
          </w:p>
        </w:tc>
        <w:tc>
          <w:tcPr>
            <w:tcW w:w="142" w:type="dxa"/>
            <w:shd w:val="clear" w:color="auto" w:fill="auto"/>
            <w:noWrap/>
            <w:textDirection w:val="btLr"/>
            <w:vAlign w:val="center"/>
            <w:hideMark/>
          </w:tcPr>
          <w:p w14:paraId="2C52E2D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Economico</w:t>
            </w:r>
          </w:p>
        </w:tc>
        <w:tc>
          <w:tcPr>
            <w:tcW w:w="726" w:type="dxa"/>
            <w:shd w:val="clear" w:color="auto" w:fill="auto"/>
            <w:vAlign w:val="center"/>
            <w:hideMark/>
          </w:tcPr>
          <w:p w14:paraId="02D64F32"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xml:space="preserve">Desabastecimiento de materias primas e insumos. </w:t>
            </w:r>
            <w:r w:rsidRPr="00B821D5">
              <w:rPr>
                <w:rFonts w:ascii="Arial Narrow" w:hAnsi="Arial Narrow" w:cs="Arial"/>
                <w:color w:val="000000" w:themeColor="text1"/>
                <w:sz w:val="10"/>
                <w:szCs w:val="10"/>
                <w:lang w:eastAsia="es-CO"/>
              </w:rPr>
              <w:t>Se refiere a la posibilidad que durante la ejecución del contrato, se presenten limitaciones a la cosecución de materia primas e insumos de las fuentes de suministros previstas o por el retiro del mercado por parte de sus productores.</w:t>
            </w:r>
          </w:p>
        </w:tc>
        <w:tc>
          <w:tcPr>
            <w:tcW w:w="601" w:type="dxa"/>
            <w:shd w:val="clear" w:color="auto" w:fill="auto"/>
            <w:vAlign w:val="center"/>
            <w:hideMark/>
          </w:tcPr>
          <w:p w14:paraId="72A8DDE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Retrazos de las Obras, incumplimiento de cronogramas, mayores costos al contratista de las obras.</w:t>
            </w:r>
          </w:p>
        </w:tc>
        <w:tc>
          <w:tcPr>
            <w:tcW w:w="136" w:type="dxa"/>
            <w:shd w:val="clear" w:color="auto" w:fill="auto"/>
            <w:noWrap/>
            <w:vAlign w:val="center"/>
            <w:hideMark/>
          </w:tcPr>
          <w:p w14:paraId="535584E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auto" w:fill="auto"/>
            <w:noWrap/>
            <w:vAlign w:val="center"/>
            <w:hideMark/>
          </w:tcPr>
          <w:p w14:paraId="12D8029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noWrap/>
            <w:vAlign w:val="center"/>
            <w:hideMark/>
          </w:tcPr>
          <w:p w14:paraId="03E6F8B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3</w:t>
            </w:r>
          </w:p>
        </w:tc>
        <w:tc>
          <w:tcPr>
            <w:tcW w:w="263" w:type="dxa"/>
            <w:shd w:val="clear" w:color="auto" w:fill="auto"/>
            <w:vAlign w:val="center"/>
            <w:hideMark/>
          </w:tcPr>
          <w:p w14:paraId="4EE0A3B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269" w:type="dxa"/>
            <w:shd w:val="clear" w:color="auto" w:fill="auto"/>
            <w:vAlign w:val="center"/>
            <w:hideMark/>
          </w:tcPr>
          <w:p w14:paraId="1AF509B5"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w:t>
            </w:r>
          </w:p>
        </w:tc>
        <w:tc>
          <w:tcPr>
            <w:tcW w:w="544" w:type="dxa"/>
            <w:shd w:val="clear" w:color="auto" w:fill="auto"/>
            <w:vAlign w:val="center"/>
            <w:hideMark/>
          </w:tcPr>
          <w:p w14:paraId="45822C03"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926" w:type="dxa"/>
            <w:shd w:val="clear" w:color="auto" w:fill="auto"/>
            <w:vAlign w:val="center"/>
            <w:hideMark/>
          </w:tcPr>
          <w:p w14:paraId="2DDF3EF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Recopilación de datos estadísticos e información a partir  de las fuentes oficiales durante la etapa precontractual y contractual. El contratista de las obras deberá identificar, cuantificar y costear las alternativas de fuentes de abastecimiento de todos los insumos necesarios para garantizar la disponibilidad de los mismos.</w:t>
            </w:r>
          </w:p>
        </w:tc>
        <w:tc>
          <w:tcPr>
            <w:tcW w:w="136" w:type="dxa"/>
            <w:shd w:val="clear" w:color="auto" w:fill="auto"/>
            <w:vAlign w:val="center"/>
            <w:hideMark/>
          </w:tcPr>
          <w:p w14:paraId="687F555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auto" w:fill="auto"/>
            <w:vAlign w:val="center"/>
            <w:hideMark/>
          </w:tcPr>
          <w:p w14:paraId="77F9824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auto" w:fill="auto"/>
            <w:vAlign w:val="center"/>
            <w:hideMark/>
          </w:tcPr>
          <w:p w14:paraId="3A07ED4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263" w:type="dxa"/>
            <w:shd w:val="clear" w:color="auto" w:fill="auto"/>
            <w:vAlign w:val="center"/>
            <w:hideMark/>
          </w:tcPr>
          <w:p w14:paraId="5D26B70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481" w:type="dxa"/>
            <w:shd w:val="clear" w:color="auto" w:fill="auto"/>
            <w:vAlign w:val="center"/>
            <w:hideMark/>
          </w:tcPr>
          <w:p w14:paraId="31475EA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Si el insumo es materia prima básica puede afectarla, mientras se acuerda solución alterna.</w:t>
            </w:r>
          </w:p>
        </w:tc>
        <w:tc>
          <w:tcPr>
            <w:tcW w:w="576" w:type="dxa"/>
            <w:shd w:val="clear" w:color="auto" w:fill="auto"/>
            <w:vAlign w:val="center"/>
            <w:hideMark/>
          </w:tcPr>
          <w:p w14:paraId="1A071CD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Gestores y/o Supervisores, Interventor, Contratista</w:t>
            </w:r>
          </w:p>
        </w:tc>
        <w:tc>
          <w:tcPr>
            <w:tcW w:w="654" w:type="dxa"/>
            <w:shd w:val="clear" w:color="auto" w:fill="auto"/>
            <w:vAlign w:val="center"/>
            <w:hideMark/>
          </w:tcPr>
          <w:p w14:paraId="1DEA145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Al inicio de la ejecución del contrato</w:t>
            </w:r>
          </w:p>
        </w:tc>
        <w:tc>
          <w:tcPr>
            <w:tcW w:w="654" w:type="dxa"/>
            <w:shd w:val="clear" w:color="auto" w:fill="auto"/>
            <w:vAlign w:val="center"/>
            <w:hideMark/>
          </w:tcPr>
          <w:p w14:paraId="381BE65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 la terminación de la ejecución del contrato</w:t>
            </w:r>
          </w:p>
        </w:tc>
        <w:tc>
          <w:tcPr>
            <w:tcW w:w="689" w:type="dxa"/>
            <w:shd w:val="clear" w:color="auto" w:fill="auto"/>
            <w:vAlign w:val="center"/>
            <w:hideMark/>
          </w:tcPr>
          <w:p w14:paraId="2161489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Atención al comportamiento del suministro de materias primas e insumos en el mercado. Retroalimentación en los procedimientos adelantados por los responsables del tratamiento.</w:t>
            </w:r>
          </w:p>
        </w:tc>
        <w:tc>
          <w:tcPr>
            <w:tcW w:w="654" w:type="dxa"/>
            <w:shd w:val="clear" w:color="auto" w:fill="auto"/>
            <w:vAlign w:val="center"/>
            <w:hideMark/>
          </w:tcPr>
          <w:p w14:paraId="2C29A0C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mensual</w:t>
            </w:r>
          </w:p>
        </w:tc>
      </w:tr>
      <w:tr w:rsidR="00EB718C" w:rsidRPr="00B821D5" w14:paraId="6F1A0CA5" w14:textId="77777777" w:rsidTr="001E29CD">
        <w:trPr>
          <w:trHeight w:val="2160"/>
        </w:trPr>
        <w:tc>
          <w:tcPr>
            <w:tcW w:w="135" w:type="dxa"/>
            <w:shd w:val="clear" w:color="auto" w:fill="auto"/>
            <w:noWrap/>
            <w:vAlign w:val="center"/>
            <w:hideMark/>
          </w:tcPr>
          <w:p w14:paraId="2B7DF8F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3</w:t>
            </w:r>
          </w:p>
        </w:tc>
        <w:tc>
          <w:tcPr>
            <w:tcW w:w="141" w:type="dxa"/>
            <w:shd w:val="clear" w:color="auto" w:fill="auto"/>
            <w:noWrap/>
            <w:textDirection w:val="btLr"/>
            <w:vAlign w:val="center"/>
            <w:hideMark/>
          </w:tcPr>
          <w:p w14:paraId="1AC51F2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General</w:t>
            </w:r>
          </w:p>
        </w:tc>
        <w:tc>
          <w:tcPr>
            <w:tcW w:w="142" w:type="dxa"/>
            <w:shd w:val="clear" w:color="auto" w:fill="auto"/>
            <w:noWrap/>
            <w:textDirection w:val="btLr"/>
            <w:vAlign w:val="center"/>
            <w:hideMark/>
          </w:tcPr>
          <w:p w14:paraId="17490BF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Externo</w:t>
            </w:r>
          </w:p>
        </w:tc>
        <w:tc>
          <w:tcPr>
            <w:tcW w:w="142" w:type="dxa"/>
            <w:shd w:val="clear" w:color="auto" w:fill="auto"/>
            <w:noWrap/>
            <w:textDirection w:val="btLr"/>
            <w:vAlign w:val="center"/>
            <w:hideMark/>
          </w:tcPr>
          <w:p w14:paraId="685BB7D3"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Ejecucion</w:t>
            </w:r>
          </w:p>
        </w:tc>
        <w:tc>
          <w:tcPr>
            <w:tcW w:w="142" w:type="dxa"/>
            <w:shd w:val="clear" w:color="auto" w:fill="auto"/>
            <w:noWrap/>
            <w:textDirection w:val="btLr"/>
            <w:vAlign w:val="center"/>
            <w:hideMark/>
          </w:tcPr>
          <w:p w14:paraId="21A7F7F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Economico</w:t>
            </w:r>
          </w:p>
        </w:tc>
        <w:tc>
          <w:tcPr>
            <w:tcW w:w="726" w:type="dxa"/>
            <w:shd w:val="clear" w:color="auto" w:fill="auto"/>
            <w:vAlign w:val="center"/>
            <w:hideMark/>
          </w:tcPr>
          <w:p w14:paraId="43E172B0"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xml:space="preserve">Variación de precios durante la ejecución del contrato. </w:t>
            </w:r>
            <w:r w:rsidRPr="00B821D5">
              <w:rPr>
                <w:rFonts w:ascii="Arial Narrow" w:hAnsi="Arial Narrow" w:cs="Arial"/>
                <w:color w:val="000000" w:themeColor="text1"/>
                <w:sz w:val="10"/>
                <w:szCs w:val="10"/>
                <w:lang w:eastAsia="es-CO"/>
              </w:rPr>
              <w:t>Se refiere a la posibilidad de que los precios ofrecidos en la propuesta y adjudicados sean influenciados con alzas</w:t>
            </w:r>
            <w:r w:rsidRPr="00B821D5">
              <w:rPr>
                <w:rFonts w:ascii="Arial Narrow" w:hAnsi="Arial Narrow" w:cs="Arial"/>
                <w:b/>
                <w:bCs/>
                <w:color w:val="000000" w:themeColor="text1"/>
                <w:sz w:val="10"/>
                <w:szCs w:val="10"/>
                <w:lang w:eastAsia="es-CO"/>
              </w:rPr>
              <w:t xml:space="preserve"> </w:t>
            </w:r>
            <w:r w:rsidRPr="00B821D5">
              <w:rPr>
                <w:rFonts w:ascii="Arial Narrow" w:hAnsi="Arial Narrow" w:cs="Arial"/>
                <w:color w:val="000000" w:themeColor="text1"/>
                <w:sz w:val="10"/>
                <w:szCs w:val="10"/>
                <w:lang w:eastAsia="es-CO"/>
              </w:rPr>
              <w:t>previsibles.</w:t>
            </w:r>
          </w:p>
        </w:tc>
        <w:tc>
          <w:tcPr>
            <w:tcW w:w="601" w:type="dxa"/>
            <w:shd w:val="clear" w:color="auto" w:fill="auto"/>
            <w:vAlign w:val="center"/>
            <w:hideMark/>
          </w:tcPr>
          <w:p w14:paraId="3AF9923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Afectación al equilibrio económico del contrato</w:t>
            </w:r>
          </w:p>
        </w:tc>
        <w:tc>
          <w:tcPr>
            <w:tcW w:w="136" w:type="dxa"/>
            <w:shd w:val="clear" w:color="auto" w:fill="auto"/>
            <w:noWrap/>
            <w:vAlign w:val="center"/>
            <w:hideMark/>
          </w:tcPr>
          <w:p w14:paraId="136C393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noWrap/>
            <w:vAlign w:val="center"/>
            <w:hideMark/>
          </w:tcPr>
          <w:p w14:paraId="39DC44B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noWrap/>
            <w:vAlign w:val="center"/>
            <w:hideMark/>
          </w:tcPr>
          <w:p w14:paraId="5244970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4</w:t>
            </w:r>
          </w:p>
        </w:tc>
        <w:tc>
          <w:tcPr>
            <w:tcW w:w="263" w:type="dxa"/>
            <w:shd w:val="clear" w:color="auto" w:fill="auto"/>
            <w:vAlign w:val="center"/>
            <w:hideMark/>
          </w:tcPr>
          <w:p w14:paraId="2C6338D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269" w:type="dxa"/>
            <w:shd w:val="clear" w:color="auto" w:fill="auto"/>
            <w:vAlign w:val="center"/>
            <w:hideMark/>
          </w:tcPr>
          <w:p w14:paraId="75879020"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544" w:type="dxa"/>
            <w:shd w:val="clear" w:color="auto" w:fill="auto"/>
            <w:vAlign w:val="center"/>
            <w:hideMark/>
          </w:tcPr>
          <w:p w14:paraId="6CB11289"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926" w:type="dxa"/>
            <w:shd w:val="clear" w:color="auto" w:fill="auto"/>
            <w:vAlign w:val="center"/>
            <w:hideMark/>
          </w:tcPr>
          <w:p w14:paraId="6020F5CC"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Recopilación de datos estadísticos e información sobre comportamiento histórico de precios, durante la etapa precontractual. Atención al comportamiento de precios en la etapa contractual</w:t>
            </w:r>
          </w:p>
        </w:tc>
        <w:tc>
          <w:tcPr>
            <w:tcW w:w="136" w:type="dxa"/>
            <w:shd w:val="clear" w:color="auto" w:fill="auto"/>
            <w:vAlign w:val="center"/>
            <w:hideMark/>
          </w:tcPr>
          <w:p w14:paraId="6B827FD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auto" w:fill="auto"/>
            <w:vAlign w:val="center"/>
            <w:hideMark/>
          </w:tcPr>
          <w:p w14:paraId="086ED75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auto" w:fill="auto"/>
            <w:vAlign w:val="center"/>
            <w:hideMark/>
          </w:tcPr>
          <w:p w14:paraId="1F48BB4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263" w:type="dxa"/>
            <w:shd w:val="clear" w:color="auto" w:fill="auto"/>
            <w:vAlign w:val="center"/>
            <w:hideMark/>
          </w:tcPr>
          <w:p w14:paraId="4444E72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481" w:type="dxa"/>
            <w:shd w:val="clear" w:color="auto" w:fill="auto"/>
            <w:vAlign w:val="center"/>
            <w:hideMark/>
          </w:tcPr>
          <w:p w14:paraId="2265DAD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SI</w:t>
            </w:r>
          </w:p>
        </w:tc>
        <w:tc>
          <w:tcPr>
            <w:tcW w:w="576" w:type="dxa"/>
            <w:shd w:val="clear" w:color="auto" w:fill="auto"/>
            <w:vAlign w:val="center"/>
            <w:hideMark/>
          </w:tcPr>
          <w:p w14:paraId="3889C2C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Gestores y/o Supervisores, Interventor, Contratista</w:t>
            </w:r>
          </w:p>
        </w:tc>
        <w:tc>
          <w:tcPr>
            <w:tcW w:w="654" w:type="dxa"/>
            <w:shd w:val="clear" w:color="auto" w:fill="auto"/>
            <w:vAlign w:val="center"/>
            <w:hideMark/>
          </w:tcPr>
          <w:p w14:paraId="1802F1A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Al inicio de la ejecución del contrato</w:t>
            </w:r>
          </w:p>
        </w:tc>
        <w:tc>
          <w:tcPr>
            <w:tcW w:w="654" w:type="dxa"/>
            <w:shd w:val="clear" w:color="auto" w:fill="auto"/>
            <w:vAlign w:val="center"/>
            <w:hideMark/>
          </w:tcPr>
          <w:p w14:paraId="43FCD8C6"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 la terminación de la ejecución del contrato</w:t>
            </w:r>
          </w:p>
        </w:tc>
        <w:tc>
          <w:tcPr>
            <w:tcW w:w="689" w:type="dxa"/>
            <w:shd w:val="clear" w:color="auto" w:fill="auto"/>
            <w:vAlign w:val="center"/>
            <w:hideMark/>
          </w:tcPr>
          <w:p w14:paraId="5615069C"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Atención al comportamiento de precios. Retroalimentación en los procedimientos adelantados por los responsables del tratamiento.</w:t>
            </w:r>
          </w:p>
        </w:tc>
        <w:tc>
          <w:tcPr>
            <w:tcW w:w="654" w:type="dxa"/>
            <w:shd w:val="clear" w:color="auto" w:fill="auto"/>
            <w:vAlign w:val="center"/>
            <w:hideMark/>
          </w:tcPr>
          <w:p w14:paraId="7FAB70F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mensual</w:t>
            </w:r>
          </w:p>
        </w:tc>
      </w:tr>
      <w:tr w:rsidR="00EB718C" w:rsidRPr="00B821D5" w14:paraId="09BEEAE4" w14:textId="77777777" w:rsidTr="001E29CD">
        <w:trPr>
          <w:trHeight w:val="3030"/>
        </w:trPr>
        <w:tc>
          <w:tcPr>
            <w:tcW w:w="135" w:type="dxa"/>
            <w:shd w:val="clear" w:color="auto" w:fill="auto"/>
            <w:noWrap/>
            <w:vAlign w:val="center"/>
            <w:hideMark/>
          </w:tcPr>
          <w:p w14:paraId="55641073"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4</w:t>
            </w:r>
          </w:p>
        </w:tc>
        <w:tc>
          <w:tcPr>
            <w:tcW w:w="141" w:type="dxa"/>
            <w:shd w:val="clear" w:color="auto" w:fill="auto"/>
            <w:noWrap/>
            <w:textDirection w:val="btLr"/>
            <w:vAlign w:val="center"/>
            <w:hideMark/>
          </w:tcPr>
          <w:p w14:paraId="7AD7E50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General</w:t>
            </w:r>
          </w:p>
        </w:tc>
        <w:tc>
          <w:tcPr>
            <w:tcW w:w="142" w:type="dxa"/>
            <w:shd w:val="clear" w:color="auto" w:fill="auto"/>
            <w:noWrap/>
            <w:textDirection w:val="btLr"/>
            <w:vAlign w:val="center"/>
            <w:hideMark/>
          </w:tcPr>
          <w:p w14:paraId="4779B11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Externo</w:t>
            </w:r>
          </w:p>
        </w:tc>
        <w:tc>
          <w:tcPr>
            <w:tcW w:w="142" w:type="dxa"/>
            <w:shd w:val="clear" w:color="auto" w:fill="auto"/>
            <w:noWrap/>
            <w:textDirection w:val="btLr"/>
            <w:vAlign w:val="center"/>
            <w:hideMark/>
          </w:tcPr>
          <w:p w14:paraId="228C2CF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Ejecucion</w:t>
            </w:r>
          </w:p>
        </w:tc>
        <w:tc>
          <w:tcPr>
            <w:tcW w:w="142" w:type="dxa"/>
            <w:shd w:val="clear" w:color="auto" w:fill="auto"/>
            <w:textDirection w:val="btLr"/>
            <w:vAlign w:val="center"/>
            <w:hideMark/>
          </w:tcPr>
          <w:p w14:paraId="76A565C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Operacional - Social</w:t>
            </w:r>
          </w:p>
        </w:tc>
        <w:tc>
          <w:tcPr>
            <w:tcW w:w="726" w:type="dxa"/>
            <w:shd w:val="clear" w:color="auto" w:fill="auto"/>
            <w:vAlign w:val="center"/>
            <w:hideMark/>
          </w:tcPr>
          <w:p w14:paraId="423F6F8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b/>
                <w:bCs/>
                <w:color w:val="000000" w:themeColor="text1"/>
                <w:sz w:val="10"/>
                <w:szCs w:val="10"/>
                <w:lang w:eastAsia="es-CO"/>
              </w:rPr>
              <w:t xml:space="preserve">Cambio en la ubicación de las obras menores. </w:t>
            </w:r>
            <w:r w:rsidRPr="00B821D5">
              <w:rPr>
                <w:rFonts w:ascii="Arial Narrow" w:hAnsi="Arial Narrow" w:cs="Arial"/>
                <w:color w:val="000000" w:themeColor="text1"/>
                <w:sz w:val="10"/>
                <w:szCs w:val="10"/>
                <w:lang w:eastAsia="es-CO"/>
              </w:rPr>
              <w:t>Se refiere a solicitudes realizadas por Autoridades Municipales, usuarios o vecinos de la carretera invocando derechos de petición u otras herramientas legales.</w:t>
            </w:r>
          </w:p>
        </w:tc>
        <w:tc>
          <w:tcPr>
            <w:tcW w:w="601" w:type="dxa"/>
            <w:shd w:val="clear" w:color="auto" w:fill="auto"/>
            <w:vAlign w:val="center"/>
            <w:hideMark/>
          </w:tcPr>
          <w:p w14:paraId="16A61983"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Ajustes en la programación de obras  y eventual generación de mayores costos al proyecto.</w:t>
            </w:r>
          </w:p>
        </w:tc>
        <w:tc>
          <w:tcPr>
            <w:tcW w:w="136" w:type="dxa"/>
            <w:shd w:val="clear" w:color="auto" w:fill="auto"/>
            <w:noWrap/>
            <w:vAlign w:val="center"/>
            <w:hideMark/>
          </w:tcPr>
          <w:p w14:paraId="7D2D620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noWrap/>
            <w:vAlign w:val="center"/>
            <w:hideMark/>
          </w:tcPr>
          <w:p w14:paraId="51174DA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noWrap/>
            <w:vAlign w:val="center"/>
            <w:hideMark/>
          </w:tcPr>
          <w:p w14:paraId="060C1F0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4</w:t>
            </w:r>
          </w:p>
        </w:tc>
        <w:tc>
          <w:tcPr>
            <w:tcW w:w="263" w:type="dxa"/>
            <w:shd w:val="clear" w:color="auto" w:fill="auto"/>
            <w:vAlign w:val="center"/>
            <w:hideMark/>
          </w:tcPr>
          <w:p w14:paraId="1A0DF01C"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269" w:type="dxa"/>
            <w:shd w:val="clear" w:color="auto" w:fill="auto"/>
            <w:vAlign w:val="center"/>
            <w:hideMark/>
          </w:tcPr>
          <w:p w14:paraId="23C122FD"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544" w:type="dxa"/>
            <w:shd w:val="clear" w:color="auto" w:fill="auto"/>
            <w:vAlign w:val="center"/>
            <w:hideMark/>
          </w:tcPr>
          <w:p w14:paraId="4367FBF5"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926" w:type="dxa"/>
            <w:shd w:val="clear" w:color="auto" w:fill="auto"/>
            <w:vAlign w:val="center"/>
            <w:hideMark/>
          </w:tcPr>
          <w:p w14:paraId="0739BAC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Efectuar la socialización del proyecto, para conocimiento de autoridades y comunidad. Control y Gestión con los solicitantes, para que los cambios en la ubicación de obras menores  afecten en menor medida  o no afecten las previsiones del proyecto tanto técnicas, como en costos y tiempo. Seguimiento a la ejecución del contrato, incrementando inspecciones y revisiones para asegurar el cumplimiento del mismo.</w:t>
            </w:r>
          </w:p>
        </w:tc>
        <w:tc>
          <w:tcPr>
            <w:tcW w:w="136" w:type="dxa"/>
            <w:shd w:val="clear" w:color="auto" w:fill="auto"/>
            <w:vAlign w:val="center"/>
            <w:hideMark/>
          </w:tcPr>
          <w:p w14:paraId="4CBE1BE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auto" w:fill="auto"/>
            <w:vAlign w:val="center"/>
            <w:hideMark/>
          </w:tcPr>
          <w:p w14:paraId="344284E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vAlign w:val="center"/>
            <w:hideMark/>
          </w:tcPr>
          <w:p w14:paraId="76F16D0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3</w:t>
            </w:r>
          </w:p>
        </w:tc>
        <w:tc>
          <w:tcPr>
            <w:tcW w:w="263" w:type="dxa"/>
            <w:shd w:val="clear" w:color="auto" w:fill="auto"/>
            <w:vAlign w:val="center"/>
            <w:hideMark/>
          </w:tcPr>
          <w:p w14:paraId="26F0A0F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481" w:type="dxa"/>
            <w:shd w:val="clear" w:color="auto" w:fill="auto"/>
            <w:vAlign w:val="center"/>
            <w:hideMark/>
          </w:tcPr>
          <w:p w14:paraId="785B6A6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NO</w:t>
            </w:r>
          </w:p>
        </w:tc>
        <w:tc>
          <w:tcPr>
            <w:tcW w:w="576" w:type="dxa"/>
            <w:shd w:val="clear" w:color="auto" w:fill="auto"/>
            <w:vAlign w:val="center"/>
            <w:hideMark/>
          </w:tcPr>
          <w:p w14:paraId="660E19B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Gestores y/o Supervisores, Interventor-Contratista</w:t>
            </w:r>
          </w:p>
        </w:tc>
        <w:tc>
          <w:tcPr>
            <w:tcW w:w="654" w:type="dxa"/>
            <w:shd w:val="clear" w:color="auto" w:fill="auto"/>
            <w:vAlign w:val="center"/>
            <w:hideMark/>
          </w:tcPr>
          <w:p w14:paraId="45FD0D6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Al inicio de la ejecución del contrato</w:t>
            </w:r>
          </w:p>
        </w:tc>
        <w:tc>
          <w:tcPr>
            <w:tcW w:w="654" w:type="dxa"/>
            <w:shd w:val="clear" w:color="auto" w:fill="auto"/>
            <w:vAlign w:val="center"/>
            <w:hideMark/>
          </w:tcPr>
          <w:p w14:paraId="17F7B0F6"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 la terminación de la ejecución del contrato</w:t>
            </w:r>
          </w:p>
        </w:tc>
        <w:tc>
          <w:tcPr>
            <w:tcW w:w="689" w:type="dxa"/>
            <w:shd w:val="clear" w:color="auto" w:fill="auto"/>
            <w:vAlign w:val="center"/>
            <w:hideMark/>
          </w:tcPr>
          <w:p w14:paraId="144C9BF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Comites Técnicos, Seguimiento a la ejecución, Gestión social -Retroalimentación en los procedimientos adelantados por los responsables del tratamiento.</w:t>
            </w:r>
          </w:p>
        </w:tc>
        <w:tc>
          <w:tcPr>
            <w:tcW w:w="654" w:type="dxa"/>
            <w:shd w:val="clear" w:color="auto" w:fill="auto"/>
            <w:vAlign w:val="center"/>
            <w:hideMark/>
          </w:tcPr>
          <w:p w14:paraId="5A084153"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Cuando se presente la solicitud de cambio de ubicación de obras menores.</w:t>
            </w:r>
          </w:p>
        </w:tc>
      </w:tr>
      <w:tr w:rsidR="00EB718C" w:rsidRPr="00B821D5" w14:paraId="3A3752F0" w14:textId="77777777" w:rsidTr="001E29CD">
        <w:trPr>
          <w:trHeight w:val="2760"/>
        </w:trPr>
        <w:tc>
          <w:tcPr>
            <w:tcW w:w="135" w:type="dxa"/>
            <w:shd w:val="clear" w:color="auto" w:fill="auto"/>
            <w:noWrap/>
            <w:vAlign w:val="center"/>
            <w:hideMark/>
          </w:tcPr>
          <w:p w14:paraId="7C45E93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5</w:t>
            </w:r>
          </w:p>
        </w:tc>
        <w:tc>
          <w:tcPr>
            <w:tcW w:w="141" w:type="dxa"/>
            <w:shd w:val="clear" w:color="auto" w:fill="auto"/>
            <w:noWrap/>
            <w:textDirection w:val="btLr"/>
            <w:vAlign w:val="center"/>
            <w:hideMark/>
          </w:tcPr>
          <w:p w14:paraId="2110F29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General</w:t>
            </w:r>
          </w:p>
        </w:tc>
        <w:tc>
          <w:tcPr>
            <w:tcW w:w="142" w:type="dxa"/>
            <w:shd w:val="clear" w:color="auto" w:fill="auto"/>
            <w:noWrap/>
            <w:textDirection w:val="btLr"/>
            <w:vAlign w:val="center"/>
            <w:hideMark/>
          </w:tcPr>
          <w:p w14:paraId="2238792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xml:space="preserve">Externo </w:t>
            </w:r>
          </w:p>
        </w:tc>
        <w:tc>
          <w:tcPr>
            <w:tcW w:w="142" w:type="dxa"/>
            <w:shd w:val="clear" w:color="auto" w:fill="auto"/>
            <w:noWrap/>
            <w:textDirection w:val="btLr"/>
            <w:vAlign w:val="center"/>
            <w:hideMark/>
          </w:tcPr>
          <w:p w14:paraId="6B8DB51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Ejecución</w:t>
            </w:r>
          </w:p>
        </w:tc>
        <w:tc>
          <w:tcPr>
            <w:tcW w:w="142" w:type="dxa"/>
            <w:shd w:val="clear" w:color="auto" w:fill="auto"/>
            <w:textDirection w:val="btLr"/>
            <w:vAlign w:val="center"/>
            <w:hideMark/>
          </w:tcPr>
          <w:p w14:paraId="366A572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Sociales o Politicos</w:t>
            </w:r>
          </w:p>
        </w:tc>
        <w:tc>
          <w:tcPr>
            <w:tcW w:w="726" w:type="dxa"/>
            <w:shd w:val="clear" w:color="auto" w:fill="auto"/>
            <w:vAlign w:val="center"/>
            <w:hideMark/>
          </w:tcPr>
          <w:p w14:paraId="289F4F5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b/>
                <w:bCs/>
                <w:color w:val="000000" w:themeColor="text1"/>
                <w:sz w:val="10"/>
                <w:szCs w:val="10"/>
                <w:lang w:eastAsia="es-CO"/>
              </w:rPr>
              <w:t>Orden público:</w:t>
            </w:r>
            <w:r w:rsidRPr="00B821D5">
              <w:rPr>
                <w:rFonts w:ascii="Arial Narrow" w:hAnsi="Arial Narrow" w:cs="Arial"/>
                <w:color w:val="000000" w:themeColor="text1"/>
                <w:sz w:val="10"/>
                <w:szCs w:val="10"/>
                <w:lang w:eastAsia="es-CO"/>
              </w:rPr>
              <w:t xml:space="preserve"> Posible ocurrencia de actos terroristas, paros, huelgas, manifestaciones, disturbios y demás que afecten el orden público y se ubiquen en las zonas de influencia de las obras.  </w:t>
            </w:r>
          </w:p>
        </w:tc>
        <w:tc>
          <w:tcPr>
            <w:tcW w:w="601" w:type="dxa"/>
            <w:shd w:val="clear" w:color="auto" w:fill="auto"/>
            <w:vAlign w:val="center"/>
            <w:hideMark/>
          </w:tcPr>
          <w:p w14:paraId="02B4597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Posible pérdida de Bienes del contratista, daños en obras del proyecto, reprogramación de cronogramas, retrazos en la ejecución de las obras.</w:t>
            </w:r>
          </w:p>
        </w:tc>
        <w:tc>
          <w:tcPr>
            <w:tcW w:w="136" w:type="dxa"/>
            <w:shd w:val="clear" w:color="auto" w:fill="auto"/>
            <w:noWrap/>
            <w:vAlign w:val="center"/>
            <w:hideMark/>
          </w:tcPr>
          <w:p w14:paraId="5BD9B473"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4</w:t>
            </w:r>
          </w:p>
        </w:tc>
        <w:tc>
          <w:tcPr>
            <w:tcW w:w="136" w:type="dxa"/>
            <w:shd w:val="clear" w:color="auto" w:fill="auto"/>
            <w:noWrap/>
            <w:vAlign w:val="center"/>
            <w:hideMark/>
          </w:tcPr>
          <w:p w14:paraId="49EC87C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3</w:t>
            </w:r>
          </w:p>
        </w:tc>
        <w:tc>
          <w:tcPr>
            <w:tcW w:w="136" w:type="dxa"/>
            <w:shd w:val="clear" w:color="auto" w:fill="auto"/>
            <w:noWrap/>
            <w:vAlign w:val="center"/>
            <w:hideMark/>
          </w:tcPr>
          <w:p w14:paraId="1221D2A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7</w:t>
            </w:r>
          </w:p>
        </w:tc>
        <w:tc>
          <w:tcPr>
            <w:tcW w:w="263" w:type="dxa"/>
            <w:shd w:val="clear" w:color="auto" w:fill="auto"/>
            <w:vAlign w:val="center"/>
            <w:hideMark/>
          </w:tcPr>
          <w:p w14:paraId="369A559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Alto</w:t>
            </w:r>
          </w:p>
        </w:tc>
        <w:tc>
          <w:tcPr>
            <w:tcW w:w="269" w:type="dxa"/>
            <w:shd w:val="clear" w:color="auto" w:fill="auto"/>
            <w:vAlign w:val="center"/>
            <w:hideMark/>
          </w:tcPr>
          <w:p w14:paraId="59D13E71"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544" w:type="dxa"/>
            <w:shd w:val="clear" w:color="auto" w:fill="auto"/>
            <w:vAlign w:val="center"/>
            <w:hideMark/>
          </w:tcPr>
          <w:p w14:paraId="4B5559AE"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926" w:type="dxa"/>
            <w:shd w:val="clear" w:color="auto" w:fill="auto"/>
            <w:vAlign w:val="center"/>
            <w:hideMark/>
          </w:tcPr>
          <w:p w14:paraId="245E3FE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Es responsabilidad del contratista de obra junto con la Interventoría, únicamente de Informar a las autoridades competentes la novedad sobre orden público en la zona de influencia de las obras y de proteger a sus colaboradores y los bienes puestos al servicio del contrato. EL MUNICIPIO de igual forma realizará la solicitud a las autoridades a fin de que se llegue a soluciones que permitan la continuidad en la ejecución del contrato. El contratista de Obra e Interventor deberán adoptar medidas de contingencia para superar los atrasos.</w:t>
            </w:r>
          </w:p>
        </w:tc>
        <w:tc>
          <w:tcPr>
            <w:tcW w:w="136" w:type="dxa"/>
            <w:shd w:val="clear" w:color="auto" w:fill="auto"/>
            <w:vAlign w:val="center"/>
            <w:hideMark/>
          </w:tcPr>
          <w:p w14:paraId="4EC5622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3</w:t>
            </w:r>
          </w:p>
        </w:tc>
        <w:tc>
          <w:tcPr>
            <w:tcW w:w="136" w:type="dxa"/>
            <w:shd w:val="clear" w:color="auto" w:fill="auto"/>
            <w:vAlign w:val="center"/>
            <w:hideMark/>
          </w:tcPr>
          <w:p w14:paraId="0553034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vAlign w:val="center"/>
            <w:hideMark/>
          </w:tcPr>
          <w:p w14:paraId="5CB097F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5</w:t>
            </w:r>
          </w:p>
        </w:tc>
        <w:tc>
          <w:tcPr>
            <w:tcW w:w="263" w:type="dxa"/>
            <w:shd w:val="clear" w:color="auto" w:fill="auto"/>
            <w:vAlign w:val="center"/>
            <w:hideMark/>
          </w:tcPr>
          <w:p w14:paraId="7DC3109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Medio</w:t>
            </w:r>
          </w:p>
        </w:tc>
        <w:tc>
          <w:tcPr>
            <w:tcW w:w="481" w:type="dxa"/>
            <w:shd w:val="clear" w:color="auto" w:fill="auto"/>
            <w:vAlign w:val="center"/>
            <w:hideMark/>
          </w:tcPr>
          <w:p w14:paraId="3F6112C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SI</w:t>
            </w:r>
          </w:p>
        </w:tc>
        <w:tc>
          <w:tcPr>
            <w:tcW w:w="576" w:type="dxa"/>
            <w:shd w:val="clear" w:color="auto" w:fill="auto"/>
            <w:vAlign w:val="center"/>
            <w:hideMark/>
          </w:tcPr>
          <w:p w14:paraId="0A19471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Gestores y/o Supervisores, Interventor-Contratista</w:t>
            </w:r>
          </w:p>
        </w:tc>
        <w:tc>
          <w:tcPr>
            <w:tcW w:w="654" w:type="dxa"/>
            <w:shd w:val="clear" w:color="auto" w:fill="auto"/>
            <w:vAlign w:val="center"/>
            <w:hideMark/>
          </w:tcPr>
          <w:p w14:paraId="06C9E49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Al inicio de la presentación del evento</w:t>
            </w:r>
          </w:p>
        </w:tc>
        <w:tc>
          <w:tcPr>
            <w:tcW w:w="654" w:type="dxa"/>
            <w:shd w:val="clear" w:color="auto" w:fill="auto"/>
            <w:vAlign w:val="center"/>
            <w:hideMark/>
          </w:tcPr>
          <w:p w14:paraId="0A52A85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 la terminación de la ocurrencia del evento</w:t>
            </w:r>
          </w:p>
        </w:tc>
        <w:tc>
          <w:tcPr>
            <w:tcW w:w="689" w:type="dxa"/>
            <w:shd w:val="clear" w:color="auto" w:fill="auto"/>
            <w:vAlign w:val="center"/>
            <w:hideMark/>
          </w:tcPr>
          <w:p w14:paraId="2011737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 partir de la información oficial, información del Interventor, del Contratista, de las Territoriales DEL MUNICIPIO, se determinan acciones a seguir, para procurar la menor afectación al proyecto.</w:t>
            </w:r>
          </w:p>
        </w:tc>
        <w:tc>
          <w:tcPr>
            <w:tcW w:w="654" w:type="dxa"/>
            <w:shd w:val="clear" w:color="auto" w:fill="auto"/>
            <w:vAlign w:val="center"/>
            <w:hideMark/>
          </w:tcPr>
          <w:p w14:paraId="58867B5C"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Cuando se presente el evento</w:t>
            </w:r>
          </w:p>
        </w:tc>
      </w:tr>
      <w:tr w:rsidR="00EB718C" w:rsidRPr="00B821D5" w14:paraId="2323CA6F" w14:textId="77777777" w:rsidTr="001E29CD">
        <w:trPr>
          <w:trHeight w:val="3000"/>
        </w:trPr>
        <w:tc>
          <w:tcPr>
            <w:tcW w:w="135" w:type="dxa"/>
            <w:shd w:val="clear" w:color="auto" w:fill="auto"/>
            <w:noWrap/>
            <w:vAlign w:val="center"/>
            <w:hideMark/>
          </w:tcPr>
          <w:p w14:paraId="777584D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lastRenderedPageBreak/>
              <w:t>6</w:t>
            </w:r>
          </w:p>
        </w:tc>
        <w:tc>
          <w:tcPr>
            <w:tcW w:w="141" w:type="dxa"/>
            <w:shd w:val="clear" w:color="auto" w:fill="auto"/>
            <w:noWrap/>
            <w:textDirection w:val="btLr"/>
            <w:vAlign w:val="center"/>
            <w:hideMark/>
          </w:tcPr>
          <w:p w14:paraId="7276537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General</w:t>
            </w:r>
          </w:p>
        </w:tc>
        <w:tc>
          <w:tcPr>
            <w:tcW w:w="142" w:type="dxa"/>
            <w:shd w:val="clear" w:color="auto" w:fill="auto"/>
            <w:noWrap/>
            <w:textDirection w:val="btLr"/>
            <w:vAlign w:val="center"/>
            <w:hideMark/>
          </w:tcPr>
          <w:p w14:paraId="406E00E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Interno</w:t>
            </w:r>
          </w:p>
        </w:tc>
        <w:tc>
          <w:tcPr>
            <w:tcW w:w="142" w:type="dxa"/>
            <w:shd w:val="clear" w:color="auto" w:fill="auto"/>
            <w:noWrap/>
            <w:textDirection w:val="btLr"/>
            <w:vAlign w:val="center"/>
            <w:hideMark/>
          </w:tcPr>
          <w:p w14:paraId="5724BE8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Ejecucion</w:t>
            </w:r>
          </w:p>
        </w:tc>
        <w:tc>
          <w:tcPr>
            <w:tcW w:w="142" w:type="dxa"/>
            <w:shd w:val="clear" w:color="auto" w:fill="auto"/>
            <w:noWrap/>
            <w:textDirection w:val="btLr"/>
            <w:vAlign w:val="center"/>
            <w:hideMark/>
          </w:tcPr>
          <w:p w14:paraId="37AE5ED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Operacional</w:t>
            </w:r>
          </w:p>
        </w:tc>
        <w:tc>
          <w:tcPr>
            <w:tcW w:w="726" w:type="dxa"/>
            <w:shd w:val="clear" w:color="auto" w:fill="auto"/>
            <w:vAlign w:val="center"/>
            <w:hideMark/>
          </w:tcPr>
          <w:p w14:paraId="37794C7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b/>
                <w:bCs/>
                <w:color w:val="000000" w:themeColor="text1"/>
                <w:sz w:val="10"/>
                <w:szCs w:val="10"/>
                <w:lang w:eastAsia="es-CO"/>
              </w:rPr>
              <w:t xml:space="preserve">Accidentalidad: </w:t>
            </w:r>
            <w:r w:rsidRPr="00B821D5">
              <w:rPr>
                <w:rFonts w:ascii="Arial Narrow" w:hAnsi="Arial Narrow" w:cs="Arial"/>
                <w:color w:val="000000" w:themeColor="text1"/>
                <w:sz w:val="10"/>
                <w:szCs w:val="10"/>
                <w:lang w:eastAsia="es-CO"/>
              </w:rPr>
              <w:t>Se refiere a los perjuicios ocasionados por la deficiente colocación de señalización preventiva en obra, falta o deficiencia en la señalización de aproximación e iluminación, equipos de radio para cierres parciales, temporales y demás señalización necesaria, y de seguridad industrial y de señalización y dotación de los operarios y trabajadores ,etc., por parte del CONTRATISTA.</w:t>
            </w:r>
          </w:p>
        </w:tc>
        <w:tc>
          <w:tcPr>
            <w:tcW w:w="601" w:type="dxa"/>
            <w:shd w:val="clear" w:color="auto" w:fill="auto"/>
            <w:vAlign w:val="center"/>
            <w:hideMark/>
          </w:tcPr>
          <w:p w14:paraId="4377AD2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Impacto Negativo en el proyecto por la probable ocurrencia de accidentes de usuarios de la via y trabajadores de la obra, Inconformidad con la obra por parte de la comunidad.</w:t>
            </w:r>
          </w:p>
        </w:tc>
        <w:tc>
          <w:tcPr>
            <w:tcW w:w="136" w:type="dxa"/>
            <w:shd w:val="clear" w:color="auto" w:fill="auto"/>
            <w:noWrap/>
            <w:vAlign w:val="center"/>
            <w:hideMark/>
          </w:tcPr>
          <w:p w14:paraId="613A79EC"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3</w:t>
            </w:r>
          </w:p>
        </w:tc>
        <w:tc>
          <w:tcPr>
            <w:tcW w:w="136" w:type="dxa"/>
            <w:shd w:val="clear" w:color="auto" w:fill="auto"/>
            <w:noWrap/>
            <w:vAlign w:val="center"/>
            <w:hideMark/>
          </w:tcPr>
          <w:p w14:paraId="1B643AE3"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noWrap/>
            <w:vAlign w:val="center"/>
            <w:hideMark/>
          </w:tcPr>
          <w:p w14:paraId="6F33DC5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5</w:t>
            </w:r>
          </w:p>
        </w:tc>
        <w:tc>
          <w:tcPr>
            <w:tcW w:w="263" w:type="dxa"/>
            <w:shd w:val="clear" w:color="auto" w:fill="auto"/>
            <w:vAlign w:val="center"/>
            <w:hideMark/>
          </w:tcPr>
          <w:p w14:paraId="339A146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Medio</w:t>
            </w:r>
          </w:p>
        </w:tc>
        <w:tc>
          <w:tcPr>
            <w:tcW w:w="269" w:type="dxa"/>
            <w:shd w:val="clear" w:color="auto" w:fill="auto"/>
            <w:vAlign w:val="center"/>
            <w:hideMark/>
          </w:tcPr>
          <w:p w14:paraId="390DC933"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w:t>
            </w:r>
          </w:p>
        </w:tc>
        <w:tc>
          <w:tcPr>
            <w:tcW w:w="544" w:type="dxa"/>
            <w:shd w:val="clear" w:color="auto" w:fill="auto"/>
            <w:vAlign w:val="center"/>
            <w:hideMark/>
          </w:tcPr>
          <w:p w14:paraId="60EC8730"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926" w:type="dxa"/>
            <w:shd w:val="clear" w:color="auto" w:fill="auto"/>
            <w:vAlign w:val="center"/>
            <w:hideMark/>
          </w:tcPr>
          <w:p w14:paraId="6D0B183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xml:space="preserve">El Interventor debe exigir  el estricto cumplimiento de la normatividad vigente sobre señalización temporal de obras, y seguridad industrial, verificar permanentemente su implementación, recurrir a medidas sancionatorias contractuales de ser necesario. Seguimiento por parte de la Entidad en visitas técnicas. </w:t>
            </w:r>
          </w:p>
        </w:tc>
        <w:tc>
          <w:tcPr>
            <w:tcW w:w="136" w:type="dxa"/>
            <w:shd w:val="clear" w:color="auto" w:fill="auto"/>
            <w:vAlign w:val="center"/>
            <w:hideMark/>
          </w:tcPr>
          <w:p w14:paraId="5DAD301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vAlign w:val="center"/>
            <w:hideMark/>
          </w:tcPr>
          <w:p w14:paraId="581B36C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vAlign w:val="center"/>
            <w:hideMark/>
          </w:tcPr>
          <w:p w14:paraId="27114843"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4</w:t>
            </w:r>
          </w:p>
        </w:tc>
        <w:tc>
          <w:tcPr>
            <w:tcW w:w="263" w:type="dxa"/>
            <w:shd w:val="clear" w:color="auto" w:fill="auto"/>
            <w:vAlign w:val="center"/>
            <w:hideMark/>
          </w:tcPr>
          <w:p w14:paraId="5D0DEF4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481" w:type="dxa"/>
            <w:shd w:val="clear" w:color="auto" w:fill="auto"/>
            <w:vAlign w:val="center"/>
            <w:hideMark/>
          </w:tcPr>
          <w:p w14:paraId="7AA0844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NO</w:t>
            </w:r>
          </w:p>
        </w:tc>
        <w:tc>
          <w:tcPr>
            <w:tcW w:w="576" w:type="dxa"/>
            <w:shd w:val="clear" w:color="auto" w:fill="auto"/>
            <w:vAlign w:val="center"/>
            <w:hideMark/>
          </w:tcPr>
          <w:p w14:paraId="7B00693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Gestores y/o Supervisores, Interventor-Contratista</w:t>
            </w:r>
          </w:p>
        </w:tc>
        <w:tc>
          <w:tcPr>
            <w:tcW w:w="654" w:type="dxa"/>
            <w:shd w:val="clear" w:color="auto" w:fill="auto"/>
            <w:vAlign w:val="center"/>
            <w:hideMark/>
          </w:tcPr>
          <w:p w14:paraId="59D07A4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Al inicio de la ejecución del contrato</w:t>
            </w:r>
          </w:p>
        </w:tc>
        <w:tc>
          <w:tcPr>
            <w:tcW w:w="654" w:type="dxa"/>
            <w:shd w:val="clear" w:color="auto" w:fill="auto"/>
            <w:vAlign w:val="center"/>
            <w:hideMark/>
          </w:tcPr>
          <w:p w14:paraId="2DF0E5C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 la terminación de la ejecución del contrato</w:t>
            </w:r>
          </w:p>
        </w:tc>
        <w:tc>
          <w:tcPr>
            <w:tcW w:w="689" w:type="dxa"/>
            <w:shd w:val="clear" w:color="auto" w:fill="auto"/>
            <w:vAlign w:val="center"/>
            <w:hideMark/>
          </w:tcPr>
          <w:p w14:paraId="0DAB6B7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Inspecciones diarias del Interventor. Comites Técnicos, Seguimiento a informes, requerimientos escritos-Retroalimentacio en los procedimientos adelantados por los responsables del tratamiento.</w:t>
            </w:r>
          </w:p>
        </w:tc>
        <w:tc>
          <w:tcPr>
            <w:tcW w:w="654" w:type="dxa"/>
            <w:shd w:val="clear" w:color="auto" w:fill="auto"/>
            <w:vAlign w:val="center"/>
            <w:hideMark/>
          </w:tcPr>
          <w:p w14:paraId="0446973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Diario</w:t>
            </w:r>
          </w:p>
        </w:tc>
      </w:tr>
      <w:tr w:rsidR="00EB718C" w:rsidRPr="00B821D5" w14:paraId="24E18DAE" w14:textId="77777777" w:rsidTr="001E29CD">
        <w:trPr>
          <w:trHeight w:val="1608"/>
        </w:trPr>
        <w:tc>
          <w:tcPr>
            <w:tcW w:w="135" w:type="dxa"/>
            <w:shd w:val="clear" w:color="000000" w:fill="FFFFFF"/>
            <w:noWrap/>
            <w:vAlign w:val="center"/>
            <w:hideMark/>
          </w:tcPr>
          <w:p w14:paraId="2F19D9A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7</w:t>
            </w:r>
          </w:p>
        </w:tc>
        <w:tc>
          <w:tcPr>
            <w:tcW w:w="141" w:type="dxa"/>
            <w:shd w:val="clear" w:color="000000" w:fill="FFFFFF"/>
            <w:noWrap/>
            <w:textDirection w:val="btLr"/>
            <w:vAlign w:val="center"/>
            <w:hideMark/>
          </w:tcPr>
          <w:p w14:paraId="0DC04AB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General</w:t>
            </w:r>
          </w:p>
        </w:tc>
        <w:tc>
          <w:tcPr>
            <w:tcW w:w="142" w:type="dxa"/>
            <w:shd w:val="clear" w:color="000000" w:fill="FFFFFF"/>
            <w:noWrap/>
            <w:textDirection w:val="btLr"/>
            <w:vAlign w:val="center"/>
            <w:hideMark/>
          </w:tcPr>
          <w:p w14:paraId="24FE2C6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Externo</w:t>
            </w:r>
          </w:p>
        </w:tc>
        <w:tc>
          <w:tcPr>
            <w:tcW w:w="142" w:type="dxa"/>
            <w:shd w:val="clear" w:color="000000" w:fill="FFFFFF"/>
            <w:noWrap/>
            <w:textDirection w:val="btLr"/>
            <w:vAlign w:val="center"/>
            <w:hideMark/>
          </w:tcPr>
          <w:p w14:paraId="45FA964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Ejecucion</w:t>
            </w:r>
          </w:p>
        </w:tc>
        <w:tc>
          <w:tcPr>
            <w:tcW w:w="142" w:type="dxa"/>
            <w:shd w:val="clear" w:color="000000" w:fill="FFFFFF"/>
            <w:noWrap/>
            <w:textDirection w:val="btLr"/>
            <w:vAlign w:val="center"/>
            <w:hideMark/>
          </w:tcPr>
          <w:p w14:paraId="39631AD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Economico</w:t>
            </w:r>
          </w:p>
        </w:tc>
        <w:tc>
          <w:tcPr>
            <w:tcW w:w="726" w:type="dxa"/>
            <w:shd w:val="clear" w:color="auto" w:fill="auto"/>
            <w:vAlign w:val="center"/>
            <w:hideMark/>
          </w:tcPr>
          <w:p w14:paraId="2A09CB81"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xml:space="preserve">Limitacion en la movilidad. </w:t>
            </w:r>
            <w:r w:rsidRPr="00B821D5">
              <w:rPr>
                <w:rFonts w:ascii="Arial Narrow" w:hAnsi="Arial Narrow" w:cs="Arial"/>
                <w:color w:val="000000" w:themeColor="text1"/>
                <w:sz w:val="10"/>
                <w:szCs w:val="10"/>
                <w:lang w:eastAsia="es-CO"/>
              </w:rPr>
              <w:t>Se refiere a la posibilidad de encontrar limitaciones o restricciones</w:t>
            </w:r>
            <w:r w:rsidRPr="00B821D5">
              <w:rPr>
                <w:rFonts w:ascii="Arial Narrow" w:hAnsi="Arial Narrow" w:cs="Arial"/>
                <w:b/>
                <w:bCs/>
                <w:color w:val="000000" w:themeColor="text1"/>
                <w:sz w:val="10"/>
                <w:szCs w:val="10"/>
                <w:lang w:eastAsia="es-CO"/>
              </w:rPr>
              <w:t xml:space="preserve"> </w:t>
            </w:r>
            <w:r w:rsidRPr="00B821D5">
              <w:rPr>
                <w:rFonts w:ascii="Arial Narrow" w:hAnsi="Arial Narrow" w:cs="Arial"/>
                <w:color w:val="000000" w:themeColor="text1"/>
                <w:sz w:val="10"/>
                <w:szCs w:val="10"/>
                <w:lang w:eastAsia="es-CO"/>
              </w:rPr>
              <w:t>en los Departamentos, Municipios, Veredas, corregimientos o sectores necesarios para acceder al proyecto o donde se desarrolle el mismo.</w:t>
            </w:r>
          </w:p>
        </w:tc>
        <w:tc>
          <w:tcPr>
            <w:tcW w:w="601" w:type="dxa"/>
            <w:shd w:val="clear" w:color="000000" w:fill="FFFFFF"/>
            <w:vAlign w:val="center"/>
            <w:hideMark/>
          </w:tcPr>
          <w:p w14:paraId="54D0D11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Retrazos en la Ejecución del Contrato</w:t>
            </w:r>
          </w:p>
        </w:tc>
        <w:tc>
          <w:tcPr>
            <w:tcW w:w="136" w:type="dxa"/>
            <w:shd w:val="clear" w:color="000000" w:fill="FFFFFF"/>
            <w:noWrap/>
            <w:vAlign w:val="center"/>
            <w:hideMark/>
          </w:tcPr>
          <w:p w14:paraId="69F1D576"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000000" w:fill="FFFFFF"/>
            <w:noWrap/>
            <w:vAlign w:val="center"/>
            <w:hideMark/>
          </w:tcPr>
          <w:p w14:paraId="7D9710F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noWrap/>
            <w:vAlign w:val="center"/>
            <w:hideMark/>
          </w:tcPr>
          <w:p w14:paraId="2772D2A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4</w:t>
            </w:r>
          </w:p>
        </w:tc>
        <w:tc>
          <w:tcPr>
            <w:tcW w:w="263" w:type="dxa"/>
            <w:shd w:val="clear" w:color="000000" w:fill="FFFFFF"/>
            <w:vAlign w:val="center"/>
            <w:hideMark/>
          </w:tcPr>
          <w:p w14:paraId="7B086BD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269" w:type="dxa"/>
            <w:shd w:val="clear" w:color="000000" w:fill="FFFFFF"/>
            <w:vAlign w:val="center"/>
            <w:hideMark/>
          </w:tcPr>
          <w:p w14:paraId="0D1E1E21"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544" w:type="dxa"/>
            <w:shd w:val="clear" w:color="000000" w:fill="FFFFFF"/>
            <w:vAlign w:val="center"/>
            <w:hideMark/>
          </w:tcPr>
          <w:p w14:paraId="577697C0"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926" w:type="dxa"/>
            <w:shd w:val="clear" w:color="000000" w:fill="FFFFFF"/>
            <w:vAlign w:val="center"/>
            <w:hideMark/>
          </w:tcPr>
          <w:p w14:paraId="7BA890B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El Contratista deberá analizar al momento de la pestructuración de su oferta las condiciones de movilidad y acceso de los sectores propios de la ejecución del proyecyo, así como los necesarios para el transporte de materiales, personal o servicios.</w:t>
            </w:r>
          </w:p>
        </w:tc>
        <w:tc>
          <w:tcPr>
            <w:tcW w:w="136" w:type="dxa"/>
            <w:shd w:val="clear" w:color="000000" w:fill="FFFFFF"/>
            <w:vAlign w:val="center"/>
            <w:hideMark/>
          </w:tcPr>
          <w:p w14:paraId="0CC3BE6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000000" w:fill="FFFFFF"/>
            <w:vAlign w:val="center"/>
            <w:hideMark/>
          </w:tcPr>
          <w:p w14:paraId="4C6B4E4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auto" w:fill="auto"/>
            <w:vAlign w:val="center"/>
            <w:hideMark/>
          </w:tcPr>
          <w:p w14:paraId="4BA5E43C"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263" w:type="dxa"/>
            <w:shd w:val="clear" w:color="000000" w:fill="FFFFFF"/>
            <w:vAlign w:val="center"/>
            <w:hideMark/>
          </w:tcPr>
          <w:p w14:paraId="3631BCB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481" w:type="dxa"/>
            <w:shd w:val="clear" w:color="000000" w:fill="FFFFFF"/>
            <w:vAlign w:val="center"/>
            <w:hideMark/>
          </w:tcPr>
          <w:p w14:paraId="2D21C06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NO</w:t>
            </w:r>
          </w:p>
        </w:tc>
        <w:tc>
          <w:tcPr>
            <w:tcW w:w="576" w:type="dxa"/>
            <w:shd w:val="clear" w:color="000000" w:fill="FFFFFF"/>
            <w:vAlign w:val="center"/>
            <w:hideMark/>
          </w:tcPr>
          <w:p w14:paraId="02DEF5E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Gestores y/o Supervisores, Interventor, Contratista</w:t>
            </w:r>
          </w:p>
        </w:tc>
        <w:tc>
          <w:tcPr>
            <w:tcW w:w="654" w:type="dxa"/>
            <w:shd w:val="clear" w:color="000000" w:fill="FFFFFF"/>
            <w:vAlign w:val="center"/>
            <w:hideMark/>
          </w:tcPr>
          <w:p w14:paraId="3E8D5C0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Al inicio de la ejecución del contrato</w:t>
            </w:r>
          </w:p>
        </w:tc>
        <w:tc>
          <w:tcPr>
            <w:tcW w:w="654" w:type="dxa"/>
            <w:shd w:val="clear" w:color="000000" w:fill="FFFFFF"/>
            <w:vAlign w:val="center"/>
            <w:hideMark/>
          </w:tcPr>
          <w:p w14:paraId="500FD3E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 la terminación de la ejecución del contrato</w:t>
            </w:r>
          </w:p>
        </w:tc>
        <w:tc>
          <w:tcPr>
            <w:tcW w:w="689" w:type="dxa"/>
            <w:shd w:val="clear" w:color="000000" w:fill="FFFFFF"/>
            <w:vAlign w:val="center"/>
            <w:hideMark/>
          </w:tcPr>
          <w:p w14:paraId="0A413C9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Verificación de la gestión del Contratista en la planeación e implementación de las formas de acceso a los frentes de obra</w:t>
            </w:r>
          </w:p>
        </w:tc>
        <w:tc>
          <w:tcPr>
            <w:tcW w:w="654" w:type="dxa"/>
            <w:shd w:val="clear" w:color="000000" w:fill="FFFFFF"/>
            <w:vAlign w:val="center"/>
            <w:hideMark/>
          </w:tcPr>
          <w:p w14:paraId="03BDD6A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mensual</w:t>
            </w:r>
          </w:p>
        </w:tc>
      </w:tr>
      <w:tr w:rsidR="00EB718C" w:rsidRPr="00B821D5" w14:paraId="7239D3A5" w14:textId="77777777" w:rsidTr="001E29CD">
        <w:trPr>
          <w:trHeight w:val="674"/>
        </w:trPr>
        <w:tc>
          <w:tcPr>
            <w:tcW w:w="135" w:type="dxa"/>
            <w:shd w:val="clear" w:color="000000" w:fill="FFFFFF"/>
            <w:noWrap/>
            <w:vAlign w:val="center"/>
            <w:hideMark/>
          </w:tcPr>
          <w:p w14:paraId="7C051616"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8</w:t>
            </w:r>
          </w:p>
        </w:tc>
        <w:tc>
          <w:tcPr>
            <w:tcW w:w="141" w:type="dxa"/>
            <w:shd w:val="clear" w:color="000000" w:fill="FFFFFF"/>
            <w:noWrap/>
            <w:textDirection w:val="btLr"/>
            <w:vAlign w:val="center"/>
            <w:hideMark/>
          </w:tcPr>
          <w:p w14:paraId="6A2D4DF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General</w:t>
            </w:r>
          </w:p>
        </w:tc>
        <w:tc>
          <w:tcPr>
            <w:tcW w:w="142" w:type="dxa"/>
            <w:shd w:val="clear" w:color="000000" w:fill="FFFFFF"/>
            <w:noWrap/>
            <w:textDirection w:val="btLr"/>
            <w:vAlign w:val="center"/>
            <w:hideMark/>
          </w:tcPr>
          <w:p w14:paraId="6713EB7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Interno</w:t>
            </w:r>
          </w:p>
        </w:tc>
        <w:tc>
          <w:tcPr>
            <w:tcW w:w="142" w:type="dxa"/>
            <w:shd w:val="clear" w:color="000000" w:fill="FFFFFF"/>
            <w:noWrap/>
            <w:textDirection w:val="btLr"/>
            <w:vAlign w:val="center"/>
            <w:hideMark/>
          </w:tcPr>
          <w:p w14:paraId="023C468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Ejecución</w:t>
            </w:r>
          </w:p>
        </w:tc>
        <w:tc>
          <w:tcPr>
            <w:tcW w:w="142" w:type="dxa"/>
            <w:shd w:val="clear" w:color="000000" w:fill="FFFFFF"/>
            <w:noWrap/>
            <w:textDirection w:val="btLr"/>
            <w:vAlign w:val="center"/>
            <w:hideMark/>
          </w:tcPr>
          <w:p w14:paraId="5D6AD29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Operacional</w:t>
            </w:r>
          </w:p>
        </w:tc>
        <w:tc>
          <w:tcPr>
            <w:tcW w:w="726" w:type="dxa"/>
            <w:shd w:val="clear" w:color="auto" w:fill="auto"/>
            <w:vAlign w:val="center"/>
            <w:hideMark/>
          </w:tcPr>
          <w:p w14:paraId="661E602C"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b/>
                <w:bCs/>
                <w:color w:val="000000" w:themeColor="text1"/>
                <w:sz w:val="10"/>
                <w:szCs w:val="10"/>
                <w:lang w:eastAsia="es-CO"/>
              </w:rPr>
              <w:t>Por Ajuste y/0 Actualizacion  y/o Unificación y/o Modificación de estudios y diseños y/o elaboración de estudios complementarios realizados  por el Contratista:</w:t>
            </w:r>
            <w:r w:rsidRPr="00B821D5">
              <w:rPr>
                <w:rFonts w:ascii="Arial Narrow" w:hAnsi="Arial Narrow" w:cs="Arial"/>
                <w:color w:val="000000" w:themeColor="text1"/>
                <w:sz w:val="10"/>
                <w:szCs w:val="10"/>
                <w:lang w:eastAsia="es-CO"/>
              </w:rPr>
              <w:t xml:space="preserve"> Ocurre cuando se presentan efectos originados por cambios o actualización de los estudios y/o diseños definitivos necesarios para la correcta ejecución y operación de las obras.</w:t>
            </w:r>
          </w:p>
        </w:tc>
        <w:tc>
          <w:tcPr>
            <w:tcW w:w="601" w:type="dxa"/>
            <w:shd w:val="clear" w:color="000000" w:fill="FFFFFF"/>
            <w:vAlign w:val="center"/>
            <w:hideMark/>
          </w:tcPr>
          <w:p w14:paraId="365C5CF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Retrasos en el cronograma de ejecución, variación de algunas obras del contrato y por ende de cantidades de   obra.</w:t>
            </w:r>
          </w:p>
        </w:tc>
        <w:tc>
          <w:tcPr>
            <w:tcW w:w="136" w:type="dxa"/>
            <w:shd w:val="clear" w:color="000000" w:fill="FFFFFF"/>
            <w:noWrap/>
            <w:vAlign w:val="center"/>
            <w:hideMark/>
          </w:tcPr>
          <w:p w14:paraId="10682A0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3</w:t>
            </w:r>
          </w:p>
        </w:tc>
        <w:tc>
          <w:tcPr>
            <w:tcW w:w="136" w:type="dxa"/>
            <w:shd w:val="clear" w:color="000000" w:fill="FFFFFF"/>
            <w:noWrap/>
            <w:vAlign w:val="center"/>
            <w:hideMark/>
          </w:tcPr>
          <w:p w14:paraId="0722344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noWrap/>
            <w:vAlign w:val="center"/>
            <w:hideMark/>
          </w:tcPr>
          <w:p w14:paraId="463B5AE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5</w:t>
            </w:r>
          </w:p>
        </w:tc>
        <w:tc>
          <w:tcPr>
            <w:tcW w:w="263" w:type="dxa"/>
            <w:shd w:val="clear" w:color="000000" w:fill="FFFFFF"/>
            <w:vAlign w:val="center"/>
            <w:hideMark/>
          </w:tcPr>
          <w:p w14:paraId="6E1C5AF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Medio</w:t>
            </w:r>
          </w:p>
        </w:tc>
        <w:tc>
          <w:tcPr>
            <w:tcW w:w="269" w:type="dxa"/>
            <w:shd w:val="clear" w:color="000000" w:fill="FFFFFF"/>
            <w:vAlign w:val="center"/>
            <w:hideMark/>
          </w:tcPr>
          <w:p w14:paraId="50D99A67"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w:t>
            </w:r>
          </w:p>
        </w:tc>
        <w:tc>
          <w:tcPr>
            <w:tcW w:w="544" w:type="dxa"/>
            <w:shd w:val="clear" w:color="000000" w:fill="FFFFFF"/>
            <w:vAlign w:val="center"/>
            <w:hideMark/>
          </w:tcPr>
          <w:p w14:paraId="47054CF1"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926" w:type="dxa"/>
            <w:shd w:val="clear" w:color="000000" w:fill="FFFFFF"/>
            <w:vAlign w:val="center"/>
            <w:hideMark/>
          </w:tcPr>
          <w:p w14:paraId="3165862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xml:space="preserve">Realizar una interventoría adecuada durante la etapa de Ajuste y/0 Actualizacion  y/o Unificación y/o Modificación de estudios y diseños y/o elaboración de estudios complementarios  para evitar cambios que impacten negativamente el proyecto. </w:t>
            </w:r>
            <w:r w:rsidRPr="00B821D5">
              <w:rPr>
                <w:rFonts w:ascii="Arial Narrow" w:hAnsi="Arial Narrow" w:cs="Arial"/>
                <w:color w:val="000000" w:themeColor="text1"/>
                <w:sz w:val="10"/>
                <w:szCs w:val="10"/>
                <w:lang w:eastAsia="es-CO"/>
              </w:rPr>
              <w:br/>
              <w:t>Realizar las consultas pertinentes y oportunas cuando se encuentren diferencias o inconsistencias en los diseños.</w:t>
            </w:r>
          </w:p>
        </w:tc>
        <w:tc>
          <w:tcPr>
            <w:tcW w:w="136" w:type="dxa"/>
            <w:shd w:val="clear" w:color="000000" w:fill="FFFFFF"/>
            <w:vAlign w:val="center"/>
            <w:hideMark/>
          </w:tcPr>
          <w:p w14:paraId="1ED76BE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000000" w:fill="FFFFFF"/>
            <w:vAlign w:val="center"/>
            <w:hideMark/>
          </w:tcPr>
          <w:p w14:paraId="4952E3B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vAlign w:val="center"/>
            <w:hideMark/>
          </w:tcPr>
          <w:p w14:paraId="0BF7C8A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4</w:t>
            </w:r>
          </w:p>
        </w:tc>
        <w:tc>
          <w:tcPr>
            <w:tcW w:w="263" w:type="dxa"/>
            <w:shd w:val="clear" w:color="000000" w:fill="FFFFFF"/>
            <w:vAlign w:val="center"/>
            <w:hideMark/>
          </w:tcPr>
          <w:p w14:paraId="3BD9F70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481" w:type="dxa"/>
            <w:shd w:val="clear" w:color="000000" w:fill="FFFFFF"/>
            <w:vAlign w:val="center"/>
            <w:hideMark/>
          </w:tcPr>
          <w:p w14:paraId="33E6962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NO</w:t>
            </w:r>
          </w:p>
        </w:tc>
        <w:tc>
          <w:tcPr>
            <w:tcW w:w="576" w:type="dxa"/>
            <w:shd w:val="clear" w:color="000000" w:fill="FFFFFF"/>
            <w:vAlign w:val="center"/>
            <w:hideMark/>
          </w:tcPr>
          <w:p w14:paraId="301AD1AC"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Gestores y/o Supervisores, Interventor-Contratista</w:t>
            </w:r>
          </w:p>
        </w:tc>
        <w:tc>
          <w:tcPr>
            <w:tcW w:w="654" w:type="dxa"/>
            <w:shd w:val="clear" w:color="000000" w:fill="FFFFFF"/>
            <w:vAlign w:val="center"/>
            <w:hideMark/>
          </w:tcPr>
          <w:p w14:paraId="0FEA913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al inicio de la Ajuste y/0 Actualizacion  y/o Unificación y/o Modificación de estudios y diseños y/o elaboración de estudios complementarios</w:t>
            </w:r>
          </w:p>
        </w:tc>
        <w:tc>
          <w:tcPr>
            <w:tcW w:w="654" w:type="dxa"/>
            <w:shd w:val="clear" w:color="000000" w:fill="FFFFFF"/>
            <w:vAlign w:val="center"/>
            <w:hideMark/>
          </w:tcPr>
          <w:p w14:paraId="34D1F41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al final de la Ajuste y/0 Actualizacion  y/o Unificación y/o Modificación de estudios y diseños y/o elaboración de estudios complementarios</w:t>
            </w:r>
          </w:p>
        </w:tc>
        <w:tc>
          <w:tcPr>
            <w:tcW w:w="689" w:type="dxa"/>
            <w:shd w:val="clear" w:color="000000" w:fill="FFFFFF"/>
            <w:vAlign w:val="center"/>
            <w:hideMark/>
          </w:tcPr>
          <w:p w14:paraId="758E4C5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xml:space="preserve">la Interventoría debe efectuar seguimiento contínuo  a través de sus Especialistas,  al Ajuste y/0 Actualizacion  y/o Unificación y/o Modificación de estudios y diseños y/o elaboración de estudios complementarios por parte del Contratista, de manera que los cambios que se requieran impacten lo menos posible al proyecto. </w:t>
            </w:r>
          </w:p>
        </w:tc>
        <w:tc>
          <w:tcPr>
            <w:tcW w:w="654" w:type="dxa"/>
            <w:shd w:val="clear" w:color="000000" w:fill="FFFFFF"/>
            <w:vAlign w:val="center"/>
            <w:hideMark/>
          </w:tcPr>
          <w:p w14:paraId="6F1420C3"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Semanal en la etapa de Ajuste y/0 Actualizacion  y/o Unificación y/o Modificación de estudios y diseños y/o elaboración de estudios complementarios</w:t>
            </w:r>
          </w:p>
        </w:tc>
      </w:tr>
      <w:tr w:rsidR="00EB718C" w:rsidRPr="00B821D5" w14:paraId="778A3761" w14:textId="77777777" w:rsidTr="001E29CD">
        <w:trPr>
          <w:trHeight w:val="2760"/>
        </w:trPr>
        <w:tc>
          <w:tcPr>
            <w:tcW w:w="135" w:type="dxa"/>
            <w:shd w:val="clear" w:color="000000" w:fill="FFFFFF"/>
            <w:noWrap/>
            <w:vAlign w:val="center"/>
            <w:hideMark/>
          </w:tcPr>
          <w:p w14:paraId="2F79560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lastRenderedPageBreak/>
              <w:t>9</w:t>
            </w:r>
          </w:p>
        </w:tc>
        <w:tc>
          <w:tcPr>
            <w:tcW w:w="141" w:type="dxa"/>
            <w:shd w:val="clear" w:color="000000" w:fill="FFFFFF"/>
            <w:noWrap/>
            <w:textDirection w:val="btLr"/>
            <w:vAlign w:val="center"/>
            <w:hideMark/>
          </w:tcPr>
          <w:p w14:paraId="5CE72D5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General</w:t>
            </w:r>
          </w:p>
        </w:tc>
        <w:tc>
          <w:tcPr>
            <w:tcW w:w="142" w:type="dxa"/>
            <w:shd w:val="clear" w:color="000000" w:fill="FFFFFF"/>
            <w:noWrap/>
            <w:textDirection w:val="btLr"/>
            <w:vAlign w:val="center"/>
            <w:hideMark/>
          </w:tcPr>
          <w:p w14:paraId="2BC2CBF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Interno</w:t>
            </w:r>
          </w:p>
        </w:tc>
        <w:tc>
          <w:tcPr>
            <w:tcW w:w="142" w:type="dxa"/>
            <w:shd w:val="clear" w:color="000000" w:fill="FFFFFF"/>
            <w:noWrap/>
            <w:textDirection w:val="btLr"/>
            <w:vAlign w:val="center"/>
            <w:hideMark/>
          </w:tcPr>
          <w:p w14:paraId="6B18153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Ejecución</w:t>
            </w:r>
          </w:p>
        </w:tc>
        <w:tc>
          <w:tcPr>
            <w:tcW w:w="142" w:type="dxa"/>
            <w:shd w:val="clear" w:color="000000" w:fill="FFFFFF"/>
            <w:noWrap/>
            <w:textDirection w:val="btLr"/>
            <w:vAlign w:val="center"/>
            <w:hideMark/>
          </w:tcPr>
          <w:p w14:paraId="15F24E8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Operacional</w:t>
            </w:r>
          </w:p>
        </w:tc>
        <w:tc>
          <w:tcPr>
            <w:tcW w:w="726" w:type="dxa"/>
            <w:shd w:val="clear" w:color="auto" w:fill="auto"/>
            <w:vAlign w:val="center"/>
            <w:hideMark/>
          </w:tcPr>
          <w:p w14:paraId="0BBA397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b/>
                <w:bCs/>
                <w:color w:val="000000" w:themeColor="text1"/>
                <w:sz w:val="10"/>
                <w:szCs w:val="10"/>
                <w:lang w:eastAsia="es-CO"/>
              </w:rPr>
              <w:t xml:space="preserve">Modificaciones a Estudios y Diseños. </w:t>
            </w:r>
            <w:r w:rsidRPr="00B821D5">
              <w:rPr>
                <w:rFonts w:ascii="Arial Narrow" w:hAnsi="Arial Narrow" w:cs="Arial"/>
                <w:color w:val="000000" w:themeColor="text1"/>
                <w:sz w:val="10"/>
                <w:szCs w:val="10"/>
                <w:lang w:eastAsia="es-CO"/>
              </w:rPr>
              <w:t>Se refiere a la posibilidad de que se deban realizar ajustes, actualizaciones, unificaciones o modificaciones a Estudios o diseños o Estudios Complementarios por parte del Contratista de Obra, debido a cambios de la naturaleza, redes de servicios y demás técnicos o sociales necesarios para la correcta ejecución y operación de las obras.</w:t>
            </w:r>
          </w:p>
        </w:tc>
        <w:tc>
          <w:tcPr>
            <w:tcW w:w="601" w:type="dxa"/>
            <w:shd w:val="clear" w:color="000000" w:fill="FFFFFF"/>
            <w:vAlign w:val="center"/>
            <w:hideMark/>
          </w:tcPr>
          <w:p w14:paraId="023BC0E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Retrasos en el cronograma de ejecución, variación de algunas obras del contrato y por ende de cantidades de   obra.</w:t>
            </w:r>
          </w:p>
        </w:tc>
        <w:tc>
          <w:tcPr>
            <w:tcW w:w="136" w:type="dxa"/>
            <w:shd w:val="clear" w:color="000000" w:fill="FFFFFF"/>
            <w:noWrap/>
            <w:vAlign w:val="center"/>
            <w:hideMark/>
          </w:tcPr>
          <w:p w14:paraId="496457F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3</w:t>
            </w:r>
          </w:p>
        </w:tc>
        <w:tc>
          <w:tcPr>
            <w:tcW w:w="136" w:type="dxa"/>
            <w:shd w:val="clear" w:color="000000" w:fill="FFFFFF"/>
            <w:noWrap/>
            <w:vAlign w:val="center"/>
            <w:hideMark/>
          </w:tcPr>
          <w:p w14:paraId="298FE78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noWrap/>
            <w:vAlign w:val="center"/>
            <w:hideMark/>
          </w:tcPr>
          <w:p w14:paraId="10B2822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5</w:t>
            </w:r>
          </w:p>
        </w:tc>
        <w:tc>
          <w:tcPr>
            <w:tcW w:w="263" w:type="dxa"/>
            <w:shd w:val="clear" w:color="000000" w:fill="FFFFFF"/>
            <w:vAlign w:val="center"/>
            <w:hideMark/>
          </w:tcPr>
          <w:p w14:paraId="2B3911E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Medio</w:t>
            </w:r>
          </w:p>
        </w:tc>
        <w:tc>
          <w:tcPr>
            <w:tcW w:w="269" w:type="dxa"/>
            <w:shd w:val="clear" w:color="000000" w:fill="FFFFFF"/>
            <w:vAlign w:val="center"/>
            <w:hideMark/>
          </w:tcPr>
          <w:p w14:paraId="476F9F2F"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w:t>
            </w:r>
          </w:p>
        </w:tc>
        <w:tc>
          <w:tcPr>
            <w:tcW w:w="544" w:type="dxa"/>
            <w:shd w:val="clear" w:color="000000" w:fill="FFFFFF"/>
            <w:vAlign w:val="center"/>
            <w:hideMark/>
          </w:tcPr>
          <w:p w14:paraId="203A9BA1"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926" w:type="dxa"/>
            <w:shd w:val="clear" w:color="000000" w:fill="FFFFFF"/>
            <w:vAlign w:val="center"/>
            <w:hideMark/>
          </w:tcPr>
          <w:p w14:paraId="037122E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xml:space="preserve">Realizar una interventoría adecuada durante la etapa de Ajuste y/0 Actualizacion  y/o Unificación y/o Modificación de estudios y diseños y/o elaboración de estudios complementarios  para evitar cambios que impacten negativamente el proyecto. </w:t>
            </w:r>
            <w:r w:rsidRPr="00B821D5">
              <w:rPr>
                <w:rFonts w:ascii="Arial Narrow" w:hAnsi="Arial Narrow" w:cs="Arial"/>
                <w:color w:val="000000" w:themeColor="text1"/>
                <w:sz w:val="10"/>
                <w:szCs w:val="10"/>
                <w:lang w:eastAsia="es-CO"/>
              </w:rPr>
              <w:br/>
              <w:t>Realizar las consultas pertinentes y oportunas cuando se encuentren diferencias o inconsistencias en los diseños.</w:t>
            </w:r>
          </w:p>
        </w:tc>
        <w:tc>
          <w:tcPr>
            <w:tcW w:w="136" w:type="dxa"/>
            <w:shd w:val="clear" w:color="000000" w:fill="FFFFFF"/>
            <w:vAlign w:val="center"/>
            <w:hideMark/>
          </w:tcPr>
          <w:p w14:paraId="26544F8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000000" w:fill="FFFFFF"/>
            <w:vAlign w:val="center"/>
            <w:hideMark/>
          </w:tcPr>
          <w:p w14:paraId="0B7BF1EC"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vAlign w:val="center"/>
            <w:hideMark/>
          </w:tcPr>
          <w:p w14:paraId="2CFC923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4</w:t>
            </w:r>
          </w:p>
        </w:tc>
        <w:tc>
          <w:tcPr>
            <w:tcW w:w="263" w:type="dxa"/>
            <w:shd w:val="clear" w:color="000000" w:fill="FFFFFF"/>
            <w:vAlign w:val="center"/>
            <w:hideMark/>
          </w:tcPr>
          <w:p w14:paraId="708263F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481" w:type="dxa"/>
            <w:shd w:val="clear" w:color="000000" w:fill="FFFFFF"/>
            <w:vAlign w:val="center"/>
            <w:hideMark/>
          </w:tcPr>
          <w:p w14:paraId="554274C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NO</w:t>
            </w:r>
          </w:p>
        </w:tc>
        <w:tc>
          <w:tcPr>
            <w:tcW w:w="576" w:type="dxa"/>
            <w:shd w:val="clear" w:color="000000" w:fill="FFFFFF"/>
            <w:vAlign w:val="center"/>
            <w:hideMark/>
          </w:tcPr>
          <w:p w14:paraId="7186624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Gestores y/o Supervisores, Interventor-Contratista</w:t>
            </w:r>
          </w:p>
        </w:tc>
        <w:tc>
          <w:tcPr>
            <w:tcW w:w="654" w:type="dxa"/>
            <w:shd w:val="clear" w:color="000000" w:fill="FFFFFF"/>
            <w:vAlign w:val="center"/>
            <w:hideMark/>
          </w:tcPr>
          <w:p w14:paraId="4B75779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al inicio de la Ajuste y/0 Actualizacion  y/o Unificación y/o Modificación de estudios y diseños y/o elaboración de estudios complementarios</w:t>
            </w:r>
          </w:p>
        </w:tc>
        <w:tc>
          <w:tcPr>
            <w:tcW w:w="654" w:type="dxa"/>
            <w:shd w:val="clear" w:color="000000" w:fill="FFFFFF"/>
            <w:vAlign w:val="center"/>
            <w:hideMark/>
          </w:tcPr>
          <w:p w14:paraId="747AADD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al final de la Ajuste y/0 Actualizacion  y/o Unificación y/o Modificación de estudios y diseños y/o elaboración de estudios complementarios</w:t>
            </w:r>
          </w:p>
        </w:tc>
        <w:tc>
          <w:tcPr>
            <w:tcW w:w="689" w:type="dxa"/>
            <w:shd w:val="clear" w:color="000000" w:fill="FFFFFF"/>
            <w:vAlign w:val="center"/>
            <w:hideMark/>
          </w:tcPr>
          <w:p w14:paraId="216C9303"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xml:space="preserve">la Interventoría debe efectuar seguimiento contínuo  a través de sus Especialistas,  al Ajuste y/0 Actualizacion  y/o Unificación y/o Modificación de estudios y diseños y/o elaboración de estudios complementarios por parte del Contratista, de manera que los cambios que se requieran impacten lo menos posible al proyecto. </w:t>
            </w:r>
          </w:p>
        </w:tc>
        <w:tc>
          <w:tcPr>
            <w:tcW w:w="654" w:type="dxa"/>
            <w:shd w:val="clear" w:color="000000" w:fill="FFFFFF"/>
            <w:vAlign w:val="center"/>
            <w:hideMark/>
          </w:tcPr>
          <w:p w14:paraId="5D5095A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Semanal en la etapa de Ajuste y/0 Actualizacion  y/o Unificación y/o Modificación de estudios y diseños y/o elaboración de estudios complementarios</w:t>
            </w:r>
          </w:p>
        </w:tc>
      </w:tr>
      <w:tr w:rsidR="00EB718C" w:rsidRPr="00B821D5" w14:paraId="2CFA5C0B" w14:textId="77777777" w:rsidTr="001E29CD">
        <w:trPr>
          <w:trHeight w:val="1692"/>
        </w:trPr>
        <w:tc>
          <w:tcPr>
            <w:tcW w:w="135" w:type="dxa"/>
            <w:shd w:val="clear" w:color="auto" w:fill="auto"/>
            <w:noWrap/>
            <w:vAlign w:val="center"/>
            <w:hideMark/>
          </w:tcPr>
          <w:p w14:paraId="0C7B6CE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10</w:t>
            </w:r>
          </w:p>
        </w:tc>
        <w:tc>
          <w:tcPr>
            <w:tcW w:w="141" w:type="dxa"/>
            <w:shd w:val="clear" w:color="auto" w:fill="auto"/>
            <w:noWrap/>
            <w:textDirection w:val="btLr"/>
            <w:vAlign w:val="center"/>
            <w:hideMark/>
          </w:tcPr>
          <w:p w14:paraId="760E1D6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Especifico</w:t>
            </w:r>
          </w:p>
        </w:tc>
        <w:tc>
          <w:tcPr>
            <w:tcW w:w="142" w:type="dxa"/>
            <w:shd w:val="clear" w:color="auto" w:fill="auto"/>
            <w:noWrap/>
            <w:textDirection w:val="btLr"/>
            <w:vAlign w:val="center"/>
            <w:hideMark/>
          </w:tcPr>
          <w:p w14:paraId="168AF4C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Interno</w:t>
            </w:r>
          </w:p>
        </w:tc>
        <w:tc>
          <w:tcPr>
            <w:tcW w:w="142" w:type="dxa"/>
            <w:shd w:val="clear" w:color="auto" w:fill="auto"/>
            <w:noWrap/>
            <w:textDirection w:val="btLr"/>
            <w:vAlign w:val="center"/>
            <w:hideMark/>
          </w:tcPr>
          <w:p w14:paraId="6BDE240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Ejecución</w:t>
            </w:r>
          </w:p>
        </w:tc>
        <w:tc>
          <w:tcPr>
            <w:tcW w:w="142" w:type="dxa"/>
            <w:shd w:val="clear" w:color="auto" w:fill="auto"/>
            <w:noWrap/>
            <w:textDirection w:val="btLr"/>
            <w:vAlign w:val="center"/>
            <w:hideMark/>
          </w:tcPr>
          <w:p w14:paraId="44190C4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Operacional</w:t>
            </w:r>
          </w:p>
        </w:tc>
        <w:tc>
          <w:tcPr>
            <w:tcW w:w="726" w:type="dxa"/>
            <w:shd w:val="clear" w:color="auto" w:fill="auto"/>
            <w:vAlign w:val="center"/>
            <w:hideMark/>
          </w:tcPr>
          <w:p w14:paraId="0FF9548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b/>
                <w:bCs/>
                <w:color w:val="000000" w:themeColor="text1"/>
                <w:sz w:val="10"/>
                <w:szCs w:val="10"/>
                <w:lang w:eastAsia="es-CO"/>
              </w:rPr>
              <w:t>Ejecución de mayores cantidades de obra no autorizadas, por  materiales y/o procedimientos constructivos inadecuados, y/o</w:t>
            </w:r>
            <w:r w:rsidRPr="00B821D5">
              <w:rPr>
                <w:rFonts w:ascii="Arial Narrow" w:hAnsi="Arial Narrow" w:cs="Arial"/>
                <w:color w:val="000000" w:themeColor="text1"/>
                <w:sz w:val="10"/>
                <w:szCs w:val="10"/>
                <w:lang w:eastAsia="es-CO"/>
              </w:rPr>
              <w:t xml:space="preserve"> por deficiente programación  de ejecución de las obras. </w:t>
            </w:r>
          </w:p>
        </w:tc>
        <w:tc>
          <w:tcPr>
            <w:tcW w:w="601" w:type="dxa"/>
            <w:shd w:val="clear" w:color="auto" w:fill="auto"/>
            <w:vAlign w:val="center"/>
            <w:hideMark/>
          </w:tcPr>
          <w:p w14:paraId="6B2C196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xml:space="preserve">Demora en la ejecución de la obra  por correctivos necesarios.   </w:t>
            </w:r>
          </w:p>
        </w:tc>
        <w:tc>
          <w:tcPr>
            <w:tcW w:w="136" w:type="dxa"/>
            <w:shd w:val="clear" w:color="auto" w:fill="auto"/>
            <w:noWrap/>
            <w:vAlign w:val="center"/>
            <w:hideMark/>
          </w:tcPr>
          <w:p w14:paraId="15D863C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noWrap/>
            <w:vAlign w:val="center"/>
            <w:hideMark/>
          </w:tcPr>
          <w:p w14:paraId="2977D86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noWrap/>
            <w:vAlign w:val="center"/>
            <w:hideMark/>
          </w:tcPr>
          <w:p w14:paraId="75B4BEF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4</w:t>
            </w:r>
          </w:p>
        </w:tc>
        <w:tc>
          <w:tcPr>
            <w:tcW w:w="263" w:type="dxa"/>
            <w:shd w:val="clear" w:color="auto" w:fill="auto"/>
            <w:vAlign w:val="center"/>
            <w:hideMark/>
          </w:tcPr>
          <w:p w14:paraId="320F707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269" w:type="dxa"/>
            <w:shd w:val="clear" w:color="auto" w:fill="auto"/>
            <w:vAlign w:val="center"/>
            <w:hideMark/>
          </w:tcPr>
          <w:p w14:paraId="155936A8"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w:t>
            </w:r>
          </w:p>
        </w:tc>
        <w:tc>
          <w:tcPr>
            <w:tcW w:w="544" w:type="dxa"/>
            <w:shd w:val="clear" w:color="auto" w:fill="auto"/>
            <w:vAlign w:val="center"/>
            <w:hideMark/>
          </w:tcPr>
          <w:p w14:paraId="1A9286D4"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926" w:type="dxa"/>
            <w:shd w:val="clear" w:color="auto" w:fill="auto"/>
            <w:vAlign w:val="center"/>
            <w:hideMark/>
          </w:tcPr>
          <w:p w14:paraId="024B248C"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xml:space="preserve">Interventoría permanente en la ejecución de las obras, para controlar obras autorizadas, materiales, procedimientos constructivos , ajustados a las obras requeridas y especificaciones técnicas contractuales. </w:t>
            </w:r>
          </w:p>
        </w:tc>
        <w:tc>
          <w:tcPr>
            <w:tcW w:w="136" w:type="dxa"/>
            <w:shd w:val="clear" w:color="auto" w:fill="auto"/>
            <w:vAlign w:val="center"/>
            <w:hideMark/>
          </w:tcPr>
          <w:p w14:paraId="17C5C4C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auto" w:fill="auto"/>
            <w:vAlign w:val="center"/>
            <w:hideMark/>
          </w:tcPr>
          <w:p w14:paraId="191C0AA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auto" w:fill="auto"/>
            <w:vAlign w:val="center"/>
            <w:hideMark/>
          </w:tcPr>
          <w:p w14:paraId="63D15DC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263" w:type="dxa"/>
            <w:shd w:val="clear" w:color="auto" w:fill="auto"/>
            <w:vAlign w:val="center"/>
            <w:hideMark/>
          </w:tcPr>
          <w:p w14:paraId="7208064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481" w:type="dxa"/>
            <w:shd w:val="clear" w:color="auto" w:fill="auto"/>
            <w:vAlign w:val="center"/>
            <w:hideMark/>
          </w:tcPr>
          <w:p w14:paraId="38E5508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NO</w:t>
            </w:r>
          </w:p>
        </w:tc>
        <w:tc>
          <w:tcPr>
            <w:tcW w:w="576" w:type="dxa"/>
            <w:shd w:val="clear" w:color="auto" w:fill="auto"/>
            <w:vAlign w:val="center"/>
            <w:hideMark/>
          </w:tcPr>
          <w:p w14:paraId="504ED4DC"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Gestores y/o Supervisores, Interventor-Contratista</w:t>
            </w:r>
          </w:p>
        </w:tc>
        <w:tc>
          <w:tcPr>
            <w:tcW w:w="654" w:type="dxa"/>
            <w:shd w:val="clear" w:color="auto" w:fill="auto"/>
            <w:vAlign w:val="center"/>
            <w:hideMark/>
          </w:tcPr>
          <w:p w14:paraId="7B48CDE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Al inicio de la ejecución del contrato</w:t>
            </w:r>
          </w:p>
        </w:tc>
        <w:tc>
          <w:tcPr>
            <w:tcW w:w="654" w:type="dxa"/>
            <w:shd w:val="clear" w:color="auto" w:fill="auto"/>
            <w:vAlign w:val="center"/>
            <w:hideMark/>
          </w:tcPr>
          <w:p w14:paraId="330F991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 la terminación de la ejecución del contrato</w:t>
            </w:r>
          </w:p>
        </w:tc>
        <w:tc>
          <w:tcPr>
            <w:tcW w:w="689" w:type="dxa"/>
            <w:shd w:val="clear" w:color="auto" w:fill="auto"/>
            <w:vAlign w:val="center"/>
            <w:hideMark/>
          </w:tcPr>
          <w:p w14:paraId="7870EB8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xml:space="preserve">Control permanente por parte del Interventor de la  ejecución de las obras requeridas del proyecto y del cumplimiento de especificaciones técnicas.  </w:t>
            </w:r>
          </w:p>
        </w:tc>
        <w:tc>
          <w:tcPr>
            <w:tcW w:w="654" w:type="dxa"/>
            <w:shd w:val="clear" w:color="auto" w:fill="auto"/>
            <w:vAlign w:val="center"/>
            <w:hideMark/>
          </w:tcPr>
          <w:p w14:paraId="1F08BAF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xml:space="preserve">diario </w:t>
            </w:r>
          </w:p>
        </w:tc>
      </w:tr>
      <w:tr w:rsidR="00EB718C" w:rsidRPr="00B821D5" w14:paraId="3CE27A37" w14:textId="77777777" w:rsidTr="001E29CD">
        <w:trPr>
          <w:trHeight w:val="2535"/>
        </w:trPr>
        <w:tc>
          <w:tcPr>
            <w:tcW w:w="135" w:type="dxa"/>
            <w:shd w:val="clear" w:color="auto" w:fill="auto"/>
            <w:noWrap/>
            <w:vAlign w:val="center"/>
            <w:hideMark/>
          </w:tcPr>
          <w:p w14:paraId="1BA9ED9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11</w:t>
            </w:r>
          </w:p>
        </w:tc>
        <w:tc>
          <w:tcPr>
            <w:tcW w:w="141" w:type="dxa"/>
            <w:shd w:val="clear" w:color="auto" w:fill="auto"/>
            <w:noWrap/>
            <w:textDirection w:val="btLr"/>
            <w:vAlign w:val="center"/>
            <w:hideMark/>
          </w:tcPr>
          <w:p w14:paraId="610B5F7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Especifico</w:t>
            </w:r>
          </w:p>
        </w:tc>
        <w:tc>
          <w:tcPr>
            <w:tcW w:w="142" w:type="dxa"/>
            <w:shd w:val="clear" w:color="auto" w:fill="auto"/>
            <w:noWrap/>
            <w:textDirection w:val="btLr"/>
            <w:vAlign w:val="center"/>
            <w:hideMark/>
          </w:tcPr>
          <w:p w14:paraId="0C593963"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Interno</w:t>
            </w:r>
          </w:p>
        </w:tc>
        <w:tc>
          <w:tcPr>
            <w:tcW w:w="142" w:type="dxa"/>
            <w:shd w:val="clear" w:color="auto" w:fill="auto"/>
            <w:noWrap/>
            <w:textDirection w:val="btLr"/>
            <w:vAlign w:val="center"/>
            <w:hideMark/>
          </w:tcPr>
          <w:p w14:paraId="55FB3B7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Ejecución</w:t>
            </w:r>
          </w:p>
        </w:tc>
        <w:tc>
          <w:tcPr>
            <w:tcW w:w="142" w:type="dxa"/>
            <w:shd w:val="clear" w:color="auto" w:fill="auto"/>
            <w:noWrap/>
            <w:textDirection w:val="btLr"/>
            <w:vAlign w:val="center"/>
            <w:hideMark/>
          </w:tcPr>
          <w:p w14:paraId="22244BE6"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Operacional</w:t>
            </w:r>
          </w:p>
        </w:tc>
        <w:tc>
          <w:tcPr>
            <w:tcW w:w="726" w:type="dxa"/>
            <w:shd w:val="clear" w:color="auto" w:fill="auto"/>
            <w:vAlign w:val="center"/>
            <w:hideMark/>
          </w:tcPr>
          <w:p w14:paraId="658074F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b/>
                <w:bCs/>
                <w:color w:val="000000" w:themeColor="text1"/>
                <w:sz w:val="10"/>
                <w:szCs w:val="10"/>
                <w:lang w:eastAsia="es-CO"/>
              </w:rPr>
              <w:t>Variación de cantidades de obra debidamente justificadas:</w:t>
            </w:r>
            <w:r w:rsidRPr="00B821D5">
              <w:rPr>
                <w:rFonts w:ascii="Arial Narrow" w:hAnsi="Arial Narrow" w:cs="Arial"/>
                <w:color w:val="000000" w:themeColor="text1"/>
                <w:sz w:val="10"/>
                <w:szCs w:val="10"/>
                <w:lang w:eastAsia="es-CO"/>
              </w:rPr>
              <w:t xml:space="preserve"> Son los efectos derivados de los cambios en las condiciones técnicas que incrementen o disminuyan las cantidades previstas  para la ejecución de las obras. MUNICIPIO asume las variaciones de las cantidades de obra técnicamente requeridas para la ejecución del proyecto y el Contratista asume el riesgo de ejecutar las cantidades de obra en las variaciones que sean necesarias.</w:t>
            </w:r>
          </w:p>
        </w:tc>
        <w:tc>
          <w:tcPr>
            <w:tcW w:w="601" w:type="dxa"/>
            <w:shd w:val="clear" w:color="auto" w:fill="auto"/>
            <w:vAlign w:val="center"/>
            <w:hideMark/>
          </w:tcPr>
          <w:p w14:paraId="0C1433B3"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Genera variación de las cantidades de obra previstas inicialmente, siendo necesario ajustes al balance de cantidades de obra, para ceñirse al presupuesto contractual.</w:t>
            </w:r>
          </w:p>
        </w:tc>
        <w:tc>
          <w:tcPr>
            <w:tcW w:w="136" w:type="dxa"/>
            <w:shd w:val="clear" w:color="auto" w:fill="auto"/>
            <w:noWrap/>
            <w:vAlign w:val="center"/>
            <w:hideMark/>
          </w:tcPr>
          <w:p w14:paraId="7E10193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4</w:t>
            </w:r>
          </w:p>
        </w:tc>
        <w:tc>
          <w:tcPr>
            <w:tcW w:w="136" w:type="dxa"/>
            <w:shd w:val="clear" w:color="auto" w:fill="auto"/>
            <w:noWrap/>
            <w:vAlign w:val="center"/>
            <w:hideMark/>
          </w:tcPr>
          <w:p w14:paraId="4AA34B5C"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3</w:t>
            </w:r>
          </w:p>
        </w:tc>
        <w:tc>
          <w:tcPr>
            <w:tcW w:w="136" w:type="dxa"/>
            <w:shd w:val="clear" w:color="auto" w:fill="auto"/>
            <w:noWrap/>
            <w:vAlign w:val="center"/>
            <w:hideMark/>
          </w:tcPr>
          <w:p w14:paraId="758EEB4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7</w:t>
            </w:r>
          </w:p>
        </w:tc>
        <w:tc>
          <w:tcPr>
            <w:tcW w:w="263" w:type="dxa"/>
            <w:shd w:val="clear" w:color="auto" w:fill="auto"/>
            <w:vAlign w:val="center"/>
            <w:hideMark/>
          </w:tcPr>
          <w:p w14:paraId="06E3E67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Alto</w:t>
            </w:r>
          </w:p>
        </w:tc>
        <w:tc>
          <w:tcPr>
            <w:tcW w:w="269" w:type="dxa"/>
            <w:shd w:val="clear" w:color="auto" w:fill="auto"/>
            <w:vAlign w:val="center"/>
            <w:hideMark/>
          </w:tcPr>
          <w:p w14:paraId="700E4D82"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544" w:type="dxa"/>
            <w:shd w:val="clear" w:color="auto" w:fill="auto"/>
            <w:vAlign w:val="center"/>
            <w:hideMark/>
          </w:tcPr>
          <w:p w14:paraId="6FC056FB"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926" w:type="dxa"/>
            <w:shd w:val="clear" w:color="auto" w:fill="auto"/>
            <w:vAlign w:val="center"/>
            <w:hideMark/>
          </w:tcPr>
          <w:p w14:paraId="40D5C49C"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Planeación, revisión, ajuste y seguimiento en la fase precontractual y contractual de forma adecuada de los diseños y cantidades de obra.</w:t>
            </w:r>
          </w:p>
        </w:tc>
        <w:tc>
          <w:tcPr>
            <w:tcW w:w="136" w:type="dxa"/>
            <w:shd w:val="clear" w:color="auto" w:fill="auto"/>
            <w:vAlign w:val="center"/>
            <w:hideMark/>
          </w:tcPr>
          <w:p w14:paraId="63E45E06"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3</w:t>
            </w:r>
          </w:p>
        </w:tc>
        <w:tc>
          <w:tcPr>
            <w:tcW w:w="136" w:type="dxa"/>
            <w:shd w:val="clear" w:color="auto" w:fill="auto"/>
            <w:vAlign w:val="center"/>
            <w:hideMark/>
          </w:tcPr>
          <w:p w14:paraId="4AF805B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vAlign w:val="center"/>
            <w:hideMark/>
          </w:tcPr>
          <w:p w14:paraId="280008C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5</w:t>
            </w:r>
          </w:p>
        </w:tc>
        <w:tc>
          <w:tcPr>
            <w:tcW w:w="263" w:type="dxa"/>
            <w:shd w:val="clear" w:color="auto" w:fill="auto"/>
            <w:vAlign w:val="center"/>
            <w:hideMark/>
          </w:tcPr>
          <w:p w14:paraId="245DCF8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Medio</w:t>
            </w:r>
          </w:p>
        </w:tc>
        <w:tc>
          <w:tcPr>
            <w:tcW w:w="481" w:type="dxa"/>
            <w:shd w:val="clear" w:color="auto" w:fill="auto"/>
            <w:vAlign w:val="center"/>
            <w:hideMark/>
          </w:tcPr>
          <w:p w14:paraId="3DF0277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NO</w:t>
            </w:r>
          </w:p>
        </w:tc>
        <w:tc>
          <w:tcPr>
            <w:tcW w:w="576" w:type="dxa"/>
            <w:shd w:val="clear" w:color="auto" w:fill="auto"/>
            <w:vAlign w:val="center"/>
            <w:hideMark/>
          </w:tcPr>
          <w:p w14:paraId="4126F8D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Gestores y/o Supervisores, Interventor-Contratista</w:t>
            </w:r>
          </w:p>
        </w:tc>
        <w:tc>
          <w:tcPr>
            <w:tcW w:w="654" w:type="dxa"/>
            <w:shd w:val="clear" w:color="auto" w:fill="auto"/>
            <w:vAlign w:val="center"/>
            <w:hideMark/>
          </w:tcPr>
          <w:p w14:paraId="0F26211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Al inicio de la ejecución del contrato</w:t>
            </w:r>
          </w:p>
        </w:tc>
        <w:tc>
          <w:tcPr>
            <w:tcW w:w="654" w:type="dxa"/>
            <w:shd w:val="clear" w:color="auto" w:fill="auto"/>
            <w:vAlign w:val="center"/>
            <w:hideMark/>
          </w:tcPr>
          <w:p w14:paraId="44CF101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 la terminación de la ejecución del contrato</w:t>
            </w:r>
          </w:p>
        </w:tc>
        <w:tc>
          <w:tcPr>
            <w:tcW w:w="689" w:type="dxa"/>
            <w:shd w:val="clear" w:color="auto" w:fill="auto"/>
            <w:vAlign w:val="center"/>
            <w:hideMark/>
          </w:tcPr>
          <w:p w14:paraId="56A8514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Análisis y revisión de los estudios realizados y revisión de las cantidades contractuales, a medida que se va ejecutando el proyecto, para realizar ajustes de ser necesario.</w:t>
            </w:r>
          </w:p>
        </w:tc>
        <w:tc>
          <w:tcPr>
            <w:tcW w:w="654" w:type="dxa"/>
            <w:shd w:val="clear" w:color="auto" w:fill="auto"/>
            <w:vAlign w:val="center"/>
            <w:hideMark/>
          </w:tcPr>
          <w:p w14:paraId="12435A0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mensual</w:t>
            </w:r>
          </w:p>
        </w:tc>
      </w:tr>
      <w:tr w:rsidR="00EB718C" w:rsidRPr="00B821D5" w14:paraId="5EFB5283" w14:textId="77777777" w:rsidTr="001E29CD">
        <w:trPr>
          <w:trHeight w:val="2880"/>
        </w:trPr>
        <w:tc>
          <w:tcPr>
            <w:tcW w:w="135" w:type="dxa"/>
            <w:shd w:val="clear" w:color="auto" w:fill="auto"/>
            <w:noWrap/>
            <w:vAlign w:val="center"/>
            <w:hideMark/>
          </w:tcPr>
          <w:p w14:paraId="5777737C"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lastRenderedPageBreak/>
              <w:t>12</w:t>
            </w:r>
          </w:p>
        </w:tc>
        <w:tc>
          <w:tcPr>
            <w:tcW w:w="141" w:type="dxa"/>
            <w:shd w:val="clear" w:color="auto" w:fill="auto"/>
            <w:noWrap/>
            <w:textDirection w:val="btLr"/>
            <w:vAlign w:val="center"/>
            <w:hideMark/>
          </w:tcPr>
          <w:p w14:paraId="1C963E4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Especifico</w:t>
            </w:r>
          </w:p>
        </w:tc>
        <w:tc>
          <w:tcPr>
            <w:tcW w:w="142" w:type="dxa"/>
            <w:shd w:val="clear" w:color="auto" w:fill="auto"/>
            <w:noWrap/>
            <w:textDirection w:val="btLr"/>
            <w:vAlign w:val="center"/>
            <w:hideMark/>
          </w:tcPr>
          <w:p w14:paraId="4AE008A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Interno</w:t>
            </w:r>
          </w:p>
        </w:tc>
        <w:tc>
          <w:tcPr>
            <w:tcW w:w="142" w:type="dxa"/>
            <w:shd w:val="clear" w:color="auto" w:fill="auto"/>
            <w:noWrap/>
            <w:textDirection w:val="btLr"/>
            <w:vAlign w:val="center"/>
            <w:hideMark/>
          </w:tcPr>
          <w:p w14:paraId="0FB8C6D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Ejecucion</w:t>
            </w:r>
          </w:p>
        </w:tc>
        <w:tc>
          <w:tcPr>
            <w:tcW w:w="142" w:type="dxa"/>
            <w:shd w:val="clear" w:color="auto" w:fill="auto"/>
            <w:noWrap/>
            <w:textDirection w:val="btLr"/>
            <w:vAlign w:val="center"/>
            <w:hideMark/>
          </w:tcPr>
          <w:p w14:paraId="3EB1B7B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Operacional</w:t>
            </w:r>
          </w:p>
        </w:tc>
        <w:tc>
          <w:tcPr>
            <w:tcW w:w="726" w:type="dxa"/>
            <w:shd w:val="clear" w:color="auto" w:fill="auto"/>
            <w:vAlign w:val="center"/>
            <w:hideMark/>
          </w:tcPr>
          <w:p w14:paraId="42E2DB5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b/>
                <w:bCs/>
                <w:color w:val="000000" w:themeColor="text1"/>
                <w:sz w:val="10"/>
                <w:szCs w:val="10"/>
                <w:lang w:eastAsia="es-CO"/>
              </w:rPr>
              <w:t>Modificación y/o cambios de ubicación en las fuentes de materiales y/o Lugares de disposición de sobrantes, presentados y/o propuestos y/o proyectados  por el PROPONENTE Y/O CONTRATISTA</w:t>
            </w:r>
            <w:r w:rsidRPr="00B821D5">
              <w:rPr>
                <w:rFonts w:ascii="Arial Narrow" w:hAnsi="Arial Narrow" w:cs="Arial"/>
                <w:color w:val="000000" w:themeColor="text1"/>
                <w:sz w:val="10"/>
                <w:szCs w:val="10"/>
                <w:lang w:eastAsia="es-CO"/>
              </w:rPr>
              <w:t xml:space="preserve">. Hace referencia al riesgo técnico, económico, ambiental y/o social, en cuanto a calidad y cantidad del material, explotación y su distancia de acarreo para las fuentes de materiales y/o para los lugares de disposición de sobrantes.  Le corresponde al interesado o proponente verificar en la región del proyecto las fuentes de materiales y lugares de disposición de sobrantes a emplear, para la presentación de una propuesta acorde con las obras a ejecutar. </w:t>
            </w:r>
          </w:p>
        </w:tc>
        <w:tc>
          <w:tcPr>
            <w:tcW w:w="601" w:type="dxa"/>
            <w:shd w:val="clear" w:color="auto" w:fill="auto"/>
            <w:vAlign w:val="center"/>
            <w:hideMark/>
          </w:tcPr>
          <w:p w14:paraId="1405D1A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Impacto económico al Contratista</w:t>
            </w:r>
          </w:p>
        </w:tc>
        <w:tc>
          <w:tcPr>
            <w:tcW w:w="136" w:type="dxa"/>
            <w:shd w:val="clear" w:color="auto" w:fill="auto"/>
            <w:noWrap/>
            <w:vAlign w:val="center"/>
            <w:hideMark/>
          </w:tcPr>
          <w:p w14:paraId="3E49CCB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3</w:t>
            </w:r>
          </w:p>
        </w:tc>
        <w:tc>
          <w:tcPr>
            <w:tcW w:w="136" w:type="dxa"/>
            <w:shd w:val="clear" w:color="auto" w:fill="auto"/>
            <w:noWrap/>
            <w:vAlign w:val="center"/>
            <w:hideMark/>
          </w:tcPr>
          <w:p w14:paraId="303F4D6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noWrap/>
            <w:vAlign w:val="center"/>
            <w:hideMark/>
          </w:tcPr>
          <w:p w14:paraId="0789B98C"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5</w:t>
            </w:r>
          </w:p>
        </w:tc>
        <w:tc>
          <w:tcPr>
            <w:tcW w:w="263" w:type="dxa"/>
            <w:shd w:val="clear" w:color="auto" w:fill="auto"/>
            <w:vAlign w:val="center"/>
            <w:hideMark/>
          </w:tcPr>
          <w:p w14:paraId="499FE1C3"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Medio</w:t>
            </w:r>
          </w:p>
        </w:tc>
        <w:tc>
          <w:tcPr>
            <w:tcW w:w="269" w:type="dxa"/>
            <w:shd w:val="clear" w:color="auto" w:fill="auto"/>
            <w:vAlign w:val="center"/>
            <w:hideMark/>
          </w:tcPr>
          <w:p w14:paraId="15A4CEA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w:t>
            </w:r>
          </w:p>
        </w:tc>
        <w:tc>
          <w:tcPr>
            <w:tcW w:w="544" w:type="dxa"/>
            <w:shd w:val="clear" w:color="auto" w:fill="auto"/>
            <w:vAlign w:val="center"/>
            <w:hideMark/>
          </w:tcPr>
          <w:p w14:paraId="6E97D9B1"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926" w:type="dxa"/>
            <w:shd w:val="clear" w:color="auto" w:fill="auto"/>
            <w:vAlign w:val="center"/>
            <w:hideMark/>
          </w:tcPr>
          <w:p w14:paraId="5287480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Planeación, revisión, ajuste y seguimiento en la fase precontractual   a las fuentes de materiales y/o lugares de disposición de sobrantes para el proyecto. En la fase contractual verificación del cumplimiento de especificaciones técnicas de los materiales, así como el cumplimiento de los requisitos técnicos y ambientales de los lugares de disposiciónde sobrantes.</w:t>
            </w:r>
          </w:p>
        </w:tc>
        <w:tc>
          <w:tcPr>
            <w:tcW w:w="136" w:type="dxa"/>
            <w:shd w:val="clear" w:color="auto" w:fill="auto"/>
            <w:vAlign w:val="center"/>
            <w:hideMark/>
          </w:tcPr>
          <w:p w14:paraId="2AE2D73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vAlign w:val="center"/>
            <w:hideMark/>
          </w:tcPr>
          <w:p w14:paraId="5B67F67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vAlign w:val="center"/>
            <w:hideMark/>
          </w:tcPr>
          <w:p w14:paraId="3E66C24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4</w:t>
            </w:r>
          </w:p>
        </w:tc>
        <w:tc>
          <w:tcPr>
            <w:tcW w:w="263" w:type="dxa"/>
            <w:shd w:val="clear" w:color="auto" w:fill="auto"/>
            <w:vAlign w:val="center"/>
            <w:hideMark/>
          </w:tcPr>
          <w:p w14:paraId="07387E4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481" w:type="dxa"/>
            <w:shd w:val="clear" w:color="auto" w:fill="auto"/>
            <w:vAlign w:val="center"/>
            <w:hideMark/>
          </w:tcPr>
          <w:p w14:paraId="1D514B2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NO</w:t>
            </w:r>
          </w:p>
        </w:tc>
        <w:tc>
          <w:tcPr>
            <w:tcW w:w="576" w:type="dxa"/>
            <w:shd w:val="clear" w:color="auto" w:fill="auto"/>
            <w:vAlign w:val="center"/>
            <w:hideMark/>
          </w:tcPr>
          <w:p w14:paraId="52BBE29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Gestores y/o Supervisores, Interventor-Contratista</w:t>
            </w:r>
          </w:p>
        </w:tc>
        <w:tc>
          <w:tcPr>
            <w:tcW w:w="654" w:type="dxa"/>
            <w:shd w:val="clear" w:color="auto" w:fill="auto"/>
            <w:vAlign w:val="center"/>
            <w:hideMark/>
          </w:tcPr>
          <w:p w14:paraId="0CF09E2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En la planeación del proyecto y en la etapa precontractual</w:t>
            </w:r>
          </w:p>
        </w:tc>
        <w:tc>
          <w:tcPr>
            <w:tcW w:w="654" w:type="dxa"/>
            <w:shd w:val="clear" w:color="auto" w:fill="auto"/>
            <w:vAlign w:val="center"/>
            <w:hideMark/>
          </w:tcPr>
          <w:p w14:paraId="05EF720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 la terminación de la ejecución del contrato</w:t>
            </w:r>
          </w:p>
        </w:tc>
        <w:tc>
          <w:tcPr>
            <w:tcW w:w="689" w:type="dxa"/>
            <w:shd w:val="clear" w:color="auto" w:fill="auto"/>
            <w:vAlign w:val="center"/>
            <w:hideMark/>
          </w:tcPr>
          <w:p w14:paraId="4DF6D4D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Comites Técnicos, Seguimiento a la ejecución de la obra, suministro de materiales acorde con las especificaciones técnicas contractuales, disposición de materiales sobrantes en los sitios autorizados, verificación de pagos con precios contractuales, sin reajustes por distancias de acarreo de materiales.  informes de interventoría.</w:t>
            </w:r>
          </w:p>
        </w:tc>
        <w:tc>
          <w:tcPr>
            <w:tcW w:w="654" w:type="dxa"/>
            <w:shd w:val="clear" w:color="auto" w:fill="auto"/>
            <w:vAlign w:val="center"/>
            <w:hideMark/>
          </w:tcPr>
          <w:p w14:paraId="1150ACA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mensual</w:t>
            </w:r>
          </w:p>
        </w:tc>
      </w:tr>
      <w:tr w:rsidR="00EB718C" w:rsidRPr="00B821D5" w14:paraId="12D88E83" w14:textId="77777777" w:rsidTr="001E29CD">
        <w:trPr>
          <w:trHeight w:val="2375"/>
        </w:trPr>
        <w:tc>
          <w:tcPr>
            <w:tcW w:w="135" w:type="dxa"/>
            <w:shd w:val="clear" w:color="000000" w:fill="FFFFFF"/>
            <w:noWrap/>
            <w:vAlign w:val="center"/>
            <w:hideMark/>
          </w:tcPr>
          <w:p w14:paraId="6A99440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13</w:t>
            </w:r>
          </w:p>
        </w:tc>
        <w:tc>
          <w:tcPr>
            <w:tcW w:w="141" w:type="dxa"/>
            <w:shd w:val="clear" w:color="000000" w:fill="FFFFFF"/>
            <w:noWrap/>
            <w:textDirection w:val="btLr"/>
            <w:vAlign w:val="center"/>
            <w:hideMark/>
          </w:tcPr>
          <w:p w14:paraId="14D2C11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Específico</w:t>
            </w:r>
          </w:p>
        </w:tc>
        <w:tc>
          <w:tcPr>
            <w:tcW w:w="142" w:type="dxa"/>
            <w:shd w:val="clear" w:color="000000" w:fill="FFFFFF"/>
            <w:noWrap/>
            <w:textDirection w:val="btLr"/>
            <w:vAlign w:val="center"/>
            <w:hideMark/>
          </w:tcPr>
          <w:p w14:paraId="74466A5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Interno</w:t>
            </w:r>
          </w:p>
        </w:tc>
        <w:tc>
          <w:tcPr>
            <w:tcW w:w="142" w:type="dxa"/>
            <w:shd w:val="clear" w:color="000000" w:fill="FFFFFF"/>
            <w:noWrap/>
            <w:textDirection w:val="btLr"/>
            <w:vAlign w:val="center"/>
            <w:hideMark/>
          </w:tcPr>
          <w:p w14:paraId="4C6992E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Ejecucion</w:t>
            </w:r>
          </w:p>
        </w:tc>
        <w:tc>
          <w:tcPr>
            <w:tcW w:w="142" w:type="dxa"/>
            <w:shd w:val="clear" w:color="000000" w:fill="FFFFFF"/>
            <w:noWrap/>
            <w:textDirection w:val="btLr"/>
            <w:vAlign w:val="center"/>
            <w:hideMark/>
          </w:tcPr>
          <w:p w14:paraId="0935439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de la  Naturaleza</w:t>
            </w:r>
          </w:p>
        </w:tc>
        <w:tc>
          <w:tcPr>
            <w:tcW w:w="726" w:type="dxa"/>
            <w:shd w:val="clear" w:color="auto" w:fill="auto"/>
            <w:vAlign w:val="center"/>
            <w:hideMark/>
          </w:tcPr>
          <w:p w14:paraId="5B6DEC7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b/>
                <w:bCs/>
                <w:color w:val="000000" w:themeColor="text1"/>
                <w:sz w:val="10"/>
                <w:szCs w:val="10"/>
                <w:lang w:eastAsia="es-CO"/>
              </w:rPr>
              <w:t>Inestabilidad Geológica, Geotécnica,  Hidrogeológica. El r</w:t>
            </w:r>
            <w:r w:rsidRPr="00B821D5">
              <w:rPr>
                <w:rFonts w:ascii="Arial Narrow" w:hAnsi="Arial Narrow" w:cs="Arial"/>
                <w:color w:val="000000" w:themeColor="text1"/>
                <w:sz w:val="10"/>
                <w:szCs w:val="10"/>
                <w:lang w:eastAsia="es-CO"/>
              </w:rPr>
              <w:t xml:space="preserve">iesgo  puede surgir en taludes, en excavaciones a cielo abierto, efectos de erosión de márgenes  de los  ríos,  los cualespueden requerir  de tratamiento especial de refuerzo, soporte, drenajes, tratamiento de taludes,  contenciones y/o de las actividades necesarias para dar estabilidad a sitios y obras.   Pueden estar asociados con mayores inversiones, mayores cantidades de obra y mayores plazos.  El  Contratista de Obra,  asumirá  los riesgos geológico, geotécnico e hidrogeológicos identificados, y los que </w:t>
            </w:r>
            <w:r w:rsidRPr="00B821D5">
              <w:rPr>
                <w:rFonts w:ascii="Arial Narrow" w:hAnsi="Arial Narrow" w:cs="Arial"/>
                <w:color w:val="000000" w:themeColor="text1"/>
                <w:sz w:val="10"/>
                <w:szCs w:val="10"/>
                <w:lang w:eastAsia="es-CO"/>
              </w:rPr>
              <w:lastRenderedPageBreak/>
              <w:t>debio identificar en el ajuste y/o elaboracion de estudios y diseños y los que se presenten durante la ejecuición del contrato. EL MUNICIPIO asume el Riesgo por concepto de mayores cantidades de obra que sean necesarias, siempre y cuando no sean de responsabilidad del Contratista.</w:t>
            </w:r>
          </w:p>
        </w:tc>
        <w:tc>
          <w:tcPr>
            <w:tcW w:w="601" w:type="dxa"/>
            <w:shd w:val="clear" w:color="000000" w:fill="FFFFFF"/>
            <w:vAlign w:val="center"/>
            <w:hideMark/>
          </w:tcPr>
          <w:p w14:paraId="231656F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lastRenderedPageBreak/>
              <w:t xml:space="preserve">Impacto negativo en el desarrollo del objeto contractual, Aumento de costos por necesidad de mayores cantidades de obra , y eventuales mayores plazos </w:t>
            </w:r>
          </w:p>
        </w:tc>
        <w:tc>
          <w:tcPr>
            <w:tcW w:w="136" w:type="dxa"/>
            <w:shd w:val="clear" w:color="000000" w:fill="FFFFFF"/>
            <w:noWrap/>
            <w:vAlign w:val="center"/>
            <w:hideMark/>
          </w:tcPr>
          <w:p w14:paraId="2B124C1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3</w:t>
            </w:r>
          </w:p>
        </w:tc>
        <w:tc>
          <w:tcPr>
            <w:tcW w:w="136" w:type="dxa"/>
            <w:shd w:val="clear" w:color="000000" w:fill="FFFFFF"/>
            <w:noWrap/>
            <w:vAlign w:val="center"/>
            <w:hideMark/>
          </w:tcPr>
          <w:p w14:paraId="77FE07D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3</w:t>
            </w:r>
          </w:p>
        </w:tc>
        <w:tc>
          <w:tcPr>
            <w:tcW w:w="136" w:type="dxa"/>
            <w:shd w:val="clear" w:color="auto" w:fill="auto"/>
            <w:noWrap/>
            <w:vAlign w:val="center"/>
            <w:hideMark/>
          </w:tcPr>
          <w:p w14:paraId="677EA14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6</w:t>
            </w:r>
          </w:p>
        </w:tc>
        <w:tc>
          <w:tcPr>
            <w:tcW w:w="263" w:type="dxa"/>
            <w:shd w:val="clear" w:color="000000" w:fill="FFFFFF"/>
            <w:vAlign w:val="center"/>
            <w:hideMark/>
          </w:tcPr>
          <w:p w14:paraId="7FFD53F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Alto</w:t>
            </w:r>
          </w:p>
        </w:tc>
        <w:tc>
          <w:tcPr>
            <w:tcW w:w="269" w:type="dxa"/>
            <w:shd w:val="clear" w:color="000000" w:fill="FFFFFF"/>
            <w:vAlign w:val="center"/>
            <w:hideMark/>
          </w:tcPr>
          <w:p w14:paraId="348C0A25"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w:t>
            </w:r>
          </w:p>
        </w:tc>
        <w:tc>
          <w:tcPr>
            <w:tcW w:w="544" w:type="dxa"/>
            <w:shd w:val="clear" w:color="000000" w:fill="FFFFFF"/>
            <w:vAlign w:val="center"/>
            <w:hideMark/>
          </w:tcPr>
          <w:p w14:paraId="7B6E0361"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926" w:type="dxa"/>
            <w:shd w:val="clear" w:color="000000" w:fill="FFFFFF"/>
            <w:vAlign w:val="center"/>
            <w:hideMark/>
          </w:tcPr>
          <w:p w14:paraId="4684AD8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Monitoreo del corredor vial por parte de Especialistas en Geotecnia para recomendar medidas preventivas, correctivas ó de mitigación  de las inestabilidades observadas. Análisis e implementación de medidas pertinentes con este fin, contemplando de ser necesario la elaboración de estudios respectivos. En las emergencias que se presenten, atención inmediata de las mismas dando prioridad a las obras de transitabilidad y seguridad vial; recomendación de especialistas para solución definitiva, provisional ó de mitigación, análisis e implementación.  En todos los casos, adoptar las medidas contractuales a que haya lugar,  en cuanto a mayores cantidades de obra y plazos si fuere necesario.</w:t>
            </w:r>
          </w:p>
        </w:tc>
        <w:tc>
          <w:tcPr>
            <w:tcW w:w="136" w:type="dxa"/>
            <w:shd w:val="clear" w:color="000000" w:fill="FFFFFF"/>
            <w:vAlign w:val="center"/>
            <w:hideMark/>
          </w:tcPr>
          <w:p w14:paraId="6B02EA3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000000" w:fill="FFFFFF"/>
            <w:vAlign w:val="center"/>
            <w:hideMark/>
          </w:tcPr>
          <w:p w14:paraId="69E1153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vAlign w:val="center"/>
            <w:hideMark/>
          </w:tcPr>
          <w:p w14:paraId="7AF74D3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4</w:t>
            </w:r>
          </w:p>
        </w:tc>
        <w:tc>
          <w:tcPr>
            <w:tcW w:w="263" w:type="dxa"/>
            <w:shd w:val="clear" w:color="000000" w:fill="FFFFFF"/>
            <w:vAlign w:val="center"/>
            <w:hideMark/>
          </w:tcPr>
          <w:p w14:paraId="7C5A5BA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Medio</w:t>
            </w:r>
          </w:p>
        </w:tc>
        <w:tc>
          <w:tcPr>
            <w:tcW w:w="481" w:type="dxa"/>
            <w:shd w:val="clear" w:color="000000" w:fill="FFFFFF"/>
            <w:vAlign w:val="center"/>
            <w:hideMark/>
          </w:tcPr>
          <w:p w14:paraId="317BB8E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En emergencias de gran magnitud puede afectarse la ejecución del contrato.</w:t>
            </w:r>
          </w:p>
        </w:tc>
        <w:tc>
          <w:tcPr>
            <w:tcW w:w="576" w:type="dxa"/>
            <w:shd w:val="clear" w:color="000000" w:fill="FFFFFF"/>
            <w:vAlign w:val="center"/>
            <w:hideMark/>
          </w:tcPr>
          <w:p w14:paraId="7271C45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Gestores y/o Supervisores, Interventor-Contratista</w:t>
            </w:r>
          </w:p>
        </w:tc>
        <w:tc>
          <w:tcPr>
            <w:tcW w:w="654" w:type="dxa"/>
            <w:shd w:val="clear" w:color="000000" w:fill="FFFFFF"/>
            <w:vAlign w:val="center"/>
            <w:hideMark/>
          </w:tcPr>
          <w:p w14:paraId="11864DEC"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Al inicio de la ejecución del contrato</w:t>
            </w:r>
          </w:p>
        </w:tc>
        <w:tc>
          <w:tcPr>
            <w:tcW w:w="654" w:type="dxa"/>
            <w:shd w:val="clear" w:color="000000" w:fill="FFFFFF"/>
            <w:vAlign w:val="center"/>
            <w:hideMark/>
          </w:tcPr>
          <w:p w14:paraId="6868043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 la terminación de la ejecución del contrato</w:t>
            </w:r>
          </w:p>
        </w:tc>
        <w:tc>
          <w:tcPr>
            <w:tcW w:w="689" w:type="dxa"/>
            <w:shd w:val="clear" w:color="000000" w:fill="FFFFFF"/>
            <w:vAlign w:val="center"/>
            <w:hideMark/>
          </w:tcPr>
          <w:p w14:paraId="797695A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Visitas y recomendaciones de Especialistas, Análisis de Contratista e Interventor y si es necesario participación dEL MUNICIPIO,  Comités Técnicos, Seguimiento a implementación de medidas preventivas, correctivas ó de mitigación, Informes respectivos,  requerimientos escritos-Retroalimentación en los procedimientos adelantados por los responsables del tratamiento.</w:t>
            </w:r>
          </w:p>
        </w:tc>
        <w:tc>
          <w:tcPr>
            <w:tcW w:w="654" w:type="dxa"/>
            <w:shd w:val="clear" w:color="000000" w:fill="FFFFFF"/>
            <w:vAlign w:val="center"/>
            <w:hideMark/>
          </w:tcPr>
          <w:p w14:paraId="5557580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Al inicio del contrato, cuando se detecten nuevos sitios inestables, cuando se presenten emergencias.</w:t>
            </w:r>
          </w:p>
        </w:tc>
      </w:tr>
      <w:tr w:rsidR="00EB718C" w:rsidRPr="00B821D5" w14:paraId="391D29C9" w14:textId="77777777" w:rsidTr="001E29CD">
        <w:trPr>
          <w:trHeight w:val="2550"/>
        </w:trPr>
        <w:tc>
          <w:tcPr>
            <w:tcW w:w="135" w:type="dxa"/>
            <w:shd w:val="clear" w:color="000000" w:fill="FFFFFF"/>
            <w:noWrap/>
            <w:vAlign w:val="center"/>
            <w:hideMark/>
          </w:tcPr>
          <w:p w14:paraId="18DFF123"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14</w:t>
            </w:r>
          </w:p>
        </w:tc>
        <w:tc>
          <w:tcPr>
            <w:tcW w:w="141" w:type="dxa"/>
            <w:shd w:val="clear" w:color="000000" w:fill="FFFFFF"/>
            <w:noWrap/>
            <w:textDirection w:val="btLr"/>
            <w:vAlign w:val="center"/>
            <w:hideMark/>
          </w:tcPr>
          <w:p w14:paraId="6232925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Específico</w:t>
            </w:r>
          </w:p>
        </w:tc>
        <w:tc>
          <w:tcPr>
            <w:tcW w:w="142" w:type="dxa"/>
            <w:shd w:val="clear" w:color="000000" w:fill="FFFFFF"/>
            <w:noWrap/>
            <w:textDirection w:val="btLr"/>
            <w:vAlign w:val="center"/>
            <w:hideMark/>
          </w:tcPr>
          <w:p w14:paraId="49262B5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Interno</w:t>
            </w:r>
          </w:p>
        </w:tc>
        <w:tc>
          <w:tcPr>
            <w:tcW w:w="142" w:type="dxa"/>
            <w:shd w:val="clear" w:color="000000" w:fill="FFFFFF"/>
            <w:noWrap/>
            <w:textDirection w:val="btLr"/>
            <w:vAlign w:val="center"/>
            <w:hideMark/>
          </w:tcPr>
          <w:p w14:paraId="585A7B5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Ejecución</w:t>
            </w:r>
          </w:p>
        </w:tc>
        <w:tc>
          <w:tcPr>
            <w:tcW w:w="142" w:type="dxa"/>
            <w:shd w:val="clear" w:color="000000" w:fill="FFFFFF"/>
            <w:noWrap/>
            <w:textDirection w:val="btLr"/>
            <w:vAlign w:val="center"/>
            <w:hideMark/>
          </w:tcPr>
          <w:p w14:paraId="223B337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Operacional</w:t>
            </w:r>
          </w:p>
        </w:tc>
        <w:tc>
          <w:tcPr>
            <w:tcW w:w="726" w:type="dxa"/>
            <w:shd w:val="clear" w:color="auto" w:fill="auto"/>
            <w:vAlign w:val="center"/>
            <w:hideMark/>
          </w:tcPr>
          <w:p w14:paraId="54323B2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b/>
                <w:bCs/>
                <w:color w:val="000000" w:themeColor="text1"/>
                <w:sz w:val="10"/>
                <w:szCs w:val="10"/>
                <w:lang w:eastAsia="es-CO"/>
              </w:rPr>
              <w:t>Interferencia con las de redes de servicios públicos existentes:</w:t>
            </w:r>
            <w:r w:rsidRPr="00B821D5">
              <w:rPr>
                <w:rFonts w:ascii="Arial Narrow" w:hAnsi="Arial Narrow" w:cs="Arial"/>
                <w:color w:val="000000" w:themeColor="text1"/>
                <w:sz w:val="10"/>
                <w:szCs w:val="10"/>
                <w:lang w:eastAsia="es-CO"/>
              </w:rPr>
              <w:t xml:space="preserve"> Ocurre por la presencia de redes existentes, que puedan interferir con el proyecto, afectando el normal desarrollo de las obras. El Contratista deberá realizar todas las gestiones que correspondan. EL MUNICIPIO asumirá los costos  que corrrespondan  de acuerdo con lo establecido en el Capítulo III  de la Ley 1682 de 2013</w:t>
            </w:r>
          </w:p>
        </w:tc>
        <w:tc>
          <w:tcPr>
            <w:tcW w:w="601" w:type="dxa"/>
            <w:shd w:val="clear" w:color="000000" w:fill="FFFFFF"/>
            <w:vAlign w:val="center"/>
            <w:hideMark/>
          </w:tcPr>
          <w:p w14:paraId="2614996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xml:space="preserve">Impacto negativo en el desarrollo del objeto contractual, por la interferencia de las redes existentes con la ejecución del proyecto </w:t>
            </w:r>
          </w:p>
        </w:tc>
        <w:tc>
          <w:tcPr>
            <w:tcW w:w="136" w:type="dxa"/>
            <w:shd w:val="clear" w:color="000000" w:fill="FFFFFF"/>
            <w:noWrap/>
            <w:vAlign w:val="center"/>
            <w:hideMark/>
          </w:tcPr>
          <w:p w14:paraId="7F4E6B9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000000" w:fill="FFFFFF"/>
            <w:noWrap/>
            <w:vAlign w:val="center"/>
            <w:hideMark/>
          </w:tcPr>
          <w:p w14:paraId="7E81A7BC"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auto" w:fill="auto"/>
            <w:noWrap/>
            <w:vAlign w:val="center"/>
            <w:hideMark/>
          </w:tcPr>
          <w:p w14:paraId="4F0CE67C"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3</w:t>
            </w:r>
          </w:p>
        </w:tc>
        <w:tc>
          <w:tcPr>
            <w:tcW w:w="263" w:type="dxa"/>
            <w:shd w:val="clear" w:color="000000" w:fill="FFFFFF"/>
            <w:vAlign w:val="center"/>
            <w:hideMark/>
          </w:tcPr>
          <w:p w14:paraId="3CF3016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269" w:type="dxa"/>
            <w:shd w:val="clear" w:color="000000" w:fill="FFFFFF"/>
            <w:vAlign w:val="center"/>
            <w:hideMark/>
          </w:tcPr>
          <w:p w14:paraId="5188DA60"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544" w:type="dxa"/>
            <w:shd w:val="clear" w:color="000000" w:fill="FFFFFF"/>
            <w:vAlign w:val="center"/>
            <w:hideMark/>
          </w:tcPr>
          <w:p w14:paraId="0A2E838C"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926" w:type="dxa"/>
            <w:shd w:val="clear" w:color="000000" w:fill="FFFFFF"/>
            <w:vAlign w:val="center"/>
            <w:hideMark/>
          </w:tcPr>
          <w:p w14:paraId="35795033"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Desde la Fase Precontractual y en la etapa contractual  solicitar a las Entidades encargadas de Servicios Públicos informar  con el mayor detalle posible sobre la existencia de redes de servicios que puedan interferir con el proyecto.  En caso de detección de una red no referenciada, gestionar de inmediato lo pertinente con la Empresa de Servicios, para la menor afectación al proyecto.</w:t>
            </w:r>
          </w:p>
        </w:tc>
        <w:tc>
          <w:tcPr>
            <w:tcW w:w="136" w:type="dxa"/>
            <w:shd w:val="clear" w:color="000000" w:fill="FFFFFF"/>
            <w:vAlign w:val="center"/>
            <w:hideMark/>
          </w:tcPr>
          <w:p w14:paraId="0A06932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000000" w:fill="FFFFFF"/>
            <w:vAlign w:val="center"/>
            <w:hideMark/>
          </w:tcPr>
          <w:p w14:paraId="3948758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auto" w:fill="auto"/>
            <w:vAlign w:val="center"/>
            <w:hideMark/>
          </w:tcPr>
          <w:p w14:paraId="2BD233A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263" w:type="dxa"/>
            <w:shd w:val="clear" w:color="000000" w:fill="FFFFFF"/>
            <w:vAlign w:val="center"/>
            <w:hideMark/>
          </w:tcPr>
          <w:p w14:paraId="3A15806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481" w:type="dxa"/>
            <w:shd w:val="clear" w:color="000000" w:fill="FFFFFF"/>
            <w:vAlign w:val="center"/>
            <w:hideMark/>
          </w:tcPr>
          <w:p w14:paraId="65EC330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NO</w:t>
            </w:r>
          </w:p>
        </w:tc>
        <w:tc>
          <w:tcPr>
            <w:tcW w:w="576" w:type="dxa"/>
            <w:shd w:val="clear" w:color="000000" w:fill="FFFFFF"/>
            <w:vAlign w:val="center"/>
            <w:hideMark/>
          </w:tcPr>
          <w:p w14:paraId="316F840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Gestores y/o Supervisores, Interventor-Contratista</w:t>
            </w:r>
          </w:p>
        </w:tc>
        <w:tc>
          <w:tcPr>
            <w:tcW w:w="654" w:type="dxa"/>
            <w:shd w:val="clear" w:color="000000" w:fill="FFFFFF"/>
            <w:vAlign w:val="center"/>
            <w:hideMark/>
          </w:tcPr>
          <w:p w14:paraId="1E29595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xml:space="preserve">Fase precontractual,   y cuando se detecte la existencia de redes  de servicio público que interfieran con el proyecto </w:t>
            </w:r>
          </w:p>
        </w:tc>
        <w:tc>
          <w:tcPr>
            <w:tcW w:w="654" w:type="dxa"/>
            <w:shd w:val="clear" w:color="000000" w:fill="FFFFFF"/>
            <w:vAlign w:val="center"/>
            <w:hideMark/>
          </w:tcPr>
          <w:p w14:paraId="3354183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cuando se solucione la interferencia de las redes de servicio público existentes</w:t>
            </w:r>
          </w:p>
        </w:tc>
        <w:tc>
          <w:tcPr>
            <w:tcW w:w="689" w:type="dxa"/>
            <w:shd w:val="clear" w:color="000000" w:fill="FFFFFF"/>
            <w:vAlign w:val="center"/>
            <w:hideMark/>
          </w:tcPr>
          <w:p w14:paraId="3C31109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Seguimiento permanente a la Gestión para solucionar la interferencia de redes de servicios públicos existentes.  Informes de resultados, requerimientos escritos.</w:t>
            </w:r>
          </w:p>
        </w:tc>
        <w:tc>
          <w:tcPr>
            <w:tcW w:w="654" w:type="dxa"/>
            <w:shd w:val="clear" w:color="000000" w:fill="FFFFFF"/>
            <w:vAlign w:val="center"/>
            <w:hideMark/>
          </w:tcPr>
          <w:p w14:paraId="4156C70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xml:space="preserve">Cuando se presenta la interferencia, segurimiento semanal </w:t>
            </w:r>
          </w:p>
        </w:tc>
      </w:tr>
      <w:tr w:rsidR="00EB718C" w:rsidRPr="00B821D5" w14:paraId="428A08C7" w14:textId="77777777" w:rsidTr="001E29CD">
        <w:trPr>
          <w:trHeight w:val="3660"/>
        </w:trPr>
        <w:tc>
          <w:tcPr>
            <w:tcW w:w="135" w:type="dxa"/>
            <w:shd w:val="clear" w:color="000000" w:fill="FFFFFF"/>
            <w:noWrap/>
            <w:vAlign w:val="center"/>
            <w:hideMark/>
          </w:tcPr>
          <w:p w14:paraId="2ED8D53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15</w:t>
            </w:r>
          </w:p>
        </w:tc>
        <w:tc>
          <w:tcPr>
            <w:tcW w:w="141" w:type="dxa"/>
            <w:shd w:val="clear" w:color="000000" w:fill="FFFFFF"/>
            <w:noWrap/>
            <w:textDirection w:val="btLr"/>
            <w:vAlign w:val="center"/>
            <w:hideMark/>
          </w:tcPr>
          <w:p w14:paraId="4F79817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General</w:t>
            </w:r>
          </w:p>
        </w:tc>
        <w:tc>
          <w:tcPr>
            <w:tcW w:w="142" w:type="dxa"/>
            <w:shd w:val="clear" w:color="000000" w:fill="FFFFFF"/>
            <w:noWrap/>
            <w:textDirection w:val="btLr"/>
            <w:vAlign w:val="center"/>
            <w:hideMark/>
          </w:tcPr>
          <w:p w14:paraId="0368993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Externo</w:t>
            </w:r>
          </w:p>
        </w:tc>
        <w:tc>
          <w:tcPr>
            <w:tcW w:w="142" w:type="dxa"/>
            <w:shd w:val="clear" w:color="000000" w:fill="FFFFFF"/>
            <w:noWrap/>
            <w:textDirection w:val="btLr"/>
            <w:vAlign w:val="center"/>
            <w:hideMark/>
          </w:tcPr>
          <w:p w14:paraId="5EC9699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Ejecución</w:t>
            </w:r>
          </w:p>
        </w:tc>
        <w:tc>
          <w:tcPr>
            <w:tcW w:w="142" w:type="dxa"/>
            <w:shd w:val="clear" w:color="000000" w:fill="FFFFFF"/>
            <w:noWrap/>
            <w:textDirection w:val="btLr"/>
            <w:vAlign w:val="center"/>
            <w:hideMark/>
          </w:tcPr>
          <w:p w14:paraId="6FE433D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Financiero</w:t>
            </w:r>
          </w:p>
        </w:tc>
        <w:tc>
          <w:tcPr>
            <w:tcW w:w="726" w:type="dxa"/>
            <w:shd w:val="clear" w:color="auto" w:fill="auto"/>
            <w:vAlign w:val="center"/>
            <w:hideMark/>
          </w:tcPr>
          <w:p w14:paraId="20A6DB7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b/>
                <w:bCs/>
                <w:color w:val="000000" w:themeColor="text1"/>
                <w:sz w:val="10"/>
                <w:szCs w:val="10"/>
                <w:lang w:eastAsia="es-CO"/>
              </w:rPr>
              <w:t xml:space="preserve">Riesgo Financiero: </w:t>
            </w:r>
            <w:r w:rsidRPr="00B821D5">
              <w:rPr>
                <w:rFonts w:ascii="Arial Narrow" w:hAnsi="Arial Narrow" w:cs="Arial"/>
                <w:color w:val="000000" w:themeColor="text1"/>
                <w:sz w:val="10"/>
                <w:szCs w:val="10"/>
                <w:lang w:eastAsia="es-CO"/>
              </w:rPr>
              <w:t xml:space="preserve">Se deriva de los efectos provenientes de las variaciones de las tasas de interés, plazos, tasas de cambio, ajustes por inflación, devaluación,  variaciones cambiarias y financieras,  y otras variables del mercado por causas micro o macroeconomicas,  frente a las estimaciones iniciales del Contratista, que puedan afectar las utilidades esperadas o generar pérdidas.  Riesgos de las acciones encaminadas a la administración, consecución y disponibilidad oportuna de recursos financieros propios diferentes al </w:t>
            </w:r>
            <w:r w:rsidRPr="00B821D5">
              <w:rPr>
                <w:rFonts w:ascii="Arial Narrow" w:hAnsi="Arial Narrow" w:cs="Arial"/>
                <w:color w:val="000000" w:themeColor="text1"/>
                <w:sz w:val="10"/>
                <w:szCs w:val="10"/>
                <w:lang w:eastAsia="es-CO"/>
              </w:rPr>
              <w:lastRenderedPageBreak/>
              <w:t>Anticipo o por medio de créditos en moneda nacional o extranjera, para el cumplimiento del objeto contractual, en los plazos fijados para tal efecto.</w:t>
            </w:r>
          </w:p>
        </w:tc>
        <w:tc>
          <w:tcPr>
            <w:tcW w:w="601" w:type="dxa"/>
            <w:shd w:val="clear" w:color="000000" w:fill="FFFFFF"/>
            <w:vAlign w:val="center"/>
            <w:hideMark/>
          </w:tcPr>
          <w:p w14:paraId="3C3D210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lastRenderedPageBreak/>
              <w:t>Impacto económico al Contratista</w:t>
            </w:r>
          </w:p>
        </w:tc>
        <w:tc>
          <w:tcPr>
            <w:tcW w:w="136" w:type="dxa"/>
            <w:shd w:val="clear" w:color="000000" w:fill="FFFFFF"/>
            <w:noWrap/>
            <w:vAlign w:val="center"/>
            <w:hideMark/>
          </w:tcPr>
          <w:p w14:paraId="1029762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000000" w:fill="FFFFFF"/>
            <w:noWrap/>
            <w:vAlign w:val="center"/>
            <w:hideMark/>
          </w:tcPr>
          <w:p w14:paraId="21A71AE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noWrap/>
            <w:vAlign w:val="center"/>
            <w:hideMark/>
          </w:tcPr>
          <w:p w14:paraId="22C0BEA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4</w:t>
            </w:r>
          </w:p>
        </w:tc>
        <w:tc>
          <w:tcPr>
            <w:tcW w:w="263" w:type="dxa"/>
            <w:shd w:val="clear" w:color="000000" w:fill="FFFFFF"/>
            <w:vAlign w:val="center"/>
            <w:hideMark/>
          </w:tcPr>
          <w:p w14:paraId="575DF9BC"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269" w:type="dxa"/>
            <w:shd w:val="clear" w:color="000000" w:fill="FFFFFF"/>
            <w:vAlign w:val="center"/>
            <w:hideMark/>
          </w:tcPr>
          <w:p w14:paraId="4B427391"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w:t>
            </w:r>
          </w:p>
        </w:tc>
        <w:tc>
          <w:tcPr>
            <w:tcW w:w="544" w:type="dxa"/>
            <w:shd w:val="clear" w:color="000000" w:fill="FFFFFF"/>
            <w:vAlign w:val="center"/>
            <w:hideMark/>
          </w:tcPr>
          <w:p w14:paraId="4F586C73"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926" w:type="dxa"/>
            <w:shd w:val="clear" w:color="000000" w:fill="FFFFFF"/>
            <w:vAlign w:val="center"/>
            <w:hideMark/>
          </w:tcPr>
          <w:p w14:paraId="0E454B6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Realizar por parte del Contratista proyecciones de acuerdo con los datos históricos de las variables descritas, y con el estudio de mercado financiero con el fin de que el interesado establezca un punto de equilibrio tendiente a disminuir el riesgo.</w:t>
            </w:r>
          </w:p>
        </w:tc>
        <w:tc>
          <w:tcPr>
            <w:tcW w:w="136" w:type="dxa"/>
            <w:shd w:val="clear" w:color="000000" w:fill="FFFFFF"/>
            <w:vAlign w:val="center"/>
            <w:hideMark/>
          </w:tcPr>
          <w:p w14:paraId="136A56C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000000" w:fill="FFFFFF"/>
            <w:vAlign w:val="center"/>
            <w:hideMark/>
          </w:tcPr>
          <w:p w14:paraId="7190F30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vAlign w:val="center"/>
            <w:hideMark/>
          </w:tcPr>
          <w:p w14:paraId="60C742D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3</w:t>
            </w:r>
          </w:p>
        </w:tc>
        <w:tc>
          <w:tcPr>
            <w:tcW w:w="263" w:type="dxa"/>
            <w:shd w:val="clear" w:color="000000" w:fill="FFFFFF"/>
            <w:vAlign w:val="center"/>
            <w:hideMark/>
          </w:tcPr>
          <w:p w14:paraId="575CAF23"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481" w:type="dxa"/>
            <w:shd w:val="clear" w:color="000000" w:fill="FFFFFF"/>
            <w:vAlign w:val="center"/>
            <w:hideMark/>
          </w:tcPr>
          <w:p w14:paraId="19B7BAE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NO</w:t>
            </w:r>
          </w:p>
        </w:tc>
        <w:tc>
          <w:tcPr>
            <w:tcW w:w="576" w:type="dxa"/>
            <w:shd w:val="clear" w:color="000000" w:fill="FFFFFF"/>
            <w:vAlign w:val="center"/>
            <w:hideMark/>
          </w:tcPr>
          <w:p w14:paraId="388A7DB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Contratista</w:t>
            </w:r>
          </w:p>
        </w:tc>
        <w:tc>
          <w:tcPr>
            <w:tcW w:w="654" w:type="dxa"/>
            <w:shd w:val="clear" w:color="000000" w:fill="FFFFFF"/>
            <w:vAlign w:val="center"/>
            <w:hideMark/>
          </w:tcPr>
          <w:p w14:paraId="3406E0F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Fase precontractual</w:t>
            </w:r>
          </w:p>
        </w:tc>
        <w:tc>
          <w:tcPr>
            <w:tcW w:w="654" w:type="dxa"/>
            <w:shd w:val="clear" w:color="000000" w:fill="FFFFFF"/>
            <w:vAlign w:val="center"/>
            <w:hideMark/>
          </w:tcPr>
          <w:p w14:paraId="06F0BEF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 la terminación de la ejecución del contrato</w:t>
            </w:r>
          </w:p>
        </w:tc>
        <w:tc>
          <w:tcPr>
            <w:tcW w:w="689" w:type="dxa"/>
            <w:shd w:val="clear" w:color="000000" w:fill="FFFFFF"/>
            <w:vAlign w:val="center"/>
            <w:hideMark/>
          </w:tcPr>
          <w:p w14:paraId="5CD9F64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Cotejo de las variables financieras que haya utilizado para el análisis de su oferta con el comportamiento del mercado financiero en la ejecución del contrato, con el  fin de mitigar  los cambios bruscos en sus finanzas que puedan afectar el contrato.</w:t>
            </w:r>
          </w:p>
        </w:tc>
        <w:tc>
          <w:tcPr>
            <w:tcW w:w="654" w:type="dxa"/>
            <w:shd w:val="clear" w:color="000000" w:fill="FFFFFF"/>
            <w:vAlign w:val="center"/>
            <w:hideMark/>
          </w:tcPr>
          <w:p w14:paraId="30C9A34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Mensual</w:t>
            </w:r>
          </w:p>
        </w:tc>
      </w:tr>
      <w:tr w:rsidR="00EB718C" w:rsidRPr="00B821D5" w14:paraId="3831D30A" w14:textId="77777777" w:rsidTr="001E29CD">
        <w:trPr>
          <w:trHeight w:val="3060"/>
        </w:trPr>
        <w:tc>
          <w:tcPr>
            <w:tcW w:w="135" w:type="dxa"/>
            <w:shd w:val="clear" w:color="000000" w:fill="FFFFFF"/>
            <w:noWrap/>
            <w:vAlign w:val="center"/>
            <w:hideMark/>
          </w:tcPr>
          <w:p w14:paraId="447F8B4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16</w:t>
            </w:r>
          </w:p>
        </w:tc>
        <w:tc>
          <w:tcPr>
            <w:tcW w:w="141" w:type="dxa"/>
            <w:shd w:val="clear" w:color="000000" w:fill="FFFFFF"/>
            <w:noWrap/>
            <w:textDirection w:val="btLr"/>
            <w:vAlign w:val="center"/>
            <w:hideMark/>
          </w:tcPr>
          <w:p w14:paraId="6C0F7D4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General</w:t>
            </w:r>
          </w:p>
        </w:tc>
        <w:tc>
          <w:tcPr>
            <w:tcW w:w="142" w:type="dxa"/>
            <w:shd w:val="clear" w:color="000000" w:fill="FFFFFF"/>
            <w:noWrap/>
            <w:textDirection w:val="btLr"/>
            <w:vAlign w:val="center"/>
            <w:hideMark/>
          </w:tcPr>
          <w:p w14:paraId="2946267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Externo</w:t>
            </w:r>
          </w:p>
        </w:tc>
        <w:tc>
          <w:tcPr>
            <w:tcW w:w="142" w:type="dxa"/>
            <w:shd w:val="clear" w:color="000000" w:fill="FFFFFF"/>
            <w:noWrap/>
            <w:textDirection w:val="btLr"/>
            <w:vAlign w:val="center"/>
            <w:hideMark/>
          </w:tcPr>
          <w:p w14:paraId="033EB86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Ejecución</w:t>
            </w:r>
          </w:p>
        </w:tc>
        <w:tc>
          <w:tcPr>
            <w:tcW w:w="142" w:type="dxa"/>
            <w:shd w:val="clear" w:color="000000" w:fill="FFFFFF"/>
            <w:noWrap/>
            <w:textDirection w:val="btLr"/>
            <w:vAlign w:val="center"/>
            <w:hideMark/>
          </w:tcPr>
          <w:p w14:paraId="183586C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Regulatorio</w:t>
            </w:r>
          </w:p>
        </w:tc>
        <w:tc>
          <w:tcPr>
            <w:tcW w:w="726" w:type="dxa"/>
            <w:shd w:val="clear" w:color="auto" w:fill="auto"/>
            <w:vAlign w:val="center"/>
            <w:hideMark/>
          </w:tcPr>
          <w:p w14:paraId="5880A36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b/>
                <w:bCs/>
                <w:color w:val="000000" w:themeColor="text1"/>
                <w:sz w:val="10"/>
                <w:szCs w:val="10"/>
                <w:lang w:eastAsia="es-CO"/>
              </w:rPr>
              <w:t xml:space="preserve">Expedición y/o modificación de normas: </w:t>
            </w:r>
            <w:r w:rsidRPr="00B821D5">
              <w:rPr>
                <w:rFonts w:ascii="Arial Narrow" w:hAnsi="Arial Narrow" w:cs="Arial"/>
                <w:color w:val="000000" w:themeColor="text1"/>
                <w:sz w:val="10"/>
                <w:szCs w:val="10"/>
                <w:lang w:eastAsia="es-CO"/>
              </w:rPr>
              <w:t>Ocurre por cambios normativos o por la expedición de normas posteriores  al cierre del proceso de licitación pública,  que afecten las condiciones económicas y/o  técnicas inicialmente pactadas.</w:t>
            </w:r>
          </w:p>
        </w:tc>
        <w:tc>
          <w:tcPr>
            <w:tcW w:w="601" w:type="dxa"/>
            <w:shd w:val="clear" w:color="000000" w:fill="FFFFFF"/>
            <w:vAlign w:val="center"/>
            <w:hideMark/>
          </w:tcPr>
          <w:p w14:paraId="5A09F48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xml:space="preserve">Afectación del  desarrollo  del contrato previsto con la normatividad existente al cierre del proceso de selección </w:t>
            </w:r>
          </w:p>
        </w:tc>
        <w:tc>
          <w:tcPr>
            <w:tcW w:w="136" w:type="dxa"/>
            <w:shd w:val="clear" w:color="000000" w:fill="FFFFFF"/>
            <w:noWrap/>
            <w:vAlign w:val="center"/>
            <w:hideMark/>
          </w:tcPr>
          <w:p w14:paraId="4AF76CE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000000" w:fill="FFFFFF"/>
            <w:noWrap/>
            <w:vAlign w:val="center"/>
            <w:hideMark/>
          </w:tcPr>
          <w:p w14:paraId="111AF10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3</w:t>
            </w:r>
          </w:p>
        </w:tc>
        <w:tc>
          <w:tcPr>
            <w:tcW w:w="136" w:type="dxa"/>
            <w:shd w:val="clear" w:color="auto" w:fill="auto"/>
            <w:noWrap/>
            <w:vAlign w:val="center"/>
            <w:hideMark/>
          </w:tcPr>
          <w:p w14:paraId="519C879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5</w:t>
            </w:r>
          </w:p>
        </w:tc>
        <w:tc>
          <w:tcPr>
            <w:tcW w:w="263" w:type="dxa"/>
            <w:shd w:val="clear" w:color="000000" w:fill="FFFFFF"/>
            <w:vAlign w:val="center"/>
            <w:hideMark/>
          </w:tcPr>
          <w:p w14:paraId="7D0A3F4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Medio</w:t>
            </w:r>
          </w:p>
        </w:tc>
        <w:tc>
          <w:tcPr>
            <w:tcW w:w="269" w:type="dxa"/>
            <w:shd w:val="clear" w:color="000000" w:fill="FFFFFF"/>
            <w:vAlign w:val="center"/>
            <w:hideMark/>
          </w:tcPr>
          <w:p w14:paraId="0D29C8E8"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544" w:type="dxa"/>
            <w:shd w:val="clear" w:color="000000" w:fill="FFFFFF"/>
            <w:vAlign w:val="center"/>
            <w:hideMark/>
          </w:tcPr>
          <w:p w14:paraId="170D1E90"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w:t>
            </w:r>
          </w:p>
        </w:tc>
        <w:tc>
          <w:tcPr>
            <w:tcW w:w="926" w:type="dxa"/>
            <w:shd w:val="clear" w:color="000000" w:fill="FFFFFF"/>
            <w:vAlign w:val="center"/>
            <w:hideMark/>
          </w:tcPr>
          <w:p w14:paraId="6D5A293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Proceso precontractual con las normas aplicables vigentes.   Revisión de  los cambios sustanciales de normas que se produzcan posterior al cierre del proceso de licitación pública, que afecten el normal desarrollo del contrato,  con el fin de estudiar los ajustes pertinentes a que hubiere lugar.</w:t>
            </w:r>
          </w:p>
        </w:tc>
        <w:tc>
          <w:tcPr>
            <w:tcW w:w="136" w:type="dxa"/>
            <w:shd w:val="clear" w:color="000000" w:fill="FFFFFF"/>
            <w:vAlign w:val="center"/>
            <w:hideMark/>
          </w:tcPr>
          <w:p w14:paraId="36EC17F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000000" w:fill="FFFFFF"/>
            <w:vAlign w:val="center"/>
            <w:hideMark/>
          </w:tcPr>
          <w:p w14:paraId="1A5F673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vAlign w:val="center"/>
            <w:hideMark/>
          </w:tcPr>
          <w:p w14:paraId="5907B40C"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3</w:t>
            </w:r>
          </w:p>
        </w:tc>
        <w:tc>
          <w:tcPr>
            <w:tcW w:w="263" w:type="dxa"/>
            <w:shd w:val="clear" w:color="000000" w:fill="FFFFFF"/>
            <w:vAlign w:val="center"/>
            <w:hideMark/>
          </w:tcPr>
          <w:p w14:paraId="17930EF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481" w:type="dxa"/>
            <w:shd w:val="clear" w:color="000000" w:fill="FFFFFF"/>
            <w:vAlign w:val="center"/>
            <w:hideMark/>
          </w:tcPr>
          <w:p w14:paraId="7FB30FE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NO</w:t>
            </w:r>
          </w:p>
        </w:tc>
        <w:tc>
          <w:tcPr>
            <w:tcW w:w="576" w:type="dxa"/>
            <w:shd w:val="clear" w:color="000000" w:fill="FFFFFF"/>
            <w:vAlign w:val="center"/>
            <w:hideMark/>
          </w:tcPr>
          <w:p w14:paraId="1376AEEC"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Gestores y/o Supervisores, Interventor-Contratista</w:t>
            </w:r>
          </w:p>
        </w:tc>
        <w:tc>
          <w:tcPr>
            <w:tcW w:w="654" w:type="dxa"/>
            <w:shd w:val="clear" w:color="000000" w:fill="FFFFFF"/>
            <w:vAlign w:val="center"/>
            <w:hideMark/>
          </w:tcPr>
          <w:p w14:paraId="4B2153A6"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Fase precontractual,   y cuando se expida la nueva  nomatividad que pueda afectar el contrato</w:t>
            </w:r>
          </w:p>
        </w:tc>
        <w:tc>
          <w:tcPr>
            <w:tcW w:w="654" w:type="dxa"/>
            <w:shd w:val="clear" w:color="000000" w:fill="FFFFFF"/>
            <w:vAlign w:val="center"/>
            <w:hideMark/>
          </w:tcPr>
          <w:p w14:paraId="5892DED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 la terminación de la ejecución del contrato</w:t>
            </w:r>
          </w:p>
        </w:tc>
        <w:tc>
          <w:tcPr>
            <w:tcW w:w="689" w:type="dxa"/>
            <w:shd w:val="clear" w:color="000000" w:fill="FFFFFF"/>
            <w:vAlign w:val="center"/>
            <w:hideMark/>
          </w:tcPr>
          <w:p w14:paraId="157AFE2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xml:space="preserve">Seguimiento a la implementación de la nueva normatividad que aplique al proyecto,  y a las medidas tomadas para mitigar su efecto en el contrato.  Informes, requerimientos escritos. </w:t>
            </w:r>
          </w:p>
        </w:tc>
        <w:tc>
          <w:tcPr>
            <w:tcW w:w="654" w:type="dxa"/>
            <w:shd w:val="clear" w:color="000000" w:fill="FFFFFF"/>
            <w:vAlign w:val="center"/>
            <w:hideMark/>
          </w:tcPr>
          <w:p w14:paraId="2A73D15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Mensual</w:t>
            </w:r>
          </w:p>
        </w:tc>
      </w:tr>
      <w:tr w:rsidR="00EB718C" w:rsidRPr="00B821D5" w14:paraId="61EBDB74" w14:textId="77777777" w:rsidTr="001E29CD">
        <w:trPr>
          <w:trHeight w:val="1656"/>
        </w:trPr>
        <w:tc>
          <w:tcPr>
            <w:tcW w:w="135" w:type="dxa"/>
            <w:shd w:val="clear" w:color="000000" w:fill="FFFFFF"/>
            <w:noWrap/>
            <w:vAlign w:val="center"/>
            <w:hideMark/>
          </w:tcPr>
          <w:p w14:paraId="6A79EC7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17</w:t>
            </w:r>
          </w:p>
        </w:tc>
        <w:tc>
          <w:tcPr>
            <w:tcW w:w="141" w:type="dxa"/>
            <w:shd w:val="clear" w:color="000000" w:fill="FFFFFF"/>
            <w:noWrap/>
            <w:textDirection w:val="btLr"/>
            <w:vAlign w:val="center"/>
            <w:hideMark/>
          </w:tcPr>
          <w:p w14:paraId="6271762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General</w:t>
            </w:r>
          </w:p>
        </w:tc>
        <w:tc>
          <w:tcPr>
            <w:tcW w:w="142" w:type="dxa"/>
            <w:shd w:val="clear" w:color="000000" w:fill="FFFFFF"/>
            <w:noWrap/>
            <w:textDirection w:val="btLr"/>
            <w:vAlign w:val="center"/>
            <w:hideMark/>
          </w:tcPr>
          <w:p w14:paraId="35CED01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Externo</w:t>
            </w:r>
          </w:p>
        </w:tc>
        <w:tc>
          <w:tcPr>
            <w:tcW w:w="142" w:type="dxa"/>
            <w:shd w:val="clear" w:color="000000" w:fill="FFFFFF"/>
            <w:noWrap/>
            <w:textDirection w:val="btLr"/>
            <w:vAlign w:val="center"/>
            <w:hideMark/>
          </w:tcPr>
          <w:p w14:paraId="5A111FD3"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Ejecucion</w:t>
            </w:r>
          </w:p>
        </w:tc>
        <w:tc>
          <w:tcPr>
            <w:tcW w:w="142" w:type="dxa"/>
            <w:shd w:val="clear" w:color="000000" w:fill="FFFFFF"/>
            <w:noWrap/>
            <w:textDirection w:val="btLr"/>
            <w:vAlign w:val="center"/>
            <w:hideMark/>
          </w:tcPr>
          <w:p w14:paraId="5DFEC0F6"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Economico</w:t>
            </w:r>
          </w:p>
        </w:tc>
        <w:tc>
          <w:tcPr>
            <w:tcW w:w="726" w:type="dxa"/>
            <w:shd w:val="clear" w:color="auto" w:fill="auto"/>
            <w:vAlign w:val="center"/>
            <w:hideMark/>
          </w:tcPr>
          <w:p w14:paraId="113D7902"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Riesgo de alteración del PAC por circunstancias no imputables al Municipio  o por circunstancias de fuerza mayor o por estados de excepción decretados en el país.</w:t>
            </w:r>
          </w:p>
        </w:tc>
        <w:tc>
          <w:tcPr>
            <w:tcW w:w="601" w:type="dxa"/>
            <w:shd w:val="clear" w:color="000000" w:fill="FFFFFF"/>
            <w:vAlign w:val="center"/>
            <w:hideMark/>
          </w:tcPr>
          <w:p w14:paraId="7E57FAD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Impacto económico a los flujos financieros del contrato</w:t>
            </w:r>
          </w:p>
        </w:tc>
        <w:tc>
          <w:tcPr>
            <w:tcW w:w="136" w:type="dxa"/>
            <w:shd w:val="clear" w:color="000000" w:fill="FFFFFF"/>
            <w:noWrap/>
            <w:vAlign w:val="center"/>
            <w:hideMark/>
          </w:tcPr>
          <w:p w14:paraId="103E33D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000000" w:fill="FFFFFF"/>
            <w:noWrap/>
            <w:vAlign w:val="center"/>
            <w:hideMark/>
          </w:tcPr>
          <w:p w14:paraId="3D587C9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noWrap/>
            <w:vAlign w:val="center"/>
            <w:hideMark/>
          </w:tcPr>
          <w:p w14:paraId="06B004B3"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4</w:t>
            </w:r>
          </w:p>
        </w:tc>
        <w:tc>
          <w:tcPr>
            <w:tcW w:w="263" w:type="dxa"/>
            <w:shd w:val="clear" w:color="000000" w:fill="FFFFFF"/>
            <w:vAlign w:val="center"/>
            <w:hideMark/>
          </w:tcPr>
          <w:p w14:paraId="29B0ECB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269" w:type="dxa"/>
            <w:shd w:val="clear" w:color="000000" w:fill="FFFFFF"/>
            <w:vAlign w:val="center"/>
            <w:hideMark/>
          </w:tcPr>
          <w:p w14:paraId="03761056"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544" w:type="dxa"/>
            <w:shd w:val="clear" w:color="000000" w:fill="FFFFFF"/>
            <w:vAlign w:val="center"/>
            <w:hideMark/>
          </w:tcPr>
          <w:p w14:paraId="635D5D46"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926" w:type="dxa"/>
            <w:shd w:val="clear" w:color="000000" w:fill="FFFFFF"/>
            <w:vAlign w:val="center"/>
            <w:hideMark/>
          </w:tcPr>
          <w:p w14:paraId="0FD042D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EL MUNICIPIO deberá efectuar los trámites adminsitrativos que garanticen la disponibilidad de los recursos para la totalidad del plazo del contrato, así como los trámites para contar con el PAC de manera oportuna. Así mismo, se hará monitoreo constante a cualquier cirucunstancia que impacte la disponibilidad del PAC con el fin de adoptar las medidas que puedan superarlas.</w:t>
            </w:r>
          </w:p>
        </w:tc>
        <w:tc>
          <w:tcPr>
            <w:tcW w:w="136" w:type="dxa"/>
            <w:shd w:val="clear" w:color="000000" w:fill="FFFFFF"/>
            <w:vAlign w:val="center"/>
            <w:hideMark/>
          </w:tcPr>
          <w:p w14:paraId="439FED1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000000" w:fill="FFFFFF"/>
            <w:vAlign w:val="center"/>
            <w:hideMark/>
          </w:tcPr>
          <w:p w14:paraId="695883A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auto" w:fill="auto"/>
            <w:vAlign w:val="center"/>
            <w:hideMark/>
          </w:tcPr>
          <w:p w14:paraId="03BF326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263" w:type="dxa"/>
            <w:shd w:val="clear" w:color="000000" w:fill="FFFFFF"/>
            <w:vAlign w:val="center"/>
            <w:hideMark/>
          </w:tcPr>
          <w:p w14:paraId="58FE3F23"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481" w:type="dxa"/>
            <w:shd w:val="clear" w:color="000000" w:fill="FFFFFF"/>
            <w:vAlign w:val="center"/>
            <w:hideMark/>
          </w:tcPr>
          <w:p w14:paraId="2CC8FCC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NO</w:t>
            </w:r>
          </w:p>
        </w:tc>
        <w:tc>
          <w:tcPr>
            <w:tcW w:w="576" w:type="dxa"/>
            <w:shd w:val="clear" w:color="000000" w:fill="FFFFFF"/>
            <w:vAlign w:val="center"/>
            <w:hideMark/>
          </w:tcPr>
          <w:p w14:paraId="3595463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Gestores y/o Supervisores, Interventor, Contratista</w:t>
            </w:r>
          </w:p>
        </w:tc>
        <w:tc>
          <w:tcPr>
            <w:tcW w:w="654" w:type="dxa"/>
            <w:shd w:val="clear" w:color="000000" w:fill="FFFFFF"/>
            <w:vAlign w:val="center"/>
            <w:hideMark/>
          </w:tcPr>
          <w:p w14:paraId="3AB2839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Al inicio de la ejecución del contrato</w:t>
            </w:r>
          </w:p>
        </w:tc>
        <w:tc>
          <w:tcPr>
            <w:tcW w:w="654" w:type="dxa"/>
            <w:shd w:val="clear" w:color="000000" w:fill="FFFFFF"/>
            <w:vAlign w:val="center"/>
            <w:hideMark/>
          </w:tcPr>
          <w:p w14:paraId="6D70189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 la terminación de la ejecución del contrato</w:t>
            </w:r>
          </w:p>
        </w:tc>
        <w:tc>
          <w:tcPr>
            <w:tcW w:w="689" w:type="dxa"/>
            <w:shd w:val="clear" w:color="000000" w:fill="FFFFFF"/>
            <w:vAlign w:val="center"/>
            <w:hideMark/>
          </w:tcPr>
          <w:p w14:paraId="006D458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Verificación de las condiciones presupuestales del contrato</w:t>
            </w:r>
          </w:p>
        </w:tc>
        <w:tc>
          <w:tcPr>
            <w:tcW w:w="654" w:type="dxa"/>
            <w:shd w:val="clear" w:color="000000" w:fill="FFFFFF"/>
            <w:vAlign w:val="center"/>
            <w:hideMark/>
          </w:tcPr>
          <w:p w14:paraId="7B114E0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mensual</w:t>
            </w:r>
          </w:p>
        </w:tc>
      </w:tr>
      <w:tr w:rsidR="00EB718C" w:rsidRPr="00B821D5" w14:paraId="75608221" w14:textId="77777777" w:rsidTr="001E29CD">
        <w:trPr>
          <w:trHeight w:val="2700"/>
        </w:trPr>
        <w:tc>
          <w:tcPr>
            <w:tcW w:w="135" w:type="dxa"/>
            <w:shd w:val="clear" w:color="000000" w:fill="FFFFFF"/>
            <w:noWrap/>
            <w:vAlign w:val="center"/>
            <w:hideMark/>
          </w:tcPr>
          <w:p w14:paraId="304EE64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lastRenderedPageBreak/>
              <w:t>18</w:t>
            </w:r>
          </w:p>
        </w:tc>
        <w:tc>
          <w:tcPr>
            <w:tcW w:w="141" w:type="dxa"/>
            <w:shd w:val="clear" w:color="000000" w:fill="FFFFFF"/>
            <w:noWrap/>
            <w:textDirection w:val="btLr"/>
            <w:vAlign w:val="center"/>
            <w:hideMark/>
          </w:tcPr>
          <w:p w14:paraId="5DE421C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General</w:t>
            </w:r>
          </w:p>
        </w:tc>
        <w:tc>
          <w:tcPr>
            <w:tcW w:w="142" w:type="dxa"/>
            <w:shd w:val="clear" w:color="000000" w:fill="FFFFFF"/>
            <w:noWrap/>
            <w:textDirection w:val="btLr"/>
            <w:vAlign w:val="center"/>
            <w:hideMark/>
          </w:tcPr>
          <w:p w14:paraId="13F0CB2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Externo</w:t>
            </w:r>
          </w:p>
        </w:tc>
        <w:tc>
          <w:tcPr>
            <w:tcW w:w="142" w:type="dxa"/>
            <w:shd w:val="clear" w:color="000000" w:fill="FFFFFF"/>
            <w:noWrap/>
            <w:textDirection w:val="btLr"/>
            <w:vAlign w:val="center"/>
            <w:hideMark/>
          </w:tcPr>
          <w:p w14:paraId="17AE545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Ejecucion</w:t>
            </w:r>
          </w:p>
        </w:tc>
        <w:tc>
          <w:tcPr>
            <w:tcW w:w="142" w:type="dxa"/>
            <w:shd w:val="clear" w:color="000000" w:fill="FFFFFF"/>
            <w:noWrap/>
            <w:textDirection w:val="btLr"/>
            <w:vAlign w:val="center"/>
            <w:hideMark/>
          </w:tcPr>
          <w:p w14:paraId="15E53CE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Ambiental</w:t>
            </w:r>
          </w:p>
        </w:tc>
        <w:tc>
          <w:tcPr>
            <w:tcW w:w="726" w:type="dxa"/>
            <w:shd w:val="clear" w:color="auto" w:fill="auto"/>
            <w:vAlign w:val="center"/>
            <w:hideMark/>
          </w:tcPr>
          <w:p w14:paraId="165F5553"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b/>
                <w:bCs/>
                <w:color w:val="000000" w:themeColor="text1"/>
                <w:sz w:val="10"/>
                <w:szCs w:val="10"/>
                <w:lang w:eastAsia="es-CO"/>
              </w:rPr>
              <w:t>Gestion Ambiental:</w:t>
            </w:r>
            <w:r w:rsidRPr="00B821D5">
              <w:rPr>
                <w:rFonts w:ascii="Arial Narrow" w:hAnsi="Arial Narrow" w:cs="Arial"/>
                <w:color w:val="000000" w:themeColor="text1"/>
                <w:sz w:val="10"/>
                <w:szCs w:val="10"/>
                <w:lang w:eastAsia="es-CO"/>
              </w:rPr>
              <w:t xml:space="preserve"> Demora en la obtención de licencias y/o permisos ambientales  por demora y/o  inadecuada   presentación de soportes y estudios.</w:t>
            </w:r>
          </w:p>
        </w:tc>
        <w:tc>
          <w:tcPr>
            <w:tcW w:w="601" w:type="dxa"/>
            <w:shd w:val="clear" w:color="000000" w:fill="FFFFFF"/>
            <w:vAlign w:val="center"/>
            <w:hideMark/>
          </w:tcPr>
          <w:p w14:paraId="625902F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Retraso en la Ejecucion de los trabajos</w:t>
            </w:r>
          </w:p>
        </w:tc>
        <w:tc>
          <w:tcPr>
            <w:tcW w:w="136" w:type="dxa"/>
            <w:shd w:val="clear" w:color="000000" w:fill="FFFFFF"/>
            <w:noWrap/>
            <w:vAlign w:val="center"/>
            <w:hideMark/>
          </w:tcPr>
          <w:p w14:paraId="0BD4290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000000" w:fill="FFFFFF"/>
            <w:noWrap/>
            <w:vAlign w:val="center"/>
            <w:hideMark/>
          </w:tcPr>
          <w:p w14:paraId="6535F2B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3</w:t>
            </w:r>
          </w:p>
        </w:tc>
        <w:tc>
          <w:tcPr>
            <w:tcW w:w="136" w:type="dxa"/>
            <w:shd w:val="clear" w:color="auto" w:fill="auto"/>
            <w:noWrap/>
            <w:vAlign w:val="center"/>
            <w:hideMark/>
          </w:tcPr>
          <w:p w14:paraId="61AC364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5</w:t>
            </w:r>
          </w:p>
        </w:tc>
        <w:tc>
          <w:tcPr>
            <w:tcW w:w="263" w:type="dxa"/>
            <w:shd w:val="clear" w:color="000000" w:fill="FFFFFF"/>
            <w:vAlign w:val="center"/>
            <w:hideMark/>
          </w:tcPr>
          <w:p w14:paraId="26AB5B06"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Medio</w:t>
            </w:r>
          </w:p>
        </w:tc>
        <w:tc>
          <w:tcPr>
            <w:tcW w:w="269" w:type="dxa"/>
            <w:shd w:val="clear" w:color="000000" w:fill="FFFFFF"/>
            <w:vAlign w:val="center"/>
            <w:hideMark/>
          </w:tcPr>
          <w:p w14:paraId="16CFBA1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w:t>
            </w:r>
          </w:p>
        </w:tc>
        <w:tc>
          <w:tcPr>
            <w:tcW w:w="544" w:type="dxa"/>
            <w:shd w:val="clear" w:color="000000" w:fill="FFFFFF"/>
            <w:vAlign w:val="center"/>
            <w:hideMark/>
          </w:tcPr>
          <w:p w14:paraId="3A23C892"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926" w:type="dxa"/>
            <w:shd w:val="clear" w:color="000000" w:fill="FFFFFF"/>
            <w:vAlign w:val="center"/>
            <w:hideMark/>
          </w:tcPr>
          <w:p w14:paraId="09D2614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xml:space="preserve">Seguimiento por parte del Interventor a la gestión  documentada del contratista para la obtención de licencias, permisos y autorizaciones ambientales. </w:t>
            </w:r>
          </w:p>
        </w:tc>
        <w:tc>
          <w:tcPr>
            <w:tcW w:w="136" w:type="dxa"/>
            <w:shd w:val="clear" w:color="000000" w:fill="FFFFFF"/>
            <w:vAlign w:val="center"/>
            <w:hideMark/>
          </w:tcPr>
          <w:p w14:paraId="66EBC62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000000" w:fill="FFFFFF"/>
            <w:vAlign w:val="center"/>
            <w:hideMark/>
          </w:tcPr>
          <w:p w14:paraId="7E1C9CD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auto" w:fill="auto"/>
            <w:vAlign w:val="center"/>
            <w:hideMark/>
          </w:tcPr>
          <w:p w14:paraId="2AB95DB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263" w:type="dxa"/>
            <w:shd w:val="clear" w:color="000000" w:fill="FFFFFF"/>
            <w:vAlign w:val="center"/>
            <w:hideMark/>
          </w:tcPr>
          <w:p w14:paraId="244DE4B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481" w:type="dxa"/>
            <w:shd w:val="clear" w:color="000000" w:fill="FFFFFF"/>
            <w:vAlign w:val="center"/>
            <w:hideMark/>
          </w:tcPr>
          <w:p w14:paraId="5B4C1E2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NO</w:t>
            </w:r>
          </w:p>
        </w:tc>
        <w:tc>
          <w:tcPr>
            <w:tcW w:w="576" w:type="dxa"/>
            <w:shd w:val="clear" w:color="000000" w:fill="FFFFFF"/>
            <w:vAlign w:val="center"/>
            <w:hideMark/>
          </w:tcPr>
          <w:p w14:paraId="122D26D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Gestores y/o Supervisores, Interventor-Contratista</w:t>
            </w:r>
          </w:p>
        </w:tc>
        <w:tc>
          <w:tcPr>
            <w:tcW w:w="654" w:type="dxa"/>
            <w:shd w:val="clear" w:color="000000" w:fill="FFFFFF"/>
            <w:vAlign w:val="center"/>
            <w:hideMark/>
          </w:tcPr>
          <w:p w14:paraId="6938D9A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Al inicio de la ejecución del contrato</w:t>
            </w:r>
          </w:p>
        </w:tc>
        <w:tc>
          <w:tcPr>
            <w:tcW w:w="654" w:type="dxa"/>
            <w:shd w:val="clear" w:color="000000" w:fill="FFFFFF"/>
            <w:vAlign w:val="center"/>
            <w:hideMark/>
          </w:tcPr>
          <w:p w14:paraId="4503C98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Una vez obtenida la licencia y/o  permisos y/o autorizaciones ambientales</w:t>
            </w:r>
          </w:p>
        </w:tc>
        <w:tc>
          <w:tcPr>
            <w:tcW w:w="689" w:type="dxa"/>
            <w:shd w:val="clear" w:color="000000" w:fill="FFFFFF"/>
            <w:vAlign w:val="center"/>
            <w:hideMark/>
          </w:tcPr>
          <w:p w14:paraId="3D57B176"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Verificación de la gestión realizada y sus resultados, por parte de Especialista Ambiental del Interventor.   Comites Técnicos, Seguimiento a informes ambientales por parte de la Supervisión ambiental, requerimientos escritos-Retroalimentación en los procedimientos adelantados por los responsables del tratamiento.</w:t>
            </w:r>
          </w:p>
        </w:tc>
        <w:tc>
          <w:tcPr>
            <w:tcW w:w="654" w:type="dxa"/>
            <w:shd w:val="clear" w:color="000000" w:fill="FFFFFF"/>
            <w:vAlign w:val="center"/>
            <w:hideMark/>
          </w:tcPr>
          <w:p w14:paraId="683FDF2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semanal</w:t>
            </w:r>
          </w:p>
        </w:tc>
      </w:tr>
      <w:tr w:rsidR="00EB718C" w:rsidRPr="00B821D5" w14:paraId="69CF6F83" w14:textId="77777777" w:rsidTr="001E29CD">
        <w:trPr>
          <w:trHeight w:val="3285"/>
        </w:trPr>
        <w:tc>
          <w:tcPr>
            <w:tcW w:w="135" w:type="dxa"/>
            <w:shd w:val="clear" w:color="000000" w:fill="FFFFFF"/>
            <w:noWrap/>
            <w:vAlign w:val="center"/>
            <w:hideMark/>
          </w:tcPr>
          <w:p w14:paraId="126D173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19</w:t>
            </w:r>
          </w:p>
        </w:tc>
        <w:tc>
          <w:tcPr>
            <w:tcW w:w="141" w:type="dxa"/>
            <w:shd w:val="clear" w:color="000000" w:fill="FFFFFF"/>
            <w:noWrap/>
            <w:textDirection w:val="btLr"/>
            <w:vAlign w:val="center"/>
            <w:hideMark/>
          </w:tcPr>
          <w:p w14:paraId="7E2049C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General</w:t>
            </w:r>
          </w:p>
        </w:tc>
        <w:tc>
          <w:tcPr>
            <w:tcW w:w="142" w:type="dxa"/>
            <w:shd w:val="clear" w:color="000000" w:fill="FFFFFF"/>
            <w:noWrap/>
            <w:textDirection w:val="btLr"/>
            <w:vAlign w:val="center"/>
            <w:hideMark/>
          </w:tcPr>
          <w:p w14:paraId="37BA7AD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Externo</w:t>
            </w:r>
          </w:p>
        </w:tc>
        <w:tc>
          <w:tcPr>
            <w:tcW w:w="142" w:type="dxa"/>
            <w:shd w:val="clear" w:color="000000" w:fill="FFFFFF"/>
            <w:noWrap/>
            <w:textDirection w:val="btLr"/>
            <w:vAlign w:val="center"/>
            <w:hideMark/>
          </w:tcPr>
          <w:p w14:paraId="080711D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Ejecucion</w:t>
            </w:r>
          </w:p>
        </w:tc>
        <w:tc>
          <w:tcPr>
            <w:tcW w:w="142" w:type="dxa"/>
            <w:shd w:val="clear" w:color="000000" w:fill="FFFFFF"/>
            <w:noWrap/>
            <w:textDirection w:val="btLr"/>
            <w:vAlign w:val="center"/>
            <w:hideMark/>
          </w:tcPr>
          <w:p w14:paraId="12439A5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Ambiental</w:t>
            </w:r>
          </w:p>
        </w:tc>
        <w:tc>
          <w:tcPr>
            <w:tcW w:w="726" w:type="dxa"/>
            <w:shd w:val="clear" w:color="auto" w:fill="auto"/>
            <w:vAlign w:val="center"/>
            <w:hideMark/>
          </w:tcPr>
          <w:p w14:paraId="468457B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b/>
                <w:bCs/>
                <w:color w:val="000000" w:themeColor="text1"/>
                <w:sz w:val="10"/>
                <w:szCs w:val="10"/>
                <w:lang w:eastAsia="es-CO"/>
              </w:rPr>
              <w:t>Pasivos  Ambientales:</w:t>
            </w:r>
            <w:r w:rsidRPr="00B821D5">
              <w:rPr>
                <w:rFonts w:ascii="Arial Narrow" w:hAnsi="Arial Narrow" w:cs="Arial"/>
                <w:color w:val="000000" w:themeColor="text1"/>
                <w:sz w:val="10"/>
                <w:szCs w:val="10"/>
                <w:lang w:eastAsia="es-CO"/>
              </w:rPr>
              <w:t xml:space="preserve"> Pasivos ambientales generados en el proceso constructivo, desde el punto de vista ambiental.</w:t>
            </w:r>
          </w:p>
        </w:tc>
        <w:tc>
          <w:tcPr>
            <w:tcW w:w="601" w:type="dxa"/>
            <w:shd w:val="clear" w:color="000000" w:fill="FFFFFF"/>
            <w:vAlign w:val="center"/>
            <w:hideMark/>
          </w:tcPr>
          <w:p w14:paraId="5E25E11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xml:space="preserve">Impacto Negativo por efectos en  la Ejecución  del Proyecto </w:t>
            </w:r>
          </w:p>
        </w:tc>
        <w:tc>
          <w:tcPr>
            <w:tcW w:w="136" w:type="dxa"/>
            <w:shd w:val="clear" w:color="000000" w:fill="FFFFFF"/>
            <w:noWrap/>
            <w:vAlign w:val="center"/>
            <w:hideMark/>
          </w:tcPr>
          <w:p w14:paraId="6E3938D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000000" w:fill="FFFFFF"/>
            <w:noWrap/>
            <w:vAlign w:val="center"/>
            <w:hideMark/>
          </w:tcPr>
          <w:p w14:paraId="2446C296"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noWrap/>
            <w:vAlign w:val="center"/>
            <w:hideMark/>
          </w:tcPr>
          <w:p w14:paraId="49A3C1B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3</w:t>
            </w:r>
          </w:p>
        </w:tc>
        <w:tc>
          <w:tcPr>
            <w:tcW w:w="263" w:type="dxa"/>
            <w:shd w:val="clear" w:color="000000" w:fill="FFFFFF"/>
            <w:vAlign w:val="center"/>
            <w:hideMark/>
          </w:tcPr>
          <w:p w14:paraId="2A4C7A4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269" w:type="dxa"/>
            <w:shd w:val="clear" w:color="000000" w:fill="FFFFFF"/>
            <w:vAlign w:val="center"/>
            <w:hideMark/>
          </w:tcPr>
          <w:p w14:paraId="52FBD0F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w:t>
            </w:r>
          </w:p>
        </w:tc>
        <w:tc>
          <w:tcPr>
            <w:tcW w:w="544" w:type="dxa"/>
            <w:shd w:val="clear" w:color="000000" w:fill="FFFFFF"/>
            <w:vAlign w:val="center"/>
            <w:hideMark/>
          </w:tcPr>
          <w:p w14:paraId="218D0933"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926" w:type="dxa"/>
            <w:shd w:val="clear" w:color="000000" w:fill="FFFFFF"/>
            <w:vAlign w:val="center"/>
            <w:hideMark/>
          </w:tcPr>
          <w:p w14:paraId="3AA69F1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xml:space="preserve">Seguimiento por parte del Interventor a los procesos constructivos, para evitar que se generen pasivos ambientales por esta causa, acompañamiento de Especialistas Ambientales del proyecto cuando sea necesario. Una vez causados, exigir el cumplimiento de las medidas compensatorias de los mismos impuestas por la autoridad ambiental. Seguimiento por parte de la Subdirección del Medio Ambiente.  De ser necesario llevar a cabo procesos sancionatorios para conminar su cumplimiento o sancionar el incumplimiento. </w:t>
            </w:r>
          </w:p>
        </w:tc>
        <w:tc>
          <w:tcPr>
            <w:tcW w:w="136" w:type="dxa"/>
            <w:shd w:val="clear" w:color="000000" w:fill="FFFFFF"/>
            <w:vAlign w:val="center"/>
            <w:hideMark/>
          </w:tcPr>
          <w:p w14:paraId="25327D6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000000" w:fill="FFFFFF"/>
            <w:vAlign w:val="center"/>
            <w:hideMark/>
          </w:tcPr>
          <w:p w14:paraId="1D02249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auto" w:fill="auto"/>
            <w:vAlign w:val="center"/>
            <w:hideMark/>
          </w:tcPr>
          <w:p w14:paraId="7642DA4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263" w:type="dxa"/>
            <w:shd w:val="clear" w:color="000000" w:fill="FFFFFF"/>
            <w:vAlign w:val="center"/>
            <w:hideMark/>
          </w:tcPr>
          <w:p w14:paraId="7DBD71D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481" w:type="dxa"/>
            <w:shd w:val="clear" w:color="000000" w:fill="FFFFFF"/>
            <w:vAlign w:val="center"/>
            <w:hideMark/>
          </w:tcPr>
          <w:p w14:paraId="67C55C6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NO</w:t>
            </w:r>
          </w:p>
        </w:tc>
        <w:tc>
          <w:tcPr>
            <w:tcW w:w="576" w:type="dxa"/>
            <w:shd w:val="clear" w:color="000000" w:fill="FFFFFF"/>
            <w:vAlign w:val="center"/>
            <w:hideMark/>
          </w:tcPr>
          <w:p w14:paraId="1976119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Gestores y/o Supervisores, Interventor-Contratista</w:t>
            </w:r>
          </w:p>
        </w:tc>
        <w:tc>
          <w:tcPr>
            <w:tcW w:w="654" w:type="dxa"/>
            <w:shd w:val="clear" w:color="000000" w:fill="FFFFFF"/>
            <w:vAlign w:val="center"/>
            <w:hideMark/>
          </w:tcPr>
          <w:p w14:paraId="618E911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Al inicio de la ejecución del contrato</w:t>
            </w:r>
          </w:p>
        </w:tc>
        <w:tc>
          <w:tcPr>
            <w:tcW w:w="654" w:type="dxa"/>
            <w:shd w:val="clear" w:color="000000" w:fill="FFFFFF"/>
            <w:vAlign w:val="center"/>
            <w:hideMark/>
          </w:tcPr>
          <w:p w14:paraId="3561367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 la terminación de la ejecución del contrato</w:t>
            </w:r>
          </w:p>
        </w:tc>
        <w:tc>
          <w:tcPr>
            <w:tcW w:w="689" w:type="dxa"/>
            <w:shd w:val="clear" w:color="000000" w:fill="FFFFFF"/>
            <w:vAlign w:val="center"/>
            <w:hideMark/>
          </w:tcPr>
          <w:p w14:paraId="6D741B0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Comites Técnicos, Seguimiento por parte del Especialista Ambiental de la Interventoría. Seguimiento a informes ambientales por parte e la supervisió ambiental, requerimientos escritos-Retroalimentación en los procedimientos adelantados por los responsables del tratamiento.</w:t>
            </w:r>
          </w:p>
        </w:tc>
        <w:tc>
          <w:tcPr>
            <w:tcW w:w="654" w:type="dxa"/>
            <w:shd w:val="clear" w:color="000000" w:fill="FFFFFF"/>
            <w:vAlign w:val="center"/>
            <w:hideMark/>
          </w:tcPr>
          <w:p w14:paraId="1A3E79B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semanal</w:t>
            </w:r>
          </w:p>
        </w:tc>
      </w:tr>
      <w:tr w:rsidR="00EB718C" w:rsidRPr="00B821D5" w14:paraId="4BA665F2" w14:textId="77777777" w:rsidTr="001E29CD">
        <w:trPr>
          <w:trHeight w:val="3030"/>
        </w:trPr>
        <w:tc>
          <w:tcPr>
            <w:tcW w:w="135" w:type="dxa"/>
            <w:shd w:val="clear" w:color="000000" w:fill="FFFFFF"/>
            <w:noWrap/>
            <w:vAlign w:val="center"/>
            <w:hideMark/>
          </w:tcPr>
          <w:p w14:paraId="55F5EA3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20</w:t>
            </w:r>
          </w:p>
        </w:tc>
        <w:tc>
          <w:tcPr>
            <w:tcW w:w="141" w:type="dxa"/>
            <w:shd w:val="clear" w:color="000000" w:fill="FFFFFF"/>
            <w:noWrap/>
            <w:textDirection w:val="btLr"/>
            <w:vAlign w:val="center"/>
            <w:hideMark/>
          </w:tcPr>
          <w:p w14:paraId="562793A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General</w:t>
            </w:r>
          </w:p>
        </w:tc>
        <w:tc>
          <w:tcPr>
            <w:tcW w:w="142" w:type="dxa"/>
            <w:shd w:val="clear" w:color="000000" w:fill="FFFFFF"/>
            <w:noWrap/>
            <w:textDirection w:val="btLr"/>
            <w:vAlign w:val="center"/>
            <w:hideMark/>
          </w:tcPr>
          <w:p w14:paraId="47584CA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Externo</w:t>
            </w:r>
          </w:p>
        </w:tc>
        <w:tc>
          <w:tcPr>
            <w:tcW w:w="142" w:type="dxa"/>
            <w:shd w:val="clear" w:color="000000" w:fill="FFFFFF"/>
            <w:noWrap/>
            <w:textDirection w:val="btLr"/>
            <w:vAlign w:val="center"/>
            <w:hideMark/>
          </w:tcPr>
          <w:p w14:paraId="21826EF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Ejecución</w:t>
            </w:r>
          </w:p>
        </w:tc>
        <w:tc>
          <w:tcPr>
            <w:tcW w:w="142" w:type="dxa"/>
            <w:shd w:val="clear" w:color="000000" w:fill="FFFFFF"/>
            <w:noWrap/>
            <w:textDirection w:val="btLr"/>
            <w:vAlign w:val="center"/>
            <w:hideMark/>
          </w:tcPr>
          <w:p w14:paraId="23E8366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Social</w:t>
            </w:r>
          </w:p>
        </w:tc>
        <w:tc>
          <w:tcPr>
            <w:tcW w:w="726" w:type="dxa"/>
            <w:shd w:val="clear" w:color="auto" w:fill="auto"/>
            <w:vAlign w:val="center"/>
            <w:hideMark/>
          </w:tcPr>
          <w:p w14:paraId="1E7BCF2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b/>
                <w:bCs/>
                <w:color w:val="000000" w:themeColor="text1"/>
                <w:sz w:val="10"/>
                <w:szCs w:val="10"/>
                <w:lang w:eastAsia="es-CO"/>
              </w:rPr>
              <w:t>Manifestación Social</w:t>
            </w:r>
            <w:r w:rsidRPr="00B821D5">
              <w:rPr>
                <w:rFonts w:ascii="Arial Narrow" w:hAnsi="Arial Narrow" w:cs="Arial"/>
                <w:color w:val="000000" w:themeColor="text1"/>
                <w:sz w:val="10"/>
                <w:szCs w:val="10"/>
                <w:lang w:eastAsia="es-CO"/>
              </w:rPr>
              <w:t>:  Se refiere a la posibilidad de que la Comunidad presente inconformidades frente a la contrucción y puesta en servicio del la obra.Riesgo asociado a los procesos de Gestión Social que realice el Contratista y que esté en cabeza de éste.</w:t>
            </w:r>
          </w:p>
        </w:tc>
        <w:tc>
          <w:tcPr>
            <w:tcW w:w="601" w:type="dxa"/>
            <w:shd w:val="clear" w:color="000000" w:fill="FFFFFF"/>
            <w:vAlign w:val="center"/>
            <w:hideMark/>
          </w:tcPr>
          <w:p w14:paraId="0EC60A4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xml:space="preserve">Inconformidad de la comunidad en proceso de Gestión Social por la socialización del proyecto y ejecución de  la obra, puede generar atrasos en la ejecución de la obra.   </w:t>
            </w:r>
          </w:p>
        </w:tc>
        <w:tc>
          <w:tcPr>
            <w:tcW w:w="136" w:type="dxa"/>
            <w:shd w:val="clear" w:color="000000" w:fill="FFFFFF"/>
            <w:noWrap/>
            <w:vAlign w:val="center"/>
            <w:hideMark/>
          </w:tcPr>
          <w:p w14:paraId="5E85A8E6"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000000" w:fill="FFFFFF"/>
            <w:noWrap/>
            <w:vAlign w:val="center"/>
            <w:hideMark/>
          </w:tcPr>
          <w:p w14:paraId="48AD6E9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noWrap/>
            <w:vAlign w:val="center"/>
            <w:hideMark/>
          </w:tcPr>
          <w:p w14:paraId="4078C4C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4</w:t>
            </w:r>
          </w:p>
        </w:tc>
        <w:tc>
          <w:tcPr>
            <w:tcW w:w="263" w:type="dxa"/>
            <w:shd w:val="clear" w:color="000000" w:fill="FFFFFF"/>
            <w:vAlign w:val="center"/>
            <w:hideMark/>
          </w:tcPr>
          <w:p w14:paraId="74215D3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269" w:type="dxa"/>
            <w:shd w:val="clear" w:color="000000" w:fill="FFFFFF"/>
            <w:vAlign w:val="center"/>
            <w:hideMark/>
          </w:tcPr>
          <w:p w14:paraId="3F028BF5"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w:t>
            </w:r>
          </w:p>
        </w:tc>
        <w:tc>
          <w:tcPr>
            <w:tcW w:w="544" w:type="dxa"/>
            <w:shd w:val="clear" w:color="000000" w:fill="FFFFFF"/>
            <w:noWrap/>
            <w:vAlign w:val="center"/>
            <w:hideMark/>
          </w:tcPr>
          <w:p w14:paraId="5FC002A7"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926" w:type="dxa"/>
            <w:shd w:val="clear" w:color="000000" w:fill="FFFFFF"/>
            <w:vAlign w:val="center"/>
            <w:hideMark/>
          </w:tcPr>
          <w:p w14:paraId="6432B9E6"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Seguimiento a todos los protocolos y procesos de Gestión Social de los proyectos que así lo requieran.  Socialización desde el comienzo del proyecto a las comunidades que se encuentran directamente afectadas. Atención a las inconformidades de la comunidad.   Seguimiento al proceso en conjunto con el Ministerio del Interior, cuando sea requerido.</w:t>
            </w:r>
          </w:p>
        </w:tc>
        <w:tc>
          <w:tcPr>
            <w:tcW w:w="136" w:type="dxa"/>
            <w:shd w:val="clear" w:color="000000" w:fill="FFFFFF"/>
            <w:vAlign w:val="center"/>
            <w:hideMark/>
          </w:tcPr>
          <w:p w14:paraId="0912A8B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000000" w:fill="FFFFFF"/>
            <w:vAlign w:val="center"/>
            <w:hideMark/>
          </w:tcPr>
          <w:p w14:paraId="2BDF272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vAlign w:val="center"/>
            <w:hideMark/>
          </w:tcPr>
          <w:p w14:paraId="2AED151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4</w:t>
            </w:r>
          </w:p>
        </w:tc>
        <w:tc>
          <w:tcPr>
            <w:tcW w:w="263" w:type="dxa"/>
            <w:shd w:val="clear" w:color="000000" w:fill="FFFFFF"/>
            <w:vAlign w:val="center"/>
            <w:hideMark/>
          </w:tcPr>
          <w:p w14:paraId="644F407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481" w:type="dxa"/>
            <w:shd w:val="clear" w:color="000000" w:fill="FFFFFF"/>
            <w:vAlign w:val="center"/>
            <w:hideMark/>
          </w:tcPr>
          <w:p w14:paraId="4F67F92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NO</w:t>
            </w:r>
          </w:p>
        </w:tc>
        <w:tc>
          <w:tcPr>
            <w:tcW w:w="576" w:type="dxa"/>
            <w:shd w:val="clear" w:color="000000" w:fill="FFFFFF"/>
            <w:vAlign w:val="center"/>
            <w:hideMark/>
          </w:tcPr>
          <w:p w14:paraId="62CE3FA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Gestores y/o Supervisores, Interventor-Contratista</w:t>
            </w:r>
          </w:p>
        </w:tc>
        <w:tc>
          <w:tcPr>
            <w:tcW w:w="654" w:type="dxa"/>
            <w:shd w:val="clear" w:color="000000" w:fill="FFFFFF"/>
            <w:vAlign w:val="center"/>
            <w:hideMark/>
          </w:tcPr>
          <w:p w14:paraId="1D6CFED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Al inicio de la ejecución del contrato</w:t>
            </w:r>
          </w:p>
        </w:tc>
        <w:tc>
          <w:tcPr>
            <w:tcW w:w="654" w:type="dxa"/>
            <w:shd w:val="clear" w:color="000000" w:fill="FFFFFF"/>
            <w:vAlign w:val="center"/>
            <w:hideMark/>
          </w:tcPr>
          <w:p w14:paraId="7979BD7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 la liquidación del contrato con el cierre ambiental</w:t>
            </w:r>
          </w:p>
        </w:tc>
        <w:tc>
          <w:tcPr>
            <w:tcW w:w="689" w:type="dxa"/>
            <w:shd w:val="clear" w:color="000000" w:fill="FFFFFF"/>
            <w:vAlign w:val="center"/>
            <w:hideMark/>
          </w:tcPr>
          <w:p w14:paraId="4E66A15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Visitas de seguimiento y control para garantizar el  Seguimiento a todos los protocolos y procesos de Gestión social de los proyectos  Socialización desde el comienzo del proyecto a las comunidades que se encuentran directamente afectadas.  Seguimiento al proceso en conjunto con el Ministerio del Interior, cuando sea requerido.</w:t>
            </w:r>
          </w:p>
        </w:tc>
        <w:tc>
          <w:tcPr>
            <w:tcW w:w="654" w:type="dxa"/>
            <w:shd w:val="clear" w:color="000000" w:fill="FFFFFF"/>
            <w:vAlign w:val="center"/>
            <w:hideMark/>
          </w:tcPr>
          <w:p w14:paraId="5248BDC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xml:space="preserve">semanal mientras se ejecute la Gestión social </w:t>
            </w:r>
          </w:p>
        </w:tc>
      </w:tr>
      <w:tr w:rsidR="00EB718C" w:rsidRPr="00B821D5" w14:paraId="3B917493" w14:textId="77777777" w:rsidTr="001E29CD">
        <w:trPr>
          <w:trHeight w:val="3630"/>
        </w:trPr>
        <w:tc>
          <w:tcPr>
            <w:tcW w:w="135" w:type="dxa"/>
            <w:shd w:val="clear" w:color="000000" w:fill="FFFFFF"/>
            <w:noWrap/>
            <w:vAlign w:val="center"/>
            <w:hideMark/>
          </w:tcPr>
          <w:p w14:paraId="49A1D426"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lastRenderedPageBreak/>
              <w:t>21</w:t>
            </w:r>
          </w:p>
        </w:tc>
        <w:tc>
          <w:tcPr>
            <w:tcW w:w="141" w:type="dxa"/>
            <w:shd w:val="clear" w:color="000000" w:fill="FFFFFF"/>
            <w:noWrap/>
            <w:textDirection w:val="btLr"/>
            <w:vAlign w:val="center"/>
            <w:hideMark/>
          </w:tcPr>
          <w:p w14:paraId="60548A7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General</w:t>
            </w:r>
          </w:p>
        </w:tc>
        <w:tc>
          <w:tcPr>
            <w:tcW w:w="142" w:type="dxa"/>
            <w:shd w:val="clear" w:color="000000" w:fill="FFFFFF"/>
            <w:noWrap/>
            <w:textDirection w:val="btLr"/>
            <w:vAlign w:val="center"/>
            <w:hideMark/>
          </w:tcPr>
          <w:p w14:paraId="2651278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Externo</w:t>
            </w:r>
          </w:p>
        </w:tc>
        <w:tc>
          <w:tcPr>
            <w:tcW w:w="142" w:type="dxa"/>
            <w:shd w:val="clear" w:color="000000" w:fill="FFFFFF"/>
            <w:noWrap/>
            <w:textDirection w:val="btLr"/>
            <w:vAlign w:val="center"/>
            <w:hideMark/>
          </w:tcPr>
          <w:p w14:paraId="12669BF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Ejecución</w:t>
            </w:r>
          </w:p>
        </w:tc>
        <w:tc>
          <w:tcPr>
            <w:tcW w:w="142" w:type="dxa"/>
            <w:shd w:val="clear" w:color="000000" w:fill="FFFFFF"/>
            <w:noWrap/>
            <w:textDirection w:val="btLr"/>
            <w:vAlign w:val="center"/>
            <w:hideMark/>
          </w:tcPr>
          <w:p w14:paraId="057A53D6"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de la naturaleza</w:t>
            </w:r>
          </w:p>
        </w:tc>
        <w:tc>
          <w:tcPr>
            <w:tcW w:w="726" w:type="dxa"/>
            <w:shd w:val="clear" w:color="auto" w:fill="auto"/>
            <w:vAlign w:val="center"/>
            <w:hideMark/>
          </w:tcPr>
          <w:p w14:paraId="40EEEAF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b/>
                <w:bCs/>
                <w:color w:val="000000" w:themeColor="text1"/>
                <w:sz w:val="10"/>
                <w:szCs w:val="10"/>
                <w:lang w:eastAsia="es-CO"/>
              </w:rPr>
              <w:t>Fuerza mayor asegurable</w:t>
            </w:r>
            <w:r w:rsidRPr="00B821D5">
              <w:rPr>
                <w:rFonts w:ascii="Arial Narrow" w:hAnsi="Arial Narrow" w:cs="Arial"/>
                <w:color w:val="000000" w:themeColor="text1"/>
                <w:sz w:val="10"/>
                <w:szCs w:val="10"/>
                <w:lang w:eastAsia="es-CO"/>
              </w:rPr>
              <w:t xml:space="preserve">.  Son las relacionadas con los impactos adversos debido a la ocurrencia de desastres naturales, que afecten los bienes, equipos, maquinaria, personal, insumos, materiales, etc. De propiedad del contratista.  Riesgo que asume el PROPONENTE Y/O CONTRATISTA.  Se excluyen daños en bienes de la nación que estarán a cargo DEL MUNICIPIO. </w:t>
            </w:r>
          </w:p>
        </w:tc>
        <w:tc>
          <w:tcPr>
            <w:tcW w:w="601" w:type="dxa"/>
            <w:shd w:val="clear" w:color="000000" w:fill="FFFFFF"/>
            <w:vAlign w:val="center"/>
            <w:hideMark/>
          </w:tcPr>
          <w:p w14:paraId="28B8143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Demora en la ejecución del proyecto. Pérdida de bienes del Contratista</w:t>
            </w:r>
          </w:p>
        </w:tc>
        <w:tc>
          <w:tcPr>
            <w:tcW w:w="136" w:type="dxa"/>
            <w:shd w:val="clear" w:color="000000" w:fill="FFFFFF"/>
            <w:noWrap/>
            <w:vAlign w:val="center"/>
            <w:hideMark/>
          </w:tcPr>
          <w:p w14:paraId="38EC54B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000000" w:fill="FFFFFF"/>
            <w:noWrap/>
            <w:vAlign w:val="center"/>
            <w:hideMark/>
          </w:tcPr>
          <w:p w14:paraId="5D7A453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noWrap/>
            <w:vAlign w:val="center"/>
            <w:hideMark/>
          </w:tcPr>
          <w:p w14:paraId="36BF632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4</w:t>
            </w:r>
          </w:p>
        </w:tc>
        <w:tc>
          <w:tcPr>
            <w:tcW w:w="263" w:type="dxa"/>
            <w:shd w:val="clear" w:color="000000" w:fill="FFFFFF"/>
            <w:vAlign w:val="center"/>
            <w:hideMark/>
          </w:tcPr>
          <w:p w14:paraId="674B537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269" w:type="dxa"/>
            <w:shd w:val="clear" w:color="000000" w:fill="FFFFFF"/>
            <w:vAlign w:val="center"/>
            <w:hideMark/>
          </w:tcPr>
          <w:p w14:paraId="4FCCD717"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w:t>
            </w:r>
          </w:p>
        </w:tc>
        <w:tc>
          <w:tcPr>
            <w:tcW w:w="544" w:type="dxa"/>
            <w:shd w:val="clear" w:color="000000" w:fill="FFFFFF"/>
            <w:noWrap/>
            <w:vAlign w:val="center"/>
            <w:hideMark/>
          </w:tcPr>
          <w:p w14:paraId="00645A50"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926" w:type="dxa"/>
            <w:shd w:val="clear" w:color="000000" w:fill="FFFFFF"/>
            <w:vAlign w:val="center"/>
            <w:hideMark/>
          </w:tcPr>
          <w:p w14:paraId="24E9511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Recopilación de datos estadísticos e información a partir  de las fuentes oficiales durante la etapa precontractual y contractual, sobre la ocurrencia de desastres naturales en la región del proyecto, para adoptar medidas tendientes a mitigar su impacto sobre bienes del contratista, tales como ubicación de campamentos y oficinas, maquinaria y equipos, acopios de materiales, planes de seguridad industrial  para protección del personal en dichos eventos, etc.</w:t>
            </w:r>
          </w:p>
        </w:tc>
        <w:tc>
          <w:tcPr>
            <w:tcW w:w="136" w:type="dxa"/>
            <w:shd w:val="clear" w:color="000000" w:fill="FFFFFF"/>
            <w:vAlign w:val="center"/>
            <w:hideMark/>
          </w:tcPr>
          <w:p w14:paraId="25D857F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000000" w:fill="FFFFFF"/>
            <w:vAlign w:val="center"/>
            <w:hideMark/>
          </w:tcPr>
          <w:p w14:paraId="77B27B16"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auto" w:fill="auto"/>
            <w:vAlign w:val="center"/>
            <w:hideMark/>
          </w:tcPr>
          <w:p w14:paraId="1528E03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3</w:t>
            </w:r>
          </w:p>
        </w:tc>
        <w:tc>
          <w:tcPr>
            <w:tcW w:w="263" w:type="dxa"/>
            <w:shd w:val="clear" w:color="000000" w:fill="FFFFFF"/>
            <w:vAlign w:val="center"/>
            <w:hideMark/>
          </w:tcPr>
          <w:p w14:paraId="5C2EAD7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481" w:type="dxa"/>
            <w:shd w:val="clear" w:color="000000" w:fill="FFFFFF"/>
            <w:vAlign w:val="center"/>
            <w:hideMark/>
          </w:tcPr>
          <w:p w14:paraId="05C1A85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SI</w:t>
            </w:r>
          </w:p>
        </w:tc>
        <w:tc>
          <w:tcPr>
            <w:tcW w:w="576" w:type="dxa"/>
            <w:shd w:val="clear" w:color="000000" w:fill="FFFFFF"/>
            <w:vAlign w:val="center"/>
            <w:hideMark/>
          </w:tcPr>
          <w:p w14:paraId="7164D47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Contratista</w:t>
            </w:r>
          </w:p>
        </w:tc>
        <w:tc>
          <w:tcPr>
            <w:tcW w:w="654" w:type="dxa"/>
            <w:shd w:val="clear" w:color="000000" w:fill="FFFFFF"/>
            <w:vAlign w:val="center"/>
            <w:hideMark/>
          </w:tcPr>
          <w:p w14:paraId="4437F3E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Etapa precontractual</w:t>
            </w:r>
          </w:p>
        </w:tc>
        <w:tc>
          <w:tcPr>
            <w:tcW w:w="654" w:type="dxa"/>
            <w:shd w:val="clear" w:color="000000" w:fill="FFFFFF"/>
            <w:vAlign w:val="center"/>
            <w:hideMark/>
          </w:tcPr>
          <w:p w14:paraId="3193FB5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xml:space="preserve">Una vez instalado el contratista en el proyecto e implementado el plan de seguridad industrial con las debidas revisiones. </w:t>
            </w:r>
          </w:p>
        </w:tc>
        <w:tc>
          <w:tcPr>
            <w:tcW w:w="689" w:type="dxa"/>
            <w:shd w:val="clear" w:color="000000" w:fill="FFFFFF"/>
            <w:vAlign w:val="center"/>
            <w:hideMark/>
          </w:tcPr>
          <w:p w14:paraId="151E3B6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Revisiones de expertos del contratista en los tratamientos y controles  a ser implementados</w:t>
            </w:r>
          </w:p>
        </w:tc>
        <w:tc>
          <w:tcPr>
            <w:tcW w:w="654" w:type="dxa"/>
            <w:shd w:val="clear" w:color="000000" w:fill="FFFFFF"/>
            <w:vAlign w:val="center"/>
            <w:hideMark/>
          </w:tcPr>
          <w:p w14:paraId="43DACA5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Determinadas por los expertos del contratista en esta materia</w:t>
            </w:r>
          </w:p>
        </w:tc>
      </w:tr>
      <w:tr w:rsidR="00EB718C" w:rsidRPr="00B821D5" w14:paraId="42F5B2E6" w14:textId="77777777" w:rsidTr="001E29CD">
        <w:trPr>
          <w:trHeight w:val="3780"/>
        </w:trPr>
        <w:tc>
          <w:tcPr>
            <w:tcW w:w="135" w:type="dxa"/>
            <w:shd w:val="clear" w:color="auto" w:fill="auto"/>
            <w:noWrap/>
            <w:vAlign w:val="center"/>
            <w:hideMark/>
          </w:tcPr>
          <w:p w14:paraId="563206B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22</w:t>
            </w:r>
          </w:p>
        </w:tc>
        <w:tc>
          <w:tcPr>
            <w:tcW w:w="141" w:type="dxa"/>
            <w:shd w:val="clear" w:color="auto" w:fill="auto"/>
            <w:noWrap/>
            <w:textDirection w:val="btLr"/>
            <w:vAlign w:val="center"/>
            <w:hideMark/>
          </w:tcPr>
          <w:p w14:paraId="58396A9C"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General</w:t>
            </w:r>
          </w:p>
        </w:tc>
        <w:tc>
          <w:tcPr>
            <w:tcW w:w="142" w:type="dxa"/>
            <w:shd w:val="clear" w:color="auto" w:fill="auto"/>
            <w:noWrap/>
            <w:textDirection w:val="btLr"/>
            <w:vAlign w:val="center"/>
            <w:hideMark/>
          </w:tcPr>
          <w:p w14:paraId="2DBBB65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Externo</w:t>
            </w:r>
          </w:p>
        </w:tc>
        <w:tc>
          <w:tcPr>
            <w:tcW w:w="142" w:type="dxa"/>
            <w:shd w:val="clear" w:color="auto" w:fill="auto"/>
            <w:noWrap/>
            <w:textDirection w:val="btLr"/>
            <w:vAlign w:val="center"/>
            <w:hideMark/>
          </w:tcPr>
          <w:p w14:paraId="155009D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Ejecución</w:t>
            </w:r>
          </w:p>
        </w:tc>
        <w:tc>
          <w:tcPr>
            <w:tcW w:w="142" w:type="dxa"/>
            <w:shd w:val="clear" w:color="auto" w:fill="auto"/>
            <w:textDirection w:val="btLr"/>
            <w:vAlign w:val="center"/>
            <w:hideMark/>
          </w:tcPr>
          <w:p w14:paraId="3A975BB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político-social, Riesgo de la naturaleza</w:t>
            </w:r>
          </w:p>
        </w:tc>
        <w:tc>
          <w:tcPr>
            <w:tcW w:w="726" w:type="dxa"/>
            <w:shd w:val="clear" w:color="auto" w:fill="auto"/>
            <w:vAlign w:val="center"/>
            <w:hideMark/>
          </w:tcPr>
          <w:p w14:paraId="5BA5918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b/>
                <w:bCs/>
                <w:color w:val="000000" w:themeColor="text1"/>
                <w:sz w:val="10"/>
                <w:szCs w:val="10"/>
                <w:lang w:eastAsia="es-CO"/>
              </w:rPr>
              <w:t>Fuerza mayor no asegurable.</w:t>
            </w:r>
            <w:r w:rsidRPr="00B821D5">
              <w:rPr>
                <w:rFonts w:ascii="Arial Narrow" w:hAnsi="Arial Narrow" w:cs="Arial"/>
                <w:color w:val="000000" w:themeColor="text1"/>
                <w:sz w:val="10"/>
                <w:szCs w:val="10"/>
                <w:lang w:eastAsia="es-CO"/>
              </w:rPr>
              <w:t xml:space="preserve">  Incertidumbre de ocurrencia de eventos de fuerza mayor no asegurables, tales como guerras, hallazgos arqueológicos,  yacimientos mineros, (MUNICIPIO como órgano del Estado en armonía con los demás Entes).  Se define la Fuerza Mayor o Caso Fortuito, en los términos de la legislación existente.</w:t>
            </w:r>
          </w:p>
        </w:tc>
        <w:tc>
          <w:tcPr>
            <w:tcW w:w="601" w:type="dxa"/>
            <w:shd w:val="clear" w:color="auto" w:fill="auto"/>
            <w:vAlign w:val="center"/>
            <w:hideMark/>
          </w:tcPr>
          <w:p w14:paraId="79CCEE63"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Interferencia  en la ejecución del proyecto, pérdidas de bienes de la nación ó del contratista,  cambios en las obras por necesidad de ajustar diseños</w:t>
            </w:r>
          </w:p>
        </w:tc>
        <w:tc>
          <w:tcPr>
            <w:tcW w:w="136" w:type="dxa"/>
            <w:shd w:val="clear" w:color="auto" w:fill="auto"/>
            <w:noWrap/>
            <w:vAlign w:val="center"/>
            <w:hideMark/>
          </w:tcPr>
          <w:p w14:paraId="45E23FF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auto" w:fill="auto"/>
            <w:noWrap/>
            <w:vAlign w:val="center"/>
            <w:hideMark/>
          </w:tcPr>
          <w:p w14:paraId="13BC546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4</w:t>
            </w:r>
          </w:p>
        </w:tc>
        <w:tc>
          <w:tcPr>
            <w:tcW w:w="136" w:type="dxa"/>
            <w:shd w:val="clear" w:color="auto" w:fill="auto"/>
            <w:noWrap/>
            <w:vAlign w:val="center"/>
            <w:hideMark/>
          </w:tcPr>
          <w:p w14:paraId="3AFDAD7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5</w:t>
            </w:r>
          </w:p>
        </w:tc>
        <w:tc>
          <w:tcPr>
            <w:tcW w:w="263" w:type="dxa"/>
            <w:shd w:val="clear" w:color="auto" w:fill="auto"/>
            <w:vAlign w:val="center"/>
            <w:hideMark/>
          </w:tcPr>
          <w:p w14:paraId="30F43F6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Medio</w:t>
            </w:r>
          </w:p>
        </w:tc>
        <w:tc>
          <w:tcPr>
            <w:tcW w:w="269" w:type="dxa"/>
            <w:shd w:val="clear" w:color="auto" w:fill="auto"/>
            <w:vAlign w:val="center"/>
            <w:hideMark/>
          </w:tcPr>
          <w:p w14:paraId="2530A9A9"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544" w:type="dxa"/>
            <w:shd w:val="clear" w:color="auto" w:fill="auto"/>
            <w:noWrap/>
            <w:vAlign w:val="center"/>
            <w:hideMark/>
          </w:tcPr>
          <w:p w14:paraId="56E97310"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926" w:type="dxa"/>
            <w:shd w:val="clear" w:color="auto" w:fill="auto"/>
            <w:vAlign w:val="center"/>
            <w:hideMark/>
          </w:tcPr>
          <w:p w14:paraId="54F00F4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Recopilación de datos estadísticos e información a partir  de fuentes oficiales durante la etapa precontractual y contractual, sobre la posibilidad de  aparición de hallazgos arqueológicos o yacimientos mineros en la región del proyecto, para advertir oportunamente sobre su interferencia con el proyecto y tomar las medidas tendiente a mitigar el impacto.  Ante la aparición del evento efectuar los ajustes de diseño para las modificaciones a que hubiere lugar en la ejecución del proyecto. En caso de guerra tratar y acordar con lNVIAS el tratamiento contractual al proyecto</w:t>
            </w:r>
          </w:p>
        </w:tc>
        <w:tc>
          <w:tcPr>
            <w:tcW w:w="136" w:type="dxa"/>
            <w:shd w:val="clear" w:color="auto" w:fill="auto"/>
            <w:vAlign w:val="center"/>
            <w:hideMark/>
          </w:tcPr>
          <w:p w14:paraId="1886977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auto" w:fill="auto"/>
            <w:vAlign w:val="center"/>
            <w:hideMark/>
          </w:tcPr>
          <w:p w14:paraId="7E6DA26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3</w:t>
            </w:r>
          </w:p>
        </w:tc>
        <w:tc>
          <w:tcPr>
            <w:tcW w:w="136" w:type="dxa"/>
            <w:shd w:val="clear" w:color="auto" w:fill="auto"/>
            <w:vAlign w:val="center"/>
            <w:hideMark/>
          </w:tcPr>
          <w:p w14:paraId="4EFCDC2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4</w:t>
            </w:r>
          </w:p>
        </w:tc>
        <w:tc>
          <w:tcPr>
            <w:tcW w:w="263" w:type="dxa"/>
            <w:shd w:val="clear" w:color="auto" w:fill="auto"/>
            <w:vAlign w:val="center"/>
            <w:hideMark/>
          </w:tcPr>
          <w:p w14:paraId="5597AD8C"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481" w:type="dxa"/>
            <w:shd w:val="clear" w:color="auto" w:fill="auto"/>
            <w:vAlign w:val="center"/>
            <w:hideMark/>
          </w:tcPr>
          <w:p w14:paraId="36E9AFB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SI</w:t>
            </w:r>
          </w:p>
        </w:tc>
        <w:tc>
          <w:tcPr>
            <w:tcW w:w="576" w:type="dxa"/>
            <w:shd w:val="clear" w:color="auto" w:fill="auto"/>
            <w:vAlign w:val="center"/>
            <w:hideMark/>
          </w:tcPr>
          <w:p w14:paraId="3E071A3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Contratista</w:t>
            </w:r>
          </w:p>
        </w:tc>
        <w:tc>
          <w:tcPr>
            <w:tcW w:w="654" w:type="dxa"/>
            <w:shd w:val="clear" w:color="auto" w:fill="auto"/>
            <w:vAlign w:val="center"/>
            <w:hideMark/>
          </w:tcPr>
          <w:p w14:paraId="3185407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Etapa precontractual</w:t>
            </w:r>
          </w:p>
        </w:tc>
        <w:tc>
          <w:tcPr>
            <w:tcW w:w="654" w:type="dxa"/>
            <w:shd w:val="clear" w:color="auto" w:fill="auto"/>
            <w:vAlign w:val="center"/>
            <w:hideMark/>
          </w:tcPr>
          <w:p w14:paraId="6006ED9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 la terminación de la ejecución del contrato</w:t>
            </w:r>
          </w:p>
        </w:tc>
        <w:tc>
          <w:tcPr>
            <w:tcW w:w="689" w:type="dxa"/>
            <w:shd w:val="clear" w:color="auto" w:fill="auto"/>
            <w:vAlign w:val="center"/>
            <w:hideMark/>
          </w:tcPr>
          <w:p w14:paraId="04D4D9C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xml:space="preserve">Revisión de la información obtenida, para tomar las medidas a que haya lugar </w:t>
            </w:r>
          </w:p>
        </w:tc>
        <w:tc>
          <w:tcPr>
            <w:tcW w:w="654" w:type="dxa"/>
            <w:shd w:val="clear" w:color="auto" w:fill="auto"/>
            <w:vAlign w:val="center"/>
            <w:hideMark/>
          </w:tcPr>
          <w:p w14:paraId="74B4463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En la etapa precontractual y en la contractual cuando se presente el evento.</w:t>
            </w:r>
          </w:p>
        </w:tc>
      </w:tr>
      <w:tr w:rsidR="00EB718C" w:rsidRPr="00B821D5" w14:paraId="403E81B0" w14:textId="77777777" w:rsidTr="001E29CD">
        <w:trPr>
          <w:trHeight w:val="1932"/>
        </w:trPr>
        <w:tc>
          <w:tcPr>
            <w:tcW w:w="135" w:type="dxa"/>
            <w:shd w:val="clear" w:color="auto" w:fill="auto"/>
            <w:noWrap/>
            <w:vAlign w:val="center"/>
            <w:hideMark/>
          </w:tcPr>
          <w:p w14:paraId="66DCE703"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23</w:t>
            </w:r>
          </w:p>
        </w:tc>
        <w:tc>
          <w:tcPr>
            <w:tcW w:w="141" w:type="dxa"/>
            <w:shd w:val="clear" w:color="auto" w:fill="auto"/>
            <w:noWrap/>
            <w:textDirection w:val="btLr"/>
            <w:vAlign w:val="center"/>
            <w:hideMark/>
          </w:tcPr>
          <w:p w14:paraId="4397468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General</w:t>
            </w:r>
          </w:p>
        </w:tc>
        <w:tc>
          <w:tcPr>
            <w:tcW w:w="142" w:type="dxa"/>
            <w:shd w:val="clear" w:color="auto" w:fill="auto"/>
            <w:noWrap/>
            <w:textDirection w:val="btLr"/>
            <w:vAlign w:val="center"/>
            <w:hideMark/>
          </w:tcPr>
          <w:p w14:paraId="1D79FDE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xml:space="preserve">Externo </w:t>
            </w:r>
          </w:p>
        </w:tc>
        <w:tc>
          <w:tcPr>
            <w:tcW w:w="142" w:type="dxa"/>
            <w:shd w:val="clear" w:color="auto" w:fill="auto"/>
            <w:noWrap/>
            <w:textDirection w:val="btLr"/>
            <w:vAlign w:val="center"/>
            <w:hideMark/>
          </w:tcPr>
          <w:p w14:paraId="6C0ED56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Ejecución</w:t>
            </w:r>
          </w:p>
        </w:tc>
        <w:tc>
          <w:tcPr>
            <w:tcW w:w="142" w:type="dxa"/>
            <w:shd w:val="clear" w:color="auto" w:fill="auto"/>
            <w:noWrap/>
            <w:textDirection w:val="btLr"/>
            <w:vAlign w:val="center"/>
            <w:hideMark/>
          </w:tcPr>
          <w:p w14:paraId="101E5AC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Riesgos de la Salud</w:t>
            </w:r>
          </w:p>
        </w:tc>
        <w:tc>
          <w:tcPr>
            <w:tcW w:w="726" w:type="dxa"/>
            <w:shd w:val="clear" w:color="auto" w:fill="auto"/>
            <w:vAlign w:val="center"/>
            <w:hideMark/>
          </w:tcPr>
          <w:p w14:paraId="778DC707"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xml:space="preserve">Presencia de Riesgos Biológicos. </w:t>
            </w:r>
            <w:r w:rsidRPr="00B821D5">
              <w:rPr>
                <w:rFonts w:ascii="Arial Narrow" w:hAnsi="Arial Narrow" w:cs="Arial"/>
                <w:color w:val="000000" w:themeColor="text1"/>
                <w:sz w:val="10"/>
                <w:szCs w:val="10"/>
                <w:lang w:eastAsia="es-CO"/>
              </w:rPr>
              <w:t xml:space="preserve">Se refiere a la posibilidad que durante la ejecución del contrato, los colaboradores del Contratista, presenten sintomas de enfermedades altamente contagiosas y que afecten y deterioren la Salud del Personal. </w:t>
            </w:r>
          </w:p>
        </w:tc>
        <w:tc>
          <w:tcPr>
            <w:tcW w:w="601" w:type="dxa"/>
            <w:shd w:val="clear" w:color="auto" w:fill="auto"/>
            <w:vAlign w:val="center"/>
            <w:hideMark/>
          </w:tcPr>
          <w:p w14:paraId="15195AF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Deterioro notorio y grave de la salud y posible contagio</w:t>
            </w:r>
          </w:p>
        </w:tc>
        <w:tc>
          <w:tcPr>
            <w:tcW w:w="136" w:type="dxa"/>
            <w:shd w:val="clear" w:color="auto" w:fill="auto"/>
            <w:noWrap/>
            <w:vAlign w:val="center"/>
            <w:hideMark/>
          </w:tcPr>
          <w:p w14:paraId="08C3A6A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3</w:t>
            </w:r>
          </w:p>
        </w:tc>
        <w:tc>
          <w:tcPr>
            <w:tcW w:w="136" w:type="dxa"/>
            <w:shd w:val="clear" w:color="auto" w:fill="auto"/>
            <w:noWrap/>
            <w:vAlign w:val="center"/>
            <w:hideMark/>
          </w:tcPr>
          <w:p w14:paraId="54DCFDE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4</w:t>
            </w:r>
          </w:p>
        </w:tc>
        <w:tc>
          <w:tcPr>
            <w:tcW w:w="136" w:type="dxa"/>
            <w:shd w:val="clear" w:color="auto" w:fill="auto"/>
            <w:noWrap/>
            <w:vAlign w:val="center"/>
            <w:hideMark/>
          </w:tcPr>
          <w:p w14:paraId="3D0476D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7</w:t>
            </w:r>
          </w:p>
        </w:tc>
        <w:tc>
          <w:tcPr>
            <w:tcW w:w="263" w:type="dxa"/>
            <w:shd w:val="clear" w:color="auto" w:fill="auto"/>
            <w:vAlign w:val="center"/>
            <w:hideMark/>
          </w:tcPr>
          <w:p w14:paraId="6F4F97E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Alto</w:t>
            </w:r>
          </w:p>
        </w:tc>
        <w:tc>
          <w:tcPr>
            <w:tcW w:w="269" w:type="dxa"/>
            <w:shd w:val="clear" w:color="auto" w:fill="auto"/>
            <w:vAlign w:val="center"/>
            <w:hideMark/>
          </w:tcPr>
          <w:p w14:paraId="5B83608B"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w:t>
            </w:r>
          </w:p>
        </w:tc>
        <w:tc>
          <w:tcPr>
            <w:tcW w:w="544" w:type="dxa"/>
            <w:shd w:val="clear" w:color="auto" w:fill="auto"/>
            <w:vAlign w:val="center"/>
            <w:hideMark/>
          </w:tcPr>
          <w:p w14:paraId="5A1B966D"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926" w:type="dxa"/>
            <w:shd w:val="clear" w:color="auto" w:fill="auto"/>
            <w:vAlign w:val="center"/>
            <w:hideMark/>
          </w:tcPr>
          <w:p w14:paraId="6F66BCF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La aplicación preventiva de las medidas de Bioseguridad establecidas por las Autoridades de Salud en Colombia y sus respectivos Protocolos, el cumplimiento de la Resolución 0312 de 2019, Informar de inmediato las novedades de salud.</w:t>
            </w:r>
          </w:p>
        </w:tc>
        <w:tc>
          <w:tcPr>
            <w:tcW w:w="136" w:type="dxa"/>
            <w:shd w:val="clear" w:color="auto" w:fill="auto"/>
            <w:vAlign w:val="center"/>
            <w:hideMark/>
          </w:tcPr>
          <w:p w14:paraId="536B789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vAlign w:val="center"/>
            <w:hideMark/>
          </w:tcPr>
          <w:p w14:paraId="5CFE094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3</w:t>
            </w:r>
          </w:p>
        </w:tc>
        <w:tc>
          <w:tcPr>
            <w:tcW w:w="136" w:type="dxa"/>
            <w:shd w:val="clear" w:color="auto" w:fill="auto"/>
            <w:vAlign w:val="center"/>
            <w:hideMark/>
          </w:tcPr>
          <w:p w14:paraId="18B5D8A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5</w:t>
            </w:r>
          </w:p>
        </w:tc>
        <w:tc>
          <w:tcPr>
            <w:tcW w:w="263" w:type="dxa"/>
            <w:shd w:val="clear" w:color="auto" w:fill="auto"/>
            <w:vAlign w:val="center"/>
            <w:hideMark/>
          </w:tcPr>
          <w:p w14:paraId="1344866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Medio</w:t>
            </w:r>
          </w:p>
        </w:tc>
        <w:tc>
          <w:tcPr>
            <w:tcW w:w="481" w:type="dxa"/>
            <w:shd w:val="clear" w:color="auto" w:fill="auto"/>
            <w:vAlign w:val="center"/>
            <w:hideMark/>
          </w:tcPr>
          <w:p w14:paraId="46E52F8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SI</w:t>
            </w:r>
          </w:p>
        </w:tc>
        <w:tc>
          <w:tcPr>
            <w:tcW w:w="576" w:type="dxa"/>
            <w:shd w:val="clear" w:color="auto" w:fill="auto"/>
            <w:vAlign w:val="center"/>
            <w:hideMark/>
          </w:tcPr>
          <w:p w14:paraId="615D2F86"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xml:space="preserve">contratistas de Obras, de Estudios y Diseños interventor, Supervisor MUNICIPIO </w:t>
            </w:r>
          </w:p>
        </w:tc>
        <w:tc>
          <w:tcPr>
            <w:tcW w:w="654" w:type="dxa"/>
            <w:shd w:val="clear" w:color="auto" w:fill="auto"/>
            <w:vAlign w:val="center"/>
            <w:hideMark/>
          </w:tcPr>
          <w:p w14:paraId="4EF50D9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Al inicio de la ejecución del contrato</w:t>
            </w:r>
          </w:p>
        </w:tc>
        <w:tc>
          <w:tcPr>
            <w:tcW w:w="654" w:type="dxa"/>
            <w:shd w:val="clear" w:color="auto" w:fill="auto"/>
            <w:vAlign w:val="center"/>
            <w:hideMark/>
          </w:tcPr>
          <w:p w14:paraId="2A16E82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 la terminación del contrato</w:t>
            </w:r>
          </w:p>
        </w:tc>
        <w:tc>
          <w:tcPr>
            <w:tcW w:w="689" w:type="dxa"/>
            <w:shd w:val="clear" w:color="auto" w:fill="auto"/>
            <w:vAlign w:val="center"/>
            <w:hideMark/>
          </w:tcPr>
          <w:p w14:paraId="4BD587B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Previo al inicio de la ejecución de las obras, Estudios, Diseños e Interventoría, el contratista deberá presentar certificación individual vigente del estado de salud de cada integrante colaborador (empleado o contratista) expedida por la ARL</w:t>
            </w:r>
          </w:p>
        </w:tc>
        <w:tc>
          <w:tcPr>
            <w:tcW w:w="654" w:type="dxa"/>
            <w:shd w:val="clear" w:color="auto" w:fill="auto"/>
            <w:vAlign w:val="center"/>
            <w:hideMark/>
          </w:tcPr>
          <w:p w14:paraId="59C39BD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Cada vez que haya novedades de cambio de personal</w:t>
            </w:r>
          </w:p>
        </w:tc>
      </w:tr>
      <w:tr w:rsidR="00EB718C" w:rsidRPr="00B821D5" w14:paraId="15554311" w14:textId="77777777" w:rsidTr="001E29CD">
        <w:trPr>
          <w:trHeight w:val="2910"/>
        </w:trPr>
        <w:tc>
          <w:tcPr>
            <w:tcW w:w="135" w:type="dxa"/>
            <w:shd w:val="clear" w:color="auto" w:fill="auto"/>
            <w:noWrap/>
            <w:vAlign w:val="center"/>
            <w:hideMark/>
          </w:tcPr>
          <w:p w14:paraId="39021D1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lastRenderedPageBreak/>
              <w:t>24</w:t>
            </w:r>
          </w:p>
        </w:tc>
        <w:tc>
          <w:tcPr>
            <w:tcW w:w="141" w:type="dxa"/>
            <w:shd w:val="clear" w:color="auto" w:fill="auto"/>
            <w:noWrap/>
            <w:textDirection w:val="btLr"/>
            <w:vAlign w:val="center"/>
            <w:hideMark/>
          </w:tcPr>
          <w:p w14:paraId="2122171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General</w:t>
            </w:r>
          </w:p>
        </w:tc>
        <w:tc>
          <w:tcPr>
            <w:tcW w:w="142" w:type="dxa"/>
            <w:shd w:val="clear" w:color="auto" w:fill="auto"/>
            <w:noWrap/>
            <w:textDirection w:val="btLr"/>
            <w:vAlign w:val="center"/>
            <w:hideMark/>
          </w:tcPr>
          <w:p w14:paraId="33DD18F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Externo</w:t>
            </w:r>
          </w:p>
        </w:tc>
        <w:tc>
          <w:tcPr>
            <w:tcW w:w="142" w:type="dxa"/>
            <w:shd w:val="clear" w:color="auto" w:fill="auto"/>
            <w:noWrap/>
            <w:textDirection w:val="btLr"/>
            <w:vAlign w:val="center"/>
            <w:hideMark/>
          </w:tcPr>
          <w:p w14:paraId="4412768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Ejecucion</w:t>
            </w:r>
          </w:p>
        </w:tc>
        <w:tc>
          <w:tcPr>
            <w:tcW w:w="142" w:type="dxa"/>
            <w:shd w:val="clear" w:color="auto" w:fill="auto"/>
            <w:noWrap/>
            <w:textDirection w:val="btLr"/>
            <w:vAlign w:val="center"/>
            <w:hideMark/>
          </w:tcPr>
          <w:p w14:paraId="1359A32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Riesgos de la Salud</w:t>
            </w:r>
          </w:p>
        </w:tc>
        <w:tc>
          <w:tcPr>
            <w:tcW w:w="726" w:type="dxa"/>
            <w:shd w:val="clear" w:color="auto" w:fill="auto"/>
            <w:vAlign w:val="center"/>
            <w:hideMark/>
          </w:tcPr>
          <w:p w14:paraId="70D52360"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xml:space="preserve">Disponibilidad de los Elementos de Protección Personal. </w:t>
            </w:r>
            <w:r w:rsidRPr="00B821D5">
              <w:rPr>
                <w:rFonts w:ascii="Arial Narrow" w:hAnsi="Arial Narrow" w:cs="Arial"/>
                <w:color w:val="000000" w:themeColor="text1"/>
                <w:sz w:val="10"/>
                <w:szCs w:val="10"/>
                <w:lang w:eastAsia="es-CO"/>
              </w:rPr>
              <w:t>Se refiere a la posibilidad de que el Contratista no disponga o suministre a sus colaboradores y demas, los Elementos de Protección Personal EPP y los de Riesgo Bilógico.</w:t>
            </w:r>
          </w:p>
        </w:tc>
        <w:tc>
          <w:tcPr>
            <w:tcW w:w="601" w:type="dxa"/>
            <w:shd w:val="clear" w:color="auto" w:fill="auto"/>
            <w:vAlign w:val="center"/>
            <w:hideMark/>
          </w:tcPr>
          <w:p w14:paraId="3BBAFEA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Accidentes de trabajo y posible exposición a Riegos Biologicos</w:t>
            </w:r>
          </w:p>
        </w:tc>
        <w:tc>
          <w:tcPr>
            <w:tcW w:w="136" w:type="dxa"/>
            <w:shd w:val="clear" w:color="auto" w:fill="auto"/>
            <w:noWrap/>
            <w:vAlign w:val="center"/>
            <w:hideMark/>
          </w:tcPr>
          <w:p w14:paraId="0FC8325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3</w:t>
            </w:r>
          </w:p>
        </w:tc>
        <w:tc>
          <w:tcPr>
            <w:tcW w:w="136" w:type="dxa"/>
            <w:shd w:val="clear" w:color="auto" w:fill="auto"/>
            <w:noWrap/>
            <w:vAlign w:val="center"/>
            <w:hideMark/>
          </w:tcPr>
          <w:p w14:paraId="0E40467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4</w:t>
            </w:r>
          </w:p>
        </w:tc>
        <w:tc>
          <w:tcPr>
            <w:tcW w:w="136" w:type="dxa"/>
            <w:shd w:val="clear" w:color="auto" w:fill="auto"/>
            <w:noWrap/>
            <w:vAlign w:val="center"/>
            <w:hideMark/>
          </w:tcPr>
          <w:p w14:paraId="52DC1DA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7</w:t>
            </w:r>
          </w:p>
        </w:tc>
        <w:tc>
          <w:tcPr>
            <w:tcW w:w="263" w:type="dxa"/>
            <w:shd w:val="clear" w:color="auto" w:fill="auto"/>
            <w:vAlign w:val="center"/>
            <w:hideMark/>
          </w:tcPr>
          <w:p w14:paraId="616B0C2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Alto</w:t>
            </w:r>
          </w:p>
        </w:tc>
        <w:tc>
          <w:tcPr>
            <w:tcW w:w="269" w:type="dxa"/>
            <w:shd w:val="clear" w:color="auto" w:fill="auto"/>
            <w:vAlign w:val="center"/>
            <w:hideMark/>
          </w:tcPr>
          <w:p w14:paraId="62BEF92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w:t>
            </w:r>
          </w:p>
        </w:tc>
        <w:tc>
          <w:tcPr>
            <w:tcW w:w="544" w:type="dxa"/>
            <w:shd w:val="clear" w:color="auto" w:fill="auto"/>
            <w:vAlign w:val="center"/>
            <w:hideMark/>
          </w:tcPr>
          <w:p w14:paraId="53685E93"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926" w:type="dxa"/>
            <w:shd w:val="clear" w:color="auto" w:fill="auto"/>
            <w:vAlign w:val="center"/>
            <w:hideMark/>
          </w:tcPr>
          <w:p w14:paraId="66010358"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xml:space="preserve">El contratista deberá suministrar todos los EPP a sus colaboradores en las obras, o solicitar a la ARL que los suministre </w:t>
            </w:r>
          </w:p>
        </w:tc>
        <w:tc>
          <w:tcPr>
            <w:tcW w:w="136" w:type="dxa"/>
            <w:shd w:val="clear" w:color="auto" w:fill="auto"/>
            <w:vAlign w:val="center"/>
            <w:hideMark/>
          </w:tcPr>
          <w:p w14:paraId="4FEA2DE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vAlign w:val="center"/>
            <w:hideMark/>
          </w:tcPr>
          <w:p w14:paraId="65F0803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3</w:t>
            </w:r>
          </w:p>
        </w:tc>
        <w:tc>
          <w:tcPr>
            <w:tcW w:w="136" w:type="dxa"/>
            <w:shd w:val="clear" w:color="auto" w:fill="auto"/>
            <w:vAlign w:val="center"/>
            <w:hideMark/>
          </w:tcPr>
          <w:p w14:paraId="5674854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5</w:t>
            </w:r>
          </w:p>
        </w:tc>
        <w:tc>
          <w:tcPr>
            <w:tcW w:w="263" w:type="dxa"/>
            <w:shd w:val="clear" w:color="auto" w:fill="auto"/>
            <w:vAlign w:val="center"/>
            <w:hideMark/>
          </w:tcPr>
          <w:p w14:paraId="4F296B2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Medio</w:t>
            </w:r>
          </w:p>
        </w:tc>
        <w:tc>
          <w:tcPr>
            <w:tcW w:w="481" w:type="dxa"/>
            <w:shd w:val="clear" w:color="auto" w:fill="auto"/>
            <w:vAlign w:val="center"/>
            <w:hideMark/>
          </w:tcPr>
          <w:p w14:paraId="02FF9A46"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SI</w:t>
            </w:r>
          </w:p>
        </w:tc>
        <w:tc>
          <w:tcPr>
            <w:tcW w:w="576" w:type="dxa"/>
            <w:shd w:val="clear" w:color="auto" w:fill="auto"/>
            <w:vAlign w:val="center"/>
            <w:hideMark/>
          </w:tcPr>
          <w:p w14:paraId="22CE154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 xml:space="preserve">contratistas de Obras, de Estudios y Diseños interventor, Supervisor MUNICIPIO </w:t>
            </w:r>
          </w:p>
        </w:tc>
        <w:tc>
          <w:tcPr>
            <w:tcW w:w="654" w:type="dxa"/>
            <w:shd w:val="clear" w:color="auto" w:fill="auto"/>
            <w:vAlign w:val="center"/>
            <w:hideMark/>
          </w:tcPr>
          <w:p w14:paraId="5712C77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Al inicio de la ejecución del contrato y de manera permanente.</w:t>
            </w:r>
          </w:p>
        </w:tc>
        <w:tc>
          <w:tcPr>
            <w:tcW w:w="654" w:type="dxa"/>
            <w:shd w:val="clear" w:color="auto" w:fill="auto"/>
            <w:vAlign w:val="center"/>
            <w:hideMark/>
          </w:tcPr>
          <w:p w14:paraId="067C0BF0"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 la terminación del contrato</w:t>
            </w:r>
          </w:p>
        </w:tc>
        <w:tc>
          <w:tcPr>
            <w:tcW w:w="689" w:type="dxa"/>
            <w:shd w:val="clear" w:color="auto" w:fill="auto"/>
            <w:vAlign w:val="center"/>
            <w:hideMark/>
          </w:tcPr>
          <w:p w14:paraId="5FE29D86"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Vigilancia permanente de los cambios de salud de los colaboradores</w:t>
            </w:r>
          </w:p>
        </w:tc>
        <w:tc>
          <w:tcPr>
            <w:tcW w:w="654" w:type="dxa"/>
            <w:shd w:val="clear" w:color="auto" w:fill="auto"/>
            <w:vAlign w:val="center"/>
            <w:hideMark/>
          </w:tcPr>
          <w:p w14:paraId="13C20562"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Diario</w:t>
            </w:r>
          </w:p>
        </w:tc>
      </w:tr>
      <w:tr w:rsidR="00EB718C" w:rsidRPr="00B821D5" w14:paraId="49607CC7" w14:textId="77777777" w:rsidTr="001E29CD">
        <w:trPr>
          <w:trHeight w:val="841"/>
        </w:trPr>
        <w:tc>
          <w:tcPr>
            <w:tcW w:w="135" w:type="dxa"/>
            <w:shd w:val="clear" w:color="auto" w:fill="auto"/>
            <w:noWrap/>
            <w:vAlign w:val="center"/>
            <w:hideMark/>
          </w:tcPr>
          <w:p w14:paraId="02FA9B14"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25</w:t>
            </w:r>
          </w:p>
        </w:tc>
        <w:tc>
          <w:tcPr>
            <w:tcW w:w="141" w:type="dxa"/>
            <w:shd w:val="clear" w:color="auto" w:fill="auto"/>
            <w:noWrap/>
            <w:textDirection w:val="btLr"/>
            <w:vAlign w:val="center"/>
            <w:hideMark/>
          </w:tcPr>
          <w:p w14:paraId="631BEEB5"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General</w:t>
            </w:r>
          </w:p>
        </w:tc>
        <w:tc>
          <w:tcPr>
            <w:tcW w:w="142" w:type="dxa"/>
            <w:shd w:val="clear" w:color="auto" w:fill="auto"/>
            <w:noWrap/>
            <w:textDirection w:val="btLr"/>
            <w:vAlign w:val="center"/>
            <w:hideMark/>
          </w:tcPr>
          <w:p w14:paraId="41A1888C"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Externo</w:t>
            </w:r>
          </w:p>
        </w:tc>
        <w:tc>
          <w:tcPr>
            <w:tcW w:w="142" w:type="dxa"/>
            <w:shd w:val="clear" w:color="auto" w:fill="auto"/>
            <w:noWrap/>
            <w:textDirection w:val="btLr"/>
            <w:vAlign w:val="center"/>
            <w:hideMark/>
          </w:tcPr>
          <w:p w14:paraId="6D0037D3"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Ejecucion</w:t>
            </w:r>
          </w:p>
        </w:tc>
        <w:tc>
          <w:tcPr>
            <w:tcW w:w="142" w:type="dxa"/>
            <w:shd w:val="clear" w:color="auto" w:fill="auto"/>
            <w:noWrap/>
            <w:textDirection w:val="btLr"/>
            <w:vAlign w:val="center"/>
            <w:hideMark/>
          </w:tcPr>
          <w:p w14:paraId="3C6A991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Riesgos de Corrupción</w:t>
            </w:r>
          </w:p>
        </w:tc>
        <w:tc>
          <w:tcPr>
            <w:tcW w:w="726" w:type="dxa"/>
            <w:shd w:val="clear" w:color="auto" w:fill="auto"/>
            <w:vAlign w:val="center"/>
            <w:hideMark/>
          </w:tcPr>
          <w:p w14:paraId="60807999"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 xml:space="preserve">Gestión Indebida y dolosa de los Recursos Financieros, de Insumos y Obras. </w:t>
            </w:r>
            <w:r w:rsidRPr="00B821D5">
              <w:rPr>
                <w:rFonts w:ascii="Arial Narrow" w:hAnsi="Arial Narrow" w:cs="Arial"/>
                <w:color w:val="000000" w:themeColor="text1"/>
                <w:sz w:val="10"/>
                <w:szCs w:val="10"/>
                <w:lang w:eastAsia="es-CO"/>
              </w:rPr>
              <w:t>Se refiere a la posibilidad de que el Contratista de las Obras, de la Interventoría y de funcionarios DEL MUNICIPIO, promuevan y participen de acciones fraudulentas en el manejo de los recursos destinados a las obras tanto en los aspectos financieros (anticipos), facturación, calidad y cantidad de materieles e insumos, diseños y obras sin justificar.</w:t>
            </w:r>
          </w:p>
        </w:tc>
        <w:tc>
          <w:tcPr>
            <w:tcW w:w="601" w:type="dxa"/>
            <w:shd w:val="clear" w:color="auto" w:fill="auto"/>
            <w:vAlign w:val="center"/>
            <w:hideMark/>
          </w:tcPr>
          <w:p w14:paraId="3BC5C5C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Graves daños personales e Institucionales. Daño a la reputación de la entidad, pérdida de recursos y daños sociales.</w:t>
            </w:r>
          </w:p>
        </w:tc>
        <w:tc>
          <w:tcPr>
            <w:tcW w:w="136" w:type="dxa"/>
            <w:shd w:val="clear" w:color="auto" w:fill="auto"/>
            <w:noWrap/>
            <w:vAlign w:val="center"/>
            <w:hideMark/>
          </w:tcPr>
          <w:p w14:paraId="2D419CB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auto" w:fill="auto"/>
            <w:noWrap/>
            <w:vAlign w:val="center"/>
            <w:hideMark/>
          </w:tcPr>
          <w:p w14:paraId="4926EE01"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136" w:type="dxa"/>
            <w:shd w:val="clear" w:color="auto" w:fill="auto"/>
            <w:noWrap/>
            <w:vAlign w:val="center"/>
            <w:hideMark/>
          </w:tcPr>
          <w:p w14:paraId="7585730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3</w:t>
            </w:r>
          </w:p>
        </w:tc>
        <w:tc>
          <w:tcPr>
            <w:tcW w:w="263" w:type="dxa"/>
            <w:shd w:val="clear" w:color="auto" w:fill="auto"/>
            <w:vAlign w:val="center"/>
            <w:hideMark/>
          </w:tcPr>
          <w:p w14:paraId="1B9BBFFF"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269" w:type="dxa"/>
            <w:shd w:val="clear" w:color="auto" w:fill="auto"/>
            <w:vAlign w:val="center"/>
            <w:hideMark/>
          </w:tcPr>
          <w:p w14:paraId="4121604B"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544" w:type="dxa"/>
            <w:shd w:val="clear" w:color="auto" w:fill="auto"/>
            <w:vAlign w:val="center"/>
            <w:hideMark/>
          </w:tcPr>
          <w:p w14:paraId="3878021A" w14:textId="77777777" w:rsidR="00EB718C" w:rsidRPr="00B821D5" w:rsidRDefault="00EB718C" w:rsidP="001E29CD">
            <w:pPr>
              <w:spacing w:line="240" w:lineRule="auto"/>
              <w:jc w:val="center"/>
              <w:rPr>
                <w:rFonts w:ascii="Arial Narrow" w:hAnsi="Arial Narrow" w:cs="Arial"/>
                <w:b/>
                <w:bCs/>
                <w:color w:val="000000" w:themeColor="text1"/>
                <w:sz w:val="10"/>
                <w:szCs w:val="10"/>
                <w:lang w:eastAsia="es-CO"/>
              </w:rPr>
            </w:pPr>
            <w:r w:rsidRPr="00B821D5">
              <w:rPr>
                <w:rFonts w:ascii="Arial Narrow" w:hAnsi="Arial Narrow" w:cs="Arial"/>
                <w:b/>
                <w:bCs/>
                <w:color w:val="000000" w:themeColor="text1"/>
                <w:sz w:val="10"/>
                <w:szCs w:val="10"/>
                <w:lang w:eastAsia="es-CO"/>
              </w:rPr>
              <w:t>X</w:t>
            </w:r>
          </w:p>
        </w:tc>
        <w:tc>
          <w:tcPr>
            <w:tcW w:w="926" w:type="dxa"/>
            <w:shd w:val="clear" w:color="auto" w:fill="auto"/>
            <w:vAlign w:val="center"/>
            <w:hideMark/>
          </w:tcPr>
          <w:p w14:paraId="6EF565A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Todos los participantes de la Ejecución de los Proyectos (Contratistas, Interventores, Supervisores, Funcionarios, Proveedores y Cominidad en general) deberán actuar de manera diafana, con ética, altos valores y principios como regla de conducta imprescindible, y dar cumplimiento a la normatividad vigente enj cuanto al manejo de los recursos publicos con transparencia y honestidad. Cualquier situación irregular deberá ser comunicada al MUNICIPIO.</w:t>
            </w:r>
          </w:p>
        </w:tc>
        <w:tc>
          <w:tcPr>
            <w:tcW w:w="136" w:type="dxa"/>
            <w:shd w:val="clear" w:color="auto" w:fill="auto"/>
            <w:vAlign w:val="center"/>
            <w:hideMark/>
          </w:tcPr>
          <w:p w14:paraId="57499913"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auto" w:fill="auto"/>
            <w:vAlign w:val="center"/>
            <w:hideMark/>
          </w:tcPr>
          <w:p w14:paraId="3D824CD6"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1</w:t>
            </w:r>
          </w:p>
        </w:tc>
        <w:tc>
          <w:tcPr>
            <w:tcW w:w="136" w:type="dxa"/>
            <w:shd w:val="clear" w:color="auto" w:fill="auto"/>
            <w:vAlign w:val="center"/>
            <w:hideMark/>
          </w:tcPr>
          <w:p w14:paraId="4ACA8CE7"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2</w:t>
            </w:r>
          </w:p>
        </w:tc>
        <w:tc>
          <w:tcPr>
            <w:tcW w:w="263" w:type="dxa"/>
            <w:shd w:val="clear" w:color="auto" w:fill="auto"/>
            <w:vAlign w:val="center"/>
            <w:hideMark/>
          </w:tcPr>
          <w:p w14:paraId="578C479E"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Riesgo Bajo</w:t>
            </w:r>
          </w:p>
        </w:tc>
        <w:tc>
          <w:tcPr>
            <w:tcW w:w="481" w:type="dxa"/>
            <w:shd w:val="clear" w:color="auto" w:fill="auto"/>
            <w:vAlign w:val="center"/>
            <w:hideMark/>
          </w:tcPr>
          <w:p w14:paraId="3BA4601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SI</w:t>
            </w:r>
          </w:p>
        </w:tc>
        <w:tc>
          <w:tcPr>
            <w:tcW w:w="576" w:type="dxa"/>
            <w:shd w:val="clear" w:color="auto" w:fill="auto"/>
            <w:vAlign w:val="center"/>
            <w:hideMark/>
          </w:tcPr>
          <w:p w14:paraId="2C0787E9"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Contratistas de Obras, de Estudios y Diseños interventor, Supervisores y/o Gestores y/o Funcionarios  MUNICIPIO</w:t>
            </w:r>
          </w:p>
        </w:tc>
        <w:tc>
          <w:tcPr>
            <w:tcW w:w="654" w:type="dxa"/>
            <w:shd w:val="clear" w:color="auto" w:fill="auto"/>
            <w:vAlign w:val="center"/>
            <w:hideMark/>
          </w:tcPr>
          <w:p w14:paraId="37F5AD8B"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Al inicio de la ejecución del contrato y de manera permanente.</w:t>
            </w:r>
          </w:p>
        </w:tc>
        <w:tc>
          <w:tcPr>
            <w:tcW w:w="654" w:type="dxa"/>
            <w:shd w:val="clear" w:color="auto" w:fill="auto"/>
            <w:vAlign w:val="center"/>
            <w:hideMark/>
          </w:tcPr>
          <w:p w14:paraId="670F744D"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A la terminación del contrato</w:t>
            </w:r>
          </w:p>
        </w:tc>
        <w:tc>
          <w:tcPr>
            <w:tcW w:w="689" w:type="dxa"/>
            <w:shd w:val="clear" w:color="auto" w:fill="auto"/>
            <w:vAlign w:val="center"/>
            <w:hideMark/>
          </w:tcPr>
          <w:p w14:paraId="56EDA0C3"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Vigilancia de cada una de las actuaciones de los participantes de las obras.</w:t>
            </w:r>
          </w:p>
        </w:tc>
        <w:tc>
          <w:tcPr>
            <w:tcW w:w="654" w:type="dxa"/>
            <w:shd w:val="clear" w:color="auto" w:fill="auto"/>
            <w:vAlign w:val="center"/>
            <w:hideMark/>
          </w:tcPr>
          <w:p w14:paraId="753D3D2A" w14:textId="77777777" w:rsidR="00EB718C" w:rsidRPr="00B821D5" w:rsidRDefault="00EB718C" w:rsidP="001E29CD">
            <w:pPr>
              <w:spacing w:line="240" w:lineRule="auto"/>
              <w:jc w:val="center"/>
              <w:rPr>
                <w:rFonts w:ascii="Arial Narrow" w:hAnsi="Arial Narrow" w:cs="Arial"/>
                <w:color w:val="000000" w:themeColor="text1"/>
                <w:sz w:val="10"/>
                <w:szCs w:val="10"/>
                <w:lang w:eastAsia="es-CO"/>
              </w:rPr>
            </w:pPr>
            <w:r w:rsidRPr="00B821D5">
              <w:rPr>
                <w:rFonts w:ascii="Arial Narrow" w:hAnsi="Arial Narrow" w:cs="Arial"/>
                <w:color w:val="000000" w:themeColor="text1"/>
                <w:sz w:val="10"/>
                <w:szCs w:val="10"/>
                <w:lang w:eastAsia="es-CO"/>
              </w:rPr>
              <w:t>permanente</w:t>
            </w:r>
          </w:p>
        </w:tc>
      </w:tr>
      <w:bookmarkEnd w:id="0"/>
    </w:tbl>
    <w:p w14:paraId="74770F23" w14:textId="77777777" w:rsidR="00815604" w:rsidRPr="00815604" w:rsidRDefault="00815604" w:rsidP="004D7C35">
      <w:pPr>
        <w:spacing w:after="100" w:afterAutospacing="1"/>
        <w:jc w:val="center"/>
        <w:rPr>
          <w:rFonts w:ascii="Arial" w:eastAsia="SimSun" w:hAnsi="Arial" w:cs="Arial"/>
          <w:kern w:val="3"/>
          <w:sz w:val="20"/>
          <w:szCs w:val="20"/>
          <w:lang w:eastAsia="zh-CN" w:bidi="hi-IN"/>
        </w:rPr>
      </w:pPr>
    </w:p>
    <w:p w14:paraId="168C9C57" w14:textId="1E93E6DC" w:rsidR="00D70D7B" w:rsidRPr="00DD4300" w:rsidRDefault="00241A33" w:rsidP="00241A33">
      <w:pPr>
        <w:tabs>
          <w:tab w:val="left" w:pos="6690"/>
        </w:tabs>
        <w:spacing w:after="100" w:afterAutospacing="1"/>
        <w:rPr>
          <w:rFonts w:ascii="Arial" w:eastAsia="SimSun" w:hAnsi="Arial" w:cs="Arial"/>
          <w:kern w:val="3"/>
          <w:sz w:val="20"/>
          <w:szCs w:val="20"/>
          <w:lang w:eastAsia="zh-CN" w:bidi="hi-IN"/>
        </w:rPr>
      </w:pPr>
      <w:r>
        <w:rPr>
          <w:rFonts w:ascii="Arial" w:eastAsia="SimSun" w:hAnsi="Arial" w:cs="Arial"/>
          <w:kern w:val="3"/>
          <w:sz w:val="20"/>
          <w:szCs w:val="20"/>
          <w:lang w:eastAsia="zh-CN" w:bidi="hi-IN"/>
        </w:rPr>
        <w:tab/>
      </w:r>
    </w:p>
    <w:sectPr w:rsidR="00D70D7B" w:rsidRPr="00DD4300" w:rsidSect="00091875">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86A6E" w14:textId="77777777" w:rsidR="00BF6363" w:rsidRDefault="00BF6363" w:rsidP="00091875">
      <w:pPr>
        <w:spacing w:line="240" w:lineRule="auto"/>
      </w:pPr>
      <w:r>
        <w:separator/>
      </w:r>
    </w:p>
  </w:endnote>
  <w:endnote w:type="continuationSeparator" w:id="0">
    <w:p w14:paraId="2EBD003F" w14:textId="77777777" w:rsidR="00BF6363" w:rsidRDefault="00BF6363"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EndPr/>
    <w:sdtContent>
      <w:p w14:paraId="5899CA35" w14:textId="77777777" w:rsidR="007A656B" w:rsidRDefault="007A656B">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52"/>
          <w:gridCol w:w="2132"/>
          <w:gridCol w:w="1099"/>
          <w:gridCol w:w="314"/>
        </w:tblGrid>
        <w:tr w:rsidR="00241A33" w:rsidRPr="00241A33" w14:paraId="436846A7" w14:textId="77777777" w:rsidTr="00E858D4">
          <w:trPr>
            <w:trHeight w:val="220"/>
          </w:trPr>
          <w:tc>
            <w:tcPr>
              <w:tcW w:w="969" w:type="pct"/>
              <w:shd w:val="clear" w:color="auto" w:fill="auto"/>
              <w:vAlign w:val="center"/>
            </w:tcPr>
            <w:p w14:paraId="1EEF47C5" w14:textId="77777777" w:rsidR="007A656B" w:rsidRPr="00241A33" w:rsidRDefault="007A656B" w:rsidP="007A656B">
              <w:pPr>
                <w:spacing w:after="4" w:line="249" w:lineRule="auto"/>
                <w:ind w:left="10" w:hanging="10"/>
                <w:rPr>
                  <w:rFonts w:eastAsia="Arial" w:cs="Arial"/>
                  <w:b/>
                  <w:sz w:val="16"/>
                  <w:szCs w:val="16"/>
                  <w:lang w:eastAsia="es-CO"/>
                </w:rPr>
              </w:pPr>
              <w:r w:rsidRPr="00241A33">
                <w:rPr>
                  <w:rFonts w:eastAsia="Arial" w:cs="Arial"/>
                  <w:b/>
                  <w:sz w:val="16"/>
                  <w:szCs w:val="16"/>
                  <w:lang w:eastAsia="es-CO"/>
                </w:rPr>
                <w:t>Código</w:t>
              </w:r>
            </w:p>
          </w:tc>
          <w:tc>
            <w:tcPr>
              <w:tcW w:w="2424" w:type="pct"/>
              <w:shd w:val="clear" w:color="auto" w:fill="auto"/>
              <w:vAlign w:val="center"/>
            </w:tcPr>
            <w:p w14:paraId="5CA11559" w14:textId="368C6373" w:rsidR="007A656B" w:rsidRPr="00241A33" w:rsidRDefault="007A656B" w:rsidP="007A656B">
              <w:pPr>
                <w:spacing w:after="4" w:line="249" w:lineRule="auto"/>
                <w:ind w:left="10" w:hanging="10"/>
                <w:rPr>
                  <w:rFonts w:eastAsia="Arial" w:cs="Arial"/>
                  <w:sz w:val="16"/>
                  <w:szCs w:val="16"/>
                  <w:lang w:eastAsia="es-CO"/>
                </w:rPr>
              </w:pPr>
              <w:r w:rsidRPr="00241A33">
                <w:rPr>
                  <w:rFonts w:eastAsia="Arial" w:cs="Arial"/>
                  <w:sz w:val="16"/>
                  <w:szCs w:val="16"/>
                  <w:lang w:eastAsia="es-CO"/>
                </w:rPr>
                <w:t>CCE-EICP-FM-13</w:t>
              </w:r>
            </w:p>
          </w:tc>
          <w:tc>
            <w:tcPr>
              <w:tcW w:w="1250" w:type="pct"/>
              <w:shd w:val="clear" w:color="auto" w:fill="auto"/>
              <w:vAlign w:val="center"/>
            </w:tcPr>
            <w:p w14:paraId="2ABCEDCC" w14:textId="77777777" w:rsidR="007A656B" w:rsidRPr="00241A33" w:rsidRDefault="007A656B" w:rsidP="007A656B">
              <w:pPr>
                <w:spacing w:after="4" w:line="249" w:lineRule="auto"/>
                <w:ind w:left="10" w:hanging="10"/>
                <w:jc w:val="center"/>
                <w:rPr>
                  <w:rFonts w:eastAsia="Arial" w:cs="Arial"/>
                  <w:b/>
                  <w:sz w:val="16"/>
                  <w:szCs w:val="16"/>
                  <w:lang w:eastAsia="es-CO"/>
                </w:rPr>
              </w:pPr>
              <w:r w:rsidRPr="00241A33">
                <w:rPr>
                  <w:rFonts w:eastAsia="Arial" w:cs="Arial"/>
                  <w:b/>
                  <w:sz w:val="16"/>
                  <w:szCs w:val="16"/>
                  <w:lang w:eastAsia="es-CO"/>
                </w:rPr>
                <w:t>Versión</w:t>
              </w:r>
            </w:p>
          </w:tc>
          <w:tc>
            <w:tcPr>
              <w:tcW w:w="357" w:type="pct"/>
              <w:shd w:val="clear" w:color="auto" w:fill="auto"/>
              <w:vAlign w:val="center"/>
            </w:tcPr>
            <w:p w14:paraId="2CFB6541" w14:textId="6AD339EF" w:rsidR="007A656B" w:rsidRPr="00241A33" w:rsidRDefault="00B726B7" w:rsidP="007A656B">
              <w:pPr>
                <w:spacing w:after="4" w:line="249" w:lineRule="auto"/>
                <w:ind w:left="10" w:hanging="10"/>
                <w:jc w:val="left"/>
                <w:rPr>
                  <w:rFonts w:eastAsia="Arial" w:cs="Arial"/>
                  <w:sz w:val="16"/>
                  <w:szCs w:val="16"/>
                  <w:lang w:eastAsia="es-CO"/>
                </w:rPr>
              </w:pPr>
              <w:r>
                <w:rPr>
                  <w:rFonts w:eastAsia="Arial" w:cs="Arial"/>
                  <w:sz w:val="16"/>
                  <w:szCs w:val="16"/>
                  <w:lang w:eastAsia="es-CO"/>
                </w:rPr>
                <w:t>3</w:t>
              </w:r>
            </w:p>
          </w:tc>
        </w:tr>
      </w:tbl>
      <w:p w14:paraId="56B6126B" w14:textId="2F2FD20B" w:rsidR="00091875" w:rsidRDefault="00103B17">
        <w:pPr>
          <w:pStyle w:val="Piedepgina"/>
          <w:jc w:val="right"/>
        </w:pPr>
        <w:r>
          <w:fldChar w:fldCharType="begin"/>
        </w:r>
        <w:r w:rsidR="00091875">
          <w:instrText>PAGE   \* MERGEFORMAT</w:instrText>
        </w:r>
        <w:r>
          <w:fldChar w:fldCharType="separate"/>
        </w:r>
        <w:r w:rsidR="00F6022F" w:rsidRPr="00F6022F">
          <w:rPr>
            <w:noProof/>
            <w:lang w:val="es-ES"/>
          </w:rPr>
          <w:t>1</w:t>
        </w:r>
        <w:r>
          <w:fldChar w:fldCharType="end"/>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6B6A9" w14:textId="77777777" w:rsidR="00BF6363" w:rsidRDefault="00BF6363" w:rsidP="00091875">
      <w:pPr>
        <w:spacing w:line="240" w:lineRule="auto"/>
      </w:pPr>
      <w:r>
        <w:separator/>
      </w:r>
    </w:p>
  </w:footnote>
  <w:footnote w:type="continuationSeparator" w:id="0">
    <w:p w14:paraId="4C4DBEA2" w14:textId="77777777" w:rsidR="00BF6363" w:rsidRDefault="00BF6363"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624AC2" w:rsidRPr="0002791E" w14:paraId="6EC2D68E" w14:textId="77777777" w:rsidTr="00406BBF">
      <w:trPr>
        <w:trHeight w:val="146"/>
        <w:jc w:val="center"/>
      </w:trPr>
      <w:tc>
        <w:tcPr>
          <w:tcW w:w="5000" w:type="pct"/>
          <w:gridSpan w:val="4"/>
          <w:shd w:val="clear" w:color="auto" w:fill="auto"/>
          <w:vAlign w:val="center"/>
        </w:tcPr>
        <w:p w14:paraId="718DE524" w14:textId="77777777" w:rsidR="00624AC2" w:rsidRPr="00663D2F" w:rsidRDefault="00624AC2" w:rsidP="00624AC2">
          <w:pPr>
            <w:pStyle w:val="Encabezado"/>
            <w:jc w:val="center"/>
            <w:rPr>
              <w:rFonts w:cs="Arial"/>
              <w:b/>
              <w:sz w:val="16"/>
              <w:szCs w:val="16"/>
            </w:rPr>
          </w:pPr>
          <w:r>
            <w:rPr>
              <w:rFonts w:cs="Arial"/>
              <w:b/>
              <w:sz w:val="16"/>
              <w:szCs w:val="16"/>
            </w:rPr>
            <w:t>MATRIZ 3 - RIESGOS</w:t>
          </w:r>
        </w:p>
        <w:p w14:paraId="6B9C85B8" w14:textId="24DB7F89" w:rsidR="00624AC2" w:rsidRPr="003D7EF4" w:rsidRDefault="00624AC2" w:rsidP="00624AC2">
          <w:pPr>
            <w:pStyle w:val="Encabezado"/>
            <w:jc w:val="center"/>
            <w:rPr>
              <w:rFonts w:cs="Arial"/>
              <w:b/>
              <w:sz w:val="16"/>
              <w:szCs w:val="16"/>
            </w:rPr>
          </w:pPr>
          <w:r>
            <w:rPr>
              <w:rFonts w:cs="Arial"/>
              <w:b/>
              <w:sz w:val="16"/>
              <w:szCs w:val="16"/>
            </w:rPr>
            <w:t>SELECCIÓN ABREVIADA</w:t>
          </w:r>
          <w:r w:rsidRPr="00663D2F">
            <w:rPr>
              <w:rFonts w:cs="Arial"/>
              <w:b/>
              <w:sz w:val="16"/>
              <w:szCs w:val="16"/>
            </w:rPr>
            <w:t xml:space="preserve"> DE OBRA PÚBLICA DE INFRAESTRUCTURA DE TRANSPORTE</w:t>
          </w:r>
          <w:r>
            <w:rPr>
              <w:rFonts w:cs="Arial"/>
              <w:b/>
              <w:sz w:val="16"/>
              <w:szCs w:val="16"/>
            </w:rPr>
            <w:t xml:space="preserve"> (VERSIÓN </w:t>
          </w:r>
          <w:r w:rsidR="00B726B7">
            <w:rPr>
              <w:rFonts w:cs="Arial"/>
              <w:b/>
              <w:sz w:val="16"/>
              <w:szCs w:val="16"/>
            </w:rPr>
            <w:t>3</w:t>
          </w:r>
          <w:r>
            <w:rPr>
              <w:rFonts w:cs="Arial"/>
              <w:b/>
              <w:sz w:val="16"/>
              <w:szCs w:val="16"/>
            </w:rPr>
            <w:t xml:space="preserve">) </w:t>
          </w:r>
        </w:p>
      </w:tc>
    </w:tr>
    <w:tr w:rsidR="00624AC2" w:rsidRPr="0002791E" w14:paraId="35700087" w14:textId="77777777" w:rsidTr="00624AC2">
      <w:trPr>
        <w:trHeight w:val="234"/>
        <w:jc w:val="center"/>
      </w:trPr>
      <w:tc>
        <w:tcPr>
          <w:tcW w:w="674" w:type="pct"/>
          <w:shd w:val="clear" w:color="auto" w:fill="auto"/>
          <w:vAlign w:val="center"/>
        </w:tcPr>
        <w:p w14:paraId="43AE0963" w14:textId="77777777" w:rsidR="00624AC2" w:rsidRPr="008C223B" w:rsidRDefault="00624AC2"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Código</w:t>
          </w:r>
        </w:p>
      </w:tc>
      <w:tc>
        <w:tcPr>
          <w:tcW w:w="2636" w:type="pct"/>
          <w:shd w:val="clear" w:color="auto" w:fill="auto"/>
          <w:vAlign w:val="center"/>
        </w:tcPr>
        <w:p w14:paraId="06AAE1ED" w14:textId="6C027976" w:rsidR="00624AC2" w:rsidRPr="003D7EF4" w:rsidRDefault="00624AC2" w:rsidP="00624AC2">
          <w:pPr>
            <w:spacing w:after="4" w:line="249" w:lineRule="auto"/>
            <w:ind w:left="10" w:hanging="10"/>
            <w:rPr>
              <w:rFonts w:eastAsia="Arial" w:cs="Arial"/>
              <w:color w:val="595959"/>
              <w:sz w:val="16"/>
              <w:szCs w:val="16"/>
            </w:rPr>
          </w:pPr>
          <w:r w:rsidRPr="00624AC2">
            <w:rPr>
              <w:rFonts w:cs="Arial"/>
              <w:sz w:val="16"/>
              <w:szCs w:val="16"/>
            </w:rPr>
            <w:t>CCE-EICP-FM-13</w:t>
          </w:r>
        </w:p>
      </w:tc>
      <w:tc>
        <w:tcPr>
          <w:tcW w:w="539" w:type="pct"/>
          <w:shd w:val="clear" w:color="auto" w:fill="auto"/>
          <w:vAlign w:val="center"/>
        </w:tcPr>
        <w:p w14:paraId="64A9F519" w14:textId="77777777" w:rsidR="00624AC2" w:rsidRPr="003D7EF4" w:rsidRDefault="00624AC2" w:rsidP="00624AC2">
          <w:pPr>
            <w:spacing w:after="4" w:line="249" w:lineRule="auto"/>
            <w:ind w:left="10" w:hanging="10"/>
            <w:jc w:val="center"/>
            <w:rPr>
              <w:rFonts w:eastAsia="Arial" w:cs="Arial"/>
              <w:b/>
              <w:color w:val="595959"/>
              <w:sz w:val="16"/>
              <w:szCs w:val="16"/>
            </w:rPr>
          </w:pPr>
          <w:r w:rsidRPr="003D7EF4">
            <w:rPr>
              <w:rFonts w:eastAsia="Arial" w:cs="Arial"/>
              <w:b/>
              <w:color w:val="595959"/>
              <w:sz w:val="16"/>
              <w:szCs w:val="16"/>
            </w:rPr>
            <w:t>Página</w:t>
          </w:r>
        </w:p>
      </w:tc>
      <w:tc>
        <w:tcPr>
          <w:tcW w:w="1151" w:type="pct"/>
          <w:shd w:val="clear" w:color="auto" w:fill="auto"/>
          <w:vAlign w:val="center"/>
        </w:tcPr>
        <w:p w14:paraId="672C9C2B" w14:textId="77777777" w:rsidR="00624AC2" w:rsidRPr="003D7EF4" w:rsidRDefault="00624AC2" w:rsidP="00624AC2">
          <w:pPr>
            <w:spacing w:after="4" w:line="249" w:lineRule="auto"/>
            <w:ind w:left="10" w:hanging="10"/>
            <w:rPr>
              <w:rFonts w:eastAsia="Arial" w:cs="Arial"/>
              <w:color w:val="595959"/>
              <w:sz w:val="16"/>
              <w:szCs w:val="16"/>
            </w:rPr>
          </w:pPr>
          <w:r w:rsidRPr="003D7EF4">
            <w:rPr>
              <w:rFonts w:eastAsia="Arial" w:cs="Arial"/>
              <w:color w:val="595959"/>
              <w:sz w:val="16"/>
              <w:szCs w:val="16"/>
            </w:rPr>
            <w:fldChar w:fldCharType="begin"/>
          </w:r>
          <w:r w:rsidRPr="003D7EF4">
            <w:rPr>
              <w:rFonts w:eastAsia="Arial" w:cs="Arial"/>
              <w:color w:val="595959"/>
              <w:sz w:val="16"/>
              <w:szCs w:val="16"/>
            </w:rPr>
            <w:instrText xml:space="preserve"> PAGE </w:instrText>
          </w:r>
          <w:r w:rsidRPr="003D7EF4">
            <w:rPr>
              <w:rFonts w:eastAsia="Arial" w:cs="Arial"/>
              <w:color w:val="595959"/>
              <w:sz w:val="16"/>
              <w:szCs w:val="16"/>
            </w:rPr>
            <w:fldChar w:fldCharType="separate"/>
          </w:r>
          <w:r w:rsidRPr="003D7EF4">
            <w:rPr>
              <w:rFonts w:eastAsia="Arial" w:cs="Arial"/>
              <w:color w:val="595959"/>
              <w:sz w:val="16"/>
              <w:szCs w:val="16"/>
            </w:rPr>
            <w:t>20</w:t>
          </w:r>
          <w:r w:rsidRPr="003D7EF4">
            <w:rPr>
              <w:rFonts w:eastAsia="Arial" w:cs="Arial"/>
              <w:color w:val="595959"/>
              <w:sz w:val="16"/>
              <w:szCs w:val="16"/>
            </w:rPr>
            <w:fldChar w:fldCharType="end"/>
          </w:r>
          <w:r w:rsidRPr="003D7EF4">
            <w:rPr>
              <w:rFonts w:eastAsia="Arial" w:cs="Arial"/>
              <w:color w:val="595959"/>
              <w:sz w:val="16"/>
              <w:szCs w:val="16"/>
            </w:rPr>
            <w:t xml:space="preserve"> de </w:t>
          </w:r>
          <w:r w:rsidRPr="003D7EF4">
            <w:rPr>
              <w:rFonts w:eastAsia="Arial" w:cs="Arial"/>
              <w:color w:val="595959"/>
              <w:sz w:val="16"/>
              <w:szCs w:val="16"/>
            </w:rPr>
            <w:fldChar w:fldCharType="begin"/>
          </w:r>
          <w:r w:rsidRPr="003D7EF4">
            <w:rPr>
              <w:rFonts w:eastAsia="Arial" w:cs="Arial"/>
              <w:color w:val="595959"/>
              <w:sz w:val="16"/>
              <w:szCs w:val="16"/>
            </w:rPr>
            <w:instrText xml:space="preserve"> NUMPAGES </w:instrText>
          </w:r>
          <w:r w:rsidRPr="003D7EF4">
            <w:rPr>
              <w:rFonts w:eastAsia="Arial" w:cs="Arial"/>
              <w:color w:val="595959"/>
              <w:sz w:val="16"/>
              <w:szCs w:val="16"/>
            </w:rPr>
            <w:fldChar w:fldCharType="separate"/>
          </w:r>
          <w:r w:rsidRPr="003D7EF4">
            <w:rPr>
              <w:rFonts w:eastAsia="Arial" w:cs="Arial"/>
              <w:color w:val="595959"/>
              <w:sz w:val="16"/>
              <w:szCs w:val="16"/>
            </w:rPr>
            <w:t>20</w:t>
          </w:r>
          <w:r w:rsidRPr="003D7EF4">
            <w:rPr>
              <w:rFonts w:eastAsia="Arial" w:cs="Arial"/>
              <w:color w:val="595959"/>
              <w:sz w:val="16"/>
              <w:szCs w:val="16"/>
            </w:rPr>
            <w:fldChar w:fldCharType="end"/>
          </w:r>
        </w:p>
      </w:tc>
    </w:tr>
    <w:tr w:rsidR="00624AC2" w:rsidRPr="0002791E" w14:paraId="68052970" w14:textId="77777777" w:rsidTr="00624AC2">
      <w:trPr>
        <w:trHeight w:val="73"/>
        <w:jc w:val="center"/>
      </w:trPr>
      <w:tc>
        <w:tcPr>
          <w:tcW w:w="674" w:type="pct"/>
          <w:shd w:val="clear" w:color="auto" w:fill="auto"/>
          <w:vAlign w:val="center"/>
        </w:tcPr>
        <w:p w14:paraId="24D10BE5" w14:textId="77777777" w:rsidR="00624AC2" w:rsidRPr="008C223B" w:rsidRDefault="00624AC2"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Versión No.</w:t>
          </w:r>
        </w:p>
      </w:tc>
      <w:tc>
        <w:tcPr>
          <w:tcW w:w="4326" w:type="pct"/>
          <w:gridSpan w:val="3"/>
          <w:shd w:val="clear" w:color="auto" w:fill="auto"/>
          <w:vAlign w:val="center"/>
        </w:tcPr>
        <w:p w14:paraId="02C2034C" w14:textId="28A767A4" w:rsidR="00624AC2" w:rsidRPr="003D7EF4" w:rsidRDefault="00B726B7" w:rsidP="00624AC2">
          <w:pPr>
            <w:spacing w:after="4" w:line="249" w:lineRule="auto"/>
            <w:ind w:left="10" w:hanging="10"/>
            <w:rPr>
              <w:rFonts w:eastAsia="Arial" w:cs="Arial"/>
              <w:color w:val="595959"/>
              <w:sz w:val="16"/>
              <w:szCs w:val="16"/>
            </w:rPr>
          </w:pPr>
          <w:r>
            <w:rPr>
              <w:rFonts w:eastAsia="Arial" w:cs="Arial"/>
              <w:color w:val="595959"/>
              <w:sz w:val="16"/>
              <w:szCs w:val="16"/>
            </w:rPr>
            <w:t>3</w:t>
          </w:r>
        </w:p>
      </w:tc>
    </w:tr>
  </w:tbl>
  <w:p w14:paraId="5A1B4C24" w14:textId="0E9AD524" w:rsidR="749F36F0" w:rsidRDefault="749F36F0" w:rsidP="749F36F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4539C"/>
    <w:rsid w:val="0008460C"/>
    <w:rsid w:val="00091875"/>
    <w:rsid w:val="000A2F3B"/>
    <w:rsid w:val="000C2AAE"/>
    <w:rsid w:val="000F7C80"/>
    <w:rsid w:val="00101037"/>
    <w:rsid w:val="00103B17"/>
    <w:rsid w:val="00106362"/>
    <w:rsid w:val="001246B3"/>
    <w:rsid w:val="00136C78"/>
    <w:rsid w:val="001477DE"/>
    <w:rsid w:val="0015719E"/>
    <w:rsid w:val="001B28F2"/>
    <w:rsid w:val="001D1F23"/>
    <w:rsid w:val="001D4156"/>
    <w:rsid w:val="001E7630"/>
    <w:rsid w:val="00241A33"/>
    <w:rsid w:val="00277255"/>
    <w:rsid w:val="002D1AFB"/>
    <w:rsid w:val="003322F8"/>
    <w:rsid w:val="003558EC"/>
    <w:rsid w:val="00374B32"/>
    <w:rsid w:val="00375454"/>
    <w:rsid w:val="0039239D"/>
    <w:rsid w:val="003B7338"/>
    <w:rsid w:val="003E331F"/>
    <w:rsid w:val="003E4428"/>
    <w:rsid w:val="003F50E3"/>
    <w:rsid w:val="004338C5"/>
    <w:rsid w:val="004D7C35"/>
    <w:rsid w:val="00507FAA"/>
    <w:rsid w:val="00511F46"/>
    <w:rsid w:val="00513343"/>
    <w:rsid w:val="00540CF2"/>
    <w:rsid w:val="00545461"/>
    <w:rsid w:val="005752CE"/>
    <w:rsid w:val="0058222E"/>
    <w:rsid w:val="005E5030"/>
    <w:rsid w:val="00602088"/>
    <w:rsid w:val="00610F80"/>
    <w:rsid w:val="00624AC2"/>
    <w:rsid w:val="00686C25"/>
    <w:rsid w:val="00697703"/>
    <w:rsid w:val="006A3288"/>
    <w:rsid w:val="006B4FEE"/>
    <w:rsid w:val="006E6D9B"/>
    <w:rsid w:val="007115DA"/>
    <w:rsid w:val="00721886"/>
    <w:rsid w:val="00762556"/>
    <w:rsid w:val="0076567A"/>
    <w:rsid w:val="0077727E"/>
    <w:rsid w:val="007A656B"/>
    <w:rsid w:val="007B33E6"/>
    <w:rsid w:val="007C5B18"/>
    <w:rsid w:val="007C702A"/>
    <w:rsid w:val="007F427D"/>
    <w:rsid w:val="00805ECB"/>
    <w:rsid w:val="00815604"/>
    <w:rsid w:val="00833F3B"/>
    <w:rsid w:val="00841B5A"/>
    <w:rsid w:val="008537E3"/>
    <w:rsid w:val="0085653A"/>
    <w:rsid w:val="0085672F"/>
    <w:rsid w:val="00874392"/>
    <w:rsid w:val="00885039"/>
    <w:rsid w:val="008E39CA"/>
    <w:rsid w:val="009321E7"/>
    <w:rsid w:val="009771F1"/>
    <w:rsid w:val="009E77AD"/>
    <w:rsid w:val="009F3A90"/>
    <w:rsid w:val="00A1437D"/>
    <w:rsid w:val="00A411F2"/>
    <w:rsid w:val="00A802EF"/>
    <w:rsid w:val="00A9107A"/>
    <w:rsid w:val="00AB5F8B"/>
    <w:rsid w:val="00AE2ECB"/>
    <w:rsid w:val="00B26E25"/>
    <w:rsid w:val="00B544AB"/>
    <w:rsid w:val="00B60C9E"/>
    <w:rsid w:val="00B726B7"/>
    <w:rsid w:val="00B76DAD"/>
    <w:rsid w:val="00B773A4"/>
    <w:rsid w:val="00B81B1F"/>
    <w:rsid w:val="00B83621"/>
    <w:rsid w:val="00B92158"/>
    <w:rsid w:val="00B94790"/>
    <w:rsid w:val="00BA3870"/>
    <w:rsid w:val="00BC48AE"/>
    <w:rsid w:val="00BF6363"/>
    <w:rsid w:val="00C53FEB"/>
    <w:rsid w:val="00C61BDB"/>
    <w:rsid w:val="00C71F76"/>
    <w:rsid w:val="00CB7D17"/>
    <w:rsid w:val="00D13765"/>
    <w:rsid w:val="00D2740F"/>
    <w:rsid w:val="00D61CBF"/>
    <w:rsid w:val="00D70D7B"/>
    <w:rsid w:val="00D86ECC"/>
    <w:rsid w:val="00DA2321"/>
    <w:rsid w:val="00DD4300"/>
    <w:rsid w:val="00DF421A"/>
    <w:rsid w:val="00E20BE5"/>
    <w:rsid w:val="00E56873"/>
    <w:rsid w:val="00EB718C"/>
    <w:rsid w:val="00F6022F"/>
    <w:rsid w:val="00F63350"/>
    <w:rsid w:val="00F77C04"/>
    <w:rsid w:val="00FD3BD6"/>
    <w:rsid w:val="36089662"/>
    <w:rsid w:val="749F36F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0FDBF6-CFA6-48B8-BEB1-FF93D6470936}">
  <ds:schemaRefs>
    <ds:schemaRef ds:uri="http://schemas.openxmlformats.org/officeDocument/2006/bibliography"/>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67CF3AB3-BDAA-4061-A273-88B672611F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5114</Words>
  <Characters>28132</Characters>
  <Application>Microsoft Office Word</Application>
  <DocSecurity>0</DocSecurity>
  <Lines>234</Lines>
  <Paragraphs>66</Paragraphs>
  <ScaleCrop>false</ScaleCrop>
  <Company>Hewlett-Packard Company</Company>
  <LinksUpToDate>false</LinksUpToDate>
  <CharactersWithSpaces>33180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JMB</cp:lastModifiedBy>
  <cp:revision>6</cp:revision>
  <cp:lastPrinted>2020-11-13T23:50:00Z</cp:lastPrinted>
  <dcterms:created xsi:type="dcterms:W3CDTF">2022-08-01T21:31:00Z</dcterms:created>
  <dcterms:modified xsi:type="dcterms:W3CDTF">2025-08-31T22:33:00Z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