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387"/>
        <w:gridCol w:w="387"/>
        <w:gridCol w:w="387"/>
        <w:gridCol w:w="387"/>
        <w:gridCol w:w="388"/>
        <w:gridCol w:w="1156"/>
        <w:gridCol w:w="1210"/>
        <w:gridCol w:w="388"/>
        <w:gridCol w:w="388"/>
        <w:gridCol w:w="388"/>
        <w:gridCol w:w="388"/>
        <w:gridCol w:w="388"/>
        <w:gridCol w:w="1389"/>
        <w:gridCol w:w="388"/>
        <w:gridCol w:w="388"/>
        <w:gridCol w:w="388"/>
        <w:gridCol w:w="388"/>
        <w:gridCol w:w="388"/>
        <w:gridCol w:w="1001"/>
        <w:gridCol w:w="1195"/>
        <w:gridCol w:w="1242"/>
        <w:gridCol w:w="553"/>
      </w:tblGrid>
      <w:tr w:rsidR="00E730C1" w:rsidRPr="00BF3C75" w14:paraId="5C6367E5" w14:textId="77777777" w:rsidTr="00E730C1">
        <w:trPr>
          <w:cantSplit/>
          <w:trHeight w:val="1212"/>
          <w:jc w:val="center"/>
        </w:trPr>
        <w:tc>
          <w:tcPr>
            <w:tcW w:w="122" w:type="pct"/>
            <w:vMerge w:val="restart"/>
            <w:shd w:val="clear" w:color="auto" w:fill="4D4D4D"/>
            <w:textDirection w:val="btLr"/>
            <w:vAlign w:val="center"/>
          </w:tcPr>
          <w:p w14:paraId="0533E838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No.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33606AC3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Clase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14EC7A1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Fuente</w:t>
            </w:r>
          </w:p>
        </w:tc>
        <w:tc>
          <w:tcPr>
            <w:tcW w:w="126" w:type="pct"/>
            <w:vMerge w:val="restart"/>
            <w:shd w:val="clear" w:color="auto" w:fill="4D4D4D"/>
            <w:textDirection w:val="btLr"/>
            <w:vAlign w:val="center"/>
          </w:tcPr>
          <w:p w14:paraId="4F1436C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Etapa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5586E84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Tipo</w:t>
            </w:r>
          </w:p>
        </w:tc>
        <w:tc>
          <w:tcPr>
            <w:tcW w:w="511" w:type="pct"/>
            <w:vMerge w:val="restart"/>
            <w:shd w:val="clear" w:color="auto" w:fill="4D4D4D"/>
            <w:textDirection w:val="btLr"/>
            <w:vAlign w:val="center"/>
          </w:tcPr>
          <w:p w14:paraId="338ADB0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Descripción</w:t>
            </w:r>
          </w:p>
          <w:p w14:paraId="71010AC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(Qué puede pasar y como puede ocurrir)</w:t>
            </w:r>
          </w:p>
          <w:p w14:paraId="50069A4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43" w:type="pct"/>
            <w:vMerge w:val="restart"/>
            <w:shd w:val="clear" w:color="auto" w:fill="4D4D4D"/>
            <w:textDirection w:val="btLr"/>
            <w:vAlign w:val="center"/>
          </w:tcPr>
          <w:p w14:paraId="285A767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Consecuencia de la ocurrencia del evento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318025D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1C38D58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4B64011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121" w:type="pct"/>
            <w:vMerge w:val="restart"/>
            <w:shd w:val="clear" w:color="auto" w:fill="4D4D4D"/>
            <w:textDirection w:val="btLr"/>
            <w:vAlign w:val="center"/>
          </w:tcPr>
          <w:p w14:paraId="5689DA64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121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018C19C8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¿A quién se le asigna?</w:t>
            </w:r>
          </w:p>
        </w:tc>
        <w:tc>
          <w:tcPr>
            <w:tcW w:w="602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6C5ACE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Tratamiento/Controles a ser implementados</w:t>
            </w:r>
          </w:p>
        </w:tc>
        <w:tc>
          <w:tcPr>
            <w:tcW w:w="532" w:type="pct"/>
            <w:gridSpan w:val="4"/>
            <w:shd w:val="clear" w:color="auto" w:fill="BFBFBF" w:themeFill="background1" w:themeFillShade="BF"/>
            <w:vAlign w:val="center"/>
          </w:tcPr>
          <w:p w14:paraId="1886E9F2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0AC9A7A2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7530A699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Impacto después del tratamiento</w:t>
            </w:r>
          </w:p>
        </w:tc>
        <w:tc>
          <w:tcPr>
            <w:tcW w:w="133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67436F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398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36E680C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398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0D9A499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664" w:type="pct"/>
            <w:gridSpan w:val="2"/>
            <w:shd w:val="clear" w:color="auto" w:fill="BFBFBF" w:themeFill="background1" w:themeFillShade="BF"/>
            <w:vAlign w:val="center"/>
          </w:tcPr>
          <w:p w14:paraId="7304CB70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19FD7563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2B8D0772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E730C1" w:rsidRPr="00BF3C75" w14:paraId="33C5E66B" w14:textId="77777777" w:rsidTr="00E730C1">
        <w:trPr>
          <w:cantSplit/>
          <w:trHeight w:val="2063"/>
          <w:jc w:val="center"/>
        </w:trPr>
        <w:tc>
          <w:tcPr>
            <w:tcW w:w="122" w:type="pct"/>
            <w:vMerge/>
            <w:shd w:val="clear" w:color="auto" w:fill="4D4D4D"/>
            <w:textDirection w:val="btLr"/>
            <w:vAlign w:val="center"/>
          </w:tcPr>
          <w:p w14:paraId="6C95A0F8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434D2FB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032BA53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6" w:type="pct"/>
            <w:vMerge/>
            <w:shd w:val="clear" w:color="auto" w:fill="4D4D4D"/>
            <w:textDirection w:val="btLr"/>
            <w:vAlign w:val="center"/>
          </w:tcPr>
          <w:p w14:paraId="3C6D275C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428BD71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11" w:type="pct"/>
            <w:vMerge/>
            <w:shd w:val="clear" w:color="auto" w:fill="4D4D4D"/>
            <w:textDirection w:val="btLr"/>
            <w:vAlign w:val="center"/>
          </w:tcPr>
          <w:p w14:paraId="09C7F9C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43" w:type="pct"/>
            <w:vMerge/>
            <w:shd w:val="clear" w:color="auto" w:fill="4D4D4D"/>
            <w:textDirection w:val="btLr"/>
            <w:vAlign w:val="center"/>
          </w:tcPr>
          <w:p w14:paraId="57C53DE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44E38F4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68FC1C3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2AD23A4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4D4D4D"/>
            <w:textDirection w:val="btLr"/>
            <w:vAlign w:val="center"/>
          </w:tcPr>
          <w:p w14:paraId="5E126B4A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21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03AAEA4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602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4EE9501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134" w:type="pct"/>
            <w:shd w:val="clear" w:color="auto" w:fill="BFBFBF" w:themeFill="background1" w:themeFillShade="BF"/>
            <w:textDirection w:val="btLr"/>
            <w:vAlign w:val="center"/>
          </w:tcPr>
          <w:p w14:paraId="67B2A76C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133" w:type="pct"/>
            <w:shd w:val="clear" w:color="auto" w:fill="BFBFBF" w:themeFill="background1" w:themeFillShade="BF"/>
            <w:textDirection w:val="btLr"/>
            <w:vAlign w:val="center"/>
          </w:tcPr>
          <w:p w14:paraId="4BCDB9F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133" w:type="pct"/>
            <w:shd w:val="clear" w:color="auto" w:fill="BFBFBF" w:themeFill="background1" w:themeFillShade="BF"/>
            <w:textDirection w:val="btLr"/>
            <w:vAlign w:val="center"/>
          </w:tcPr>
          <w:p w14:paraId="2E65245C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133" w:type="pct"/>
            <w:shd w:val="clear" w:color="auto" w:fill="BFBFBF" w:themeFill="background1" w:themeFillShade="BF"/>
            <w:textDirection w:val="btLr"/>
            <w:vAlign w:val="center"/>
          </w:tcPr>
          <w:p w14:paraId="7930A427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133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5A1657F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98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263A6D7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98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2A852413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531" w:type="pct"/>
            <w:shd w:val="clear" w:color="auto" w:fill="BFBFBF" w:themeFill="background1" w:themeFillShade="BF"/>
            <w:textDirection w:val="btLr"/>
            <w:vAlign w:val="center"/>
          </w:tcPr>
          <w:p w14:paraId="50C5C431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133" w:type="pct"/>
            <w:shd w:val="clear" w:color="auto" w:fill="BFBFBF" w:themeFill="background1" w:themeFillShade="BF"/>
            <w:textDirection w:val="btLr"/>
            <w:vAlign w:val="center"/>
          </w:tcPr>
          <w:p w14:paraId="4E047D18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Periodicidad</w:t>
            </w:r>
          </w:p>
          <w:p w14:paraId="1D3FCDC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¿Cuándo?</w:t>
            </w:r>
          </w:p>
        </w:tc>
      </w:tr>
      <w:tr w:rsidR="00E730C1" w:rsidRPr="00BF3C75" w14:paraId="0E9A82CC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4A256745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1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7F7981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0924B8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Interna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5769259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7D48CCA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302A0749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cuando el contratista no cumple a cabalidad con las obligaciones, calidad y ejecución oportuna del objeto a contratar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5766568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0C137A0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23D1C5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5D75C9A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AC578B7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*Incumplimiento total o parcial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4B4B9A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44420B4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4A760B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436700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7756A3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3E7831A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*Seguimiento por parte del Supervisor y/o interventor.</w:t>
            </w:r>
          </w:p>
          <w:p w14:paraId="241652B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077068BD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*Celebración de las audiencias de verificación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7E6ED2DA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C9BFE3C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7754C8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A063701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B78F848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AD9B09C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Supervisor y/o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5C590AF7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Antes de la finalización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5F068BB5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Mediante la entrega del informe de avance por parte del contratista y la revisión del mismo por parte del supervisor/ Informe de la Supervisión y/o interventoría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92A80C3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722AE012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58988A4C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EFE7CA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4019E03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3D17B687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1C21FE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F4F9A7F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 valor o incremento en el costo de los bienes, ítems del presupuesto oficial y/o servicios objeto del contrato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4BE6B3F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6C9386B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72A3EED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160EE90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550F790E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*Incumplimiento total o parcial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DA3E60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3BD640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3B247B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975162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BDFF9F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5A852EC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*El contratista de prever el mayor valor o posibles incrementos de los bienes, ítems del presupuesto oficial y/o servicios Objeto del contrato, por su mayor conocimiento del mercado y análisis del que realice el pliego de condiciones, al momento de la elaboración de la propuesta presentada en el proceso de selección.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425F7A9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3EF53A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F68916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99FA3B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C58886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B75F153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Supervisor y/o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6B7B413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Antes de la finalización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10841C3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Informe de la Supervisión y/o interventoría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73B1F4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3FEE89DC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71E2FC1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BEEBBD4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0A87F0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5B1DB5D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DD5B67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2AC61C3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Accidentes de trabajo que pueden sufrir los empleados del servicio, incendios, averías o destrucciones internas, daños de equipos.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0D3474A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306BA68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2CE12313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540B5E0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532403DF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*Incumplimiento total o parcial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7B5521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21BDCA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1EDD74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C679C9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DEE839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423A85E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*El contratista debe evitar las deficiencias respecto a la organización administrativa y operacional del servicio. Adoptar medidas de seguridad industrial.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5A2EDCB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2D6E38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8E3739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8D6D8A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54336B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E98055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Supervisor y/o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3910DCA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Antes de la finalización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56EDBF8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Informe de la Supervisión y/o interventoría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9DA1F4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572CC5D6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3D2B9710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4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C4F07F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EF28A8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Interna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09B9C63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6F6366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E90C72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Cuando los bienes y/o servicios no cumplen a cabalidad con las condiciones técnicas y con la funcionalidad definida en los estudios previos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333531E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1AC86C1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15E7B44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74FAEBC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59349DD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*Incumplimiento total o parcial del contrato</w:t>
            </w:r>
          </w:p>
          <w:p w14:paraId="52982BE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32D82A5C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*Mayores costos del servicio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9DDDA2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F07A02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297CDA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4B9AFE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29DECC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0F91B9E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*Seguimiento por parte del Supervisor y/o interventor.</w:t>
            </w:r>
          </w:p>
          <w:p w14:paraId="6494C4E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3A53B04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*Celebración de las audiencias de verificación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379EA17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BA5D80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45D776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0BABC1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6CE294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E13473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Supervisor y/o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14A0C7F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Antes de la finalización del contrato, en el recibo del servicio y liquidación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7723987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Mediante la entrega del informe de avance por parte del contratista y la revisión del mismo por parte del supervisor/ Informe de la Supervisión y/o interventoría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B9D936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1686444E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6BAE806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080CB3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800775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14EFECBA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359490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Sociales y Políticos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23545B6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Riesgos que radican principalmente en fenómenos de orden social, económico o político, como son: los paros cívicos o laborales, la perturbación del orden público, que no son previsibles al momento de la celebración del contrato.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7642620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6BB8169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10485DF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434A0AA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A8853E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* Mayores costos del servicio </w:t>
            </w:r>
          </w:p>
          <w:p w14:paraId="2B08BD6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9581B5A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*Suspensiones prolongadas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41DFEE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DC78D2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B7FBAD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E3056A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F78F82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Contratante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7ED4752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*El estado mediante los estamentos correspondientes en cumplimiento de sus obligaciones constitucionales procederá a garantizar la continuidad de la ejecución del servicio. En caso de no superarse los hechos causantes del riesgo, la entidad procederá a suspender el contrato por causas de fuerza mayor y caso fortuito, y los costos de </w:t>
            </w:r>
            <w:proofErr w:type="spellStart"/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estandbay</w:t>
            </w:r>
            <w:proofErr w:type="spellEnd"/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 se reconocerán dentro de los costos de los valores ofertados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37A092C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62C665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05FD7D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7E8866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E79372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B46625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Supervisor y/o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66373E6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Antes de la finalización del contrato, en el recibo del servicio y liquidación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7062DCD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Mediante la entrega del informe de avance por parte del contratista y la revisión del mismo por parte del supervisor/ Informe de la Supervisión y/o interventoría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BBF575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2DDC2C4F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37F7117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C65033B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A39A67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40B4916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A3BED2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Naturales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805898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Eventos de fuerza mayor como los fenómenos naturales, generalmente catastróficos, entre los cuales podemos citar los movimientos sísmicos, erupciones volcánicas, inundaciones, deslizamientos de tierra, etc..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27798E6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*Inestabilidad en el avance del contrato</w:t>
            </w:r>
          </w:p>
          <w:p w14:paraId="7D59E700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7CFFF16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01DD90F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2C0FB17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* Mayores costos del servicio </w:t>
            </w:r>
          </w:p>
          <w:p w14:paraId="7117281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206A351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*Suspensiones prolongadas del contrato</w:t>
            </w:r>
          </w:p>
          <w:p w14:paraId="25830C9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2F87E6C3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*Terminación unilateral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BAC86C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4BA71A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FA60D5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059E8E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44948F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Contratante / 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6A807A5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*N/A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5DE2B3F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D202DA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6844EB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CCC7D4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BEFBD0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5732948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A78A54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1168A0E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N/A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5F0B1A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3292423D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729CA80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EE7839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2AF15F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Interna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61E95DF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0C5EAE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53D064A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Disponibilidad de materiales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7CB2F76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procesos de mantenimiento</w:t>
            </w:r>
          </w:p>
          <w:p w14:paraId="78C9C08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EEB9EA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Inestabilidad en el avance del contrato</w:t>
            </w:r>
          </w:p>
          <w:p w14:paraId="6031917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8A6F36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*Demoras en la ejecución del contrato</w:t>
            </w:r>
          </w:p>
          <w:p w14:paraId="67D56AF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175AC2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*Incumplimiento total o parcial del contrato</w:t>
            </w:r>
          </w:p>
          <w:p w14:paraId="1A59F18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07941CC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*Mayores costos del servicio</w:t>
            </w:r>
          </w:p>
          <w:p w14:paraId="5820642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6DB01A2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*Suspensiones prolongadas del contrato</w:t>
            </w:r>
          </w:p>
          <w:p w14:paraId="17E83FC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43E4A29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*Terminación unilateral del contrato</w:t>
            </w:r>
          </w:p>
          <w:p w14:paraId="353D819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</w:p>
          <w:p w14:paraId="13A28EA6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Desequilibrio económico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E4740A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E8767E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BA92B8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3F8DA8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CE33A4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343F0D6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*Realizar reservas y compras preliminares de materiales una vez firmado el contrato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71F22C5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29CE6F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855834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398E8E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C2C61D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3DB1CF6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696F07B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638730F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Verificando la disponibilidad de materiales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46E9D3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Semanal</w:t>
            </w:r>
          </w:p>
        </w:tc>
      </w:tr>
      <w:tr w:rsidR="00E730C1" w:rsidRPr="00BF3C75" w14:paraId="7039925D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3003F04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8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225D6FF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0B5AA23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744CCEB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1A31FB1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2A03A1A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Incremento de impuestos que afectan todos los contribuyentes y todas las actividades.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685CF056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Desequilibrio económico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07CF25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469473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5DF27B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D03333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ED033A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645B28E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*Calculo adecuado de impuestos y estimaciones de posibles incrementos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183CCA1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F2263B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5596C7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2A3794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470ADB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1C67C7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56A283E0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33AA189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N/A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F7F42F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700FB233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6BB0EB4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9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D3FCA00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3356AE6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0352A7A4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4F5E6E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38A7880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Insuficiencia de mano de obra calificada o de profesionales especializados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0E1A652A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procesos de la obra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5A7AFF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D16309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752912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5977AE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F51F14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65A27EC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*Contratar personal previo a firmas de actas de inicio</w:t>
            </w:r>
          </w:p>
          <w:p w14:paraId="25E6321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0B1BA29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*Garantizar la permanencia del personal ofrecido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3E399B0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2FE28E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B73DDF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717217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D6C098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64B57EF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e interventor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1D3BEB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534934A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Revisión de Personal mano de obra no calificada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A76866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65FF9E43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25344DF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10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2A06EF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Especifico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FCE29AA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6321251D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999B8E2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Sociales o Políticos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6956666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Daños a terceros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32A469DF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Desequilibrio económico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87E56A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1CFC2F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A77B70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DB568F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388113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560923C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*Reconstrucción de daños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37AE56F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64C35F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4BF7A4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0C2FA6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30DA1A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D005CA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Contratista 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1EEBD8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Al finalizar la ejecución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3EEA5FA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Previo a la suscripción del acta de recibo final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064619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669489A8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1A675F16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11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AB7944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Especifico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FC1287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703B0711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38B183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Financiero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2A2C54A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en el pago de los aportes a seguridad social y riesgos profesionales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01B7D194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parcial de las obligaciones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3EFBE8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F6C4D5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8E07B8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6EF048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A8E810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57F7FB9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*Mediante acta de recibo y cumplimiento a satisfacción por parte del contratista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5F7CF10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7388E4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FB85FF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F4561F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3CC0A2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35AEA10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bajo la supervisión del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7649D7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Al finalizar la ejecución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39F9340C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Previo a la suscripción del acta de recibo final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84E8016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268F3589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6B71DEA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12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A787B3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B1C149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0F4EF1B9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29C0C4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78F602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Procesos de ejecución de servicio y/u obras ineficientes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72695F28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Mayores costos en el servicio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F74864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451331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A2170C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FF1C0A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8782EC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Contratista/ Contratante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25A6F14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*Control permanente sobre materiales </w:t>
            </w:r>
            <w:proofErr w:type="gramStart"/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y  procesos</w:t>
            </w:r>
            <w:proofErr w:type="gramEnd"/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 utilizados cumpliendo con el manual del municipio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108386C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0D6C43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A32E4E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D8420C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0E92D6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5C7ED4F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08BC7201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406E504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Cuantificación real del servicio a ejecutar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30A8B4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E730C1" w:rsidRPr="00BF3C75" w14:paraId="5A9D3843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5F05887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250D97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2B4098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6FDDF1E1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Planeación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095384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Financiero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679CD93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Estimación inadecuada de costos de operación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07467352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Rompimiento económico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4C2BDD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DF9018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4BB47A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FB93F7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0C58C7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15AB1E02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*Adecuada Planeación y presentación observaciones por los posibles oferentes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60AAE59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7372B9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A90609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FD5D8F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9F2703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44C72BE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7EBC21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Publicación de estudios definitivos después de observaciones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1A81B44A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Termino para presentación de Observaciones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CEE3CB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 vez</w:t>
            </w:r>
          </w:p>
        </w:tc>
      </w:tr>
      <w:tr w:rsidR="00E730C1" w:rsidRPr="00BF3C75" w14:paraId="08E90EB0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5C844A4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14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A21EA1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Especifico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21D866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21BB3E9F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75E1BA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60569600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Obtención de seguros y otras garantías (Contratista)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74C565C6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Afectación a la correcta prestación del servicio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3DE4CB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2322F5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2A4F308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B0500D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9FEC7A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4E3DE8F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 xml:space="preserve">*Mediante </w:t>
            </w:r>
            <w:proofErr w:type="spellStart"/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Poliza</w:t>
            </w:r>
            <w:proofErr w:type="spellEnd"/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381F5EB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682610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Insignificante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2D1711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7EC122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6819F8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15D13EA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bajo la supervisión del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175D733F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Terminación del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771B04E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Previo a la suscripción del acta de inicio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6298545B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1 vez</w:t>
            </w:r>
          </w:p>
        </w:tc>
      </w:tr>
      <w:tr w:rsidR="00E730C1" w:rsidRPr="00BF3C75" w14:paraId="5B90D51C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6FE5316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15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6A62B5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FD9957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0948403E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3D5329C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5036B55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Necesidad de adición de recursos financieros por imprevistos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3F395B7E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del objeto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677D2C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DDE0C9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A96A13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FB3FEC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741971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Contratista/ Contratante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0A4E512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*Revaluación del presupuesto y proyección de servicios faltantes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798C326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276DFE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578813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B016B0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073BBC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2F822D4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245CEEF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1C484C4E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Revisión de servicios/obras ejecutada y servicios/obras faltantes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1CA4064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Quincenal</w:t>
            </w:r>
          </w:p>
        </w:tc>
      </w:tr>
      <w:tr w:rsidR="00E730C1" w:rsidRPr="00BF3C75" w14:paraId="6B764868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5E4C89C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16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94EAC1A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A2D313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52C70285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7B890D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3E9970D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Necesidad de prórroga de plazo por imprevistos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1F8B58DA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del objeto del contrato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FDC6E2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6798DA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003D0DB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41435C6D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03D979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Contratista/ Contratante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65EE5E57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*Revaluación del cronograma en servicios ejecutados y proyección de servicios faltantes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04A6169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2BC3573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95B844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6ED4E5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58E21C5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7566282B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6B1FEF68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4330574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Revisión de servicios/obras ejecutada y servicios/obras faltantes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091FBD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Quincenal</w:t>
            </w:r>
          </w:p>
        </w:tc>
      </w:tr>
      <w:tr w:rsidR="00E730C1" w:rsidRPr="00BF3C75" w14:paraId="76527212" w14:textId="77777777" w:rsidTr="00E730C1">
        <w:trPr>
          <w:cantSplit/>
          <w:trHeight w:val="1134"/>
          <w:jc w:val="center"/>
        </w:trPr>
        <w:tc>
          <w:tcPr>
            <w:tcW w:w="122" w:type="pct"/>
            <w:shd w:val="clear" w:color="auto" w:fill="auto"/>
            <w:vAlign w:val="center"/>
          </w:tcPr>
          <w:p w14:paraId="33C4A290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17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199D2DA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3DEC3F9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126" w:type="pct"/>
            <w:shd w:val="clear" w:color="auto" w:fill="auto"/>
            <w:textDirection w:val="btLr"/>
            <w:vAlign w:val="center"/>
          </w:tcPr>
          <w:p w14:paraId="2B519134" w14:textId="77777777" w:rsidR="00E730C1" w:rsidRPr="00BF3C75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33C3494" w14:textId="77777777" w:rsidR="00E730C1" w:rsidRPr="00F30593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0"/>
                <w:szCs w:val="10"/>
                <w:lang w:eastAsia="zh-CN" w:bidi="hi-IN"/>
              </w:rPr>
            </w:pPr>
            <w:r w:rsidRPr="00F30593">
              <w:rPr>
                <w:rFonts w:ascii="Arial" w:eastAsia="SimSun" w:hAnsi="Arial" w:cs="Arial"/>
                <w:kern w:val="3"/>
                <w:sz w:val="10"/>
                <w:szCs w:val="10"/>
                <w:lang w:eastAsia="zh-CN" w:bidi="hi-IN"/>
              </w:rPr>
              <w:t>Sociales, políticos y financieros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67BA16E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Corrupción</w:t>
            </w:r>
          </w:p>
        </w:tc>
        <w:tc>
          <w:tcPr>
            <w:tcW w:w="543" w:type="pct"/>
            <w:shd w:val="clear" w:color="auto" w:fill="auto"/>
            <w:vAlign w:val="center"/>
          </w:tcPr>
          <w:p w14:paraId="690DE04E" w14:textId="77777777" w:rsidR="00E730C1" w:rsidRPr="00BF3C75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F3C7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*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Afectación </w:t>
            </w:r>
            <w:proofErr w:type="spellStart"/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Calida</w:t>
            </w:r>
            <w:proofErr w:type="spellEnd"/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de las obras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5462ED3F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2346CB7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03B98B9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695ECEF1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121" w:type="pct"/>
            <w:shd w:val="clear" w:color="auto" w:fill="auto"/>
            <w:textDirection w:val="btLr"/>
            <w:vAlign w:val="center"/>
          </w:tcPr>
          <w:p w14:paraId="7535D64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Contratista/ Contratante</w:t>
            </w:r>
          </w:p>
        </w:tc>
        <w:tc>
          <w:tcPr>
            <w:tcW w:w="602" w:type="pct"/>
            <w:shd w:val="clear" w:color="auto" w:fill="auto"/>
            <w:vAlign w:val="center"/>
          </w:tcPr>
          <w:p w14:paraId="2D6B579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*Supervisión/ interventoría optima</w:t>
            </w:r>
          </w:p>
        </w:tc>
        <w:tc>
          <w:tcPr>
            <w:tcW w:w="134" w:type="pct"/>
            <w:shd w:val="clear" w:color="auto" w:fill="auto"/>
            <w:textDirection w:val="btLr"/>
            <w:vAlign w:val="center"/>
          </w:tcPr>
          <w:p w14:paraId="0A0CDD75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2A98868E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386EC024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0BCDF4A8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772F80C2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746B875D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 / Contratante</w:t>
            </w:r>
          </w:p>
        </w:tc>
        <w:tc>
          <w:tcPr>
            <w:tcW w:w="398" w:type="pct"/>
            <w:shd w:val="clear" w:color="auto" w:fill="auto"/>
            <w:vAlign w:val="center"/>
          </w:tcPr>
          <w:p w14:paraId="5C34E269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Liquidación de Contrato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73DEB813" w14:textId="77777777" w:rsidR="00E730C1" w:rsidRDefault="00E730C1" w:rsidP="005F4BC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Revisión de servicios/obras ejecutada y servicios/obras faltantes</w:t>
            </w:r>
          </w:p>
        </w:tc>
        <w:tc>
          <w:tcPr>
            <w:tcW w:w="133" w:type="pct"/>
            <w:shd w:val="clear" w:color="auto" w:fill="auto"/>
            <w:textDirection w:val="btLr"/>
            <w:vAlign w:val="center"/>
          </w:tcPr>
          <w:p w14:paraId="42489A40" w14:textId="77777777" w:rsidR="00E730C1" w:rsidRDefault="00E730C1" w:rsidP="005F4BC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Quincenal</w:t>
            </w:r>
          </w:p>
        </w:tc>
      </w:tr>
    </w:tbl>
    <w:p w14:paraId="74770F23" w14:textId="77777777" w:rsidR="00815604" w:rsidRPr="00815604" w:rsidRDefault="00815604" w:rsidP="00E730C1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DD3C66D" w14:textId="47D9F686" w:rsidR="00E730C1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36CCABC4" w14:textId="77777777" w:rsidR="00690543" w:rsidRDefault="0069054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865DEFF" w14:textId="7ADADAA9" w:rsidR="001F46A5" w:rsidRPr="001F46A5" w:rsidRDefault="001F46A5" w:rsidP="001F46A5">
      <w:pPr>
        <w:spacing w:after="240" w:line="240" w:lineRule="auto"/>
        <w:jc w:val="center"/>
        <w:rPr>
          <w:rFonts w:ascii="Arial Narrow" w:hAnsi="Arial Narrow" w:cs="Tahoma"/>
          <w:b/>
          <w:bCs/>
          <w:color w:val="A6A6A6" w:themeColor="background1" w:themeShade="A6"/>
          <w:spacing w:val="-2"/>
        </w:rPr>
      </w:pPr>
      <w:r w:rsidRPr="001F46A5">
        <w:rPr>
          <w:rFonts w:ascii="Arial Narrow" w:hAnsi="Arial Narrow" w:cs="Tahoma"/>
          <w:b/>
          <w:bCs/>
          <w:color w:val="A6A6A6" w:themeColor="background1" w:themeShade="A6"/>
          <w:spacing w:val="-2"/>
        </w:rPr>
        <w:t>ORIGINAL FIRMADO</w:t>
      </w:r>
    </w:p>
    <w:p w14:paraId="17288C85" w14:textId="77777777" w:rsidR="001F46A5" w:rsidRPr="001F3266" w:rsidRDefault="001F46A5" w:rsidP="001F46A5">
      <w:pPr>
        <w:autoSpaceDE w:val="0"/>
        <w:autoSpaceDN w:val="0"/>
        <w:adjustRightInd w:val="0"/>
        <w:spacing w:after="240" w:line="240" w:lineRule="auto"/>
        <w:ind w:left="425" w:right="249"/>
        <w:jc w:val="center"/>
        <w:rPr>
          <w:rFonts w:ascii="Arial Narrow" w:eastAsia="Arial" w:hAnsi="Arial Narrow" w:cs="Tahoma"/>
          <w:b/>
          <w:lang w:eastAsia="es-CO"/>
        </w:rPr>
      </w:pPr>
      <w:r w:rsidRPr="001F3266">
        <w:rPr>
          <w:rFonts w:ascii="Arial Narrow" w:eastAsia="Arial" w:hAnsi="Arial Narrow" w:cs="Tahoma"/>
          <w:b/>
          <w:lang w:eastAsia="es-CO"/>
        </w:rPr>
        <w:fldChar w:fldCharType="begin"/>
      </w:r>
      <w:r w:rsidRPr="001F3266">
        <w:rPr>
          <w:rFonts w:ascii="Arial Narrow" w:eastAsia="Arial" w:hAnsi="Arial Narrow" w:cs="Tahoma"/>
          <w:b/>
          <w:lang w:eastAsia="es-CO"/>
        </w:rPr>
        <w:instrText xml:space="preserve"> MERGEFIELD NOMBRE_SUPERVISOR </w:instrText>
      </w:r>
      <w:r w:rsidRPr="001F3266">
        <w:rPr>
          <w:rFonts w:ascii="Arial Narrow" w:eastAsia="Arial" w:hAnsi="Arial Narrow" w:cs="Tahoma"/>
          <w:b/>
          <w:lang w:eastAsia="es-CO"/>
        </w:rPr>
        <w:fldChar w:fldCharType="separate"/>
      </w:r>
      <w:r w:rsidRPr="00E6729B">
        <w:rPr>
          <w:rFonts w:ascii="Arial Narrow" w:eastAsia="Arial" w:hAnsi="Arial Narrow" w:cs="Tahoma"/>
          <w:b/>
          <w:noProof/>
          <w:lang w:eastAsia="es-CO"/>
        </w:rPr>
        <w:t>CRISTIAN CAMILO LARGO SEGURA</w:t>
      </w:r>
      <w:r w:rsidRPr="001F3266">
        <w:rPr>
          <w:rFonts w:ascii="Arial Narrow" w:eastAsia="Arial" w:hAnsi="Arial Narrow" w:cs="Tahoma"/>
          <w:b/>
          <w:lang w:eastAsia="es-CO"/>
        </w:rPr>
        <w:fldChar w:fldCharType="end"/>
      </w:r>
    </w:p>
    <w:p w14:paraId="09A3806B" w14:textId="77777777" w:rsidR="001F46A5" w:rsidRPr="001F3266" w:rsidRDefault="001F46A5" w:rsidP="001F46A5">
      <w:pPr>
        <w:spacing w:after="240" w:line="240" w:lineRule="auto"/>
        <w:jc w:val="center"/>
        <w:rPr>
          <w:rFonts w:ascii="Arial Narrow" w:hAnsi="Arial Narrow" w:cs="Tahoma"/>
        </w:rPr>
      </w:pPr>
      <w:r w:rsidRPr="001F3266">
        <w:rPr>
          <w:rFonts w:ascii="Arial Narrow" w:hAnsi="Arial Narrow" w:cs="Tahoma"/>
        </w:rPr>
        <w:fldChar w:fldCharType="begin"/>
      </w:r>
      <w:r w:rsidRPr="001F3266">
        <w:rPr>
          <w:rFonts w:ascii="Arial Narrow" w:hAnsi="Arial Narrow" w:cs="Tahoma"/>
        </w:rPr>
        <w:instrText xml:space="preserve"> MERGEFIELD CARGO_SUPERVISOR </w:instrText>
      </w:r>
      <w:r w:rsidRPr="001F3266">
        <w:rPr>
          <w:rFonts w:ascii="Arial Narrow" w:hAnsi="Arial Narrow" w:cs="Tahoma"/>
        </w:rPr>
        <w:fldChar w:fldCharType="separate"/>
      </w:r>
      <w:r w:rsidRPr="00E6729B">
        <w:rPr>
          <w:rFonts w:ascii="Arial Narrow" w:hAnsi="Arial Narrow" w:cs="Tahoma"/>
          <w:noProof/>
        </w:rPr>
        <w:t>Secretario de Planeación e infraestructura</w:t>
      </w:r>
      <w:r w:rsidRPr="001F3266">
        <w:rPr>
          <w:rFonts w:ascii="Arial Narrow" w:hAnsi="Arial Narrow" w:cs="Tahoma"/>
        </w:rPr>
        <w:fldChar w:fldCharType="end"/>
      </w:r>
    </w:p>
    <w:p w14:paraId="74566975" w14:textId="77777777" w:rsidR="00690543" w:rsidRPr="00DD4300" w:rsidRDefault="0069054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690543" w:rsidRPr="00DD4300" w:rsidSect="00E730C1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D2D9" w14:textId="77777777" w:rsidR="005D6696" w:rsidRDefault="005D6696" w:rsidP="00091875">
      <w:pPr>
        <w:spacing w:line="240" w:lineRule="auto"/>
      </w:pPr>
      <w:r>
        <w:separator/>
      </w:r>
    </w:p>
  </w:endnote>
  <w:endnote w:type="continuationSeparator" w:id="0">
    <w:p w14:paraId="1933AD9C" w14:textId="77777777" w:rsidR="005D6696" w:rsidRDefault="005D6696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23960" w14:textId="77777777" w:rsidR="005D6696" w:rsidRDefault="005D6696" w:rsidP="00091875">
      <w:pPr>
        <w:spacing w:line="240" w:lineRule="auto"/>
      </w:pPr>
      <w:r>
        <w:separator/>
      </w:r>
    </w:p>
  </w:footnote>
  <w:footnote w:type="continuationSeparator" w:id="0">
    <w:p w14:paraId="4DC0B252" w14:textId="77777777" w:rsidR="005D6696" w:rsidRDefault="005D6696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E40A8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1F46A5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D6696"/>
    <w:rsid w:val="005E5030"/>
    <w:rsid w:val="00602088"/>
    <w:rsid w:val="00610F80"/>
    <w:rsid w:val="00624AC2"/>
    <w:rsid w:val="00686C25"/>
    <w:rsid w:val="00690543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76EF2"/>
    <w:rsid w:val="00D86ECC"/>
    <w:rsid w:val="00DA2321"/>
    <w:rsid w:val="00DD4300"/>
    <w:rsid w:val="00DF421A"/>
    <w:rsid w:val="00E20BE5"/>
    <w:rsid w:val="00E51A31"/>
    <w:rsid w:val="00E56873"/>
    <w:rsid w:val="00E730C1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1632</Words>
  <Characters>8981</Characters>
  <Application>Microsoft Office Word</Application>
  <DocSecurity>0</DocSecurity>
  <Lines>74</Lines>
  <Paragraphs>21</Paragraphs>
  <ScaleCrop>false</ScaleCrop>
  <Company>Hewlett-Packard Company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ALEXI VEGA</cp:lastModifiedBy>
  <cp:revision>8</cp:revision>
  <cp:lastPrinted>2020-11-13T23:50:00Z</cp:lastPrinted>
  <dcterms:created xsi:type="dcterms:W3CDTF">2022-08-01T21:31:00Z</dcterms:created>
  <dcterms:modified xsi:type="dcterms:W3CDTF">2026-07-22T21:48:00Z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