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XSpec="center" w:tblpY="1"/>
        <w:tblOverlap w:val="never"/>
        <w:tblW w:w="9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3827"/>
        <w:gridCol w:w="3123"/>
      </w:tblGrid>
      <w:tr w:rsidR="00CD07AB" w14:paraId="2CCF0733" w14:textId="77777777" w:rsidTr="00CD07AB">
        <w:trPr>
          <w:trHeight w:val="983"/>
        </w:trPr>
        <w:tc>
          <w:tcPr>
            <w:tcW w:w="2269" w:type="dxa"/>
            <w:vAlign w:val="center"/>
          </w:tcPr>
          <w:p w14:paraId="722F33F7" w14:textId="77777777" w:rsidR="00CD07AB" w:rsidRDefault="00CD07AB" w:rsidP="00CD07AB">
            <w:pPr>
              <w:jc w:val="center"/>
              <w:rPr>
                <w:rFonts w:ascii="Arial" w:eastAsia="Arial" w:hAnsi="Arial" w:cs="Arial"/>
                <w:b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noProof/>
                <w:sz w:val="23"/>
                <w:szCs w:val="23"/>
                <w:lang w:eastAsia="es-CO"/>
              </w:rPr>
              <w:drawing>
                <wp:inline distT="0" distB="0" distL="0" distR="0" wp14:anchorId="3A51E1E0" wp14:editId="7253157B">
                  <wp:extent cx="1304925" cy="552450"/>
                  <wp:effectExtent l="0" t="0" r="0" b="0"/>
                  <wp:docPr id="7" name="image1.jpg" descr="F:\imagen institucional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F:\imagen institucional.jpe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552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Align w:val="center"/>
          </w:tcPr>
          <w:p w14:paraId="17E974FB" w14:textId="77777777" w:rsidR="00CD07AB" w:rsidRDefault="00CD07AB" w:rsidP="00CD07AB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noProof/>
                <w:lang w:eastAsia="es-CO"/>
              </w:rPr>
              <w:drawing>
                <wp:anchor distT="0" distB="0" distL="0" distR="0" simplePos="0" relativeHeight="251659264" behindDoc="1" locked="0" layoutInCell="1" hidden="0" allowOverlap="1" wp14:anchorId="786BF7FB" wp14:editId="61155264">
                  <wp:simplePos x="0" y="0"/>
                  <wp:positionH relativeFrom="column">
                    <wp:posOffset>123189</wp:posOffset>
                  </wp:positionH>
                  <wp:positionV relativeFrom="paragraph">
                    <wp:posOffset>106045</wp:posOffset>
                  </wp:positionV>
                  <wp:extent cx="2039620" cy="375920"/>
                  <wp:effectExtent l="8537" t="53851" r="8537" b="53851"/>
                  <wp:wrapNone/>
                  <wp:docPr id="8" name="image3.jpg" descr="marca de_0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marca de_0.tmp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 rot="21417489">
                            <a:off x="0" y="0"/>
                            <a:ext cx="2039620" cy="375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2398A89" w14:textId="77777777" w:rsidR="00CD07AB" w:rsidRDefault="00CD07AB" w:rsidP="00CD07AB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ESTUDIO PREVIO</w:t>
            </w:r>
          </w:p>
        </w:tc>
        <w:tc>
          <w:tcPr>
            <w:tcW w:w="3123" w:type="dxa"/>
            <w:vAlign w:val="center"/>
          </w:tcPr>
          <w:p w14:paraId="2484A34E" w14:textId="77777777" w:rsidR="00CD07AB" w:rsidRDefault="00CD07AB" w:rsidP="00CD07AB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Código: FO-CA-01-015</w:t>
            </w:r>
          </w:p>
          <w:p w14:paraId="0F79B2CB" w14:textId="77777777" w:rsidR="00CD07AB" w:rsidRDefault="00CD07AB" w:rsidP="00CD07AB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Versión: 7.0</w:t>
            </w:r>
          </w:p>
          <w:p w14:paraId="4ACCC5DA" w14:textId="77777777" w:rsidR="00CD07AB" w:rsidRDefault="00CD07AB" w:rsidP="00CD07AB">
            <w:pPr>
              <w:rPr>
                <w:i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 de Modificación: 29/01/2020</w:t>
            </w:r>
          </w:p>
        </w:tc>
      </w:tr>
    </w:tbl>
    <w:p w14:paraId="1D54028D" w14:textId="77777777" w:rsidR="00CD07AB" w:rsidRDefault="00CD07AB" w:rsidP="00CD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CO"/>
        </w:rPr>
        <w:br w:type="textWrapping" w:clear="all"/>
      </w:r>
    </w:p>
    <w:p w14:paraId="3AF29897" w14:textId="77777777" w:rsidR="00CD07AB" w:rsidRPr="00CD07AB" w:rsidRDefault="00CD07AB" w:rsidP="00CD07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</w:pPr>
      <w:r w:rsidRPr="00CD07AB">
        <w:rPr>
          <w:rFonts w:ascii="Times New Roman" w:eastAsia="Times New Roman" w:hAnsi="Times New Roman" w:cs="Times New Roman"/>
          <w:b/>
          <w:sz w:val="24"/>
          <w:szCs w:val="24"/>
          <w:lang w:eastAsia="es-CO"/>
        </w:rPr>
        <w:t>ANEXO 1- MATRIZ DE RIESGO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1"/>
        <w:gridCol w:w="1728"/>
        <w:gridCol w:w="1828"/>
        <w:gridCol w:w="1901"/>
        <w:gridCol w:w="1173"/>
        <w:gridCol w:w="772"/>
        <w:gridCol w:w="745"/>
        <w:gridCol w:w="1171"/>
        <w:gridCol w:w="2317"/>
      </w:tblGrid>
      <w:tr w:rsidR="00CD07AB" w:rsidRPr="00CD07AB" w14:paraId="2D55A012" w14:textId="77777777" w:rsidTr="00CD07A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7D4A9A2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Tipo de Riesgo</w:t>
            </w:r>
          </w:p>
        </w:tc>
        <w:tc>
          <w:tcPr>
            <w:tcW w:w="0" w:type="auto"/>
            <w:vAlign w:val="center"/>
            <w:hideMark/>
          </w:tcPr>
          <w:p w14:paraId="047C57FD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Descripción del Riesgo</w:t>
            </w:r>
          </w:p>
        </w:tc>
        <w:tc>
          <w:tcPr>
            <w:tcW w:w="0" w:type="auto"/>
            <w:vAlign w:val="center"/>
            <w:hideMark/>
          </w:tcPr>
          <w:p w14:paraId="314837DD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Causa Probable</w:t>
            </w:r>
          </w:p>
        </w:tc>
        <w:tc>
          <w:tcPr>
            <w:tcW w:w="0" w:type="auto"/>
            <w:vAlign w:val="center"/>
            <w:hideMark/>
          </w:tcPr>
          <w:p w14:paraId="3A93E08B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Consecuencia</w:t>
            </w:r>
          </w:p>
        </w:tc>
        <w:tc>
          <w:tcPr>
            <w:tcW w:w="0" w:type="auto"/>
            <w:vAlign w:val="center"/>
            <w:hideMark/>
          </w:tcPr>
          <w:p w14:paraId="561A045E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Probabilidad</w:t>
            </w:r>
          </w:p>
        </w:tc>
        <w:tc>
          <w:tcPr>
            <w:tcW w:w="0" w:type="auto"/>
            <w:vAlign w:val="center"/>
            <w:hideMark/>
          </w:tcPr>
          <w:p w14:paraId="3F267C1D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427448F0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Nivel de Riesgo</w:t>
            </w:r>
          </w:p>
        </w:tc>
        <w:tc>
          <w:tcPr>
            <w:tcW w:w="0" w:type="auto"/>
            <w:vAlign w:val="center"/>
            <w:hideMark/>
          </w:tcPr>
          <w:p w14:paraId="021F0851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Asignación del Riesgo</w:t>
            </w:r>
          </w:p>
        </w:tc>
        <w:tc>
          <w:tcPr>
            <w:tcW w:w="0" w:type="auto"/>
            <w:vAlign w:val="center"/>
            <w:hideMark/>
          </w:tcPr>
          <w:p w14:paraId="7B8EB8D4" w14:textId="77777777" w:rsidR="00CD07AB" w:rsidRPr="00CD07AB" w:rsidRDefault="00CD07AB" w:rsidP="00CD07A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bCs/>
                <w:lang w:eastAsia="es-CO"/>
              </w:rPr>
              <w:t>Medidas de Mitigación</w:t>
            </w:r>
          </w:p>
        </w:tc>
      </w:tr>
      <w:tr w:rsidR="00CD07AB" w:rsidRPr="00CD07AB" w14:paraId="730AFB64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A911B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Financiero</w:t>
            </w:r>
          </w:p>
        </w:tc>
        <w:tc>
          <w:tcPr>
            <w:tcW w:w="0" w:type="auto"/>
            <w:vAlign w:val="center"/>
            <w:hideMark/>
          </w:tcPr>
          <w:p w14:paraId="69CD85F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Insuficiencia o desbalance presupuestal durante la ejecución del convenio</w:t>
            </w:r>
          </w:p>
        </w:tc>
        <w:tc>
          <w:tcPr>
            <w:tcW w:w="0" w:type="auto"/>
            <w:vAlign w:val="center"/>
            <w:hideMark/>
          </w:tcPr>
          <w:p w14:paraId="0C99F1D6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Incremento en costos operativos, logísticos o variación de precios del mercado</w:t>
            </w:r>
          </w:p>
        </w:tc>
        <w:tc>
          <w:tcPr>
            <w:tcW w:w="0" w:type="auto"/>
            <w:vAlign w:val="center"/>
            <w:hideMark/>
          </w:tcPr>
          <w:p w14:paraId="08DF57B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Afectación parcial en la ejecución de actividades o necesidad de ajustes presupuestales</w:t>
            </w:r>
          </w:p>
        </w:tc>
        <w:tc>
          <w:tcPr>
            <w:tcW w:w="0" w:type="auto"/>
            <w:vAlign w:val="center"/>
            <w:hideMark/>
          </w:tcPr>
          <w:p w14:paraId="7B33D692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0EBBA4D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4FB075A5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F9E201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30421AC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Seguimiento financiero permanente, control de ejecución presupuestal, programación de gastos y validación periódica del equilibrio financiero del convenio</w:t>
            </w:r>
          </w:p>
        </w:tc>
      </w:tr>
      <w:tr w:rsidR="00CD07AB" w:rsidRPr="00CD07AB" w14:paraId="68AA8870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B322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Financiero</w:t>
            </w:r>
          </w:p>
        </w:tc>
        <w:tc>
          <w:tcPr>
            <w:tcW w:w="0" w:type="auto"/>
            <w:vAlign w:val="center"/>
            <w:hideMark/>
          </w:tcPr>
          <w:p w14:paraId="509EC6C6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Incumplimiento o retraso en el aporte económico del 30% a cargo de la ESAL</w:t>
            </w:r>
          </w:p>
        </w:tc>
        <w:tc>
          <w:tcPr>
            <w:tcW w:w="0" w:type="auto"/>
            <w:vAlign w:val="center"/>
            <w:hideMark/>
          </w:tcPr>
          <w:p w14:paraId="763C68E7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Dificultades financieras o administrativas del conveniente</w:t>
            </w:r>
          </w:p>
        </w:tc>
        <w:tc>
          <w:tcPr>
            <w:tcW w:w="0" w:type="auto"/>
            <w:vAlign w:val="center"/>
            <w:hideMark/>
          </w:tcPr>
          <w:p w14:paraId="069150F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Retraso en actividades y afectación del flujo de recursos del proyecto</w:t>
            </w:r>
          </w:p>
        </w:tc>
        <w:tc>
          <w:tcPr>
            <w:tcW w:w="0" w:type="auto"/>
            <w:vAlign w:val="center"/>
            <w:hideMark/>
          </w:tcPr>
          <w:p w14:paraId="0FDCE97B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Baja</w:t>
            </w:r>
          </w:p>
        </w:tc>
        <w:tc>
          <w:tcPr>
            <w:tcW w:w="0" w:type="auto"/>
            <w:vAlign w:val="center"/>
            <w:hideMark/>
          </w:tcPr>
          <w:p w14:paraId="28F5D8EB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A8F82E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6E9E3926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Conveniente</w:t>
            </w:r>
          </w:p>
        </w:tc>
        <w:tc>
          <w:tcPr>
            <w:tcW w:w="0" w:type="auto"/>
            <w:vAlign w:val="center"/>
            <w:hideMark/>
          </w:tcPr>
          <w:p w14:paraId="4703679B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Verificación previa de capacidad financiera y seguimiento a la ejecución de aportes conforme al cronograma financiero</w:t>
            </w:r>
          </w:p>
        </w:tc>
      </w:tr>
      <w:tr w:rsidR="00CD07AB" w:rsidRPr="00CD07AB" w14:paraId="11C14D1D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11670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Planeación</w:t>
            </w:r>
          </w:p>
        </w:tc>
        <w:tc>
          <w:tcPr>
            <w:tcW w:w="0" w:type="auto"/>
            <w:vAlign w:val="center"/>
            <w:hideMark/>
          </w:tcPr>
          <w:p w14:paraId="6906BA26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Deficiencias en la estructuración metodológica del proyecto</w:t>
            </w:r>
          </w:p>
        </w:tc>
        <w:tc>
          <w:tcPr>
            <w:tcW w:w="0" w:type="auto"/>
            <w:vAlign w:val="center"/>
            <w:hideMark/>
          </w:tcPr>
          <w:p w14:paraId="4220408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Falta de articulación técnica entre actividades y productos</w:t>
            </w:r>
          </w:p>
        </w:tc>
        <w:tc>
          <w:tcPr>
            <w:tcW w:w="0" w:type="auto"/>
            <w:vAlign w:val="center"/>
            <w:hideMark/>
          </w:tcPr>
          <w:p w14:paraId="6A59985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Incumplimiento parcial de metas y productos</w:t>
            </w:r>
          </w:p>
        </w:tc>
        <w:tc>
          <w:tcPr>
            <w:tcW w:w="0" w:type="auto"/>
            <w:vAlign w:val="center"/>
            <w:hideMark/>
          </w:tcPr>
          <w:p w14:paraId="0A36657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63DFB64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1861EF5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0285D2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278AC556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Validación técnica previa de actividades, cronograma y productos por parte de la supervisión</w:t>
            </w:r>
          </w:p>
        </w:tc>
      </w:tr>
      <w:tr w:rsidR="00CD07AB" w:rsidRPr="00CD07AB" w14:paraId="68C016B9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7FD5E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107FE2F5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Baja participación de comunidades indígenas en las actividades</w:t>
            </w:r>
          </w:p>
        </w:tc>
        <w:tc>
          <w:tcPr>
            <w:tcW w:w="0" w:type="auto"/>
            <w:vAlign w:val="center"/>
            <w:hideMark/>
          </w:tcPr>
          <w:p w14:paraId="15328262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Dificultades de acceso, movilidad o convocatoria</w:t>
            </w:r>
          </w:p>
        </w:tc>
        <w:tc>
          <w:tcPr>
            <w:tcW w:w="0" w:type="auto"/>
            <w:vAlign w:val="center"/>
            <w:hideMark/>
          </w:tcPr>
          <w:p w14:paraId="4DC0B7F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Retrasos en la ejecución y menor cobertura</w:t>
            </w:r>
          </w:p>
        </w:tc>
        <w:tc>
          <w:tcPr>
            <w:tcW w:w="0" w:type="auto"/>
            <w:vAlign w:val="center"/>
            <w:hideMark/>
          </w:tcPr>
          <w:p w14:paraId="755ECB82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50B2245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5D2865C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1D59D7E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2B07E3E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Concertación previa con líderes comunitarios, programación anticipada y apoyo logístico</w:t>
            </w:r>
          </w:p>
        </w:tc>
      </w:tr>
      <w:tr w:rsidR="00CD07AB" w:rsidRPr="00CD07AB" w14:paraId="51364BFA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49B50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lastRenderedPageBreak/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7937194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Dificultades de acceso a territorios dispersos</w:t>
            </w:r>
          </w:p>
        </w:tc>
        <w:tc>
          <w:tcPr>
            <w:tcW w:w="0" w:type="auto"/>
            <w:vAlign w:val="center"/>
            <w:hideMark/>
          </w:tcPr>
          <w:p w14:paraId="51D2F65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Condiciones geográficas y climáticas del territorio</w:t>
            </w:r>
          </w:p>
        </w:tc>
        <w:tc>
          <w:tcPr>
            <w:tcW w:w="0" w:type="auto"/>
            <w:vAlign w:val="center"/>
            <w:hideMark/>
          </w:tcPr>
          <w:p w14:paraId="25405CC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Reprogramación de actividades y aumento en tiempos de ejecución</w:t>
            </w:r>
          </w:p>
        </w:tc>
        <w:tc>
          <w:tcPr>
            <w:tcW w:w="0" w:type="auto"/>
            <w:vAlign w:val="center"/>
            <w:hideMark/>
          </w:tcPr>
          <w:p w14:paraId="31338EC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Alta</w:t>
            </w:r>
          </w:p>
        </w:tc>
        <w:tc>
          <w:tcPr>
            <w:tcW w:w="0" w:type="auto"/>
            <w:vAlign w:val="center"/>
            <w:hideMark/>
          </w:tcPr>
          <w:p w14:paraId="21F9AF1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02BE67F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5DA8009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Conveniente</w:t>
            </w:r>
          </w:p>
        </w:tc>
        <w:tc>
          <w:tcPr>
            <w:tcW w:w="0" w:type="auto"/>
            <w:vAlign w:val="center"/>
            <w:hideMark/>
          </w:tcPr>
          <w:p w14:paraId="112B9D1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Plan logístico previo, rutas alternas y coordinación territorial</w:t>
            </w:r>
          </w:p>
        </w:tc>
      </w:tr>
      <w:tr w:rsidR="00CD07AB" w:rsidRPr="00CD07AB" w14:paraId="3CCEEE97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DA0B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Social</w:t>
            </w:r>
          </w:p>
        </w:tc>
        <w:tc>
          <w:tcPr>
            <w:tcW w:w="0" w:type="auto"/>
            <w:vAlign w:val="center"/>
            <w:hideMark/>
          </w:tcPr>
          <w:p w14:paraId="44DC7A95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Inconformidad de actores comunitarios frente a metodologías implementadas</w:t>
            </w:r>
          </w:p>
        </w:tc>
        <w:tc>
          <w:tcPr>
            <w:tcW w:w="0" w:type="auto"/>
            <w:vAlign w:val="center"/>
            <w:hideMark/>
          </w:tcPr>
          <w:p w14:paraId="59576CA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Diferencias culturales o expectativas no alineadas</w:t>
            </w:r>
          </w:p>
        </w:tc>
        <w:tc>
          <w:tcPr>
            <w:tcW w:w="0" w:type="auto"/>
            <w:vAlign w:val="center"/>
            <w:hideMark/>
          </w:tcPr>
          <w:p w14:paraId="09EF802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Afectación del desarrollo participativo del proyecto</w:t>
            </w:r>
          </w:p>
        </w:tc>
        <w:tc>
          <w:tcPr>
            <w:tcW w:w="0" w:type="auto"/>
            <w:vAlign w:val="center"/>
            <w:hideMark/>
          </w:tcPr>
          <w:p w14:paraId="441366C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375BA722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522782F7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50D81FB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0E465F9E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Implementación de metodologías participativas y enfoque intercultural</w:t>
            </w:r>
          </w:p>
        </w:tc>
      </w:tr>
      <w:tr w:rsidR="00CD07AB" w:rsidRPr="00CD07AB" w14:paraId="0280D956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3E78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Operacional</w:t>
            </w:r>
          </w:p>
        </w:tc>
        <w:tc>
          <w:tcPr>
            <w:tcW w:w="0" w:type="auto"/>
            <w:vAlign w:val="center"/>
            <w:hideMark/>
          </w:tcPr>
          <w:p w14:paraId="4FF6FE1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Incumplimiento en entrega de productos técnicos</w:t>
            </w:r>
          </w:p>
        </w:tc>
        <w:tc>
          <w:tcPr>
            <w:tcW w:w="0" w:type="auto"/>
            <w:vAlign w:val="center"/>
            <w:hideMark/>
          </w:tcPr>
          <w:p w14:paraId="517F7BF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Falta de capacidad técnica o retrasos operativos</w:t>
            </w:r>
          </w:p>
        </w:tc>
        <w:tc>
          <w:tcPr>
            <w:tcW w:w="0" w:type="auto"/>
            <w:vAlign w:val="center"/>
            <w:hideMark/>
          </w:tcPr>
          <w:p w14:paraId="22C3C657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Afectación de cronograma y obligaciones contractuales</w:t>
            </w:r>
          </w:p>
        </w:tc>
        <w:tc>
          <w:tcPr>
            <w:tcW w:w="0" w:type="auto"/>
            <w:vAlign w:val="center"/>
            <w:hideMark/>
          </w:tcPr>
          <w:p w14:paraId="4B9CCB00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59249F35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CFC96C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3131716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Conveniente</w:t>
            </w:r>
          </w:p>
        </w:tc>
        <w:tc>
          <w:tcPr>
            <w:tcW w:w="0" w:type="auto"/>
            <w:vAlign w:val="center"/>
            <w:hideMark/>
          </w:tcPr>
          <w:p w14:paraId="50D7D12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Seguimiento permanente por supervisión y establecimiento de entregables parciales</w:t>
            </w:r>
          </w:p>
        </w:tc>
      </w:tr>
      <w:tr w:rsidR="00CD07AB" w:rsidRPr="00CD07AB" w14:paraId="40524CD0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E62E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bookmarkStart w:id="0" w:name="_GoBack"/>
            <w:bookmarkEnd w:id="0"/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Administrativo</w:t>
            </w:r>
          </w:p>
        </w:tc>
        <w:tc>
          <w:tcPr>
            <w:tcW w:w="0" w:type="auto"/>
            <w:vAlign w:val="center"/>
            <w:hideMark/>
          </w:tcPr>
          <w:p w14:paraId="3CC412C7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Rotación del personal técnico del conveniente</w:t>
            </w:r>
          </w:p>
        </w:tc>
        <w:tc>
          <w:tcPr>
            <w:tcW w:w="0" w:type="auto"/>
            <w:vAlign w:val="center"/>
            <w:hideMark/>
          </w:tcPr>
          <w:p w14:paraId="4911403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Renuncias o cambios internos</w:t>
            </w:r>
          </w:p>
        </w:tc>
        <w:tc>
          <w:tcPr>
            <w:tcW w:w="0" w:type="auto"/>
            <w:vAlign w:val="center"/>
            <w:hideMark/>
          </w:tcPr>
          <w:p w14:paraId="35DA969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Pérdida de continuidad metodológica</w:t>
            </w:r>
          </w:p>
        </w:tc>
        <w:tc>
          <w:tcPr>
            <w:tcW w:w="0" w:type="auto"/>
            <w:vAlign w:val="center"/>
            <w:hideMark/>
          </w:tcPr>
          <w:p w14:paraId="1DCEFED0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291225A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383AC145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411552D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Conveniente</w:t>
            </w:r>
          </w:p>
        </w:tc>
        <w:tc>
          <w:tcPr>
            <w:tcW w:w="0" w:type="auto"/>
            <w:vAlign w:val="center"/>
            <w:hideMark/>
          </w:tcPr>
          <w:p w14:paraId="6A18466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Exigir perfiles mínimos y garantizar empalmes técnicos</w:t>
            </w:r>
          </w:p>
        </w:tc>
      </w:tr>
      <w:tr w:rsidR="00CD07AB" w:rsidRPr="00CD07AB" w14:paraId="7DE6C1E6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9AE8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Ambiental</w:t>
            </w:r>
          </w:p>
        </w:tc>
        <w:tc>
          <w:tcPr>
            <w:tcW w:w="0" w:type="auto"/>
            <w:vAlign w:val="center"/>
            <w:hideMark/>
          </w:tcPr>
          <w:p w14:paraId="7B88C774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Suspensión de actividades por eventos climáticos o emergencias</w:t>
            </w:r>
          </w:p>
        </w:tc>
        <w:tc>
          <w:tcPr>
            <w:tcW w:w="0" w:type="auto"/>
            <w:vAlign w:val="center"/>
            <w:hideMark/>
          </w:tcPr>
          <w:p w14:paraId="4958B49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Fuertes lluvias, derrumbes o emergencias locales</w:t>
            </w:r>
          </w:p>
        </w:tc>
        <w:tc>
          <w:tcPr>
            <w:tcW w:w="0" w:type="auto"/>
            <w:vAlign w:val="center"/>
            <w:hideMark/>
          </w:tcPr>
          <w:p w14:paraId="6B15AE1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Retrasos en cronograma</w:t>
            </w:r>
          </w:p>
        </w:tc>
        <w:tc>
          <w:tcPr>
            <w:tcW w:w="0" w:type="auto"/>
            <w:vAlign w:val="center"/>
            <w:hideMark/>
          </w:tcPr>
          <w:p w14:paraId="39C4BE5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4BC7C22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496F961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58DD3D2E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3A80E53A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Flexibilidad en cronograma y protocolos de contingencia</w:t>
            </w:r>
          </w:p>
        </w:tc>
      </w:tr>
      <w:tr w:rsidR="00CD07AB" w:rsidRPr="00CD07AB" w14:paraId="16C2247E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9A0F9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Tecnológico</w:t>
            </w:r>
          </w:p>
        </w:tc>
        <w:tc>
          <w:tcPr>
            <w:tcW w:w="0" w:type="auto"/>
            <w:vAlign w:val="center"/>
            <w:hideMark/>
          </w:tcPr>
          <w:p w14:paraId="3E91333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Pérdida de información recolectada en campo</w:t>
            </w:r>
          </w:p>
        </w:tc>
        <w:tc>
          <w:tcPr>
            <w:tcW w:w="0" w:type="auto"/>
            <w:vAlign w:val="center"/>
            <w:hideMark/>
          </w:tcPr>
          <w:p w14:paraId="6366BF1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Fallas de almacenamiento o manejo documental</w:t>
            </w:r>
          </w:p>
        </w:tc>
        <w:tc>
          <w:tcPr>
            <w:tcW w:w="0" w:type="auto"/>
            <w:vAlign w:val="center"/>
            <w:hideMark/>
          </w:tcPr>
          <w:p w14:paraId="77BE983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Afectación de productos técnicos y diagnósticos</w:t>
            </w:r>
          </w:p>
        </w:tc>
        <w:tc>
          <w:tcPr>
            <w:tcW w:w="0" w:type="auto"/>
            <w:vAlign w:val="center"/>
            <w:hideMark/>
          </w:tcPr>
          <w:p w14:paraId="65E290A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Baja</w:t>
            </w:r>
          </w:p>
        </w:tc>
        <w:tc>
          <w:tcPr>
            <w:tcW w:w="0" w:type="auto"/>
            <w:vAlign w:val="center"/>
            <w:hideMark/>
          </w:tcPr>
          <w:p w14:paraId="3FD36D1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2D0D0E2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Bajo</w:t>
            </w:r>
          </w:p>
        </w:tc>
        <w:tc>
          <w:tcPr>
            <w:tcW w:w="0" w:type="auto"/>
            <w:vAlign w:val="center"/>
            <w:hideMark/>
          </w:tcPr>
          <w:p w14:paraId="68E5DA18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Conveniente</w:t>
            </w:r>
          </w:p>
        </w:tc>
        <w:tc>
          <w:tcPr>
            <w:tcW w:w="0" w:type="auto"/>
            <w:vAlign w:val="center"/>
            <w:hideMark/>
          </w:tcPr>
          <w:p w14:paraId="54ECAD5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Respaldos digitales y protocolos de manejo de información</w:t>
            </w:r>
          </w:p>
        </w:tc>
      </w:tr>
      <w:tr w:rsidR="00CD07AB" w:rsidRPr="00CD07AB" w14:paraId="314C9674" w14:textId="77777777" w:rsidTr="00CD07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EB95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b/>
                <w:lang w:eastAsia="es-CO"/>
              </w:rPr>
              <w:t>Cumplimiento</w:t>
            </w:r>
          </w:p>
        </w:tc>
        <w:tc>
          <w:tcPr>
            <w:tcW w:w="0" w:type="auto"/>
            <w:vAlign w:val="center"/>
            <w:hideMark/>
          </w:tcPr>
          <w:p w14:paraId="3719D21E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Retrasos en trámites administrativos o desembolsos</w:t>
            </w:r>
          </w:p>
        </w:tc>
        <w:tc>
          <w:tcPr>
            <w:tcW w:w="0" w:type="auto"/>
            <w:vAlign w:val="center"/>
            <w:hideMark/>
          </w:tcPr>
          <w:p w14:paraId="749E9E9D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Procesos internos o documentación incompleta</w:t>
            </w:r>
          </w:p>
        </w:tc>
        <w:tc>
          <w:tcPr>
            <w:tcW w:w="0" w:type="auto"/>
            <w:vAlign w:val="center"/>
            <w:hideMark/>
          </w:tcPr>
          <w:p w14:paraId="0437E573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Afectación del flujo de ejecución</w:t>
            </w:r>
          </w:p>
        </w:tc>
        <w:tc>
          <w:tcPr>
            <w:tcW w:w="0" w:type="auto"/>
            <w:vAlign w:val="center"/>
            <w:hideMark/>
          </w:tcPr>
          <w:p w14:paraId="6F6A1C5B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14:paraId="54CEB602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19295ABF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Medio</w:t>
            </w:r>
          </w:p>
        </w:tc>
        <w:tc>
          <w:tcPr>
            <w:tcW w:w="0" w:type="auto"/>
            <w:vAlign w:val="center"/>
            <w:hideMark/>
          </w:tcPr>
          <w:p w14:paraId="628B1A11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Compartido</w:t>
            </w:r>
          </w:p>
        </w:tc>
        <w:tc>
          <w:tcPr>
            <w:tcW w:w="0" w:type="auto"/>
            <w:vAlign w:val="center"/>
            <w:hideMark/>
          </w:tcPr>
          <w:p w14:paraId="0D73DF5C" w14:textId="77777777" w:rsidR="00CD07AB" w:rsidRPr="00CD07AB" w:rsidRDefault="00CD07AB" w:rsidP="00CD07AB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  <w:r w:rsidRPr="00CD07AB">
              <w:rPr>
                <w:rFonts w:ascii="Arial Narrow" w:eastAsia="Times New Roman" w:hAnsi="Arial Narrow" w:cs="Times New Roman"/>
                <w:lang w:eastAsia="es-CO"/>
              </w:rPr>
              <w:t>Seguimiento administrativo y verificación documental permanente</w:t>
            </w:r>
          </w:p>
        </w:tc>
      </w:tr>
    </w:tbl>
    <w:p w14:paraId="6234A54C" w14:textId="77777777" w:rsidR="00385C55" w:rsidRDefault="00385C55"/>
    <w:sectPr w:rsidR="00385C55" w:rsidSect="00CD07A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AB"/>
    <w:rsid w:val="00385C55"/>
    <w:rsid w:val="00CD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D239"/>
  <w15:chartTrackingRefBased/>
  <w15:docId w15:val="{E474597A-E933-4865-A59A-82B111A4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0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CD07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customXml" Target="../customXml/item4.xml"/><Relationship Id="rId5" Type="http://schemas.openxmlformats.org/officeDocument/2006/relationships/image" Target="media/image1.jp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BE8D46-9B18-4ABF-AAF2-A35D9544F9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A586C3-A91C-47AE-99E9-0E6B654FCBFE}"/>
</file>

<file path=customXml/itemProps3.xml><?xml version="1.0" encoding="utf-8"?>
<ds:datastoreItem xmlns:ds="http://schemas.openxmlformats.org/officeDocument/2006/customXml" ds:itemID="{C38F5622-6118-47A7-B54E-E918B4751A57}"/>
</file>

<file path=customXml/itemProps4.xml><?xml version="1.0" encoding="utf-8"?>
<ds:datastoreItem xmlns:ds="http://schemas.openxmlformats.org/officeDocument/2006/customXml" ds:itemID="{DF83CA6F-05E1-481D-BDE5-5B426CDA3A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2026-05-12T12:34:00Z</dcterms:created>
  <dcterms:modified xsi:type="dcterms:W3CDTF">2026-05-12T12:40:00Z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