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5BE50F">
      <w:pPr>
        <w:jc w:val="center"/>
        <w:rPr>
          <w:rFonts w:ascii="Verdana" w:hAnsi="Verdana" w:cs="Arial"/>
          <w:b/>
          <w:color w:val="1A1818" w:themeColor="text1"/>
          <w:sz w:val="22"/>
          <w:lang w:val="zh-CN"/>
          <w14:textFill>
            <w14:solidFill>
              <w14:schemeClr w14:val="tx1"/>
            </w14:solidFill>
          </w14:textFill>
        </w:rPr>
      </w:pPr>
    </w:p>
    <w:p w14:paraId="325E2401">
      <w:pPr>
        <w:pStyle w:val="27"/>
        <w:numPr>
          <w:ilvl w:val="0"/>
          <w:numId w:val="3"/>
        </w:numPr>
        <w:ind w:left="284"/>
        <w:jc w:val="both"/>
        <w:rPr>
          <w:rFonts w:ascii="Verdana" w:hAnsi="Verdana" w:cs="Arial"/>
          <w:i/>
          <w:iCs/>
          <w:sz w:val="22"/>
          <w:lang w:val="zh-CN"/>
        </w:rPr>
      </w:pPr>
      <w:r>
        <w:rPr>
          <w:rFonts w:ascii="Verdana" w:hAnsi="Verdana" w:cs="Arial"/>
          <w:i/>
          <w:iCs/>
          <w:sz w:val="22"/>
          <w:lang w:val="zh-CN"/>
        </w:rPr>
        <w:t>Índices de capacidad financiera y organizacionales para Mipyme.</w:t>
      </w:r>
    </w:p>
    <w:p w14:paraId="65FD6860">
      <w:pPr>
        <w:jc w:val="both"/>
        <w:rPr>
          <w:rFonts w:ascii="Verdana" w:hAnsi="Verdana" w:cs="Arial"/>
          <w:sz w:val="22"/>
          <w:lang w:val="zh-CN"/>
        </w:rPr>
      </w:pPr>
    </w:p>
    <w:p w14:paraId="459A1B7E">
      <w:pPr>
        <w:jc w:val="both"/>
        <w:rPr>
          <w:rFonts w:ascii="Verdana" w:hAnsi="Verdana" w:cs="Arial"/>
          <w:sz w:val="22"/>
          <w:lang w:val="zh-CN"/>
        </w:rPr>
      </w:pPr>
      <w:r>
        <w:rPr>
          <w:rFonts w:ascii="Verdana" w:hAnsi="Verdana" w:cs="Arial"/>
          <w:sz w:val="22"/>
          <w:lang w:val="zh-CN"/>
        </w:rPr>
        <w:t>El Proponente persona natural o jurídica que demuestre la condición de Mipyme de conformidad con lo previsto en el artículo 2.2.1.2.4.2.4. del Decreto 1082 de 2015,</w:t>
      </w:r>
      <w:r>
        <w:rPr>
          <w:rFonts w:ascii="Verdana" w:hAnsi="Verdana" w:cs="Arial"/>
          <w:iCs/>
          <w:sz w:val="22"/>
          <w:lang w:val="es-ES"/>
        </w:rPr>
        <w:t xml:space="preserve"> en concordancia con el parágrafo del artículo 2.2.1.13.2.4 del Decreto 1074 de 2015</w:t>
      </w:r>
      <w:r>
        <w:rPr>
          <w:rFonts w:ascii="Verdana" w:hAnsi="Verdana" w:cs="Arial"/>
          <w:sz w:val="22"/>
          <w:lang w:val="zh-CN"/>
        </w:rPr>
        <w:t xml:space="preserve"> o las normas que los modifiquen, sustituyan o complementen, probará los siguientes indicadores:</w:t>
      </w:r>
    </w:p>
    <w:p w14:paraId="54EC2827">
      <w:pPr>
        <w:ind w:left="720"/>
        <w:contextualSpacing/>
        <w:rPr>
          <w:rFonts w:ascii="Verdana" w:hAnsi="Verdana" w:cs="Arial"/>
          <w:bCs/>
          <w:sz w:val="22"/>
          <w:lang w:val="zh-CN"/>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2268"/>
      </w:tblGrid>
      <w:tr w14:paraId="545B9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89" w:type="dxa"/>
            <w:shd w:val="clear" w:color="auto" w:fill="B8B7B7" w:themeFill="accent2" w:themeFillTint="66"/>
            <w:vAlign w:val="center"/>
          </w:tcPr>
          <w:p w14:paraId="6097FE3F">
            <w:pPr>
              <w:ind w:left="174" w:hanging="174"/>
              <w:jc w:val="center"/>
              <w:rPr>
                <w:rFonts w:ascii="Verdana" w:hAnsi="Verdana" w:cs="Arial"/>
                <w:b/>
                <w:sz w:val="20"/>
                <w:szCs w:val="20"/>
              </w:rPr>
            </w:pPr>
            <w:r>
              <w:rPr>
                <w:rFonts w:ascii="Verdana" w:hAnsi="Verdana" w:cs="Arial"/>
                <w:b/>
                <w:sz w:val="20"/>
                <w:szCs w:val="20"/>
              </w:rPr>
              <w:t>Indicador</w:t>
            </w:r>
          </w:p>
        </w:tc>
        <w:tc>
          <w:tcPr>
            <w:tcW w:w="2268" w:type="dxa"/>
            <w:shd w:val="clear" w:color="auto" w:fill="B8B7B7" w:themeFill="accent2" w:themeFillTint="66"/>
            <w:vAlign w:val="center"/>
          </w:tcPr>
          <w:p w14:paraId="4201A675">
            <w:pPr>
              <w:ind w:left="174" w:hanging="174"/>
              <w:jc w:val="center"/>
              <w:rPr>
                <w:rFonts w:ascii="Verdana" w:hAnsi="Verdana" w:cs="Arial"/>
                <w:b/>
                <w:sz w:val="20"/>
                <w:szCs w:val="20"/>
              </w:rPr>
            </w:pPr>
            <w:r>
              <w:rPr>
                <w:rFonts w:ascii="Verdana" w:hAnsi="Verdana" w:cs="Arial"/>
                <w:b/>
                <w:sz w:val="20"/>
                <w:szCs w:val="20"/>
              </w:rPr>
              <w:t>Valor concertado</w:t>
            </w:r>
          </w:p>
        </w:tc>
      </w:tr>
      <w:tr w14:paraId="39B4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89" w:type="dxa"/>
            <w:vAlign w:val="center"/>
          </w:tcPr>
          <w:p w14:paraId="59727534">
            <w:pPr>
              <w:jc w:val="center"/>
              <w:rPr>
                <w:rFonts w:ascii="Verdana" w:hAnsi="Verdana" w:cstheme="minorHAnsi"/>
                <w:sz w:val="20"/>
                <w:szCs w:val="20"/>
              </w:rPr>
            </w:pPr>
          </w:p>
          <w:p w14:paraId="17073A0A">
            <w:pPr>
              <w:jc w:val="center"/>
              <w:rPr>
                <w:rFonts w:ascii="Verdana" w:hAnsi="Verdana" w:cstheme="minorHAnsi"/>
                <w:sz w:val="20"/>
                <w:szCs w:val="20"/>
              </w:rPr>
            </w:pPr>
            <w:r>
              <w:rPr>
                <w:rFonts w:ascii="Verdana" w:hAnsi="Verdana" w:cstheme="minorHAnsi"/>
                <w:sz w:val="20"/>
                <w:szCs w:val="20"/>
              </w:rPr>
              <w:t>Índice de liquidez</w:t>
            </w:r>
          </w:p>
        </w:tc>
        <w:tc>
          <w:tcPr>
            <w:tcW w:w="2268" w:type="dxa"/>
            <w:vAlign w:val="center"/>
          </w:tcPr>
          <w:p w14:paraId="0B4A4590">
            <w:pPr>
              <w:spacing w:before="240"/>
              <w:jc w:val="center"/>
              <w:rPr>
                <w:rFonts w:ascii="Verdana" w:hAnsi="Verdana" w:cs="Arial"/>
                <w:bCs/>
                <w:sz w:val="20"/>
                <w:szCs w:val="20"/>
              </w:rPr>
            </w:pPr>
            <m:oMath>
              <m:r>
                <m:rPr>
                  <m:sty m:val="p"/>
                </m:rPr>
                <w:rPr>
                  <w:rFonts w:ascii="Cambria Math" w:hAnsi="Cambria Math" w:cs="Arial"/>
                  <w:sz w:val="20"/>
                  <w:szCs w:val="20"/>
                </w:rPr>
                <m:t>≥</m:t>
              </m:r>
            </m:oMath>
            <w:r>
              <w:rPr>
                <w:rFonts w:ascii="Verdana" w:hAnsi="Verdana" w:cs="Arial"/>
                <w:bCs/>
                <w:sz w:val="20"/>
                <w:szCs w:val="20"/>
              </w:rPr>
              <w:t>1,1</w:t>
            </w:r>
          </w:p>
          <w:p w14:paraId="3B5B5412">
            <w:pPr>
              <w:jc w:val="center"/>
              <w:rPr>
                <w:rFonts w:ascii="Verdana" w:hAnsi="Verdana" w:cstheme="minorHAnsi"/>
                <w:bCs/>
                <w:sz w:val="20"/>
                <w:szCs w:val="20"/>
              </w:rPr>
            </w:pPr>
          </w:p>
        </w:tc>
      </w:tr>
      <w:tr w14:paraId="3245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89" w:type="dxa"/>
            <w:vAlign w:val="center"/>
          </w:tcPr>
          <w:p w14:paraId="6E7C565C">
            <w:pPr>
              <w:jc w:val="center"/>
              <w:rPr>
                <w:rFonts w:ascii="Verdana" w:hAnsi="Verdana" w:cstheme="minorHAnsi"/>
                <w:sz w:val="20"/>
                <w:szCs w:val="20"/>
              </w:rPr>
            </w:pPr>
          </w:p>
          <w:p w14:paraId="330A0AC6">
            <w:pPr>
              <w:jc w:val="center"/>
              <w:rPr>
                <w:rFonts w:ascii="Verdana" w:hAnsi="Verdana" w:cstheme="minorHAnsi"/>
                <w:sz w:val="20"/>
                <w:szCs w:val="20"/>
              </w:rPr>
            </w:pPr>
            <w:r>
              <w:rPr>
                <w:rFonts w:ascii="Verdana" w:hAnsi="Verdana" w:cstheme="minorHAnsi"/>
                <w:sz w:val="20"/>
                <w:szCs w:val="20"/>
              </w:rPr>
              <w:t>Índice de endeudamiento</w:t>
            </w:r>
          </w:p>
        </w:tc>
        <w:tc>
          <w:tcPr>
            <w:tcW w:w="2268" w:type="dxa"/>
            <w:vAlign w:val="center"/>
          </w:tcPr>
          <w:p w14:paraId="234C1171">
            <w:pPr>
              <w:jc w:val="center"/>
              <w:rPr>
                <w:rFonts w:ascii="Verdana" w:hAnsi="Verdana" w:eastAsiaTheme="minorEastAsia" w:cstheme="minorHAnsi"/>
                <w:bCs/>
                <w:sz w:val="20"/>
                <w:szCs w:val="20"/>
              </w:rPr>
            </w:pPr>
          </w:p>
          <w:p w14:paraId="3845E8C7">
            <w:pPr>
              <w:jc w:val="center"/>
              <w:rPr>
                <w:rFonts w:ascii="Verdana" w:hAnsi="Verdana" w:cstheme="minorHAnsi"/>
                <w:bCs/>
                <w:sz w:val="20"/>
                <w:szCs w:val="20"/>
              </w:rPr>
            </w:pPr>
            <m:oMathPara>
              <m:oMath>
                <m:r>
                  <m:rPr>
                    <m:sty m:val="p"/>
                  </m:rPr>
                  <w:rPr>
                    <w:rFonts w:ascii="Cambria Math" w:hAnsi="Cambria Math" w:cstheme="minorHAnsi"/>
                    <w:sz w:val="20"/>
                    <w:szCs w:val="20"/>
                  </w:rPr>
                  <m:t>≤ 0,70</m:t>
                </m:r>
              </m:oMath>
            </m:oMathPara>
          </w:p>
          <w:p w14:paraId="6CFFF421">
            <w:pPr>
              <w:jc w:val="center"/>
              <w:rPr>
                <w:rFonts w:ascii="Verdana" w:hAnsi="Verdana" w:cstheme="minorHAnsi"/>
                <w:bCs/>
                <w:sz w:val="20"/>
                <w:szCs w:val="20"/>
              </w:rPr>
            </w:pPr>
          </w:p>
        </w:tc>
      </w:tr>
      <w:tr w14:paraId="5B123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89" w:type="dxa"/>
            <w:vAlign w:val="center"/>
          </w:tcPr>
          <w:p w14:paraId="316655B8">
            <w:pPr>
              <w:jc w:val="center"/>
              <w:rPr>
                <w:rFonts w:ascii="Verdana" w:hAnsi="Verdana" w:cstheme="minorHAnsi"/>
                <w:sz w:val="20"/>
                <w:szCs w:val="20"/>
              </w:rPr>
            </w:pPr>
          </w:p>
          <w:p w14:paraId="3DF35002">
            <w:pPr>
              <w:jc w:val="center"/>
              <w:rPr>
                <w:rFonts w:ascii="Verdana" w:hAnsi="Verdana" w:cstheme="minorHAnsi"/>
                <w:sz w:val="20"/>
                <w:szCs w:val="20"/>
              </w:rPr>
            </w:pPr>
            <w:r>
              <w:rPr>
                <w:rFonts w:ascii="Verdana" w:hAnsi="Verdana" w:cstheme="minorHAnsi"/>
                <w:sz w:val="20"/>
                <w:szCs w:val="20"/>
              </w:rPr>
              <w:t>Razón de cobertura de intereses</w:t>
            </w:r>
          </w:p>
        </w:tc>
        <w:tc>
          <w:tcPr>
            <w:tcW w:w="2268" w:type="dxa"/>
            <w:vAlign w:val="center"/>
          </w:tcPr>
          <w:p w14:paraId="3A51203D">
            <w:pPr>
              <w:jc w:val="center"/>
              <w:rPr>
                <w:rFonts w:ascii="Verdana" w:hAnsi="Verdana" w:eastAsiaTheme="minorEastAsia" w:cstheme="minorHAnsi"/>
                <w:bCs/>
                <w:sz w:val="20"/>
                <w:szCs w:val="20"/>
              </w:rPr>
            </w:pPr>
          </w:p>
          <w:p w14:paraId="554E90E3">
            <w:pPr>
              <w:jc w:val="center"/>
              <w:rPr>
                <w:rFonts w:ascii="Verdana" w:hAnsi="Verdana" w:eastAsiaTheme="minorEastAsia" w:cstheme="minorHAnsi"/>
                <w:bCs/>
                <w:sz w:val="20"/>
                <w:szCs w:val="20"/>
              </w:rPr>
            </w:pPr>
            <m:oMathPara>
              <m:oMath>
                <m:r>
                  <m:rPr>
                    <m:sty m:val="p"/>
                  </m:rPr>
                  <w:rPr>
                    <w:rFonts w:ascii="Cambria Math" w:hAnsi="Cambria Math" w:cstheme="minorHAnsi"/>
                    <w:sz w:val="20"/>
                    <w:szCs w:val="20"/>
                  </w:rPr>
                  <m:t>≥1</m:t>
                </m:r>
              </m:oMath>
            </m:oMathPara>
          </w:p>
          <w:p w14:paraId="42192E4E">
            <w:pPr>
              <w:jc w:val="center"/>
              <w:rPr>
                <w:rFonts w:ascii="Verdana" w:hAnsi="Verdana" w:cstheme="minorHAnsi"/>
                <w:bCs/>
                <w:sz w:val="20"/>
                <w:szCs w:val="20"/>
              </w:rPr>
            </w:pPr>
          </w:p>
        </w:tc>
      </w:tr>
      <w:tr w14:paraId="3050C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89" w:type="dxa"/>
            <w:vAlign w:val="center"/>
          </w:tcPr>
          <w:p w14:paraId="64FB7E1D">
            <w:pPr>
              <w:jc w:val="center"/>
              <w:rPr>
                <w:rFonts w:ascii="Verdana" w:hAnsi="Verdana" w:cstheme="minorHAnsi"/>
                <w:sz w:val="20"/>
                <w:szCs w:val="20"/>
              </w:rPr>
            </w:pPr>
          </w:p>
          <w:p w14:paraId="1F221320">
            <w:pPr>
              <w:jc w:val="center"/>
              <w:rPr>
                <w:rFonts w:ascii="Verdana" w:hAnsi="Verdana" w:cstheme="minorHAnsi"/>
                <w:sz w:val="20"/>
                <w:szCs w:val="20"/>
              </w:rPr>
            </w:pPr>
            <w:r>
              <w:rPr>
                <w:rFonts w:ascii="Verdana" w:hAnsi="Verdana" w:cstheme="minorHAnsi"/>
                <w:sz w:val="20"/>
                <w:szCs w:val="20"/>
              </w:rPr>
              <w:t>Capital de trabajo</w:t>
            </w:r>
          </w:p>
        </w:tc>
        <w:tc>
          <w:tcPr>
            <w:tcW w:w="2268" w:type="dxa"/>
            <w:vAlign w:val="center"/>
          </w:tcPr>
          <w:p w14:paraId="79447E60">
            <w:pPr>
              <w:jc w:val="center"/>
              <w:rPr>
                <w:rFonts w:ascii="Verdana" w:hAnsi="Verdana" w:cstheme="minorHAnsi"/>
                <w:bCs/>
                <w:sz w:val="20"/>
                <w:szCs w:val="20"/>
              </w:rPr>
            </w:pPr>
          </w:p>
          <w:p w14:paraId="4C6DEE03">
            <w:pPr>
              <w:jc w:val="center"/>
              <w:rPr>
                <w:rFonts w:hint="default" w:ascii="Verdana" w:hAnsi="Verdana" w:cstheme="minorHAnsi"/>
                <w:bCs/>
                <w:sz w:val="20"/>
                <w:szCs w:val="20"/>
                <w:lang w:val="es-CO"/>
              </w:rPr>
            </w:pPr>
            <w:r>
              <w:rPr>
                <w:rFonts w:hint="default" w:ascii="Verdana" w:hAnsi="Verdana" w:cstheme="minorHAnsi"/>
                <w:bCs/>
                <w:sz w:val="20"/>
                <w:szCs w:val="20"/>
                <w:lang w:val="es-CO"/>
              </w:rPr>
              <w:t>$644.000.000,00</w:t>
            </w:r>
          </w:p>
        </w:tc>
      </w:tr>
      <w:tr w14:paraId="3A0F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89" w:type="dxa"/>
            <w:vAlign w:val="center"/>
          </w:tcPr>
          <w:p w14:paraId="269D8743">
            <w:pPr>
              <w:jc w:val="center"/>
              <w:rPr>
                <w:rFonts w:ascii="Verdana" w:hAnsi="Verdana" w:cstheme="minorHAnsi"/>
                <w:sz w:val="20"/>
                <w:szCs w:val="20"/>
              </w:rPr>
            </w:pPr>
          </w:p>
          <w:p w14:paraId="045AE12C">
            <w:pPr>
              <w:jc w:val="center"/>
              <w:rPr>
                <w:rFonts w:ascii="Verdana" w:hAnsi="Verdana" w:cstheme="minorHAnsi"/>
                <w:sz w:val="20"/>
                <w:szCs w:val="20"/>
              </w:rPr>
            </w:pPr>
            <w:r>
              <w:rPr>
                <w:rFonts w:ascii="Verdana" w:hAnsi="Verdana" w:cstheme="minorHAnsi"/>
                <w:sz w:val="20"/>
                <w:szCs w:val="20"/>
              </w:rPr>
              <w:t>Rentabilidad del patrimonio</w:t>
            </w:r>
          </w:p>
        </w:tc>
        <w:tc>
          <w:tcPr>
            <w:tcW w:w="2268" w:type="dxa"/>
            <w:vAlign w:val="center"/>
          </w:tcPr>
          <w:p w14:paraId="2D7D0191">
            <w:pPr>
              <w:jc w:val="center"/>
              <w:rPr>
                <w:rFonts w:ascii="Verdana" w:hAnsi="Verdana" w:eastAsiaTheme="minorEastAsia" w:cstheme="minorHAnsi"/>
                <w:bCs/>
                <w:sz w:val="20"/>
                <w:szCs w:val="20"/>
              </w:rPr>
            </w:pPr>
          </w:p>
          <w:p w14:paraId="2FB1F470">
            <w:pPr>
              <w:jc w:val="center"/>
              <w:rPr>
                <w:rFonts w:ascii="Verdana" w:hAnsi="Verdana" w:cs="Arial" w:eastAsiaTheme="minorEastAsia"/>
                <w:bCs/>
                <w:sz w:val="20"/>
                <w:szCs w:val="20"/>
              </w:rPr>
            </w:pPr>
            <m:oMathPara>
              <m:oMath>
                <m:r>
                  <m:rPr>
                    <m:sty m:val="p"/>
                  </m:rPr>
                  <w:rPr>
                    <w:rFonts w:ascii="Cambria Math" w:hAnsi="Cambria Math" w:cs="Arial"/>
                    <w:sz w:val="20"/>
                    <w:szCs w:val="20"/>
                  </w:rPr>
                  <m:t>≥0,02</m:t>
                </m:r>
              </m:oMath>
            </m:oMathPara>
          </w:p>
          <w:p w14:paraId="58FB4194">
            <w:pPr>
              <w:jc w:val="center"/>
              <w:rPr>
                <w:rFonts w:ascii="Verdana" w:hAnsi="Verdana" w:cstheme="minorHAnsi"/>
                <w:bCs/>
                <w:sz w:val="20"/>
                <w:szCs w:val="20"/>
              </w:rPr>
            </w:pPr>
          </w:p>
        </w:tc>
      </w:tr>
      <w:tr w14:paraId="280C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89" w:type="dxa"/>
            <w:vAlign w:val="center"/>
          </w:tcPr>
          <w:p w14:paraId="09C24B17">
            <w:pPr>
              <w:jc w:val="center"/>
              <w:rPr>
                <w:rFonts w:ascii="Verdana" w:hAnsi="Verdana" w:cstheme="minorHAnsi"/>
                <w:sz w:val="20"/>
                <w:szCs w:val="20"/>
              </w:rPr>
            </w:pPr>
          </w:p>
          <w:p w14:paraId="7DC766DA">
            <w:pPr>
              <w:jc w:val="center"/>
              <w:rPr>
                <w:rFonts w:ascii="Verdana" w:hAnsi="Verdana" w:cstheme="minorHAnsi"/>
                <w:sz w:val="20"/>
                <w:szCs w:val="20"/>
              </w:rPr>
            </w:pPr>
            <w:r>
              <w:rPr>
                <w:rFonts w:ascii="Verdana" w:hAnsi="Verdana" w:cstheme="minorHAnsi"/>
                <w:sz w:val="20"/>
                <w:szCs w:val="20"/>
              </w:rPr>
              <w:t>Rentabilidad del activo</w:t>
            </w:r>
          </w:p>
        </w:tc>
        <w:tc>
          <w:tcPr>
            <w:tcW w:w="2268" w:type="dxa"/>
            <w:vAlign w:val="center"/>
          </w:tcPr>
          <w:p w14:paraId="65C1AD8F">
            <w:pPr>
              <w:jc w:val="center"/>
              <w:rPr>
                <w:rFonts w:ascii="Verdana" w:hAnsi="Verdana" w:eastAsiaTheme="minorEastAsia" w:cstheme="minorHAnsi"/>
                <w:bCs/>
                <w:sz w:val="20"/>
                <w:szCs w:val="20"/>
              </w:rPr>
            </w:pPr>
          </w:p>
          <w:p w14:paraId="522C243C">
            <w:pPr>
              <w:jc w:val="center"/>
              <w:rPr>
                <w:rFonts w:ascii="Verdana" w:hAnsi="Verdana" w:eastAsiaTheme="minorEastAsia" w:cstheme="minorHAnsi"/>
                <w:bCs/>
                <w:sz w:val="20"/>
                <w:szCs w:val="20"/>
              </w:rPr>
            </w:pPr>
            <m:oMathPara>
              <m:oMath>
                <m:r>
                  <m:rPr>
                    <m:sty m:val="p"/>
                  </m:rPr>
                  <w:rPr>
                    <w:rFonts w:ascii="Cambria Math" w:hAnsi="Cambria Math" w:cstheme="minorHAnsi"/>
                    <w:sz w:val="20"/>
                    <w:szCs w:val="20"/>
                  </w:rPr>
                  <m:t>≥0,01</m:t>
                </m:r>
              </m:oMath>
            </m:oMathPara>
          </w:p>
          <w:p w14:paraId="0276F11C">
            <w:pPr>
              <w:jc w:val="center"/>
              <w:rPr>
                <w:rFonts w:ascii="Verdana" w:hAnsi="Verdana" w:cstheme="minorHAnsi"/>
                <w:bCs/>
                <w:sz w:val="20"/>
                <w:szCs w:val="20"/>
              </w:rPr>
            </w:pPr>
          </w:p>
        </w:tc>
      </w:tr>
    </w:tbl>
    <w:p w14:paraId="00DC18E1">
      <w:pPr>
        <w:ind w:left="720"/>
        <w:contextualSpacing/>
        <w:rPr>
          <w:rFonts w:ascii="Verdana" w:hAnsi="Verdana" w:cstheme="minorHAnsi"/>
          <w:b/>
          <w:sz w:val="22"/>
          <w:lang w:val="zh-CN"/>
        </w:rPr>
      </w:pPr>
    </w:p>
    <w:p w14:paraId="03F407E4">
      <w:pPr>
        <w:pStyle w:val="27"/>
        <w:ind w:left="360"/>
        <w:jc w:val="both"/>
        <w:rPr>
          <w:rFonts w:ascii="Verdana" w:hAnsi="Verdana" w:cs="Arial"/>
          <w:sz w:val="22"/>
        </w:rPr>
      </w:pPr>
    </w:p>
    <w:p w14:paraId="70629C05">
      <w:pPr>
        <w:pStyle w:val="27"/>
        <w:ind w:left="360"/>
        <w:jc w:val="both"/>
        <w:rPr>
          <w:rFonts w:ascii="Verdana" w:hAnsi="Verdana" w:cs="Arial"/>
          <w:sz w:val="22"/>
          <w:lang w:val="zh-CN"/>
        </w:rPr>
      </w:pPr>
      <w:r>
        <w:rPr>
          <w:rFonts w:ascii="Verdana" w:hAnsi="Verdana" w:cs="Arial"/>
          <w:sz w:val="22"/>
          <w:lang w:val="zh-CN"/>
        </w:rPr>
        <w:t>Tratándose de Proponente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1208685A">
      <w:pPr>
        <w:pStyle w:val="27"/>
        <w:ind w:left="360"/>
        <w:jc w:val="both"/>
        <w:rPr>
          <w:rFonts w:ascii="Verdana" w:hAnsi="Verdana" w:cs="Arial"/>
          <w:sz w:val="22"/>
          <w:lang w:val="zh-CN"/>
        </w:rPr>
      </w:pPr>
    </w:p>
    <w:p w14:paraId="68BF1473">
      <w:pPr>
        <w:pStyle w:val="27"/>
        <w:ind w:left="360"/>
        <w:jc w:val="both"/>
        <w:rPr>
          <w:rFonts w:ascii="Verdana" w:hAnsi="Verdana"/>
          <w:sz w:val="28"/>
          <w:szCs w:val="24"/>
          <w:lang w:val="zh-CN"/>
        </w:rPr>
      </w:pPr>
      <w:r>
        <w:rPr>
          <w:rFonts w:ascii="Verdana" w:hAnsi="Verdana" w:cs="Arial"/>
          <w:sz w:val="22"/>
          <w:lang w:val="zh-CN"/>
        </w:rPr>
        <w:t>Para acreditar la calidad de Mipyme el Proponente entregará copia del certificado del Registro Único de Proponentes, el cual deberá encontrarse vigente y en firme al momento de su presentación.</w:t>
      </w:r>
    </w:p>
    <w:p w14:paraId="34222DFD">
      <w:pPr>
        <w:pStyle w:val="27"/>
        <w:ind w:left="284"/>
        <w:jc w:val="both"/>
        <w:rPr>
          <w:rFonts w:ascii="Verdana" w:hAnsi="Verdana" w:cs="Arial"/>
          <w:b/>
          <w:sz w:val="22"/>
          <w:lang w:val="zh-CN"/>
        </w:rPr>
      </w:pPr>
    </w:p>
    <w:p w14:paraId="69E3EB03">
      <w:pPr>
        <w:pStyle w:val="27"/>
        <w:numPr>
          <w:ilvl w:val="0"/>
          <w:numId w:val="3"/>
        </w:numPr>
        <w:ind w:left="284"/>
        <w:jc w:val="both"/>
        <w:rPr>
          <w:rFonts w:ascii="Verdana" w:hAnsi="Verdana" w:cs="Arial"/>
          <w:b/>
          <w:sz w:val="22"/>
          <w:lang w:val="zh-CN"/>
        </w:rPr>
      </w:pPr>
      <w:r>
        <w:rPr>
          <w:rFonts w:ascii="Verdana" w:hAnsi="Verdana" w:cs="Arial"/>
          <w:i/>
          <w:iCs/>
          <w:sz w:val="22"/>
          <w:lang w:val="zh-CN"/>
        </w:rPr>
        <w:t>Índices de capacidad financiera y organizacionales para los demás Proponentes</w:t>
      </w:r>
    </w:p>
    <w:p w14:paraId="731EEFC2">
      <w:pPr>
        <w:jc w:val="both"/>
        <w:rPr>
          <w:rFonts w:ascii="Verdana" w:hAnsi="Verdana" w:cs="Arial"/>
          <w:b/>
          <w:bCs/>
          <w:sz w:val="22"/>
          <w:lang w:val="zh-CN"/>
        </w:rPr>
      </w:pPr>
    </w:p>
    <w:p w14:paraId="4B906DAC">
      <w:pPr>
        <w:pStyle w:val="27"/>
        <w:ind w:left="284"/>
        <w:jc w:val="both"/>
        <w:rPr>
          <w:rFonts w:ascii="Verdana" w:hAnsi="Verdana" w:cs="Arial"/>
          <w:sz w:val="22"/>
          <w:lang w:val="zh-CN"/>
        </w:rPr>
      </w:pPr>
      <w:r>
        <w:rPr>
          <w:rFonts w:ascii="Verdana" w:hAnsi="Verdana" w:cs="Arial"/>
          <w:sz w:val="22"/>
          <w:lang w:val="zh-CN"/>
        </w:rPr>
        <w:t xml:space="preserve">Los Proponentes que </w:t>
      </w:r>
      <w:r>
        <w:rPr>
          <w:rFonts w:ascii="Verdana" w:hAnsi="Verdana" w:cs="Arial"/>
          <w:b/>
          <w:bCs/>
          <w:sz w:val="22"/>
          <w:u w:val="single"/>
          <w:lang w:val="zh-CN"/>
        </w:rPr>
        <w:t>NO</w:t>
      </w:r>
      <w:r>
        <w:rPr>
          <w:rFonts w:ascii="Verdana" w:hAnsi="Verdana" w:cs="Arial"/>
          <w:sz w:val="22"/>
          <w:lang w:val="zh-CN"/>
        </w:rPr>
        <w:t xml:space="preserve"> demuestren la condición de Mipyme de conformidad con lo en el artículo 2.2.1.2.4.2.4. del Decreto 1082 de 2015,</w:t>
      </w:r>
      <w:r>
        <w:rPr>
          <w:rFonts w:ascii="Verdana" w:hAnsi="Verdana" w:cs="Arial"/>
          <w:iCs/>
          <w:sz w:val="22"/>
          <w:lang w:val="es-ES"/>
        </w:rPr>
        <w:t xml:space="preserve"> en concordancia con el parágrafo del artículo 2.2.1.13.2.4 del Decreto 1074 de 2015 </w:t>
      </w:r>
      <w:r>
        <w:rPr>
          <w:rFonts w:ascii="Verdana" w:hAnsi="Verdana" w:cs="Arial"/>
          <w:sz w:val="22"/>
          <w:lang w:val="zh-CN"/>
        </w:rPr>
        <w:t>o las normas que los modifiquen, sustituyan o complementen, acreditarán los siguientes indicadores:</w:t>
      </w:r>
    </w:p>
    <w:p w14:paraId="7DB9E00F">
      <w:pPr>
        <w:pStyle w:val="27"/>
        <w:ind w:left="284"/>
        <w:jc w:val="both"/>
        <w:rPr>
          <w:rFonts w:ascii="Verdana" w:hAnsi="Verdana" w:cs="Arial"/>
          <w:b/>
          <w:bCs/>
          <w:sz w:val="22"/>
          <w:lang w:val="zh-CN"/>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2268"/>
      </w:tblGrid>
      <w:tr w14:paraId="30D6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2689" w:type="dxa"/>
            <w:shd w:val="clear" w:color="auto" w:fill="B8B7B7" w:themeFill="accent2" w:themeFillTint="66"/>
            <w:vAlign w:val="center"/>
          </w:tcPr>
          <w:p w14:paraId="67BBB0DF">
            <w:pPr>
              <w:ind w:left="174" w:hanging="174"/>
              <w:jc w:val="center"/>
              <w:rPr>
                <w:rFonts w:ascii="Verdana" w:hAnsi="Verdana" w:cs="Arial"/>
                <w:b/>
                <w:sz w:val="22"/>
              </w:rPr>
            </w:pPr>
            <w:r>
              <w:rPr>
                <w:rFonts w:ascii="Verdana" w:hAnsi="Verdana" w:cs="Arial"/>
                <w:b/>
                <w:sz w:val="22"/>
              </w:rPr>
              <w:t>Indicador</w:t>
            </w:r>
          </w:p>
        </w:tc>
        <w:tc>
          <w:tcPr>
            <w:tcW w:w="2268" w:type="dxa"/>
            <w:shd w:val="clear" w:color="auto" w:fill="B8B7B7" w:themeFill="accent2" w:themeFillTint="66"/>
            <w:vAlign w:val="center"/>
          </w:tcPr>
          <w:p w14:paraId="267D5299">
            <w:pPr>
              <w:ind w:left="174" w:hanging="174"/>
              <w:jc w:val="center"/>
              <w:rPr>
                <w:rFonts w:ascii="Verdana" w:hAnsi="Verdana" w:cs="Arial"/>
                <w:b/>
                <w:sz w:val="22"/>
              </w:rPr>
            </w:pPr>
            <w:r>
              <w:rPr>
                <w:rFonts w:ascii="Verdana" w:hAnsi="Verdana" w:cs="Arial"/>
                <w:b/>
                <w:sz w:val="22"/>
              </w:rPr>
              <w:t>Valor concertado</w:t>
            </w:r>
          </w:p>
        </w:tc>
      </w:tr>
      <w:tr w14:paraId="356E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2689" w:type="dxa"/>
            <w:vAlign w:val="center"/>
          </w:tcPr>
          <w:p w14:paraId="320034A2">
            <w:pPr>
              <w:jc w:val="center"/>
              <w:rPr>
                <w:rFonts w:ascii="Verdana" w:hAnsi="Verdana" w:cs="Arial"/>
                <w:sz w:val="20"/>
                <w:szCs w:val="20"/>
              </w:rPr>
            </w:pPr>
          </w:p>
          <w:p w14:paraId="4CEFF45B">
            <w:pPr>
              <w:jc w:val="center"/>
              <w:rPr>
                <w:rFonts w:ascii="Verdana" w:hAnsi="Verdana" w:cs="Arial"/>
                <w:sz w:val="20"/>
                <w:szCs w:val="20"/>
              </w:rPr>
            </w:pPr>
            <w:r>
              <w:rPr>
                <w:rFonts w:ascii="Verdana" w:hAnsi="Verdana" w:cs="Arial"/>
                <w:sz w:val="20"/>
                <w:szCs w:val="20"/>
              </w:rPr>
              <w:t>Índice de liquidez</w:t>
            </w:r>
          </w:p>
        </w:tc>
        <w:tc>
          <w:tcPr>
            <w:tcW w:w="2268" w:type="dxa"/>
            <w:vAlign w:val="center"/>
          </w:tcPr>
          <w:p w14:paraId="2C7E282B">
            <w:pPr>
              <w:spacing w:before="240"/>
              <w:jc w:val="center"/>
              <w:rPr>
                <w:rFonts w:ascii="Verdana" w:hAnsi="Verdana" w:cs="Arial"/>
                <w:bCs/>
                <w:sz w:val="20"/>
                <w:szCs w:val="20"/>
              </w:rPr>
            </w:pPr>
            <m:oMath>
              <m:r>
                <m:rPr>
                  <m:sty m:val="p"/>
                </m:rPr>
                <w:rPr>
                  <w:rFonts w:ascii="Cambria Math" w:hAnsi="Cambria Math" w:cs="Arial"/>
                  <w:sz w:val="20"/>
                  <w:szCs w:val="20"/>
                </w:rPr>
                <m:t>≥</m:t>
              </m:r>
            </m:oMath>
            <w:r>
              <w:rPr>
                <w:rFonts w:ascii="Verdana" w:hAnsi="Verdana" w:cs="Arial"/>
                <w:bCs/>
                <w:sz w:val="20"/>
                <w:szCs w:val="20"/>
              </w:rPr>
              <w:t>1,2</w:t>
            </w:r>
          </w:p>
          <w:p w14:paraId="7ED7BCAE">
            <w:pPr>
              <w:jc w:val="center"/>
              <w:rPr>
                <w:rFonts w:ascii="Verdana" w:hAnsi="Verdana" w:cs="Arial"/>
                <w:bCs/>
                <w:sz w:val="20"/>
                <w:szCs w:val="20"/>
              </w:rPr>
            </w:pPr>
          </w:p>
        </w:tc>
      </w:tr>
      <w:tr w14:paraId="6B15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2689" w:type="dxa"/>
            <w:vAlign w:val="center"/>
          </w:tcPr>
          <w:p w14:paraId="63D3F3E9">
            <w:pPr>
              <w:jc w:val="center"/>
              <w:rPr>
                <w:rFonts w:ascii="Verdana" w:hAnsi="Verdana" w:cs="Arial"/>
                <w:sz w:val="20"/>
                <w:szCs w:val="20"/>
              </w:rPr>
            </w:pPr>
          </w:p>
          <w:p w14:paraId="55410F01">
            <w:pPr>
              <w:jc w:val="center"/>
              <w:rPr>
                <w:rFonts w:ascii="Verdana" w:hAnsi="Verdana" w:cs="Arial"/>
                <w:sz w:val="20"/>
                <w:szCs w:val="20"/>
              </w:rPr>
            </w:pPr>
            <w:r>
              <w:rPr>
                <w:rFonts w:ascii="Verdana" w:hAnsi="Verdana" w:cs="Arial"/>
                <w:sz w:val="20"/>
                <w:szCs w:val="20"/>
              </w:rPr>
              <w:t>Índice de endeudamiento</w:t>
            </w:r>
          </w:p>
        </w:tc>
        <w:tc>
          <w:tcPr>
            <w:tcW w:w="2268" w:type="dxa"/>
            <w:vAlign w:val="center"/>
          </w:tcPr>
          <w:p w14:paraId="3BE97FA4">
            <w:pPr>
              <w:jc w:val="center"/>
              <w:rPr>
                <w:rFonts w:ascii="Verdana" w:hAnsi="Verdana" w:cs="Arial" w:eastAsiaTheme="minorEastAsia"/>
                <w:bCs/>
                <w:sz w:val="20"/>
                <w:szCs w:val="20"/>
              </w:rPr>
            </w:pPr>
          </w:p>
          <w:p w14:paraId="07D28E19">
            <w:pPr>
              <w:jc w:val="center"/>
              <w:rPr>
                <w:rFonts w:ascii="Verdana" w:hAnsi="Verdana" w:cs="Arial"/>
                <w:bCs/>
                <w:sz w:val="20"/>
                <w:szCs w:val="20"/>
              </w:rPr>
            </w:pPr>
            <m:oMathPara>
              <m:oMath>
                <m:r>
                  <m:rPr>
                    <m:sty m:val="p"/>
                  </m:rPr>
                  <w:rPr>
                    <w:rFonts w:ascii="Cambria Math" w:hAnsi="Cambria Math" w:cs="Arial"/>
                    <w:sz w:val="20"/>
                    <w:szCs w:val="20"/>
                  </w:rPr>
                  <m:t>≤ 0,70</m:t>
                </m:r>
              </m:oMath>
            </m:oMathPara>
          </w:p>
          <w:p w14:paraId="33A20E8E">
            <w:pPr>
              <w:jc w:val="center"/>
              <w:rPr>
                <w:rFonts w:ascii="Verdana" w:hAnsi="Verdana" w:cs="Arial"/>
                <w:bCs/>
                <w:sz w:val="20"/>
                <w:szCs w:val="20"/>
              </w:rPr>
            </w:pPr>
          </w:p>
        </w:tc>
      </w:tr>
      <w:tr w14:paraId="40E5E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2689" w:type="dxa"/>
            <w:vAlign w:val="center"/>
          </w:tcPr>
          <w:p w14:paraId="2410EF68">
            <w:pPr>
              <w:jc w:val="center"/>
              <w:rPr>
                <w:rFonts w:ascii="Verdana" w:hAnsi="Verdana" w:cs="Arial"/>
                <w:sz w:val="20"/>
                <w:szCs w:val="20"/>
              </w:rPr>
            </w:pPr>
          </w:p>
          <w:p w14:paraId="38BD2EB1">
            <w:pPr>
              <w:jc w:val="center"/>
              <w:rPr>
                <w:rFonts w:ascii="Verdana" w:hAnsi="Verdana" w:cs="Arial"/>
                <w:sz w:val="20"/>
                <w:szCs w:val="20"/>
              </w:rPr>
            </w:pPr>
            <w:r>
              <w:rPr>
                <w:rFonts w:ascii="Verdana" w:hAnsi="Verdana" w:cs="Arial"/>
                <w:sz w:val="20"/>
                <w:szCs w:val="20"/>
              </w:rPr>
              <w:t>Razón de cobertura de intereses</w:t>
            </w:r>
          </w:p>
        </w:tc>
        <w:tc>
          <w:tcPr>
            <w:tcW w:w="2268" w:type="dxa"/>
            <w:vAlign w:val="center"/>
          </w:tcPr>
          <w:p w14:paraId="4CB501D5">
            <w:pPr>
              <w:jc w:val="center"/>
              <w:rPr>
                <w:rFonts w:ascii="Verdana" w:hAnsi="Verdana" w:cs="Arial" w:eastAsiaTheme="minorEastAsia"/>
                <w:bCs/>
                <w:sz w:val="20"/>
                <w:szCs w:val="20"/>
              </w:rPr>
            </w:pPr>
          </w:p>
          <w:p w14:paraId="571437CC">
            <w:pPr>
              <w:jc w:val="center"/>
              <w:rPr>
                <w:rFonts w:ascii="Verdana" w:hAnsi="Verdana" w:cs="Arial" w:eastAsiaTheme="minorEastAsia"/>
                <w:bCs/>
                <w:sz w:val="20"/>
                <w:szCs w:val="20"/>
              </w:rPr>
            </w:pPr>
            <m:oMathPara>
              <m:oMath>
                <m:r>
                  <m:rPr>
                    <m:sty m:val="p"/>
                  </m:rPr>
                  <w:rPr>
                    <w:rFonts w:ascii="Cambria Math" w:hAnsi="Cambria Math" w:cs="Arial"/>
                    <w:sz w:val="20"/>
                    <w:szCs w:val="20"/>
                  </w:rPr>
                  <m:t>≥1</m:t>
                </m:r>
              </m:oMath>
            </m:oMathPara>
          </w:p>
          <w:p w14:paraId="3DAD6AC5">
            <w:pPr>
              <w:jc w:val="center"/>
              <w:rPr>
                <w:rFonts w:ascii="Verdana" w:hAnsi="Verdana" w:cs="Arial"/>
                <w:bCs/>
                <w:sz w:val="20"/>
                <w:szCs w:val="20"/>
              </w:rPr>
            </w:pPr>
          </w:p>
        </w:tc>
      </w:tr>
      <w:tr w14:paraId="448E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2689" w:type="dxa"/>
            <w:vAlign w:val="center"/>
          </w:tcPr>
          <w:p w14:paraId="4E4FE117">
            <w:pPr>
              <w:jc w:val="center"/>
              <w:rPr>
                <w:rFonts w:ascii="Verdana" w:hAnsi="Verdana" w:cs="Arial"/>
                <w:sz w:val="20"/>
                <w:szCs w:val="20"/>
              </w:rPr>
            </w:pPr>
          </w:p>
          <w:p w14:paraId="697B10AF">
            <w:pPr>
              <w:jc w:val="center"/>
              <w:rPr>
                <w:rFonts w:ascii="Verdana" w:hAnsi="Verdana" w:cs="Arial"/>
                <w:sz w:val="20"/>
                <w:szCs w:val="20"/>
              </w:rPr>
            </w:pPr>
            <w:r>
              <w:rPr>
                <w:rFonts w:ascii="Verdana" w:hAnsi="Verdana" w:cs="Arial"/>
                <w:sz w:val="20"/>
                <w:szCs w:val="20"/>
              </w:rPr>
              <w:t>Capital de trabajo</w:t>
            </w:r>
          </w:p>
        </w:tc>
        <w:tc>
          <w:tcPr>
            <w:tcW w:w="2268" w:type="dxa"/>
            <w:vAlign w:val="center"/>
          </w:tcPr>
          <w:p w14:paraId="313C07E8">
            <w:pPr>
              <w:jc w:val="center"/>
              <w:rPr>
                <w:rFonts w:ascii="Verdana" w:hAnsi="Verdana" w:cs="Arial"/>
                <w:bCs/>
                <w:sz w:val="20"/>
                <w:szCs w:val="20"/>
              </w:rPr>
            </w:pPr>
          </w:p>
          <w:p w14:paraId="3AC8CDDB">
            <w:pPr>
              <w:jc w:val="center"/>
              <w:rPr>
                <w:rFonts w:hint="default" w:ascii="Verdana" w:hAnsi="Verdana" w:cs="Arial"/>
                <w:bCs/>
                <w:sz w:val="20"/>
                <w:szCs w:val="20"/>
                <w:lang w:val="es-CO"/>
              </w:rPr>
            </w:pPr>
            <w:r>
              <w:rPr>
                <w:rFonts w:hint="default" w:ascii="Verdana" w:hAnsi="Verdana" w:cs="Arial"/>
                <w:bCs/>
                <w:sz w:val="20"/>
                <w:szCs w:val="20"/>
                <w:lang w:val="es-CO"/>
              </w:rPr>
              <w:t>$644.000.000,00</w:t>
            </w:r>
            <w:bookmarkStart w:id="0" w:name="_GoBack"/>
            <w:bookmarkEnd w:id="0"/>
          </w:p>
        </w:tc>
      </w:tr>
      <w:tr w14:paraId="6D93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2689" w:type="dxa"/>
            <w:vAlign w:val="center"/>
          </w:tcPr>
          <w:p w14:paraId="18F252F1">
            <w:pPr>
              <w:jc w:val="center"/>
              <w:rPr>
                <w:rFonts w:ascii="Verdana" w:hAnsi="Verdana" w:cs="Arial"/>
                <w:sz w:val="20"/>
                <w:szCs w:val="20"/>
              </w:rPr>
            </w:pPr>
          </w:p>
          <w:p w14:paraId="23649D93">
            <w:pPr>
              <w:jc w:val="center"/>
              <w:rPr>
                <w:rFonts w:ascii="Verdana" w:hAnsi="Verdana" w:cs="Arial"/>
                <w:sz w:val="20"/>
                <w:szCs w:val="20"/>
              </w:rPr>
            </w:pPr>
            <w:r>
              <w:rPr>
                <w:rFonts w:ascii="Verdana" w:hAnsi="Verdana" w:cs="Arial"/>
                <w:sz w:val="20"/>
                <w:szCs w:val="20"/>
              </w:rPr>
              <w:t>Rentabilidad del patrimonio</w:t>
            </w:r>
          </w:p>
        </w:tc>
        <w:tc>
          <w:tcPr>
            <w:tcW w:w="2268" w:type="dxa"/>
            <w:vAlign w:val="center"/>
          </w:tcPr>
          <w:p w14:paraId="65FDE8D1">
            <w:pPr>
              <w:jc w:val="center"/>
              <w:rPr>
                <w:rFonts w:ascii="Verdana" w:hAnsi="Verdana" w:cs="Arial" w:eastAsiaTheme="minorEastAsia"/>
                <w:bCs/>
                <w:sz w:val="20"/>
                <w:szCs w:val="20"/>
              </w:rPr>
            </w:pPr>
          </w:p>
          <w:p w14:paraId="58D980A7">
            <w:pPr>
              <w:jc w:val="center"/>
              <w:rPr>
                <w:rFonts w:ascii="Verdana" w:hAnsi="Verdana" w:cs="Arial" w:eastAsiaTheme="minorEastAsia"/>
                <w:bCs/>
                <w:sz w:val="20"/>
                <w:szCs w:val="20"/>
              </w:rPr>
            </w:pPr>
            <m:oMathPara>
              <m:oMath>
                <m:r>
                  <m:rPr>
                    <m:sty m:val="p"/>
                  </m:rPr>
                  <w:rPr>
                    <w:rFonts w:ascii="Cambria Math" w:hAnsi="Cambria Math" w:cs="Arial"/>
                    <w:sz w:val="20"/>
                    <w:szCs w:val="20"/>
                  </w:rPr>
                  <m:t>≥0</m:t>
                </m:r>
                <m:r>
                  <m:rPr/>
                  <w:rPr>
                    <w:rFonts w:ascii="Cambria Math" w:hAnsi="Cambria Math" w:cs="Arial" w:eastAsiaTheme="minorEastAsia"/>
                    <w:sz w:val="20"/>
                    <w:szCs w:val="20"/>
                  </w:rPr>
                  <m:t>,04</m:t>
                </m:r>
              </m:oMath>
            </m:oMathPara>
          </w:p>
          <w:p w14:paraId="2B2961A2">
            <w:pPr>
              <w:jc w:val="center"/>
              <w:rPr>
                <w:rFonts w:ascii="Verdana" w:hAnsi="Verdana" w:cs="Arial"/>
                <w:bCs/>
                <w:sz w:val="20"/>
                <w:szCs w:val="20"/>
              </w:rPr>
            </w:pPr>
          </w:p>
        </w:tc>
      </w:tr>
      <w:tr w14:paraId="22085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2689" w:type="dxa"/>
            <w:vAlign w:val="center"/>
          </w:tcPr>
          <w:p w14:paraId="46AF814E">
            <w:pPr>
              <w:jc w:val="center"/>
              <w:rPr>
                <w:rFonts w:ascii="Verdana" w:hAnsi="Verdana" w:cs="Arial"/>
                <w:sz w:val="20"/>
                <w:szCs w:val="20"/>
              </w:rPr>
            </w:pPr>
          </w:p>
          <w:p w14:paraId="5600612E">
            <w:pPr>
              <w:jc w:val="center"/>
              <w:rPr>
                <w:rFonts w:ascii="Verdana" w:hAnsi="Verdana" w:cs="Arial"/>
                <w:sz w:val="20"/>
                <w:szCs w:val="20"/>
              </w:rPr>
            </w:pPr>
            <w:r>
              <w:rPr>
                <w:rFonts w:ascii="Verdana" w:hAnsi="Verdana" w:cs="Arial"/>
                <w:sz w:val="20"/>
                <w:szCs w:val="20"/>
              </w:rPr>
              <w:t>Rentabilidad del activo</w:t>
            </w:r>
          </w:p>
        </w:tc>
        <w:tc>
          <w:tcPr>
            <w:tcW w:w="2268" w:type="dxa"/>
            <w:vAlign w:val="center"/>
          </w:tcPr>
          <w:p w14:paraId="679D055D">
            <w:pPr>
              <w:jc w:val="center"/>
              <w:rPr>
                <w:rFonts w:ascii="Verdana" w:hAnsi="Verdana" w:cs="Arial" w:eastAsiaTheme="minorEastAsia"/>
                <w:bCs/>
                <w:sz w:val="20"/>
                <w:szCs w:val="20"/>
              </w:rPr>
            </w:pPr>
          </w:p>
          <w:p w14:paraId="0DE3B0F5">
            <w:pPr>
              <w:jc w:val="center"/>
              <w:rPr>
                <w:rFonts w:ascii="Verdana" w:hAnsi="Verdana" w:cs="Arial" w:eastAsiaTheme="minorEastAsia"/>
                <w:bCs/>
                <w:sz w:val="20"/>
                <w:szCs w:val="20"/>
              </w:rPr>
            </w:pPr>
            <m:oMathPara>
              <m:oMath>
                <m:r>
                  <m:rPr>
                    <m:sty m:val="p"/>
                  </m:rPr>
                  <w:rPr>
                    <w:rFonts w:ascii="Cambria Math" w:hAnsi="Cambria Math" w:cs="Arial"/>
                    <w:sz w:val="20"/>
                    <w:szCs w:val="20"/>
                  </w:rPr>
                  <m:t>≥0,02</m:t>
                </m:r>
              </m:oMath>
            </m:oMathPara>
          </w:p>
          <w:p w14:paraId="73085741">
            <w:pPr>
              <w:jc w:val="center"/>
              <w:rPr>
                <w:rFonts w:ascii="Verdana" w:hAnsi="Verdana" w:cs="Arial"/>
                <w:bCs/>
                <w:sz w:val="20"/>
                <w:szCs w:val="20"/>
              </w:rPr>
            </w:pPr>
          </w:p>
        </w:tc>
      </w:tr>
    </w:tbl>
    <w:p w14:paraId="0E9E41D8">
      <w:pPr>
        <w:jc w:val="both"/>
        <w:rPr>
          <w:rFonts w:ascii="Verdana" w:hAnsi="Verdana" w:cs="Arial"/>
          <w:sz w:val="22"/>
          <w:lang w:val="zh-CN"/>
        </w:rPr>
      </w:pPr>
    </w:p>
    <w:p w14:paraId="4CDF91A2">
      <w:pPr>
        <w:jc w:val="both"/>
        <w:rPr>
          <w:rFonts w:ascii="Verdana" w:hAnsi="Verdana" w:cs="Arial"/>
          <w:sz w:val="22"/>
          <w:lang w:val="zh-CN"/>
        </w:rPr>
      </w:pPr>
    </w:p>
    <w:p w14:paraId="65997F27">
      <w:pPr>
        <w:jc w:val="both"/>
        <w:rPr>
          <w:rFonts w:ascii="Verdana" w:hAnsi="Verdana"/>
          <w:sz w:val="28"/>
          <w:szCs w:val="24"/>
        </w:rPr>
      </w:pPr>
      <w:r>
        <w:rPr>
          <w:rFonts w:ascii="Verdana" w:hAnsi="Verdana" w:cs="Arial"/>
          <w:sz w:val="22"/>
          <w:lang w:val="zh-CN"/>
        </w:rPr>
        <w:t xml:space="preserve">Los indicadores definidos en la presente matriz deben ser usados por las Entidades en la estructuración de los Documentos del Proceso de Contratación de selección abreviada de menor cuantía para obra pública para infraestructura social. </w:t>
      </w:r>
    </w:p>
    <w:sectPr>
      <w:headerReference r:id="rId6" w:type="first"/>
      <w:footerReference r:id="rId8" w:type="first"/>
      <w:headerReference r:id="rId5" w:type="default"/>
      <w:footerReference r:id="rId7" w:type="default"/>
      <w:pgSz w:w="12240" w:h="15840"/>
      <w:pgMar w:top="1418" w:right="1701" w:bottom="1418" w:left="1701" w:header="851" w:footer="851"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94EA1">
    <w:pPr>
      <w:pStyle w:val="14"/>
      <w:jc w:val="right"/>
    </w:pPr>
  </w:p>
  <w:p w14:paraId="68DA6887">
    <w:pPr>
      <w:pStyle w:val="14"/>
      <w:jc w:val="right"/>
      <w:rPr>
        <w:rFonts w:ascii="Verdana" w:hAnsi="Verdana"/>
        <w:sz w:val="20"/>
        <w:szCs w:val="18"/>
      </w:rPr>
    </w:pPr>
    <w:r>
      <w:rPr>
        <w:rFonts w:ascii="Verdana" w:hAnsi="Verdana"/>
        <w:sz w:val="20"/>
        <w:szCs w:val="18"/>
      </w:rPr>
      <w:t>Versión: 1 de 21 de agosto de 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81827">
    <w:pPr>
      <w:pStyle w:val="14"/>
      <w:jc w:val="center"/>
    </w:pPr>
    <w:r>
      <w:rPr>
        <w:rFonts w:ascii="Arial Narrow" w:hAnsi="Arial Narrow"/>
        <w:sz w:val="16"/>
        <w:szCs w:val="18"/>
        <w:lang w:val="es-CO" w:eastAsia="es-CO"/>
      </w:rPr>
      <w:drawing>
        <wp:inline distT="0" distB="0" distL="0" distR="0">
          <wp:extent cx="1562100" cy="365760"/>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a:noFill/>
                  <a:ln>
                    <a:noFill/>
                  </a:ln>
                </pic:spPr>
              </pic:pic>
            </a:graphicData>
          </a:graphic>
        </wp:inline>
      </w:drawing>
    </w:r>
  </w:p>
  <w:p w14:paraId="1B935EC5">
    <w:pPr>
      <w:pStyle w:val="14"/>
    </w:pPr>
    <w:r>
      <w:rPr>
        <w:rFonts w:ascii="Arial Narrow" w:hAnsi="Arial Narrow"/>
        <w:sz w:val="16"/>
        <w:szCs w:val="18"/>
        <w:lang w:val="es-CO" w:eastAsia="es-CO"/>
      </w:rPr>
      <w:drawing>
        <wp:inline distT="0" distB="0" distL="0" distR="0">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2" cstate="email"/>
                  <a:srcRect/>
                  <a:stretch>
                    <a:fillRect/>
                  </a:stretch>
                </pic:blipFill>
                <pic:spPr>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8035F">
    <w:pPr>
      <w:tabs>
        <w:tab w:val="center" w:pos="4419"/>
        <w:tab w:val="right" w:pos="8838"/>
      </w:tabs>
      <w:jc w:val="center"/>
      <w:rPr>
        <w:rFonts w:ascii="Verdana" w:hAnsi="Verdana" w:cs="Arial"/>
        <w:b/>
        <w:sz w:val="22"/>
        <w:lang w:val="es-CO"/>
      </w:rPr>
    </w:pPr>
    <w:r>
      <w:rPr>
        <w:rFonts w:ascii="Verdana" w:hAnsi="Verdana" w:cs="Arial"/>
        <w:b/>
        <w:sz w:val="22"/>
        <w:lang w:val="es-CO"/>
      </w:rPr>
      <w:t>MATRIZ 2 – INDICADORES FINANCIEROS Y ORGANIZACIONALES</w:t>
    </w:r>
  </w:p>
  <w:p w14:paraId="6F75C11F">
    <w:pPr>
      <w:jc w:val="center"/>
      <w:rPr>
        <w:rFonts w:ascii="Verdana" w:hAnsi="Verdana"/>
        <w:color w:val="4E4D4D" w:themeColor="background2"/>
        <w:sz w:val="36"/>
        <w:szCs w:val="32"/>
        <w14:textFill>
          <w14:solidFill>
            <w14:schemeClr w14:val="bg2"/>
          </w14:solidFill>
        </w14:textFill>
      </w:rPr>
    </w:pPr>
    <w:r>
      <w:rPr>
        <w:rFonts w:ascii="Verdana" w:hAnsi="Verdana" w:cs="Arial"/>
        <w:b/>
        <w:bCs/>
        <w:sz w:val="22"/>
        <w:lang w:val="es-CO"/>
      </w:rPr>
      <w:t>SELECCIÓN ABREVIADA DE OBRA PÚBLICA DE INFRAESTRUCTURA SOCIAL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4FD42">
    <w:pPr>
      <w:pStyle w:val="12"/>
      <w:jc w:val="right"/>
      <w:rPr>
        <w:b/>
      </w:rPr>
    </w:pPr>
    <w:r>
      <w:rPr>
        <w:lang w:val="es-CO" w:eastAsia="es-CO"/>
      </w:rPr>
      <w:drawing>
        <wp:inline distT="0" distB="0" distL="0" distR="0">
          <wp:extent cx="1500505" cy="616585"/>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00803" cy="616644"/>
                  </a:xfrm>
                  <a:prstGeom prst="rect">
                    <a:avLst/>
                  </a:prstGeom>
                  <a:ln>
                    <a:noFill/>
                  </a:ln>
                </pic:spPr>
              </pic:pic>
            </a:graphicData>
          </a:graphic>
        </wp:inline>
      </w:drawing>
    </w:r>
  </w:p>
  <w:p w14:paraId="1C447285">
    <w:pPr>
      <w:pStyle w:val="2"/>
      <w:rPr>
        <w:szCs w:val="24"/>
      </w:rPr>
    </w:pPr>
    <w:r>
      <w:rPr>
        <w:szCs w:val="24"/>
      </w:rPr>
      <w:t>TÍTULO DEL DOCUMENTO</w:t>
    </w:r>
  </w:p>
  <w:p w14:paraId="08EA0BDF">
    <w:pPr>
      <w:rPr>
        <w:color w:val="4E4D4D" w:themeColor="background2"/>
        <w14:textFill>
          <w14:solidFill>
            <w14:schemeClr w14:val="bg2"/>
          </w14:solidFill>
        </w14:textFill>
      </w:rPr>
    </w:pPr>
    <w:r>
      <w:rPr>
        <w:color w:val="4E4D4D" w:themeColor="background2"/>
        <w14:textFill>
          <w14:solidFill>
            <w14:schemeClr w14:val="bg2"/>
          </w14:solidFill>
        </w14:textFill>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263E1E"/>
    <w:multiLevelType w:val="multilevel"/>
    <w:tmpl w:val="35263E1E"/>
    <w:lvl w:ilvl="0" w:tentative="0">
      <w:start w:val="1"/>
      <w:numFmt w:val="decimal"/>
      <w:lvlText w:val="%1."/>
      <w:lvlJc w:val="left"/>
      <w:pPr>
        <w:ind w:left="1080" w:hanging="360"/>
      </w:pPr>
      <w:rPr>
        <w:rFonts w:hint="default"/>
        <w:b/>
        <w:i w:val="0"/>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39BF01E2"/>
    <w:multiLevelType w:val="multilevel"/>
    <w:tmpl w:val="39BF01E2"/>
    <w:lvl w:ilvl="0" w:tentative="0">
      <w:start w:val="1"/>
      <w:numFmt w:val="decimal"/>
      <w:pStyle w:val="16"/>
      <w:lvlText w:val="1.%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2">
    <w:nsid w:val="6CCA53A7"/>
    <w:multiLevelType w:val="multilevel"/>
    <w:tmpl w:val="6CCA53A7"/>
    <w:lvl w:ilvl="0" w:tentative="0">
      <w:start w:val="1"/>
      <w:numFmt w:val="decimal"/>
      <w:pStyle w:val="3"/>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11ECA"/>
    <w:rsid w:val="00023FF9"/>
    <w:rsid w:val="00033CF7"/>
    <w:rsid w:val="0005317A"/>
    <w:rsid w:val="00054DAD"/>
    <w:rsid w:val="0006094B"/>
    <w:rsid w:val="000746B7"/>
    <w:rsid w:val="00074C92"/>
    <w:rsid w:val="00091E6B"/>
    <w:rsid w:val="00095309"/>
    <w:rsid w:val="000A1313"/>
    <w:rsid w:val="000A791C"/>
    <w:rsid w:val="000D7CD2"/>
    <w:rsid w:val="00127B3A"/>
    <w:rsid w:val="001323BD"/>
    <w:rsid w:val="00140FEA"/>
    <w:rsid w:val="00144E73"/>
    <w:rsid w:val="0014591D"/>
    <w:rsid w:val="001526BE"/>
    <w:rsid w:val="00154ECB"/>
    <w:rsid w:val="00156F98"/>
    <w:rsid w:val="001766D9"/>
    <w:rsid w:val="00181D75"/>
    <w:rsid w:val="0019083A"/>
    <w:rsid w:val="001A192D"/>
    <w:rsid w:val="001A1B68"/>
    <w:rsid w:val="001A50C4"/>
    <w:rsid w:val="001A5E22"/>
    <w:rsid w:val="001B3AFB"/>
    <w:rsid w:val="001C6359"/>
    <w:rsid w:val="001C75B3"/>
    <w:rsid w:val="001D32CE"/>
    <w:rsid w:val="001D4A52"/>
    <w:rsid w:val="001D7054"/>
    <w:rsid w:val="001D7612"/>
    <w:rsid w:val="001F7199"/>
    <w:rsid w:val="00226CE0"/>
    <w:rsid w:val="002535A9"/>
    <w:rsid w:val="0025591B"/>
    <w:rsid w:val="00262D44"/>
    <w:rsid w:val="00286001"/>
    <w:rsid w:val="00286769"/>
    <w:rsid w:val="002B0D47"/>
    <w:rsid w:val="002F4E41"/>
    <w:rsid w:val="00305CEF"/>
    <w:rsid w:val="0034024E"/>
    <w:rsid w:val="00345FF9"/>
    <w:rsid w:val="00356F5F"/>
    <w:rsid w:val="00390822"/>
    <w:rsid w:val="003A3C76"/>
    <w:rsid w:val="003A68D7"/>
    <w:rsid w:val="003B1AD5"/>
    <w:rsid w:val="003E173E"/>
    <w:rsid w:val="003F60B9"/>
    <w:rsid w:val="00424C7D"/>
    <w:rsid w:val="0043688A"/>
    <w:rsid w:val="00455CF9"/>
    <w:rsid w:val="004611BA"/>
    <w:rsid w:val="004664E8"/>
    <w:rsid w:val="00470102"/>
    <w:rsid w:val="00474EDE"/>
    <w:rsid w:val="00486882"/>
    <w:rsid w:val="00491E1D"/>
    <w:rsid w:val="00492488"/>
    <w:rsid w:val="00494462"/>
    <w:rsid w:val="004A00F0"/>
    <w:rsid w:val="004B1B0F"/>
    <w:rsid w:val="004C6AF8"/>
    <w:rsid w:val="004E48B2"/>
    <w:rsid w:val="004F2C35"/>
    <w:rsid w:val="00513FB5"/>
    <w:rsid w:val="005225E0"/>
    <w:rsid w:val="0052328B"/>
    <w:rsid w:val="00527037"/>
    <w:rsid w:val="005800B3"/>
    <w:rsid w:val="0059060F"/>
    <w:rsid w:val="00590E86"/>
    <w:rsid w:val="005948BE"/>
    <w:rsid w:val="005A7B10"/>
    <w:rsid w:val="005F3490"/>
    <w:rsid w:val="00614342"/>
    <w:rsid w:val="006319DF"/>
    <w:rsid w:val="0063607A"/>
    <w:rsid w:val="006516A1"/>
    <w:rsid w:val="0065617D"/>
    <w:rsid w:val="00660CAB"/>
    <w:rsid w:val="0066581D"/>
    <w:rsid w:val="006678B8"/>
    <w:rsid w:val="006759E7"/>
    <w:rsid w:val="00693CD6"/>
    <w:rsid w:val="006A63AE"/>
    <w:rsid w:val="006C62C9"/>
    <w:rsid w:val="006D761F"/>
    <w:rsid w:val="006F41FD"/>
    <w:rsid w:val="007001BB"/>
    <w:rsid w:val="007037FF"/>
    <w:rsid w:val="00703A6F"/>
    <w:rsid w:val="007212F3"/>
    <w:rsid w:val="0072613C"/>
    <w:rsid w:val="00744938"/>
    <w:rsid w:val="00751787"/>
    <w:rsid w:val="007B5034"/>
    <w:rsid w:val="007B6AF2"/>
    <w:rsid w:val="007C1BAD"/>
    <w:rsid w:val="007D4B79"/>
    <w:rsid w:val="00801E46"/>
    <w:rsid w:val="00822BF4"/>
    <w:rsid w:val="008230BE"/>
    <w:rsid w:val="0083747A"/>
    <w:rsid w:val="00852DE5"/>
    <w:rsid w:val="008715C0"/>
    <w:rsid w:val="00876D47"/>
    <w:rsid w:val="00883AE3"/>
    <w:rsid w:val="00884F1B"/>
    <w:rsid w:val="008976DE"/>
    <w:rsid w:val="008A1A6F"/>
    <w:rsid w:val="008A71EC"/>
    <w:rsid w:val="008B1187"/>
    <w:rsid w:val="008B3011"/>
    <w:rsid w:val="008E7D95"/>
    <w:rsid w:val="009000D2"/>
    <w:rsid w:val="009233D7"/>
    <w:rsid w:val="009419F1"/>
    <w:rsid w:val="009550E5"/>
    <w:rsid w:val="00981C87"/>
    <w:rsid w:val="00985E2B"/>
    <w:rsid w:val="009A67BC"/>
    <w:rsid w:val="009B26E4"/>
    <w:rsid w:val="009E0FCE"/>
    <w:rsid w:val="009F1D96"/>
    <w:rsid w:val="00A06874"/>
    <w:rsid w:val="00A15212"/>
    <w:rsid w:val="00A27AAE"/>
    <w:rsid w:val="00A34836"/>
    <w:rsid w:val="00A50157"/>
    <w:rsid w:val="00A54A2C"/>
    <w:rsid w:val="00A86F8C"/>
    <w:rsid w:val="00A87913"/>
    <w:rsid w:val="00AA248B"/>
    <w:rsid w:val="00AB2E92"/>
    <w:rsid w:val="00AB5815"/>
    <w:rsid w:val="00AC0C13"/>
    <w:rsid w:val="00AE0006"/>
    <w:rsid w:val="00B07221"/>
    <w:rsid w:val="00B11CD8"/>
    <w:rsid w:val="00B30435"/>
    <w:rsid w:val="00B30759"/>
    <w:rsid w:val="00B9079B"/>
    <w:rsid w:val="00BB34EC"/>
    <w:rsid w:val="00BD028F"/>
    <w:rsid w:val="00BF2864"/>
    <w:rsid w:val="00C15C45"/>
    <w:rsid w:val="00C2579D"/>
    <w:rsid w:val="00C2591F"/>
    <w:rsid w:val="00C50D27"/>
    <w:rsid w:val="00C53A0D"/>
    <w:rsid w:val="00C572FD"/>
    <w:rsid w:val="00C81483"/>
    <w:rsid w:val="00C82CFF"/>
    <w:rsid w:val="00C85DED"/>
    <w:rsid w:val="00CC1CC4"/>
    <w:rsid w:val="00D1368C"/>
    <w:rsid w:val="00D459E6"/>
    <w:rsid w:val="00D46BA6"/>
    <w:rsid w:val="00D67F6F"/>
    <w:rsid w:val="00D71273"/>
    <w:rsid w:val="00D723BC"/>
    <w:rsid w:val="00DA16FE"/>
    <w:rsid w:val="00DA4E92"/>
    <w:rsid w:val="00DD02BC"/>
    <w:rsid w:val="00DE145A"/>
    <w:rsid w:val="00E0183E"/>
    <w:rsid w:val="00E2291A"/>
    <w:rsid w:val="00E236E8"/>
    <w:rsid w:val="00E425D0"/>
    <w:rsid w:val="00E5185D"/>
    <w:rsid w:val="00E617E9"/>
    <w:rsid w:val="00E61F07"/>
    <w:rsid w:val="00E66CC3"/>
    <w:rsid w:val="00E81526"/>
    <w:rsid w:val="00EB47F3"/>
    <w:rsid w:val="00EE2FF7"/>
    <w:rsid w:val="00EF5846"/>
    <w:rsid w:val="00F05442"/>
    <w:rsid w:val="00F26E36"/>
    <w:rsid w:val="00F311BA"/>
    <w:rsid w:val="00F3559B"/>
    <w:rsid w:val="00F4666A"/>
    <w:rsid w:val="00F532BF"/>
    <w:rsid w:val="00F53DA5"/>
    <w:rsid w:val="00F56D6D"/>
    <w:rsid w:val="00F60309"/>
    <w:rsid w:val="00FB07EE"/>
    <w:rsid w:val="00FB35FF"/>
    <w:rsid w:val="2300813C"/>
    <w:rsid w:val="2EF0600D"/>
    <w:rsid w:val="73CD3FE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heme="minorHAnsi" w:hAnsiTheme="minorHAnsi" w:eastAsiaTheme="minorHAnsi" w:cstheme="minorBidi"/>
      <w:sz w:val="24"/>
      <w:szCs w:val="22"/>
      <w:lang w:val="es-MX" w:eastAsia="en-US" w:bidi="ar-SA"/>
    </w:rPr>
  </w:style>
  <w:style w:type="paragraph" w:styleId="2">
    <w:name w:val="heading 1"/>
    <w:basedOn w:val="1"/>
    <w:next w:val="1"/>
    <w:link w:val="22"/>
    <w:qFormat/>
    <w:uiPriority w:val="9"/>
    <w:pPr>
      <w:keepNext/>
      <w:keepLines/>
      <w:spacing w:before="480"/>
      <w:jc w:val="both"/>
      <w:outlineLvl w:val="0"/>
    </w:pPr>
    <w:rPr>
      <w:rFonts w:asciiTheme="majorHAnsi" w:hAnsiTheme="majorHAnsi" w:eastAsiaTheme="majorEastAsia" w:cstheme="majorBidi"/>
      <w:b/>
      <w:bCs/>
      <w:color w:val="4E4D4D" w:themeColor="background2"/>
      <w:szCs w:val="28"/>
      <w14:textFill>
        <w14:solidFill>
          <w14:schemeClr w14:val="bg2"/>
        </w14:solidFill>
      </w14:textFill>
    </w:rPr>
  </w:style>
  <w:style w:type="paragraph" w:styleId="3">
    <w:name w:val="heading 2"/>
    <w:basedOn w:val="1"/>
    <w:next w:val="1"/>
    <w:link w:val="23"/>
    <w:unhideWhenUsed/>
    <w:qFormat/>
    <w:uiPriority w:val="9"/>
    <w:pPr>
      <w:keepNext/>
      <w:keepLines/>
      <w:numPr>
        <w:ilvl w:val="0"/>
        <w:numId w:val="1"/>
      </w:numPr>
      <w:spacing w:before="200"/>
      <w:outlineLvl w:val="1"/>
    </w:pPr>
    <w:rPr>
      <w:rFonts w:asciiTheme="majorHAnsi" w:hAnsiTheme="majorHAnsi" w:eastAsiaTheme="majorEastAsia" w:cstheme="majorBidi"/>
      <w:b/>
      <w:bCs/>
      <w:color w:val="4E4D4D" w:themeColor="background2"/>
      <w:szCs w:val="26"/>
      <w14:textFill>
        <w14:solidFill>
          <w14:schemeClr w14:val="bg2"/>
        </w14:solidFill>
      </w14:textFill>
    </w:rPr>
  </w:style>
  <w:style w:type="paragraph" w:styleId="4">
    <w:name w:val="heading 3"/>
    <w:basedOn w:val="1"/>
    <w:next w:val="1"/>
    <w:link w:val="25"/>
    <w:unhideWhenUsed/>
    <w:qFormat/>
    <w:uiPriority w:val="9"/>
    <w:pPr>
      <w:keepNext/>
      <w:keepLines/>
      <w:spacing w:before="200"/>
      <w:outlineLvl w:val="2"/>
    </w:pPr>
    <w:rPr>
      <w:rFonts w:asciiTheme="majorHAnsi" w:hAnsiTheme="majorHAnsi" w:eastAsiaTheme="majorEastAsia" w:cstheme="majorBidi"/>
      <w:b/>
      <w:bCs/>
      <w:color w:val="1A1818" w:themeColor="accent1"/>
      <w14:textFill>
        <w14:solidFill>
          <w14:schemeClr w14:val="accent1"/>
        </w14:solidFill>
      </w14:textFill>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annotation reference"/>
    <w:basedOn w:val="5"/>
    <w:semiHidden/>
    <w:unhideWhenUsed/>
    <w:qFormat/>
    <w:uiPriority w:val="99"/>
    <w:rPr>
      <w:sz w:val="16"/>
      <w:szCs w:val="16"/>
    </w:rPr>
  </w:style>
  <w:style w:type="character" w:styleId="8">
    <w:name w:val="Hyperlink"/>
    <w:basedOn w:val="5"/>
    <w:unhideWhenUsed/>
    <w:qFormat/>
    <w:uiPriority w:val="99"/>
    <w:rPr>
      <w:color w:val="0078AE" w:themeColor="hyperlink"/>
      <w:u w:val="single"/>
      <w14:textFill>
        <w14:solidFill>
          <w14:schemeClr w14:val="hlink"/>
        </w14:solidFill>
      </w14:textFill>
    </w:rPr>
  </w:style>
  <w:style w:type="paragraph" w:styleId="9">
    <w:name w:val="annotation subject"/>
    <w:basedOn w:val="10"/>
    <w:next w:val="10"/>
    <w:link w:val="33"/>
    <w:semiHidden/>
    <w:unhideWhenUsed/>
    <w:uiPriority w:val="99"/>
    <w:rPr>
      <w:b/>
      <w:bCs/>
    </w:rPr>
  </w:style>
  <w:style w:type="paragraph" w:styleId="10">
    <w:name w:val="annotation text"/>
    <w:basedOn w:val="1"/>
    <w:link w:val="32"/>
    <w:unhideWhenUsed/>
    <w:qFormat/>
    <w:uiPriority w:val="99"/>
    <w:rPr>
      <w:sz w:val="20"/>
      <w:szCs w:val="20"/>
    </w:rPr>
  </w:style>
  <w:style w:type="paragraph" w:styleId="11">
    <w:name w:val="Balloon Text"/>
    <w:basedOn w:val="1"/>
    <w:link w:val="20"/>
    <w:semiHidden/>
    <w:unhideWhenUsed/>
    <w:qFormat/>
    <w:uiPriority w:val="99"/>
    <w:rPr>
      <w:rFonts w:ascii="Tahoma" w:hAnsi="Tahoma" w:cs="Tahoma"/>
      <w:sz w:val="16"/>
      <w:szCs w:val="16"/>
    </w:rPr>
  </w:style>
  <w:style w:type="paragraph" w:styleId="12">
    <w:name w:val="header"/>
    <w:basedOn w:val="1"/>
    <w:link w:val="18"/>
    <w:unhideWhenUsed/>
    <w:qFormat/>
    <w:uiPriority w:val="99"/>
    <w:pPr>
      <w:tabs>
        <w:tab w:val="center" w:pos="4419"/>
        <w:tab w:val="right" w:pos="8838"/>
      </w:tabs>
    </w:pPr>
  </w:style>
  <w:style w:type="paragraph" w:styleId="13">
    <w:name w:val="Normal (Web)"/>
    <w:basedOn w:val="1"/>
    <w:semiHidden/>
    <w:unhideWhenUsed/>
    <w:qFormat/>
    <w:uiPriority w:val="99"/>
    <w:pPr>
      <w:spacing w:before="100" w:beforeAutospacing="1" w:after="100" w:afterAutospacing="1"/>
    </w:pPr>
    <w:rPr>
      <w:rFonts w:ascii="Times New Roman" w:hAnsi="Times New Roman" w:eastAsia="Times New Roman" w:cs="Times New Roman"/>
      <w:szCs w:val="24"/>
      <w:lang w:eastAsia="es-CO"/>
    </w:rPr>
  </w:style>
  <w:style w:type="paragraph" w:styleId="14">
    <w:name w:val="footer"/>
    <w:basedOn w:val="1"/>
    <w:link w:val="19"/>
    <w:unhideWhenUsed/>
    <w:qFormat/>
    <w:uiPriority w:val="99"/>
    <w:pPr>
      <w:tabs>
        <w:tab w:val="center" w:pos="4419"/>
        <w:tab w:val="right" w:pos="8838"/>
      </w:tabs>
    </w:pPr>
  </w:style>
  <w:style w:type="paragraph" w:styleId="15">
    <w:name w:val="Subtitle"/>
    <w:basedOn w:val="1"/>
    <w:next w:val="1"/>
    <w:link w:val="26"/>
    <w:qFormat/>
    <w:uiPriority w:val="11"/>
    <w:rPr>
      <w:rFonts w:asciiTheme="majorHAnsi" w:hAnsiTheme="majorHAnsi" w:eastAsiaTheme="majorEastAsia" w:cstheme="majorBidi"/>
      <w:i/>
      <w:iCs/>
      <w:color w:val="1A1818" w:themeColor="accent1"/>
      <w:spacing w:val="15"/>
      <w:szCs w:val="24"/>
      <w14:textFill>
        <w14:solidFill>
          <w14:schemeClr w14:val="accent1"/>
        </w14:solidFill>
      </w14:textFill>
    </w:rPr>
  </w:style>
  <w:style w:type="paragraph" w:styleId="16">
    <w:name w:val="Title"/>
    <w:basedOn w:val="1"/>
    <w:next w:val="1"/>
    <w:link w:val="24"/>
    <w:qFormat/>
    <w:uiPriority w:val="10"/>
    <w:pPr>
      <w:numPr>
        <w:ilvl w:val="0"/>
        <w:numId w:val="2"/>
      </w:numPr>
      <w:spacing w:after="300"/>
      <w:contextualSpacing/>
    </w:pPr>
    <w:rPr>
      <w:rFonts w:asciiTheme="majorHAnsi" w:hAnsiTheme="majorHAnsi" w:eastAsiaTheme="majorEastAsia" w:cstheme="majorBidi"/>
      <w:color w:val="4E4D4D" w:themeColor="background2"/>
      <w:spacing w:val="5"/>
      <w:kern w:val="28"/>
      <w:szCs w:val="52"/>
      <w14:textFill>
        <w14:solidFill>
          <w14:schemeClr w14:val="bg2"/>
        </w14:solidFill>
      </w14:textFill>
    </w:rPr>
  </w:style>
  <w:style w:type="table" w:styleId="17">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Encabezado Car"/>
    <w:basedOn w:val="5"/>
    <w:link w:val="12"/>
    <w:qFormat/>
    <w:uiPriority w:val="99"/>
  </w:style>
  <w:style w:type="character" w:customStyle="1" w:styleId="19">
    <w:name w:val="Pie de página Car"/>
    <w:basedOn w:val="5"/>
    <w:link w:val="14"/>
    <w:uiPriority w:val="99"/>
  </w:style>
  <w:style w:type="character" w:customStyle="1" w:styleId="20">
    <w:name w:val="Texto de globo Car"/>
    <w:basedOn w:val="5"/>
    <w:link w:val="11"/>
    <w:semiHidden/>
    <w:qFormat/>
    <w:uiPriority w:val="99"/>
    <w:rPr>
      <w:rFonts w:ascii="Tahoma" w:hAnsi="Tahoma" w:cs="Tahoma"/>
      <w:sz w:val="16"/>
      <w:szCs w:val="16"/>
    </w:rPr>
  </w:style>
  <w:style w:type="paragraph" w:styleId="21">
    <w:name w:val="No Spacing"/>
    <w:basedOn w:val="1"/>
    <w:next w:val="1"/>
    <w:qFormat/>
    <w:uiPriority w:val="1"/>
    <w:pPr>
      <w:jc w:val="both"/>
    </w:pPr>
    <w:rPr>
      <w:b/>
      <w:color w:val="1A1818" w:themeColor="text1"/>
      <w14:textFill>
        <w14:solidFill>
          <w14:schemeClr w14:val="tx1"/>
        </w14:solidFill>
      </w14:textFill>
    </w:rPr>
  </w:style>
  <w:style w:type="character" w:customStyle="1" w:styleId="22">
    <w:name w:val="Título 1 Car"/>
    <w:basedOn w:val="5"/>
    <w:link w:val="2"/>
    <w:qFormat/>
    <w:uiPriority w:val="9"/>
    <w:rPr>
      <w:rFonts w:asciiTheme="majorHAnsi" w:hAnsiTheme="majorHAnsi" w:eastAsiaTheme="majorEastAsia" w:cstheme="majorBidi"/>
      <w:b/>
      <w:bCs/>
      <w:color w:val="4E4D4D" w:themeColor="background2"/>
      <w:sz w:val="20"/>
      <w:szCs w:val="28"/>
      <w14:textFill>
        <w14:solidFill>
          <w14:schemeClr w14:val="bg2"/>
        </w14:solidFill>
      </w14:textFill>
    </w:rPr>
  </w:style>
  <w:style w:type="character" w:customStyle="1" w:styleId="23">
    <w:name w:val="Título 2 Car"/>
    <w:basedOn w:val="5"/>
    <w:link w:val="3"/>
    <w:qFormat/>
    <w:uiPriority w:val="9"/>
    <w:rPr>
      <w:rFonts w:asciiTheme="majorHAnsi" w:hAnsiTheme="majorHAnsi" w:eastAsiaTheme="majorEastAsia" w:cstheme="majorBidi"/>
      <w:b/>
      <w:bCs/>
      <w:color w:val="4E4D4D" w:themeColor="background2"/>
      <w:sz w:val="20"/>
      <w:szCs w:val="26"/>
      <w14:textFill>
        <w14:solidFill>
          <w14:schemeClr w14:val="bg2"/>
        </w14:solidFill>
      </w14:textFill>
    </w:rPr>
  </w:style>
  <w:style w:type="character" w:customStyle="1" w:styleId="24">
    <w:name w:val="Título Car"/>
    <w:basedOn w:val="5"/>
    <w:link w:val="16"/>
    <w:qFormat/>
    <w:uiPriority w:val="10"/>
    <w:rPr>
      <w:rFonts w:asciiTheme="majorHAnsi" w:hAnsiTheme="majorHAnsi" w:eastAsiaTheme="majorEastAsia" w:cstheme="majorBidi"/>
      <w:color w:val="4E4D4D" w:themeColor="background2"/>
      <w:spacing w:val="5"/>
      <w:kern w:val="28"/>
      <w:sz w:val="20"/>
      <w:szCs w:val="52"/>
      <w14:textFill>
        <w14:solidFill>
          <w14:schemeClr w14:val="bg2"/>
        </w14:solidFill>
      </w14:textFill>
    </w:rPr>
  </w:style>
  <w:style w:type="character" w:customStyle="1" w:styleId="25">
    <w:name w:val="Título 3 Car"/>
    <w:basedOn w:val="5"/>
    <w:link w:val="4"/>
    <w:uiPriority w:val="9"/>
    <w:rPr>
      <w:rFonts w:asciiTheme="majorHAnsi" w:hAnsiTheme="majorHAnsi" w:eastAsiaTheme="majorEastAsia" w:cstheme="majorBidi"/>
      <w:b/>
      <w:bCs/>
      <w:color w:val="1A1818" w:themeColor="accent1"/>
      <w14:textFill>
        <w14:solidFill>
          <w14:schemeClr w14:val="accent1"/>
        </w14:solidFill>
      </w14:textFill>
    </w:rPr>
  </w:style>
  <w:style w:type="character" w:customStyle="1" w:styleId="26">
    <w:name w:val="Subtítulo Car"/>
    <w:basedOn w:val="5"/>
    <w:link w:val="15"/>
    <w:qFormat/>
    <w:uiPriority w:val="11"/>
    <w:rPr>
      <w:rFonts w:asciiTheme="majorHAnsi" w:hAnsiTheme="majorHAnsi" w:eastAsiaTheme="majorEastAsia" w:cstheme="majorBidi"/>
      <w:i/>
      <w:iCs/>
      <w:color w:val="1A1818" w:themeColor="accent1"/>
      <w:spacing w:val="15"/>
      <w:sz w:val="24"/>
      <w:szCs w:val="24"/>
      <w14:textFill>
        <w14:solidFill>
          <w14:schemeClr w14:val="accent1"/>
        </w14:solidFill>
      </w14:textFill>
    </w:rPr>
  </w:style>
  <w:style w:type="paragraph" w:styleId="27">
    <w:name w:val="List Paragraph"/>
    <w:basedOn w:val="1"/>
    <w:qFormat/>
    <w:uiPriority w:val="34"/>
    <w:pPr>
      <w:ind w:left="720"/>
      <w:contextualSpacing/>
    </w:pPr>
  </w:style>
  <w:style w:type="paragraph" w:customStyle="1" w:styleId="28">
    <w:name w:val="paragraph"/>
    <w:basedOn w:val="1"/>
    <w:qFormat/>
    <w:uiPriority w:val="0"/>
    <w:pPr>
      <w:spacing w:before="100" w:beforeAutospacing="1" w:after="100" w:afterAutospacing="1"/>
    </w:pPr>
    <w:rPr>
      <w:rFonts w:ascii="Times New Roman" w:hAnsi="Times New Roman" w:eastAsia="Times New Roman" w:cs="Times New Roman"/>
      <w:szCs w:val="24"/>
      <w:lang w:val="es-CO" w:eastAsia="es-CO"/>
    </w:rPr>
  </w:style>
  <w:style w:type="character" w:customStyle="1" w:styleId="29">
    <w:name w:val="normaltextrun"/>
    <w:basedOn w:val="5"/>
    <w:qFormat/>
    <w:uiPriority w:val="0"/>
  </w:style>
  <w:style w:type="character" w:customStyle="1" w:styleId="30">
    <w:name w:val="eop"/>
    <w:basedOn w:val="5"/>
    <w:uiPriority w:val="0"/>
  </w:style>
  <w:style w:type="character" w:customStyle="1" w:styleId="31">
    <w:name w:val="contextualspellingandgrammarerror"/>
    <w:basedOn w:val="5"/>
    <w:qFormat/>
    <w:uiPriority w:val="0"/>
  </w:style>
  <w:style w:type="character" w:customStyle="1" w:styleId="32">
    <w:name w:val="Texto comentario Car"/>
    <w:basedOn w:val="5"/>
    <w:link w:val="10"/>
    <w:qFormat/>
    <w:uiPriority w:val="99"/>
    <w:rPr>
      <w:sz w:val="20"/>
      <w:szCs w:val="20"/>
      <w:lang w:val="es-MX"/>
    </w:rPr>
  </w:style>
  <w:style w:type="character" w:customStyle="1" w:styleId="33">
    <w:name w:val="Asunto del comentario Car"/>
    <w:basedOn w:val="32"/>
    <w:link w:val="9"/>
    <w:semiHidden/>
    <w:uiPriority w:val="99"/>
    <w:rPr>
      <w:b/>
      <w:bCs/>
      <w:sz w:val="20"/>
      <w:szCs w:val="20"/>
      <w:lang w:val="es-MX"/>
    </w:rPr>
  </w:style>
  <w:style w:type="table" w:customStyle="1" w:styleId="34">
    <w:name w:val="Cuadrícula de tabla clara1"/>
    <w:basedOn w:val="6"/>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5">
    <w:name w:val="Grid Table Light"/>
    <w:basedOn w:val="6"/>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6">
    <w:name w:val="Cuadrícula de tabla clara11"/>
    <w:basedOn w:val="6"/>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7">
    <w:name w:val="Tabla con cuadrícula1"/>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8">
    <w:name w:val="Revision"/>
    <w:hidden/>
    <w:semiHidden/>
    <w:qFormat/>
    <w:uiPriority w:val="99"/>
    <w:pPr>
      <w:spacing w:after="0" w:line="240" w:lineRule="auto"/>
    </w:pPr>
    <w:rPr>
      <w:rFonts w:asciiTheme="minorHAnsi" w:hAnsiTheme="minorHAnsi" w:eastAsiaTheme="minorHAnsi" w:cstheme="minorBidi"/>
      <w:sz w:val="24"/>
      <w:szCs w:val="22"/>
      <w:lang w:val="es-MX"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datastoreItem>
</file>

<file path=customXml/itemProps2.xml><?xml version="1.0" encoding="utf-8"?>
<ds:datastoreItem xmlns:ds="http://schemas.openxmlformats.org/officeDocument/2006/customXml" ds:itemID="{A76CB8E8-CE21-4D07-BF0D-351EF419B6A6}">
  <ds:schemaRefs/>
</ds:datastoreItem>
</file>

<file path=customXml/itemProps3.xml><?xml version="1.0" encoding="utf-8"?>
<ds:datastoreItem xmlns:ds="http://schemas.openxmlformats.org/officeDocument/2006/customXml" ds:itemID="{2BCD2134-6863-4B79-B9A6-2EC5D6B3E9AD}">
  <ds:schemaRefs/>
</ds:datastoreItem>
</file>

<file path=customXml/itemProps4.xml><?xml version="1.0" encoding="utf-8"?>
<ds:datastoreItem xmlns:ds="http://schemas.openxmlformats.org/officeDocument/2006/customXml" ds:itemID="{14D7F115-6B26-4DE5-A014-4064BDB5756E}">
  <ds:schemaRefs/>
</ds:datastoreItem>
</file>

<file path=docProps/app.xml><?xml version="1.0" encoding="utf-8"?>
<Properties xmlns="http://schemas.openxmlformats.org/officeDocument/2006/extended-properties" xmlns:vt="http://schemas.openxmlformats.org/officeDocument/2006/docPropsVTypes">
  <Template>Normal</Template>
  <Pages>2</Pages>
  <Words>317</Words>
  <Characters>1773</Characters>
  <Lines>15</Lines>
  <Paragraphs>4</Paragraphs>
  <TotalTime>20</TotalTime>
  <ScaleCrop>false</ScaleCrop>
  <LinksUpToDate>false</LinksUpToDate>
  <CharactersWithSpaces>2056</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2022-08-01T21:30:00Z</dcterms:created>
  <dc:creator>Natalia Andrea Estupiñán Castro</dc:creator>
  <cp:lastModifiedBy>OSCAR R</cp:lastModifiedBy>
  <cp:lastPrinted>2022-06-28T21:50:00Z</cp:lastPrinted>
  <dcterms:modified xsi:type="dcterms:W3CDTF">2026-06-09T19:21:34Z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KSOTemplateDocerSaveRecord">
    <vt:lpwstr>eyJoZGlkIjoiMzAxYjRmYjJkOTAyNDk4ZjVkMzlhODYwNzM1MTFlYzciLCJ1c2VySWQiOiIyMjE2NjE4NTIxNjI2In0=</vt:lpwstr>
  </property>
  <property fmtid="{D5CDD505-2E9C-101B-9397-08002B2CF9AE}" pid="10" name="KSOProductBuildVer">
    <vt:lpwstr>2058-12.1.0.26880</vt:lpwstr>
  </property>
  <property fmtid="{D5CDD505-2E9C-101B-9397-08002B2CF9AE}" pid="11" name="ICV">
    <vt:lpwstr>6FF9670CD0EF4C8BA8DCA7B697A14C95_13</vt:lpwstr>
  </property>
</Properties>
</file>