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6FF2142" w:rsidR="0077727E" w:rsidRPr="00E20BE5" w:rsidRDefault="0077727E" w:rsidP="0077727E">
      <w:pPr>
        <w:jc w:val="center"/>
        <w:rPr>
          <w:rFonts w:ascii="Arial" w:hAnsi="Arial" w:cs="Arial"/>
          <w:b/>
          <w:color w:val="262626" w:themeColor="text1" w:themeTint="D9"/>
          <w:sz w:val="20"/>
          <w:szCs w:val="20"/>
        </w:rPr>
      </w:pPr>
      <w:r w:rsidRPr="00E20BE5">
        <w:rPr>
          <w:rFonts w:ascii="Arial" w:hAnsi="Arial" w:cs="Arial"/>
          <w:b/>
          <w:color w:val="262626" w:themeColor="text1" w:themeTint="D9"/>
          <w:sz w:val="20"/>
          <w:szCs w:val="20"/>
        </w:rPr>
        <w:t>MATRIZ 3</w:t>
      </w:r>
      <w:r w:rsidR="00136C78" w:rsidRPr="00E20BE5">
        <w:rPr>
          <w:rFonts w:ascii="Arial" w:hAnsi="Arial" w:cs="Arial"/>
          <w:b/>
          <w:color w:val="262626" w:themeColor="text1" w:themeTint="D9"/>
          <w:sz w:val="20"/>
          <w:szCs w:val="20"/>
        </w:rPr>
        <w:t xml:space="preserve"> - </w:t>
      </w:r>
      <w:r w:rsidRPr="00E20BE5">
        <w:rPr>
          <w:rFonts w:ascii="Arial" w:hAnsi="Arial" w:cs="Arial"/>
          <w:b/>
          <w:color w:val="262626" w:themeColor="text1" w:themeTint="D9"/>
          <w:sz w:val="20"/>
          <w:szCs w:val="20"/>
        </w:rPr>
        <w:t>RIESGOS</w:t>
      </w:r>
    </w:p>
    <w:p w14:paraId="3146EDED" w14:textId="77777777" w:rsidR="00B81B1F" w:rsidRPr="00E20BE5" w:rsidRDefault="00B81B1F" w:rsidP="007C702A">
      <w:pPr>
        <w:rPr>
          <w:rFonts w:ascii="Arial" w:hAnsi="Arial" w:cs="Arial"/>
          <w:color w:val="262626" w:themeColor="text1" w:themeTint="D9"/>
          <w:sz w:val="20"/>
          <w:szCs w:val="20"/>
          <w:lang w:val="es-ES_tradnl" w:eastAsia="es-CO"/>
        </w:rPr>
      </w:pPr>
    </w:p>
    <w:p w14:paraId="09226901" w14:textId="77777777" w:rsidR="0058222E" w:rsidRPr="00E20BE5" w:rsidRDefault="0058222E" w:rsidP="007C702A">
      <w:pPr>
        <w:rPr>
          <w:rFonts w:ascii="Arial" w:hAnsi="Arial" w:cs="Arial"/>
          <w:color w:val="262626" w:themeColor="text1" w:themeTint="D9"/>
          <w:sz w:val="20"/>
          <w:szCs w:val="20"/>
          <w:lang w:val="es-ES_tradnl" w:eastAsia="es-CO"/>
        </w:rPr>
      </w:pPr>
    </w:p>
    <w:p w14:paraId="0822FEEB" w14:textId="1CF9A92A" w:rsidR="00D70D7B" w:rsidRPr="00E20BE5" w:rsidRDefault="00D70D7B" w:rsidP="007C702A">
      <w:pPr>
        <w:rPr>
          <w:rFonts w:ascii="Arial" w:hAnsi="Arial" w:cs="Arial"/>
          <w:color w:val="262626" w:themeColor="text1" w:themeTint="D9"/>
          <w:sz w:val="20"/>
          <w:szCs w:val="20"/>
          <w:lang w:val="es-ES_tradnl" w:eastAsia="es-CO"/>
        </w:rPr>
      </w:pPr>
      <w:r w:rsidRPr="00E20BE5">
        <w:rPr>
          <w:rFonts w:ascii="Arial" w:hAnsi="Arial" w:cs="Arial"/>
          <w:color w:val="262626" w:themeColor="text1" w:themeTint="D9"/>
          <w:sz w:val="20"/>
          <w:szCs w:val="20"/>
          <w:lang w:val="es-ES_tradnl" w:eastAsia="es-CO"/>
        </w:rPr>
        <w:t xml:space="preserve">Para el presente </w:t>
      </w:r>
      <w:r w:rsidR="00C61BDB" w:rsidRPr="00E20BE5">
        <w:rPr>
          <w:rFonts w:ascii="Arial" w:hAnsi="Arial" w:cs="Arial"/>
          <w:color w:val="262626" w:themeColor="text1" w:themeTint="D9"/>
          <w:sz w:val="20"/>
          <w:szCs w:val="20"/>
          <w:lang w:val="es-ES_tradnl" w:eastAsia="es-CO"/>
        </w:rPr>
        <w:t xml:space="preserve">procedimiento </w:t>
      </w:r>
      <w:r w:rsidRPr="00E20BE5">
        <w:rPr>
          <w:rFonts w:ascii="Arial" w:hAnsi="Arial" w:cs="Arial"/>
          <w:color w:val="262626" w:themeColor="text1" w:themeTint="D9"/>
          <w:sz w:val="20"/>
          <w:szCs w:val="20"/>
          <w:lang w:val="es-ES_tradnl" w:eastAsia="es-CO"/>
        </w:rPr>
        <w:t xml:space="preserve">contractual, en atención </w:t>
      </w:r>
      <w:r w:rsidR="00B81B1F" w:rsidRPr="00E20BE5">
        <w:rPr>
          <w:rFonts w:ascii="Arial" w:hAnsi="Arial" w:cs="Arial"/>
          <w:color w:val="262626" w:themeColor="text1" w:themeTint="D9"/>
          <w:sz w:val="20"/>
          <w:szCs w:val="20"/>
          <w:lang w:val="es-ES_tradnl" w:eastAsia="es-CO"/>
        </w:rPr>
        <w:t>a la</w:t>
      </w:r>
      <w:r w:rsidRPr="00E20BE5">
        <w:rPr>
          <w:rFonts w:ascii="Arial" w:hAnsi="Arial" w:cs="Arial"/>
          <w:color w:val="262626" w:themeColor="text1" w:themeTint="D9"/>
          <w:sz w:val="20"/>
          <w:szCs w:val="20"/>
          <w:lang w:val="es-ES_tradnl" w:eastAsia="es-CO"/>
        </w:rPr>
        <w:t xml:space="preserve"> Ley 1150 de 2007 y los artículos 2.2.1.1.1.3.1 y 2.2.1.1.1.6.</w:t>
      </w:r>
      <w:r w:rsidR="00B81B1F" w:rsidRPr="00E20BE5">
        <w:rPr>
          <w:rFonts w:ascii="Arial" w:hAnsi="Arial" w:cs="Arial"/>
          <w:color w:val="262626" w:themeColor="text1" w:themeTint="D9"/>
          <w:sz w:val="20"/>
          <w:szCs w:val="20"/>
          <w:lang w:val="es-ES_tradnl" w:eastAsia="es-CO"/>
        </w:rPr>
        <w:t>3. del</w:t>
      </w:r>
      <w:r w:rsidRPr="00E20BE5">
        <w:rPr>
          <w:rFonts w:ascii="Arial" w:hAnsi="Arial" w:cs="Arial"/>
          <w:color w:val="262626" w:themeColor="text1" w:themeTint="D9"/>
          <w:sz w:val="20"/>
          <w:szCs w:val="20"/>
          <w:lang w:val="es-ES_tradnl" w:eastAsia="es-CO"/>
        </w:rPr>
        <w:t xml:space="preserve"> Decreto </w:t>
      </w:r>
      <w:r w:rsidR="00B81B1F" w:rsidRPr="00E20BE5">
        <w:rPr>
          <w:rFonts w:ascii="Arial" w:hAnsi="Arial" w:cs="Arial"/>
          <w:color w:val="262626" w:themeColor="text1" w:themeTint="D9"/>
          <w:sz w:val="20"/>
          <w:szCs w:val="20"/>
          <w:lang w:val="es-ES_tradnl" w:eastAsia="es-CO"/>
        </w:rPr>
        <w:t>1082 de</w:t>
      </w:r>
      <w:r w:rsidR="006E6D9B" w:rsidRPr="00E20BE5">
        <w:rPr>
          <w:rFonts w:ascii="Arial" w:hAnsi="Arial" w:cs="Arial"/>
          <w:color w:val="262626" w:themeColor="text1" w:themeTint="D9"/>
          <w:sz w:val="20"/>
          <w:szCs w:val="20"/>
          <w:lang w:val="es-ES_tradnl" w:eastAsia="es-CO"/>
        </w:rPr>
        <w:t xml:space="preserve"> 2015, entiéndase por R</w:t>
      </w:r>
      <w:r w:rsidRPr="00E20BE5">
        <w:rPr>
          <w:rFonts w:ascii="Arial" w:hAnsi="Arial" w:cs="Arial"/>
          <w:color w:val="262626" w:themeColor="text1" w:themeTint="D9"/>
          <w:sz w:val="20"/>
          <w:szCs w:val="20"/>
          <w:lang w:val="es-ES_tradnl" w:eastAsia="es-CO"/>
        </w:rPr>
        <w:t>iesgo</w:t>
      </w:r>
      <w:r w:rsidR="006E6D9B" w:rsidRPr="00E20BE5">
        <w:rPr>
          <w:rFonts w:ascii="Arial" w:hAnsi="Arial" w:cs="Arial"/>
          <w:color w:val="262626" w:themeColor="text1" w:themeTint="D9"/>
          <w:sz w:val="20"/>
          <w:szCs w:val="20"/>
          <w:lang w:val="es-ES_tradnl" w:eastAsia="es-CO"/>
        </w:rPr>
        <w:t xml:space="preserve"> </w:t>
      </w:r>
      <w:r w:rsidRPr="00E20BE5">
        <w:rPr>
          <w:rFonts w:ascii="Arial" w:hAnsi="Arial" w:cs="Arial"/>
          <w:color w:val="262626" w:themeColor="text1" w:themeTint="D9"/>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E20BE5">
        <w:rPr>
          <w:rFonts w:ascii="Arial" w:hAnsi="Arial" w:cs="Arial"/>
          <w:color w:val="262626" w:themeColor="text1" w:themeTint="D9"/>
          <w:sz w:val="20"/>
          <w:szCs w:val="20"/>
          <w:lang w:val="es-ES_tradnl" w:eastAsia="es-CO"/>
        </w:rPr>
        <w:t>como con</w:t>
      </w:r>
      <w:r w:rsidRPr="00E20BE5">
        <w:rPr>
          <w:rFonts w:ascii="Arial" w:hAnsi="Arial" w:cs="Arial"/>
          <w:color w:val="262626" w:themeColor="text1" w:themeTint="D9"/>
          <w:sz w:val="20"/>
          <w:szCs w:val="20"/>
          <w:lang w:val="es-ES_tradnl" w:eastAsia="es-CO"/>
        </w:rPr>
        <w:t xml:space="preserve"> las actividades a desarrollar en la ejecución contractual.</w:t>
      </w:r>
    </w:p>
    <w:p w14:paraId="419A2FA6" w14:textId="77777777" w:rsidR="00B81B1F" w:rsidRPr="00E20BE5" w:rsidRDefault="00B81B1F" w:rsidP="007C702A">
      <w:pPr>
        <w:rPr>
          <w:rFonts w:ascii="Arial" w:hAnsi="Arial" w:cs="Arial"/>
          <w:color w:val="262626" w:themeColor="text1" w:themeTint="D9"/>
          <w:sz w:val="20"/>
          <w:szCs w:val="20"/>
          <w:lang w:val="es-ES_tradnl" w:eastAsia="es-CO"/>
        </w:rPr>
      </w:pPr>
    </w:p>
    <w:p w14:paraId="5322C892" w14:textId="1015E363" w:rsidR="00D70D7B" w:rsidRPr="00E20BE5" w:rsidRDefault="00D70D7B" w:rsidP="007C702A">
      <w:pPr>
        <w:rPr>
          <w:rFonts w:ascii="Arial" w:hAnsi="Arial" w:cs="Arial"/>
          <w:color w:val="262626" w:themeColor="text1" w:themeTint="D9"/>
          <w:sz w:val="20"/>
          <w:szCs w:val="20"/>
          <w:lang w:val="es-ES_tradnl" w:eastAsia="es-CO"/>
        </w:rPr>
      </w:pPr>
      <w:r w:rsidRPr="00E20BE5">
        <w:rPr>
          <w:rFonts w:ascii="Arial" w:hAnsi="Arial" w:cs="Arial"/>
          <w:color w:val="262626" w:themeColor="text1" w:themeTint="D9"/>
          <w:sz w:val="20"/>
          <w:szCs w:val="20"/>
          <w:lang w:val="es-ES_tradnl" w:eastAsia="es-CO"/>
        </w:rPr>
        <w:t>Corresponderá al contratista seleccionado la asunción de</w:t>
      </w:r>
      <w:r w:rsidR="006E6D9B" w:rsidRPr="00E20BE5">
        <w:rPr>
          <w:rFonts w:ascii="Arial" w:hAnsi="Arial" w:cs="Arial"/>
          <w:color w:val="262626" w:themeColor="text1" w:themeTint="D9"/>
          <w:sz w:val="20"/>
          <w:szCs w:val="20"/>
          <w:lang w:val="es-ES_tradnl" w:eastAsia="es-CO"/>
        </w:rPr>
        <w:t>l R</w:t>
      </w:r>
      <w:r w:rsidRPr="00E20BE5">
        <w:rPr>
          <w:rFonts w:ascii="Arial" w:hAnsi="Arial" w:cs="Arial"/>
          <w:color w:val="262626" w:themeColor="text1" w:themeTint="D9"/>
          <w:sz w:val="20"/>
          <w:szCs w:val="20"/>
          <w:lang w:val="es-ES_tradnl" w:eastAsia="es-CO"/>
        </w:rPr>
        <w:t xml:space="preserve">iesgo previsible propio de este tipo de contratación asumiendo su costo, siempre que el mismo no se encuentre expresamente a cargo de la Entidad en el contrato. </w:t>
      </w:r>
    </w:p>
    <w:p w14:paraId="78757E00" w14:textId="77777777" w:rsidR="00B81B1F" w:rsidRPr="00E20BE5" w:rsidRDefault="00B81B1F" w:rsidP="007C702A">
      <w:pPr>
        <w:rPr>
          <w:rFonts w:ascii="Arial" w:hAnsi="Arial" w:cs="Arial"/>
          <w:color w:val="262626" w:themeColor="text1" w:themeTint="D9"/>
          <w:sz w:val="20"/>
          <w:szCs w:val="20"/>
          <w:lang w:val="es-ES_tradnl" w:eastAsia="es-CO"/>
        </w:rPr>
      </w:pPr>
    </w:p>
    <w:p w14:paraId="2E7008F5" w14:textId="14484365" w:rsidR="00545461" w:rsidRPr="00E20BE5" w:rsidRDefault="006E6D9B" w:rsidP="007C702A">
      <w:pPr>
        <w:rPr>
          <w:rFonts w:ascii="Arial" w:hAnsi="Arial" w:cs="Arial"/>
          <w:color w:val="262626" w:themeColor="text1" w:themeTint="D9"/>
          <w:sz w:val="20"/>
          <w:szCs w:val="20"/>
          <w:lang w:val="es-ES_tradnl" w:eastAsia="es-CO"/>
        </w:rPr>
      </w:pPr>
      <w:r w:rsidRPr="00E20BE5">
        <w:rPr>
          <w:rFonts w:ascii="Arial" w:hAnsi="Arial" w:cs="Arial"/>
          <w:color w:val="262626" w:themeColor="text1" w:themeTint="D9"/>
          <w:sz w:val="20"/>
          <w:szCs w:val="20"/>
          <w:lang w:val="es-ES_tradnl" w:eastAsia="es-CO"/>
        </w:rPr>
        <w:t xml:space="preserve">De acuerdo con </w:t>
      </w:r>
      <w:r w:rsidR="00C61BDB" w:rsidRPr="00E20BE5">
        <w:rPr>
          <w:rFonts w:ascii="Arial" w:hAnsi="Arial" w:cs="Arial"/>
          <w:color w:val="262626" w:themeColor="text1" w:themeTint="D9"/>
          <w:sz w:val="20"/>
          <w:szCs w:val="20"/>
          <w:lang w:val="es-ES_tradnl" w:eastAsia="es-CO"/>
        </w:rPr>
        <w:t xml:space="preserve">procedimiento </w:t>
      </w:r>
      <w:r w:rsidR="00545461" w:rsidRPr="00E20BE5">
        <w:rPr>
          <w:rFonts w:ascii="Arial" w:hAnsi="Arial" w:cs="Arial"/>
          <w:color w:val="262626" w:themeColor="text1" w:themeTint="D9"/>
          <w:sz w:val="20"/>
          <w:szCs w:val="20"/>
          <w:lang w:val="es-ES_tradnl" w:eastAsia="es-CO"/>
        </w:rPr>
        <w:t xml:space="preserve">de la referencia, nos permitimos establecer la tipificación, estimación y asignación de los riesgos previsibles que puedan afectar el presente </w:t>
      </w:r>
      <w:r w:rsidR="00C61BDB" w:rsidRPr="00E20BE5">
        <w:rPr>
          <w:rFonts w:ascii="Arial" w:hAnsi="Arial" w:cs="Arial"/>
          <w:color w:val="262626" w:themeColor="text1" w:themeTint="D9"/>
          <w:sz w:val="20"/>
          <w:szCs w:val="20"/>
          <w:lang w:val="es-ES_tradnl" w:eastAsia="es-CO"/>
        </w:rPr>
        <w:t>procedimiento</w:t>
      </w:r>
      <w:r w:rsidR="00545461" w:rsidRPr="00E20BE5">
        <w:rPr>
          <w:rFonts w:ascii="Arial" w:hAnsi="Arial" w:cs="Arial"/>
          <w:color w:val="262626" w:themeColor="text1" w:themeTint="D9"/>
          <w:sz w:val="20"/>
          <w:szCs w:val="20"/>
          <w:lang w:val="es-ES_tradnl" w:eastAsia="es-CO"/>
        </w:rPr>
        <w:t>.</w:t>
      </w:r>
    </w:p>
    <w:p w14:paraId="77031AF6" w14:textId="250AF235" w:rsidR="0058222E" w:rsidRPr="00E20BE5" w:rsidRDefault="0058222E" w:rsidP="007C702A">
      <w:pPr>
        <w:rPr>
          <w:rFonts w:ascii="Arial" w:hAnsi="Arial" w:cs="Arial"/>
          <w:color w:val="262626" w:themeColor="text1" w:themeTint="D9"/>
          <w:sz w:val="20"/>
          <w:szCs w:val="20"/>
          <w:lang w:val="es-ES_tradnl" w:eastAsia="es-CO"/>
        </w:rPr>
      </w:pPr>
    </w:p>
    <w:p w14:paraId="2FFAB3E5" w14:textId="32FF2049" w:rsidR="006E6D9B" w:rsidRPr="00E20BE5" w:rsidRDefault="006E6D9B" w:rsidP="007C702A">
      <w:pPr>
        <w:rPr>
          <w:rFonts w:ascii="Arial" w:hAnsi="Arial" w:cs="Arial"/>
          <w:color w:val="262626" w:themeColor="text1" w:themeTint="D9"/>
          <w:sz w:val="20"/>
          <w:szCs w:val="20"/>
          <w:highlight w:val="lightGray"/>
          <w:lang w:val="es-ES_tradnl" w:eastAsia="es-CO"/>
        </w:rPr>
      </w:pPr>
      <w:r w:rsidRPr="00E20BE5">
        <w:rPr>
          <w:rFonts w:ascii="Arial" w:hAnsi="Arial" w:cs="Arial"/>
          <w:color w:val="262626" w:themeColor="text1" w:themeTint="D9"/>
          <w:sz w:val="20"/>
          <w:szCs w:val="20"/>
          <w:highlight w:val="lightGray"/>
          <w:lang w:val="es-ES_tradnl" w:eastAsia="es-CO"/>
        </w:rPr>
        <w:t xml:space="preserve">[La Entidad debe diligenciar la Matriz teniendo en cuenta la naturaleza del Contrato] </w:t>
      </w:r>
    </w:p>
    <w:p w14:paraId="6AE0CF7D" w14:textId="4309164F" w:rsidR="0058222E" w:rsidRPr="00E20BE5" w:rsidRDefault="0058222E" w:rsidP="00D70D7B">
      <w:pPr>
        <w:spacing w:after="100" w:afterAutospacing="1"/>
        <w:rPr>
          <w:rFonts w:ascii="Arial" w:eastAsia="SimSun" w:hAnsi="Arial" w:cs="Arial"/>
          <w:b/>
          <w:color w:val="262626" w:themeColor="text1" w:themeTint="D9"/>
          <w:kern w:val="3"/>
          <w:sz w:val="20"/>
          <w:szCs w:val="20"/>
          <w:highlight w:val="lightGray"/>
          <w:u w:val="single"/>
          <w:lang w:eastAsia="zh-CN" w:bidi="hi-IN"/>
        </w:rPr>
      </w:pPr>
    </w:p>
    <w:p w14:paraId="53DA53C9" w14:textId="5C02D285" w:rsidR="005E5030" w:rsidRPr="00E20BE5" w:rsidRDefault="001246B3" w:rsidP="001246B3">
      <w:pPr>
        <w:rPr>
          <w:rFonts w:ascii="Arial" w:eastAsia="SimSun" w:hAnsi="Arial" w:cs="Arial"/>
          <w:b/>
          <w:color w:val="262626" w:themeColor="text1" w:themeTint="D9"/>
          <w:kern w:val="3"/>
          <w:sz w:val="20"/>
          <w:szCs w:val="20"/>
          <w:u w:val="single"/>
          <w:lang w:eastAsia="zh-CN" w:bidi="hi-IN"/>
        </w:rPr>
      </w:pPr>
      <w:r w:rsidRPr="00E20BE5">
        <w:rPr>
          <w:rFonts w:ascii="Arial" w:hAnsi="Arial" w:cs="Arial"/>
          <w:color w:val="262626" w:themeColor="text1" w:themeTint="D9"/>
          <w:sz w:val="20"/>
          <w:szCs w:val="20"/>
          <w:highlight w:val="lightGray"/>
          <w:lang w:val="es-ES_tradnl" w:eastAsia="es-CO"/>
        </w:rPr>
        <w:t>[</w:t>
      </w:r>
      <w:r w:rsidR="005E5030" w:rsidRPr="00E20BE5">
        <w:rPr>
          <w:rFonts w:ascii="Arial" w:hAnsi="Arial" w:cs="Arial"/>
          <w:color w:val="262626" w:themeColor="text1" w:themeTint="D9"/>
          <w:sz w:val="20"/>
          <w:szCs w:val="20"/>
          <w:highlight w:val="lightGray"/>
          <w:lang w:val="es-ES_tradnl" w:eastAsia="es-CO"/>
        </w:rPr>
        <w:t>Entre los riesgos que se deben tipificar, estimar y asignar se deberá tener en cuenta el riesgo de corrupción y la relación directa que existe entre este y los riesgos financiero, legal y reputaciona</w:t>
      </w:r>
      <w:r w:rsidRPr="00E20BE5">
        <w:rPr>
          <w:rFonts w:ascii="Arial" w:hAnsi="Arial" w:cs="Arial"/>
          <w:color w:val="262626" w:themeColor="text1" w:themeTint="D9"/>
          <w:sz w:val="20"/>
          <w:szCs w:val="20"/>
          <w:highlight w:val="lightGray"/>
          <w:lang w:val="es-ES_tradnl" w:eastAsia="es-CO"/>
        </w:rPr>
        <w:t>l.]</w:t>
      </w:r>
    </w:p>
    <w:p w14:paraId="50AA65CC" w14:textId="77777777" w:rsidR="005E5030" w:rsidRPr="00E20BE5" w:rsidRDefault="005E5030" w:rsidP="00D70D7B">
      <w:pPr>
        <w:spacing w:after="100" w:afterAutospacing="1"/>
        <w:rPr>
          <w:rFonts w:ascii="Arial" w:eastAsia="SimSun" w:hAnsi="Arial" w:cs="Arial"/>
          <w:b/>
          <w:color w:val="262626" w:themeColor="text1" w:themeTint="D9"/>
          <w:kern w:val="3"/>
          <w:sz w:val="20"/>
          <w:szCs w:val="20"/>
          <w:u w:val="single"/>
          <w:lang w:eastAsia="zh-CN" w:bidi="hi-IN"/>
        </w:rPr>
      </w:pPr>
    </w:p>
    <w:p w14:paraId="4D84E88B" w14:textId="77777777" w:rsidR="0058222E" w:rsidRPr="00E20BE5" w:rsidRDefault="00815604" w:rsidP="00D70D7B">
      <w:pPr>
        <w:spacing w:after="100" w:afterAutospacing="1"/>
        <w:rPr>
          <w:rFonts w:ascii="Arial" w:eastAsia="SimSun" w:hAnsi="Arial" w:cs="Arial"/>
          <w:color w:val="262626" w:themeColor="text1" w:themeTint="D9"/>
          <w:kern w:val="3"/>
          <w:sz w:val="20"/>
          <w:szCs w:val="20"/>
          <w:lang w:eastAsia="zh-CN" w:bidi="hi-IN"/>
        </w:rPr>
      </w:pPr>
      <w:r w:rsidRPr="00E20BE5">
        <w:rPr>
          <w:rFonts w:ascii="Arial" w:eastAsia="SimSun" w:hAnsi="Arial" w:cs="Arial"/>
          <w:b/>
          <w:color w:val="262626" w:themeColor="text1" w:themeTint="D9"/>
          <w:kern w:val="3"/>
          <w:sz w:val="20"/>
          <w:szCs w:val="20"/>
          <w:u w:val="single"/>
          <w:lang w:eastAsia="zh-CN" w:bidi="hi-IN"/>
        </w:rPr>
        <w:t>Matriz de Riesgos</w:t>
      </w:r>
    </w:p>
    <w:p w14:paraId="76554B5B" w14:textId="77777777" w:rsidR="00061F93" w:rsidRDefault="00061F93" w:rsidP="004D7C35">
      <w:pPr>
        <w:spacing w:after="100" w:afterAutospacing="1"/>
        <w:jc w:val="center"/>
        <w:rPr>
          <w:rFonts w:ascii="Arial" w:eastAsia="SimSun" w:hAnsi="Arial" w:cs="Arial"/>
          <w:kern w:val="3"/>
          <w:sz w:val="20"/>
          <w:szCs w:val="20"/>
          <w:lang w:eastAsia="zh-CN" w:bidi="hi-IN"/>
        </w:rPr>
      </w:pPr>
    </w:p>
    <w:p w14:paraId="3F1BECC7" w14:textId="77777777" w:rsidR="00061F93" w:rsidRDefault="00061F93" w:rsidP="004D7C35">
      <w:pPr>
        <w:spacing w:after="100" w:afterAutospacing="1"/>
        <w:jc w:val="center"/>
        <w:rPr>
          <w:rFonts w:ascii="Arial" w:eastAsia="SimSun" w:hAnsi="Arial" w:cs="Arial"/>
          <w:kern w:val="3"/>
          <w:sz w:val="20"/>
          <w:szCs w:val="20"/>
          <w:lang w:eastAsia="zh-CN" w:bidi="hi-IN"/>
        </w:rPr>
      </w:pPr>
    </w:p>
    <w:tbl>
      <w:tblPr>
        <w:tblW w:w="116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6"/>
        <w:gridCol w:w="376"/>
        <w:gridCol w:w="376"/>
        <w:gridCol w:w="376"/>
        <w:gridCol w:w="613"/>
        <w:gridCol w:w="1768"/>
        <w:gridCol w:w="1162"/>
        <w:gridCol w:w="376"/>
        <w:gridCol w:w="376"/>
        <w:gridCol w:w="376"/>
        <w:gridCol w:w="763"/>
        <w:gridCol w:w="1274"/>
        <w:gridCol w:w="1848"/>
        <w:gridCol w:w="1554"/>
      </w:tblGrid>
      <w:tr w:rsidR="00061F93" w:rsidRPr="00061F93" w14:paraId="33463309" w14:textId="77777777" w:rsidTr="00061F93">
        <w:trPr>
          <w:trHeight w:val="1353"/>
          <w:tblHeader/>
          <w:jc w:val="center"/>
        </w:trPr>
        <w:tc>
          <w:tcPr>
            <w:tcW w:w="376" w:type="dxa"/>
            <w:vMerge w:val="restart"/>
            <w:shd w:val="clear" w:color="auto" w:fill="BFBFBF" w:themeFill="background1" w:themeFillShade="BF"/>
            <w:textDirection w:val="btLr"/>
            <w:vAlign w:val="center"/>
            <w:hideMark/>
          </w:tcPr>
          <w:p w14:paraId="68EF27B3" w14:textId="77777777" w:rsidR="00061F93" w:rsidRPr="00061F93" w:rsidRDefault="00061F93" w:rsidP="00061F93">
            <w:pPr>
              <w:spacing w:after="100" w:afterAutospacing="1"/>
              <w:jc w:val="left"/>
              <w:rPr>
                <w:rFonts w:ascii="Arial" w:eastAsia="SimSun" w:hAnsi="Arial" w:cs="Arial"/>
                <w:b/>
                <w:kern w:val="3"/>
                <w:sz w:val="20"/>
                <w:szCs w:val="20"/>
                <w:lang w:eastAsia="zh-CN" w:bidi="hi-IN"/>
              </w:rPr>
            </w:pPr>
            <w:r w:rsidRPr="00061F93">
              <w:rPr>
                <w:rFonts w:ascii="Arial" w:eastAsia="SimSun" w:hAnsi="Arial" w:cs="Arial"/>
                <w:b/>
                <w:kern w:val="3"/>
                <w:sz w:val="20"/>
                <w:szCs w:val="20"/>
                <w:lang w:eastAsia="zh-CN" w:bidi="hi-IN"/>
              </w:rPr>
              <w:t>No.</w:t>
            </w:r>
          </w:p>
        </w:tc>
        <w:tc>
          <w:tcPr>
            <w:tcW w:w="376" w:type="dxa"/>
            <w:vMerge w:val="restart"/>
            <w:shd w:val="clear" w:color="auto" w:fill="BFBFBF" w:themeFill="background1" w:themeFillShade="BF"/>
            <w:textDirection w:val="btLr"/>
            <w:vAlign w:val="center"/>
            <w:hideMark/>
          </w:tcPr>
          <w:p w14:paraId="39D2DE03" w14:textId="77777777" w:rsidR="00061F93" w:rsidRPr="00061F93" w:rsidRDefault="00061F93" w:rsidP="00061F93">
            <w:pPr>
              <w:spacing w:after="100" w:afterAutospacing="1"/>
              <w:jc w:val="left"/>
              <w:rPr>
                <w:rFonts w:ascii="Arial" w:eastAsia="SimSun" w:hAnsi="Arial" w:cs="Arial"/>
                <w:b/>
                <w:kern w:val="3"/>
                <w:sz w:val="20"/>
                <w:szCs w:val="20"/>
                <w:lang w:eastAsia="zh-CN" w:bidi="hi-IN"/>
              </w:rPr>
            </w:pPr>
            <w:r w:rsidRPr="00061F93">
              <w:rPr>
                <w:rFonts w:ascii="Arial" w:eastAsia="SimSun" w:hAnsi="Arial" w:cs="Arial"/>
                <w:b/>
                <w:kern w:val="3"/>
                <w:sz w:val="20"/>
                <w:szCs w:val="20"/>
                <w:lang w:eastAsia="zh-CN" w:bidi="hi-IN"/>
              </w:rPr>
              <w:t>Clase</w:t>
            </w:r>
          </w:p>
        </w:tc>
        <w:tc>
          <w:tcPr>
            <w:tcW w:w="376" w:type="dxa"/>
            <w:vMerge w:val="restart"/>
            <w:shd w:val="clear" w:color="auto" w:fill="BFBFBF" w:themeFill="background1" w:themeFillShade="BF"/>
            <w:textDirection w:val="btLr"/>
            <w:vAlign w:val="center"/>
            <w:hideMark/>
          </w:tcPr>
          <w:p w14:paraId="699BE6B7" w14:textId="77777777" w:rsidR="00061F93" w:rsidRPr="00061F93" w:rsidRDefault="00061F93" w:rsidP="00061F93">
            <w:pPr>
              <w:spacing w:after="100" w:afterAutospacing="1"/>
              <w:jc w:val="left"/>
              <w:rPr>
                <w:rFonts w:ascii="Arial" w:eastAsia="SimSun" w:hAnsi="Arial" w:cs="Arial"/>
                <w:b/>
                <w:kern w:val="3"/>
                <w:sz w:val="20"/>
                <w:szCs w:val="20"/>
                <w:lang w:eastAsia="zh-CN" w:bidi="hi-IN"/>
              </w:rPr>
            </w:pPr>
            <w:r w:rsidRPr="00061F93">
              <w:rPr>
                <w:rFonts w:ascii="Arial" w:eastAsia="SimSun" w:hAnsi="Arial" w:cs="Arial"/>
                <w:b/>
                <w:kern w:val="3"/>
                <w:sz w:val="20"/>
                <w:szCs w:val="20"/>
                <w:lang w:eastAsia="zh-CN" w:bidi="hi-IN"/>
              </w:rPr>
              <w:t>Fuente</w:t>
            </w:r>
          </w:p>
        </w:tc>
        <w:tc>
          <w:tcPr>
            <w:tcW w:w="376" w:type="dxa"/>
            <w:vMerge w:val="restart"/>
            <w:shd w:val="clear" w:color="auto" w:fill="BFBFBF" w:themeFill="background1" w:themeFillShade="BF"/>
            <w:textDirection w:val="btLr"/>
            <w:vAlign w:val="center"/>
            <w:hideMark/>
          </w:tcPr>
          <w:p w14:paraId="1CEEDB37" w14:textId="77777777" w:rsidR="00061F93" w:rsidRPr="00061F93" w:rsidRDefault="00061F93" w:rsidP="00061F93">
            <w:pPr>
              <w:spacing w:after="100" w:afterAutospacing="1"/>
              <w:jc w:val="left"/>
              <w:rPr>
                <w:rFonts w:ascii="Arial" w:eastAsia="SimSun" w:hAnsi="Arial" w:cs="Arial"/>
                <w:b/>
                <w:kern w:val="3"/>
                <w:sz w:val="20"/>
                <w:szCs w:val="20"/>
                <w:lang w:eastAsia="zh-CN" w:bidi="hi-IN"/>
              </w:rPr>
            </w:pPr>
            <w:r w:rsidRPr="00061F93">
              <w:rPr>
                <w:rFonts w:ascii="Arial" w:eastAsia="SimSun" w:hAnsi="Arial" w:cs="Arial"/>
                <w:b/>
                <w:kern w:val="3"/>
                <w:sz w:val="20"/>
                <w:szCs w:val="20"/>
                <w:lang w:eastAsia="zh-CN" w:bidi="hi-IN"/>
              </w:rPr>
              <w:t>Etapa</w:t>
            </w:r>
          </w:p>
        </w:tc>
        <w:tc>
          <w:tcPr>
            <w:tcW w:w="613" w:type="dxa"/>
            <w:vMerge w:val="restart"/>
            <w:shd w:val="clear" w:color="auto" w:fill="BFBFBF" w:themeFill="background1" w:themeFillShade="BF"/>
            <w:textDirection w:val="btLr"/>
            <w:vAlign w:val="center"/>
            <w:hideMark/>
          </w:tcPr>
          <w:p w14:paraId="125C9391" w14:textId="77777777" w:rsidR="00061F93" w:rsidRPr="00061F93" w:rsidRDefault="00061F93" w:rsidP="00061F93">
            <w:pPr>
              <w:spacing w:after="100" w:afterAutospacing="1"/>
              <w:jc w:val="left"/>
              <w:rPr>
                <w:rFonts w:ascii="Arial" w:eastAsia="SimSun" w:hAnsi="Arial" w:cs="Arial"/>
                <w:b/>
                <w:kern w:val="3"/>
                <w:sz w:val="20"/>
                <w:szCs w:val="20"/>
                <w:lang w:eastAsia="zh-CN" w:bidi="hi-IN"/>
              </w:rPr>
            </w:pPr>
            <w:r w:rsidRPr="00061F93">
              <w:rPr>
                <w:rFonts w:ascii="Arial" w:eastAsia="SimSun" w:hAnsi="Arial" w:cs="Arial"/>
                <w:b/>
                <w:kern w:val="3"/>
                <w:sz w:val="20"/>
                <w:szCs w:val="20"/>
                <w:lang w:eastAsia="zh-CN" w:bidi="hi-IN"/>
              </w:rPr>
              <w:t>Tipo de Riesgo</w:t>
            </w:r>
          </w:p>
        </w:tc>
        <w:tc>
          <w:tcPr>
            <w:tcW w:w="1768" w:type="dxa"/>
            <w:vMerge w:val="restart"/>
            <w:shd w:val="clear" w:color="auto" w:fill="BFBFBF" w:themeFill="background1" w:themeFillShade="BF"/>
            <w:vAlign w:val="center"/>
            <w:hideMark/>
          </w:tcPr>
          <w:p w14:paraId="0495D934" w14:textId="77777777" w:rsidR="00061F93" w:rsidRPr="00061F93" w:rsidRDefault="00061F93" w:rsidP="00061F93">
            <w:pPr>
              <w:spacing w:after="100" w:afterAutospacing="1"/>
              <w:jc w:val="left"/>
              <w:rPr>
                <w:rFonts w:ascii="Arial" w:eastAsia="SimSun" w:hAnsi="Arial" w:cs="Arial"/>
                <w:b/>
                <w:kern w:val="3"/>
                <w:sz w:val="20"/>
                <w:szCs w:val="20"/>
                <w:lang w:eastAsia="zh-CN" w:bidi="hi-IN"/>
              </w:rPr>
            </w:pPr>
            <w:r w:rsidRPr="00061F93">
              <w:rPr>
                <w:rFonts w:ascii="Arial" w:eastAsia="SimSun" w:hAnsi="Arial" w:cs="Arial"/>
                <w:b/>
                <w:kern w:val="3"/>
                <w:sz w:val="20"/>
                <w:szCs w:val="20"/>
                <w:lang w:eastAsia="zh-CN" w:bidi="hi-IN"/>
              </w:rPr>
              <w:t>Descripción (Que puede pasar y como puede ocurrir)</w:t>
            </w:r>
          </w:p>
        </w:tc>
        <w:tc>
          <w:tcPr>
            <w:tcW w:w="1162" w:type="dxa"/>
            <w:vMerge w:val="restart"/>
            <w:shd w:val="clear" w:color="auto" w:fill="BFBFBF" w:themeFill="background1" w:themeFillShade="BF"/>
            <w:vAlign w:val="center"/>
            <w:hideMark/>
          </w:tcPr>
          <w:p w14:paraId="03BA43DC" w14:textId="77777777" w:rsidR="00061F93" w:rsidRPr="00061F93" w:rsidRDefault="00061F93" w:rsidP="00061F93">
            <w:pPr>
              <w:spacing w:after="100" w:afterAutospacing="1"/>
              <w:jc w:val="left"/>
              <w:rPr>
                <w:rFonts w:ascii="Arial" w:eastAsia="SimSun" w:hAnsi="Arial" w:cs="Arial"/>
                <w:b/>
                <w:kern w:val="3"/>
                <w:sz w:val="20"/>
                <w:szCs w:val="20"/>
                <w:lang w:eastAsia="zh-CN" w:bidi="hi-IN"/>
              </w:rPr>
            </w:pPr>
            <w:r w:rsidRPr="00061F93">
              <w:rPr>
                <w:rFonts w:ascii="Arial" w:eastAsia="SimSun" w:hAnsi="Arial" w:cs="Arial"/>
                <w:b/>
                <w:kern w:val="3"/>
                <w:sz w:val="20"/>
                <w:szCs w:val="20"/>
                <w:lang w:eastAsia="zh-CN" w:bidi="hi-IN"/>
              </w:rPr>
              <w:t xml:space="preserve">Consecuencia de ocurrencia del evento </w:t>
            </w:r>
          </w:p>
        </w:tc>
        <w:tc>
          <w:tcPr>
            <w:tcW w:w="376" w:type="dxa"/>
            <w:vMerge w:val="restart"/>
            <w:shd w:val="clear" w:color="auto" w:fill="BFBFBF" w:themeFill="background1" w:themeFillShade="BF"/>
            <w:textDirection w:val="btLr"/>
            <w:vAlign w:val="center"/>
            <w:hideMark/>
          </w:tcPr>
          <w:p w14:paraId="1BCA0998" w14:textId="77777777" w:rsidR="00061F93" w:rsidRPr="00061F93" w:rsidRDefault="00061F93" w:rsidP="00061F93">
            <w:pPr>
              <w:spacing w:after="100" w:afterAutospacing="1"/>
              <w:jc w:val="left"/>
              <w:rPr>
                <w:rFonts w:ascii="Arial" w:eastAsia="SimSun" w:hAnsi="Arial" w:cs="Arial"/>
                <w:b/>
                <w:kern w:val="3"/>
                <w:sz w:val="20"/>
                <w:szCs w:val="20"/>
                <w:lang w:eastAsia="zh-CN" w:bidi="hi-IN"/>
              </w:rPr>
            </w:pPr>
            <w:r w:rsidRPr="00061F93">
              <w:rPr>
                <w:rFonts w:ascii="Arial" w:eastAsia="SimSun" w:hAnsi="Arial" w:cs="Arial"/>
                <w:b/>
                <w:kern w:val="3"/>
                <w:sz w:val="20"/>
                <w:szCs w:val="20"/>
                <w:lang w:eastAsia="zh-CN" w:bidi="hi-IN"/>
              </w:rPr>
              <w:t>Probabilidad</w:t>
            </w:r>
          </w:p>
        </w:tc>
        <w:tc>
          <w:tcPr>
            <w:tcW w:w="376" w:type="dxa"/>
            <w:vMerge w:val="restart"/>
            <w:shd w:val="clear" w:color="auto" w:fill="BFBFBF" w:themeFill="background1" w:themeFillShade="BF"/>
            <w:textDirection w:val="btLr"/>
            <w:vAlign w:val="center"/>
            <w:hideMark/>
          </w:tcPr>
          <w:p w14:paraId="30DEC850" w14:textId="77777777" w:rsidR="00061F93" w:rsidRPr="00061F93" w:rsidRDefault="00061F93" w:rsidP="00061F93">
            <w:pPr>
              <w:spacing w:after="100" w:afterAutospacing="1"/>
              <w:jc w:val="left"/>
              <w:rPr>
                <w:rFonts w:ascii="Arial" w:eastAsia="SimSun" w:hAnsi="Arial" w:cs="Arial"/>
                <w:b/>
                <w:kern w:val="3"/>
                <w:sz w:val="20"/>
                <w:szCs w:val="20"/>
                <w:lang w:eastAsia="zh-CN" w:bidi="hi-IN"/>
              </w:rPr>
            </w:pPr>
            <w:r w:rsidRPr="00061F93">
              <w:rPr>
                <w:rFonts w:ascii="Arial" w:eastAsia="SimSun" w:hAnsi="Arial" w:cs="Arial"/>
                <w:b/>
                <w:kern w:val="3"/>
                <w:sz w:val="20"/>
                <w:szCs w:val="20"/>
                <w:lang w:eastAsia="zh-CN" w:bidi="hi-IN"/>
              </w:rPr>
              <w:t>Impacto</w:t>
            </w:r>
          </w:p>
        </w:tc>
        <w:tc>
          <w:tcPr>
            <w:tcW w:w="376" w:type="dxa"/>
            <w:vMerge w:val="restart"/>
            <w:shd w:val="clear" w:color="auto" w:fill="BFBFBF" w:themeFill="background1" w:themeFillShade="BF"/>
            <w:textDirection w:val="btLr"/>
            <w:vAlign w:val="center"/>
            <w:hideMark/>
          </w:tcPr>
          <w:p w14:paraId="6DB77276" w14:textId="77777777" w:rsidR="00061F93" w:rsidRPr="00061F93" w:rsidRDefault="00061F93" w:rsidP="00061F93">
            <w:pPr>
              <w:spacing w:after="100" w:afterAutospacing="1"/>
              <w:jc w:val="left"/>
              <w:rPr>
                <w:rFonts w:ascii="Arial" w:eastAsia="SimSun" w:hAnsi="Arial" w:cs="Arial"/>
                <w:b/>
                <w:kern w:val="3"/>
                <w:sz w:val="20"/>
                <w:szCs w:val="20"/>
                <w:lang w:eastAsia="zh-CN" w:bidi="hi-IN"/>
              </w:rPr>
            </w:pPr>
            <w:r w:rsidRPr="00061F93">
              <w:rPr>
                <w:rFonts w:ascii="Arial" w:eastAsia="SimSun" w:hAnsi="Arial" w:cs="Arial"/>
                <w:b/>
                <w:kern w:val="3"/>
                <w:sz w:val="20"/>
                <w:szCs w:val="20"/>
                <w:lang w:eastAsia="zh-CN" w:bidi="hi-IN"/>
              </w:rPr>
              <w:t>Valoración</w:t>
            </w:r>
          </w:p>
        </w:tc>
        <w:tc>
          <w:tcPr>
            <w:tcW w:w="763" w:type="dxa"/>
            <w:vMerge w:val="restart"/>
            <w:shd w:val="clear" w:color="auto" w:fill="BFBFBF" w:themeFill="background1" w:themeFillShade="BF"/>
            <w:textDirection w:val="btLr"/>
            <w:vAlign w:val="center"/>
            <w:hideMark/>
          </w:tcPr>
          <w:p w14:paraId="31AF0B0F" w14:textId="77777777" w:rsidR="00061F93" w:rsidRPr="00061F93" w:rsidRDefault="00061F93" w:rsidP="00061F93">
            <w:pPr>
              <w:spacing w:after="100" w:afterAutospacing="1"/>
              <w:jc w:val="left"/>
              <w:rPr>
                <w:rFonts w:ascii="Arial" w:eastAsia="SimSun" w:hAnsi="Arial" w:cs="Arial"/>
                <w:b/>
                <w:kern w:val="3"/>
                <w:sz w:val="20"/>
                <w:szCs w:val="20"/>
                <w:lang w:eastAsia="zh-CN" w:bidi="hi-IN"/>
              </w:rPr>
            </w:pPr>
            <w:r w:rsidRPr="00061F93">
              <w:rPr>
                <w:rFonts w:ascii="Arial" w:eastAsia="SimSun" w:hAnsi="Arial" w:cs="Arial"/>
                <w:b/>
                <w:kern w:val="3"/>
                <w:sz w:val="20"/>
                <w:szCs w:val="20"/>
                <w:lang w:eastAsia="zh-CN" w:bidi="hi-IN"/>
              </w:rPr>
              <w:t>Categoría</w:t>
            </w:r>
          </w:p>
        </w:tc>
        <w:tc>
          <w:tcPr>
            <w:tcW w:w="3122" w:type="dxa"/>
            <w:gridSpan w:val="2"/>
            <w:shd w:val="clear" w:color="auto" w:fill="BFBFBF" w:themeFill="background1" w:themeFillShade="BF"/>
            <w:vAlign w:val="center"/>
            <w:hideMark/>
          </w:tcPr>
          <w:p w14:paraId="23481166" w14:textId="77777777" w:rsidR="00061F93" w:rsidRPr="00061F93" w:rsidRDefault="00061F93" w:rsidP="00061F93">
            <w:pPr>
              <w:spacing w:after="100" w:afterAutospacing="1"/>
              <w:jc w:val="left"/>
              <w:rPr>
                <w:rFonts w:ascii="Arial" w:eastAsia="SimSun" w:hAnsi="Arial" w:cs="Arial"/>
                <w:b/>
                <w:kern w:val="3"/>
                <w:sz w:val="20"/>
                <w:szCs w:val="20"/>
                <w:lang w:eastAsia="zh-CN" w:bidi="hi-IN"/>
              </w:rPr>
            </w:pPr>
            <w:r w:rsidRPr="00061F93">
              <w:rPr>
                <w:rFonts w:ascii="Arial" w:eastAsia="SimSun" w:hAnsi="Arial" w:cs="Arial"/>
                <w:b/>
                <w:kern w:val="3"/>
                <w:sz w:val="20"/>
                <w:szCs w:val="20"/>
                <w:lang w:eastAsia="zh-CN" w:bidi="hi-IN"/>
              </w:rPr>
              <w:t>A QUIEN SE ASIGNA</w:t>
            </w:r>
          </w:p>
        </w:tc>
        <w:tc>
          <w:tcPr>
            <w:tcW w:w="1554" w:type="dxa"/>
            <w:shd w:val="clear" w:color="auto" w:fill="BFBFBF" w:themeFill="background1" w:themeFillShade="BF"/>
            <w:vAlign w:val="center"/>
            <w:hideMark/>
          </w:tcPr>
          <w:p w14:paraId="1ED02C74" w14:textId="77777777" w:rsidR="00061F93" w:rsidRPr="00061F93" w:rsidRDefault="00061F93" w:rsidP="00061F93">
            <w:pPr>
              <w:spacing w:after="100" w:afterAutospacing="1"/>
              <w:jc w:val="left"/>
              <w:rPr>
                <w:rFonts w:ascii="Arial" w:eastAsia="SimSun" w:hAnsi="Arial" w:cs="Arial"/>
                <w:b/>
                <w:kern w:val="3"/>
                <w:sz w:val="20"/>
                <w:szCs w:val="20"/>
                <w:lang w:eastAsia="zh-CN" w:bidi="hi-IN"/>
              </w:rPr>
            </w:pPr>
            <w:r w:rsidRPr="00061F93">
              <w:rPr>
                <w:rFonts w:ascii="Arial" w:eastAsia="SimSun" w:hAnsi="Arial" w:cs="Arial"/>
                <w:b/>
                <w:kern w:val="3"/>
                <w:sz w:val="20"/>
                <w:szCs w:val="20"/>
                <w:lang w:eastAsia="zh-CN" w:bidi="hi-IN"/>
              </w:rPr>
              <w:t>TRATAMIENTO/CONTROL A SER IMPLEMENTADO</w:t>
            </w:r>
          </w:p>
        </w:tc>
      </w:tr>
      <w:tr w:rsidR="00061F93" w:rsidRPr="00061F93" w14:paraId="32C0855A" w14:textId="77777777" w:rsidTr="00061F93">
        <w:trPr>
          <w:trHeight w:val="300"/>
          <w:tblHeader/>
          <w:jc w:val="center"/>
        </w:trPr>
        <w:tc>
          <w:tcPr>
            <w:tcW w:w="376" w:type="dxa"/>
            <w:vMerge/>
            <w:shd w:val="clear" w:color="auto" w:fill="BFBFBF" w:themeFill="background1" w:themeFillShade="BF"/>
            <w:vAlign w:val="center"/>
            <w:hideMark/>
          </w:tcPr>
          <w:p w14:paraId="2720B26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376" w:type="dxa"/>
            <w:vMerge/>
            <w:shd w:val="clear" w:color="auto" w:fill="BFBFBF" w:themeFill="background1" w:themeFillShade="BF"/>
            <w:vAlign w:val="center"/>
            <w:hideMark/>
          </w:tcPr>
          <w:p w14:paraId="2C68832A"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376" w:type="dxa"/>
            <w:vMerge/>
            <w:shd w:val="clear" w:color="auto" w:fill="BFBFBF" w:themeFill="background1" w:themeFillShade="BF"/>
            <w:vAlign w:val="center"/>
            <w:hideMark/>
          </w:tcPr>
          <w:p w14:paraId="407CBE1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376" w:type="dxa"/>
            <w:vMerge/>
            <w:shd w:val="clear" w:color="auto" w:fill="BFBFBF" w:themeFill="background1" w:themeFillShade="BF"/>
            <w:vAlign w:val="center"/>
            <w:hideMark/>
          </w:tcPr>
          <w:p w14:paraId="0C96794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613" w:type="dxa"/>
            <w:vMerge/>
            <w:shd w:val="clear" w:color="auto" w:fill="BFBFBF" w:themeFill="background1" w:themeFillShade="BF"/>
            <w:vAlign w:val="center"/>
            <w:hideMark/>
          </w:tcPr>
          <w:p w14:paraId="03B6DC8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1768" w:type="dxa"/>
            <w:vMerge/>
            <w:shd w:val="clear" w:color="auto" w:fill="BFBFBF" w:themeFill="background1" w:themeFillShade="BF"/>
            <w:vAlign w:val="center"/>
            <w:hideMark/>
          </w:tcPr>
          <w:p w14:paraId="1937E59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1162" w:type="dxa"/>
            <w:vMerge/>
            <w:shd w:val="clear" w:color="auto" w:fill="BFBFBF" w:themeFill="background1" w:themeFillShade="BF"/>
            <w:vAlign w:val="center"/>
            <w:hideMark/>
          </w:tcPr>
          <w:p w14:paraId="106EA51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376" w:type="dxa"/>
            <w:vMerge/>
            <w:shd w:val="clear" w:color="auto" w:fill="BFBFBF" w:themeFill="background1" w:themeFillShade="BF"/>
            <w:vAlign w:val="center"/>
            <w:hideMark/>
          </w:tcPr>
          <w:p w14:paraId="7FBF829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376" w:type="dxa"/>
            <w:vMerge/>
            <w:shd w:val="clear" w:color="auto" w:fill="BFBFBF" w:themeFill="background1" w:themeFillShade="BF"/>
            <w:vAlign w:val="center"/>
            <w:hideMark/>
          </w:tcPr>
          <w:p w14:paraId="7102FADB"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376" w:type="dxa"/>
            <w:vMerge/>
            <w:shd w:val="clear" w:color="auto" w:fill="BFBFBF" w:themeFill="background1" w:themeFillShade="BF"/>
            <w:vAlign w:val="center"/>
            <w:hideMark/>
          </w:tcPr>
          <w:p w14:paraId="1A5E8F6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763" w:type="dxa"/>
            <w:vMerge/>
            <w:shd w:val="clear" w:color="auto" w:fill="BFBFBF" w:themeFill="background1" w:themeFillShade="BF"/>
            <w:vAlign w:val="center"/>
            <w:hideMark/>
          </w:tcPr>
          <w:p w14:paraId="38AF64C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1274" w:type="dxa"/>
            <w:shd w:val="clear" w:color="auto" w:fill="BFBFBF" w:themeFill="background1" w:themeFillShade="BF"/>
            <w:vAlign w:val="center"/>
            <w:hideMark/>
          </w:tcPr>
          <w:p w14:paraId="3BB9759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w:t>
            </w:r>
          </w:p>
        </w:tc>
        <w:tc>
          <w:tcPr>
            <w:tcW w:w="1848" w:type="dxa"/>
            <w:shd w:val="clear" w:color="auto" w:fill="BFBFBF" w:themeFill="background1" w:themeFillShade="BF"/>
            <w:vAlign w:val="center"/>
            <w:hideMark/>
          </w:tcPr>
          <w:p w14:paraId="54E0F92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w:t>
            </w:r>
          </w:p>
        </w:tc>
        <w:tc>
          <w:tcPr>
            <w:tcW w:w="1554" w:type="dxa"/>
            <w:vMerge w:val="restart"/>
            <w:shd w:val="clear" w:color="auto" w:fill="BFBFBF" w:themeFill="background1" w:themeFillShade="BF"/>
            <w:vAlign w:val="center"/>
            <w:hideMark/>
          </w:tcPr>
          <w:p w14:paraId="55C2F1BB"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r>
      <w:tr w:rsidR="00061F93" w:rsidRPr="00061F93" w14:paraId="5880299A" w14:textId="77777777" w:rsidTr="00061F93">
        <w:trPr>
          <w:trHeight w:val="359"/>
          <w:tblHeader/>
          <w:jc w:val="center"/>
        </w:trPr>
        <w:tc>
          <w:tcPr>
            <w:tcW w:w="376" w:type="dxa"/>
            <w:vMerge/>
            <w:vAlign w:val="center"/>
            <w:hideMark/>
          </w:tcPr>
          <w:p w14:paraId="1EC88F2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376" w:type="dxa"/>
            <w:vMerge/>
            <w:vAlign w:val="center"/>
            <w:hideMark/>
          </w:tcPr>
          <w:p w14:paraId="0F29CE7A"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376" w:type="dxa"/>
            <w:vMerge/>
            <w:vAlign w:val="center"/>
            <w:hideMark/>
          </w:tcPr>
          <w:p w14:paraId="51E2CDF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376" w:type="dxa"/>
            <w:vMerge/>
            <w:vAlign w:val="center"/>
            <w:hideMark/>
          </w:tcPr>
          <w:p w14:paraId="0504B76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613" w:type="dxa"/>
            <w:vMerge/>
            <w:vAlign w:val="center"/>
            <w:hideMark/>
          </w:tcPr>
          <w:p w14:paraId="20FBC9A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1768" w:type="dxa"/>
            <w:vMerge/>
            <w:vAlign w:val="center"/>
            <w:hideMark/>
          </w:tcPr>
          <w:p w14:paraId="7672BA3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1162" w:type="dxa"/>
            <w:vMerge/>
            <w:vAlign w:val="center"/>
            <w:hideMark/>
          </w:tcPr>
          <w:p w14:paraId="2A5FC26D"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376" w:type="dxa"/>
            <w:vMerge/>
            <w:vAlign w:val="center"/>
            <w:hideMark/>
          </w:tcPr>
          <w:p w14:paraId="36B2AAA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376" w:type="dxa"/>
            <w:vMerge/>
            <w:vAlign w:val="center"/>
            <w:hideMark/>
          </w:tcPr>
          <w:p w14:paraId="7F48FD4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376" w:type="dxa"/>
            <w:vMerge/>
            <w:vAlign w:val="center"/>
            <w:hideMark/>
          </w:tcPr>
          <w:p w14:paraId="2E29E41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763" w:type="dxa"/>
            <w:vMerge/>
            <w:vAlign w:val="center"/>
            <w:hideMark/>
          </w:tcPr>
          <w:p w14:paraId="181F0E1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c>
          <w:tcPr>
            <w:tcW w:w="1274" w:type="dxa"/>
            <w:shd w:val="clear" w:color="auto" w:fill="BFBFBF" w:themeFill="background1" w:themeFillShade="BF"/>
            <w:vAlign w:val="center"/>
            <w:hideMark/>
          </w:tcPr>
          <w:p w14:paraId="7A6D08E8" w14:textId="77777777" w:rsidR="00061F93" w:rsidRPr="00061F93" w:rsidRDefault="00061F93" w:rsidP="00061F93">
            <w:pPr>
              <w:spacing w:after="100" w:afterAutospacing="1"/>
              <w:jc w:val="left"/>
              <w:rPr>
                <w:rFonts w:ascii="Arial" w:eastAsia="SimSun" w:hAnsi="Arial" w:cs="Arial"/>
                <w:b/>
                <w:kern w:val="3"/>
                <w:sz w:val="20"/>
                <w:szCs w:val="20"/>
                <w:lang w:eastAsia="zh-CN" w:bidi="hi-IN"/>
              </w:rPr>
            </w:pPr>
            <w:r w:rsidRPr="00061F93">
              <w:rPr>
                <w:rFonts w:ascii="Arial" w:eastAsia="SimSun" w:hAnsi="Arial" w:cs="Arial"/>
                <w:b/>
                <w:kern w:val="3"/>
                <w:sz w:val="20"/>
                <w:szCs w:val="20"/>
                <w:lang w:eastAsia="zh-CN" w:bidi="hi-IN"/>
              </w:rPr>
              <w:t xml:space="preserve">Municipio de Supia, Caldas </w:t>
            </w:r>
          </w:p>
        </w:tc>
        <w:tc>
          <w:tcPr>
            <w:tcW w:w="1848" w:type="dxa"/>
            <w:shd w:val="clear" w:color="auto" w:fill="BFBFBF" w:themeFill="background1" w:themeFillShade="BF"/>
            <w:vAlign w:val="center"/>
            <w:hideMark/>
          </w:tcPr>
          <w:p w14:paraId="43FBAA16" w14:textId="77777777" w:rsidR="00061F93" w:rsidRPr="00061F93" w:rsidRDefault="00061F93" w:rsidP="00061F93">
            <w:pPr>
              <w:spacing w:after="100" w:afterAutospacing="1"/>
              <w:jc w:val="left"/>
              <w:rPr>
                <w:rFonts w:ascii="Arial" w:eastAsia="SimSun" w:hAnsi="Arial" w:cs="Arial"/>
                <w:b/>
                <w:kern w:val="3"/>
                <w:sz w:val="20"/>
                <w:szCs w:val="20"/>
                <w:lang w:eastAsia="zh-CN" w:bidi="hi-IN"/>
              </w:rPr>
            </w:pPr>
            <w:r w:rsidRPr="00061F93">
              <w:rPr>
                <w:rFonts w:ascii="Arial" w:eastAsia="SimSun" w:hAnsi="Arial" w:cs="Arial"/>
                <w:b/>
                <w:kern w:val="3"/>
                <w:sz w:val="20"/>
                <w:szCs w:val="20"/>
                <w:lang w:eastAsia="zh-CN" w:bidi="hi-IN"/>
              </w:rPr>
              <w:t xml:space="preserve">PROPONENTE Y/O CONTRATISTA </w:t>
            </w:r>
          </w:p>
        </w:tc>
        <w:tc>
          <w:tcPr>
            <w:tcW w:w="1554" w:type="dxa"/>
            <w:vMerge/>
            <w:shd w:val="clear" w:color="auto" w:fill="DAEEF3" w:themeFill="accent5" w:themeFillTint="33"/>
            <w:vAlign w:val="center"/>
            <w:hideMark/>
          </w:tcPr>
          <w:p w14:paraId="28B8E6E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p>
        </w:tc>
      </w:tr>
      <w:tr w:rsidR="00061F93" w:rsidRPr="00061F93" w14:paraId="7989201A" w14:textId="77777777" w:rsidTr="00061F93">
        <w:trPr>
          <w:trHeight w:val="292"/>
          <w:jc w:val="center"/>
        </w:trPr>
        <w:tc>
          <w:tcPr>
            <w:tcW w:w="376" w:type="dxa"/>
            <w:noWrap/>
            <w:vAlign w:val="center"/>
            <w:hideMark/>
          </w:tcPr>
          <w:p w14:paraId="47C8DD6D"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1</w:t>
            </w:r>
          </w:p>
        </w:tc>
        <w:tc>
          <w:tcPr>
            <w:tcW w:w="376" w:type="dxa"/>
            <w:noWrap/>
            <w:textDirection w:val="btLr"/>
            <w:vAlign w:val="center"/>
            <w:hideMark/>
          </w:tcPr>
          <w:p w14:paraId="7FE3685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General</w:t>
            </w:r>
          </w:p>
        </w:tc>
        <w:tc>
          <w:tcPr>
            <w:tcW w:w="376" w:type="dxa"/>
            <w:noWrap/>
            <w:textDirection w:val="btLr"/>
            <w:vAlign w:val="center"/>
            <w:hideMark/>
          </w:tcPr>
          <w:p w14:paraId="52262E2A"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Externo</w:t>
            </w:r>
          </w:p>
        </w:tc>
        <w:tc>
          <w:tcPr>
            <w:tcW w:w="376" w:type="dxa"/>
            <w:noWrap/>
            <w:textDirection w:val="btLr"/>
            <w:vAlign w:val="center"/>
            <w:hideMark/>
          </w:tcPr>
          <w:p w14:paraId="1DC5DE6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Selección - Ejecución</w:t>
            </w:r>
          </w:p>
        </w:tc>
        <w:tc>
          <w:tcPr>
            <w:tcW w:w="613" w:type="dxa"/>
            <w:textDirection w:val="btLr"/>
            <w:vAlign w:val="center"/>
            <w:hideMark/>
          </w:tcPr>
          <w:p w14:paraId="4AF19A1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Económico - Riesgo Operacional</w:t>
            </w:r>
          </w:p>
        </w:tc>
        <w:tc>
          <w:tcPr>
            <w:tcW w:w="1768" w:type="dxa"/>
            <w:vAlign w:val="center"/>
            <w:hideMark/>
          </w:tcPr>
          <w:p w14:paraId="31B03BB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Precios Por debajo del Presupuesto Oficial (por debajo del presupuesto oficial, o por debajo de los ítems del presupuesto oficial o de los insumos del APU del presupuesto oficial, tales como equipos, materiales, mano de obra, transportes, AIU </w:t>
            </w:r>
            <w:r w:rsidRPr="00061F93">
              <w:rPr>
                <w:rFonts w:ascii="Arial" w:eastAsia="SimSun" w:hAnsi="Arial" w:cs="Arial"/>
                <w:kern w:val="3"/>
                <w:sz w:val="20"/>
                <w:szCs w:val="20"/>
                <w:lang w:eastAsia="zh-CN" w:bidi="hi-IN"/>
              </w:rPr>
              <w:lastRenderedPageBreak/>
              <w:t>EN LA PROPUESTA DEL PROPONENTE Y/O CONTRATISTA.</w:t>
            </w:r>
          </w:p>
        </w:tc>
        <w:tc>
          <w:tcPr>
            <w:tcW w:w="1162" w:type="dxa"/>
            <w:vAlign w:val="center"/>
            <w:hideMark/>
          </w:tcPr>
          <w:p w14:paraId="50EED40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Impacto económico al Contratista</w:t>
            </w:r>
          </w:p>
        </w:tc>
        <w:tc>
          <w:tcPr>
            <w:tcW w:w="376" w:type="dxa"/>
            <w:noWrap/>
            <w:vAlign w:val="center"/>
            <w:hideMark/>
          </w:tcPr>
          <w:p w14:paraId="7548415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6FFFA70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3DB7C4A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4</w:t>
            </w:r>
          </w:p>
        </w:tc>
        <w:tc>
          <w:tcPr>
            <w:tcW w:w="763" w:type="dxa"/>
            <w:vAlign w:val="center"/>
            <w:hideMark/>
          </w:tcPr>
          <w:p w14:paraId="4DFF55E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Bajo</w:t>
            </w:r>
          </w:p>
        </w:tc>
        <w:tc>
          <w:tcPr>
            <w:tcW w:w="1274" w:type="dxa"/>
            <w:vAlign w:val="center"/>
            <w:hideMark/>
          </w:tcPr>
          <w:p w14:paraId="578ED9E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w:t>
            </w:r>
          </w:p>
        </w:tc>
        <w:tc>
          <w:tcPr>
            <w:tcW w:w="1848" w:type="dxa"/>
            <w:vAlign w:val="center"/>
            <w:hideMark/>
          </w:tcPr>
          <w:p w14:paraId="1E4A571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24FC2E4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Implementación de Controles en la Fase precontractual y contractual que aseguren la eficiencia del contratista en la ejecución del contrato conforme a la oferta técnica y económica presentada.</w:t>
            </w:r>
          </w:p>
        </w:tc>
      </w:tr>
      <w:tr w:rsidR="00061F93" w:rsidRPr="00061F93" w14:paraId="7335390F" w14:textId="77777777" w:rsidTr="00061F93">
        <w:trPr>
          <w:trHeight w:val="1717"/>
          <w:jc w:val="center"/>
        </w:trPr>
        <w:tc>
          <w:tcPr>
            <w:tcW w:w="376" w:type="dxa"/>
            <w:noWrap/>
            <w:vAlign w:val="center"/>
            <w:hideMark/>
          </w:tcPr>
          <w:p w14:paraId="1CA1876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textDirection w:val="btLr"/>
            <w:vAlign w:val="center"/>
            <w:hideMark/>
          </w:tcPr>
          <w:p w14:paraId="7BD3202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General</w:t>
            </w:r>
          </w:p>
        </w:tc>
        <w:tc>
          <w:tcPr>
            <w:tcW w:w="376" w:type="dxa"/>
            <w:noWrap/>
            <w:textDirection w:val="btLr"/>
            <w:vAlign w:val="center"/>
            <w:hideMark/>
          </w:tcPr>
          <w:p w14:paraId="6D854D6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Externo</w:t>
            </w:r>
          </w:p>
        </w:tc>
        <w:tc>
          <w:tcPr>
            <w:tcW w:w="376" w:type="dxa"/>
            <w:noWrap/>
            <w:textDirection w:val="btLr"/>
            <w:vAlign w:val="center"/>
            <w:hideMark/>
          </w:tcPr>
          <w:p w14:paraId="2DF8907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33C9EEE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Económico</w:t>
            </w:r>
          </w:p>
        </w:tc>
        <w:tc>
          <w:tcPr>
            <w:tcW w:w="1768" w:type="dxa"/>
            <w:vAlign w:val="center"/>
            <w:hideMark/>
          </w:tcPr>
          <w:p w14:paraId="64DFFCEC" w14:textId="77777777" w:rsidR="00061F93" w:rsidRPr="00061F93" w:rsidRDefault="00061F93" w:rsidP="00061F93">
            <w:pPr>
              <w:spacing w:after="100" w:afterAutospacing="1"/>
              <w:jc w:val="left"/>
              <w:rPr>
                <w:rFonts w:ascii="Arial" w:eastAsia="SimSun" w:hAnsi="Arial" w:cs="Arial"/>
                <w:bCs/>
                <w:kern w:val="3"/>
                <w:sz w:val="20"/>
                <w:szCs w:val="20"/>
                <w:lang w:eastAsia="zh-CN" w:bidi="hi-IN"/>
              </w:rPr>
            </w:pPr>
            <w:r w:rsidRPr="00061F93">
              <w:rPr>
                <w:rFonts w:ascii="Arial" w:eastAsia="SimSun" w:hAnsi="Arial" w:cs="Arial"/>
                <w:bCs/>
                <w:kern w:val="3"/>
                <w:sz w:val="20"/>
                <w:szCs w:val="20"/>
                <w:lang w:eastAsia="zh-CN" w:bidi="hi-IN"/>
              </w:rPr>
              <w:t>Salida del mercado de insumos o materias primas fundamentales para la elaboración de las obras objeto del contrato.</w:t>
            </w:r>
          </w:p>
        </w:tc>
        <w:tc>
          <w:tcPr>
            <w:tcW w:w="1162" w:type="dxa"/>
            <w:vAlign w:val="center"/>
            <w:hideMark/>
          </w:tcPr>
          <w:p w14:paraId="7FF6C91D"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Impacto negativo en el cumplimiento del objeto contractual</w:t>
            </w:r>
          </w:p>
        </w:tc>
        <w:tc>
          <w:tcPr>
            <w:tcW w:w="376" w:type="dxa"/>
            <w:noWrap/>
            <w:vAlign w:val="center"/>
            <w:hideMark/>
          </w:tcPr>
          <w:p w14:paraId="398E668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1</w:t>
            </w:r>
          </w:p>
        </w:tc>
        <w:tc>
          <w:tcPr>
            <w:tcW w:w="376" w:type="dxa"/>
            <w:noWrap/>
            <w:vAlign w:val="center"/>
            <w:hideMark/>
          </w:tcPr>
          <w:p w14:paraId="26FF3E3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2902147A"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3</w:t>
            </w:r>
          </w:p>
        </w:tc>
        <w:tc>
          <w:tcPr>
            <w:tcW w:w="763" w:type="dxa"/>
            <w:vAlign w:val="center"/>
            <w:hideMark/>
          </w:tcPr>
          <w:p w14:paraId="4FD8600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Bajo</w:t>
            </w:r>
          </w:p>
        </w:tc>
        <w:tc>
          <w:tcPr>
            <w:tcW w:w="1274" w:type="dxa"/>
            <w:vAlign w:val="center"/>
            <w:hideMark/>
          </w:tcPr>
          <w:p w14:paraId="3AE84F2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848" w:type="dxa"/>
            <w:vAlign w:val="center"/>
            <w:hideMark/>
          </w:tcPr>
          <w:p w14:paraId="7D321D0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069091C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Recopilación de datos estadísticos e información a partir de las fuentes oficiales durante la etapa precontractual y contractual</w:t>
            </w:r>
          </w:p>
        </w:tc>
      </w:tr>
      <w:tr w:rsidR="00061F93" w:rsidRPr="00061F93" w14:paraId="110A0EA2" w14:textId="77777777" w:rsidTr="00061F93">
        <w:trPr>
          <w:trHeight w:val="1992"/>
          <w:jc w:val="center"/>
        </w:trPr>
        <w:tc>
          <w:tcPr>
            <w:tcW w:w="376" w:type="dxa"/>
            <w:noWrap/>
            <w:vAlign w:val="center"/>
            <w:hideMark/>
          </w:tcPr>
          <w:p w14:paraId="5BDAF66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3</w:t>
            </w:r>
          </w:p>
        </w:tc>
        <w:tc>
          <w:tcPr>
            <w:tcW w:w="376" w:type="dxa"/>
            <w:noWrap/>
            <w:textDirection w:val="btLr"/>
            <w:vAlign w:val="center"/>
            <w:hideMark/>
          </w:tcPr>
          <w:p w14:paraId="7A2A998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General</w:t>
            </w:r>
          </w:p>
        </w:tc>
        <w:tc>
          <w:tcPr>
            <w:tcW w:w="376" w:type="dxa"/>
            <w:noWrap/>
            <w:textDirection w:val="btLr"/>
            <w:vAlign w:val="center"/>
            <w:hideMark/>
          </w:tcPr>
          <w:p w14:paraId="4F50323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Externo</w:t>
            </w:r>
          </w:p>
        </w:tc>
        <w:tc>
          <w:tcPr>
            <w:tcW w:w="376" w:type="dxa"/>
            <w:noWrap/>
            <w:textDirection w:val="btLr"/>
            <w:vAlign w:val="center"/>
            <w:hideMark/>
          </w:tcPr>
          <w:p w14:paraId="52A3837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65F6F5AB"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Económico</w:t>
            </w:r>
          </w:p>
        </w:tc>
        <w:tc>
          <w:tcPr>
            <w:tcW w:w="1768" w:type="dxa"/>
            <w:vAlign w:val="center"/>
            <w:hideMark/>
          </w:tcPr>
          <w:p w14:paraId="4E3B9CFA" w14:textId="77777777" w:rsidR="00061F93" w:rsidRPr="00061F93" w:rsidRDefault="00061F93" w:rsidP="00061F93">
            <w:pPr>
              <w:spacing w:after="100" w:afterAutospacing="1"/>
              <w:jc w:val="left"/>
              <w:rPr>
                <w:rFonts w:ascii="Arial" w:eastAsia="SimSun" w:hAnsi="Arial" w:cs="Arial"/>
                <w:b/>
                <w:bCs/>
                <w:kern w:val="3"/>
                <w:sz w:val="20"/>
                <w:szCs w:val="20"/>
                <w:lang w:eastAsia="zh-CN" w:bidi="hi-IN"/>
              </w:rPr>
            </w:pPr>
            <w:r w:rsidRPr="00061F93">
              <w:rPr>
                <w:rFonts w:ascii="Arial" w:eastAsia="SimSun" w:hAnsi="Arial" w:cs="Arial"/>
                <w:bCs/>
                <w:kern w:val="3"/>
                <w:sz w:val="20"/>
                <w:szCs w:val="20"/>
                <w:lang w:eastAsia="zh-CN" w:bidi="hi-IN"/>
              </w:rPr>
              <w:t xml:space="preserve">Fluctuación de precios y/o ajustes ocasionados durante la ejecución del contrato en el costo de insumos, tarifas, jornales, materiales, asesorías, honorarios, etc., regulados y no regulados por el Gobierno. Riesgo que asume el PROPONENTE Y/O CONTRATISTA, cuando el ajuste sobrepase los </w:t>
            </w:r>
            <w:r w:rsidRPr="00061F93">
              <w:rPr>
                <w:rFonts w:ascii="Arial" w:eastAsia="SimSun" w:hAnsi="Arial" w:cs="Arial"/>
                <w:bCs/>
                <w:kern w:val="3"/>
                <w:sz w:val="20"/>
                <w:szCs w:val="20"/>
                <w:lang w:eastAsia="zh-CN" w:bidi="hi-IN"/>
              </w:rPr>
              <w:lastRenderedPageBreak/>
              <w:t>establecidos contractualmente con el Municipio de Supia, Caldas, Riesgo que asume Municipio de Supia, Caldas, hasta en los ajustes estipulados contractualmente.</w:t>
            </w:r>
            <w:r w:rsidRPr="00061F93">
              <w:rPr>
                <w:rFonts w:ascii="Arial" w:eastAsia="SimSun" w:hAnsi="Arial" w:cs="Arial"/>
                <w:b/>
                <w:bCs/>
                <w:kern w:val="3"/>
                <w:sz w:val="20"/>
                <w:szCs w:val="20"/>
                <w:lang w:eastAsia="zh-CN" w:bidi="hi-IN"/>
              </w:rPr>
              <w:t xml:space="preserve"> </w:t>
            </w:r>
          </w:p>
        </w:tc>
        <w:tc>
          <w:tcPr>
            <w:tcW w:w="1162" w:type="dxa"/>
            <w:vAlign w:val="center"/>
            <w:hideMark/>
          </w:tcPr>
          <w:p w14:paraId="6002065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Impacto negativo en el desarrollo del objeto contractual</w:t>
            </w:r>
          </w:p>
        </w:tc>
        <w:tc>
          <w:tcPr>
            <w:tcW w:w="376" w:type="dxa"/>
            <w:noWrap/>
            <w:vAlign w:val="center"/>
            <w:hideMark/>
          </w:tcPr>
          <w:p w14:paraId="48B9806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0F7F0E7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185A9D0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4</w:t>
            </w:r>
          </w:p>
        </w:tc>
        <w:tc>
          <w:tcPr>
            <w:tcW w:w="763" w:type="dxa"/>
            <w:vAlign w:val="center"/>
            <w:hideMark/>
          </w:tcPr>
          <w:p w14:paraId="67481A4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Bajo</w:t>
            </w:r>
          </w:p>
        </w:tc>
        <w:tc>
          <w:tcPr>
            <w:tcW w:w="1274" w:type="dxa"/>
            <w:vAlign w:val="center"/>
            <w:hideMark/>
          </w:tcPr>
          <w:p w14:paraId="5424B06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848" w:type="dxa"/>
            <w:vAlign w:val="center"/>
            <w:hideMark/>
          </w:tcPr>
          <w:p w14:paraId="1E8FD8AD"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0F78315A"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Recopilación de datos estadísticos e información sobre comportamiento histórico de precios, durante la etapa precontractual. Atención al comportamiento de precios en la etapa contractual</w:t>
            </w:r>
          </w:p>
        </w:tc>
      </w:tr>
      <w:tr w:rsidR="00061F93" w:rsidRPr="00061F93" w14:paraId="7BA8E2C5" w14:textId="77777777" w:rsidTr="00061F93">
        <w:trPr>
          <w:trHeight w:val="2235"/>
          <w:jc w:val="center"/>
        </w:trPr>
        <w:tc>
          <w:tcPr>
            <w:tcW w:w="376" w:type="dxa"/>
            <w:noWrap/>
            <w:vAlign w:val="center"/>
            <w:hideMark/>
          </w:tcPr>
          <w:p w14:paraId="49E0148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4</w:t>
            </w:r>
          </w:p>
        </w:tc>
        <w:tc>
          <w:tcPr>
            <w:tcW w:w="376" w:type="dxa"/>
            <w:noWrap/>
            <w:textDirection w:val="btLr"/>
            <w:vAlign w:val="center"/>
            <w:hideMark/>
          </w:tcPr>
          <w:p w14:paraId="348030F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General</w:t>
            </w:r>
          </w:p>
        </w:tc>
        <w:tc>
          <w:tcPr>
            <w:tcW w:w="376" w:type="dxa"/>
            <w:noWrap/>
            <w:textDirection w:val="btLr"/>
            <w:vAlign w:val="center"/>
            <w:hideMark/>
          </w:tcPr>
          <w:p w14:paraId="34E28CB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Externo</w:t>
            </w:r>
          </w:p>
        </w:tc>
        <w:tc>
          <w:tcPr>
            <w:tcW w:w="376" w:type="dxa"/>
            <w:noWrap/>
            <w:textDirection w:val="btLr"/>
            <w:vAlign w:val="center"/>
            <w:hideMark/>
          </w:tcPr>
          <w:p w14:paraId="723CB89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1E828BF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Económico</w:t>
            </w:r>
          </w:p>
        </w:tc>
        <w:tc>
          <w:tcPr>
            <w:tcW w:w="1768" w:type="dxa"/>
            <w:vAlign w:val="center"/>
            <w:hideMark/>
          </w:tcPr>
          <w:p w14:paraId="113F659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bCs/>
                <w:kern w:val="3"/>
                <w:sz w:val="20"/>
                <w:szCs w:val="20"/>
                <w:lang w:eastAsia="zh-CN" w:bidi="hi-IN"/>
              </w:rPr>
              <w:t>Escasez de cualquier tipo de material o insumo para la ejecución de la obra</w:t>
            </w:r>
            <w:r w:rsidRPr="00061F93">
              <w:rPr>
                <w:rFonts w:ascii="Arial" w:eastAsia="SimSun" w:hAnsi="Arial" w:cs="Arial"/>
                <w:kern w:val="3"/>
                <w:sz w:val="20"/>
                <w:szCs w:val="20"/>
                <w:lang w:eastAsia="zh-CN" w:bidi="hi-IN"/>
              </w:rPr>
              <w:t>.</w:t>
            </w:r>
          </w:p>
        </w:tc>
        <w:tc>
          <w:tcPr>
            <w:tcW w:w="1162" w:type="dxa"/>
            <w:vAlign w:val="center"/>
            <w:hideMark/>
          </w:tcPr>
          <w:p w14:paraId="4829C8F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Impacto negativo en el desarrollo del objeto contractual, retrasos en la ejecución del proyecto.</w:t>
            </w:r>
          </w:p>
        </w:tc>
        <w:tc>
          <w:tcPr>
            <w:tcW w:w="376" w:type="dxa"/>
            <w:noWrap/>
            <w:vAlign w:val="center"/>
            <w:hideMark/>
          </w:tcPr>
          <w:p w14:paraId="060FADE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228E7E2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4F89BFA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4</w:t>
            </w:r>
          </w:p>
        </w:tc>
        <w:tc>
          <w:tcPr>
            <w:tcW w:w="763" w:type="dxa"/>
            <w:vAlign w:val="center"/>
            <w:hideMark/>
          </w:tcPr>
          <w:p w14:paraId="728B748A"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Bajo</w:t>
            </w:r>
          </w:p>
        </w:tc>
        <w:tc>
          <w:tcPr>
            <w:tcW w:w="1274" w:type="dxa"/>
            <w:vAlign w:val="center"/>
            <w:hideMark/>
          </w:tcPr>
          <w:p w14:paraId="6B02B56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w:t>
            </w:r>
          </w:p>
        </w:tc>
        <w:tc>
          <w:tcPr>
            <w:tcW w:w="1848" w:type="dxa"/>
            <w:vAlign w:val="center"/>
            <w:hideMark/>
          </w:tcPr>
          <w:p w14:paraId="61F670E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4656668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Recopilación de datos estadísticos e información de disponibilidad de materiales en la zona del proyecto, e insumos, durante la etapa precontractual y contractual</w:t>
            </w:r>
          </w:p>
        </w:tc>
      </w:tr>
      <w:tr w:rsidR="00061F93" w:rsidRPr="00061F93" w14:paraId="25E53C20" w14:textId="77777777" w:rsidTr="00061F93">
        <w:trPr>
          <w:trHeight w:val="745"/>
          <w:jc w:val="center"/>
        </w:trPr>
        <w:tc>
          <w:tcPr>
            <w:tcW w:w="376" w:type="dxa"/>
            <w:noWrap/>
            <w:vAlign w:val="center"/>
            <w:hideMark/>
          </w:tcPr>
          <w:p w14:paraId="19109E9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5</w:t>
            </w:r>
          </w:p>
        </w:tc>
        <w:tc>
          <w:tcPr>
            <w:tcW w:w="376" w:type="dxa"/>
            <w:noWrap/>
            <w:textDirection w:val="btLr"/>
            <w:vAlign w:val="center"/>
            <w:hideMark/>
          </w:tcPr>
          <w:p w14:paraId="2DA01C6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General</w:t>
            </w:r>
          </w:p>
        </w:tc>
        <w:tc>
          <w:tcPr>
            <w:tcW w:w="376" w:type="dxa"/>
            <w:noWrap/>
            <w:textDirection w:val="btLr"/>
            <w:vAlign w:val="center"/>
            <w:hideMark/>
          </w:tcPr>
          <w:p w14:paraId="726DB12B"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Externo</w:t>
            </w:r>
          </w:p>
        </w:tc>
        <w:tc>
          <w:tcPr>
            <w:tcW w:w="376" w:type="dxa"/>
            <w:noWrap/>
            <w:textDirection w:val="btLr"/>
            <w:vAlign w:val="center"/>
            <w:hideMark/>
          </w:tcPr>
          <w:p w14:paraId="7532A91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textDirection w:val="btLr"/>
            <w:vAlign w:val="center"/>
            <w:hideMark/>
          </w:tcPr>
          <w:p w14:paraId="338DDBE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Operacional - Social</w:t>
            </w:r>
          </w:p>
        </w:tc>
        <w:tc>
          <w:tcPr>
            <w:tcW w:w="1768" w:type="dxa"/>
            <w:vAlign w:val="center"/>
            <w:hideMark/>
          </w:tcPr>
          <w:p w14:paraId="643A133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bCs/>
                <w:kern w:val="3"/>
                <w:sz w:val="20"/>
                <w:szCs w:val="20"/>
                <w:lang w:eastAsia="zh-CN" w:bidi="hi-IN"/>
              </w:rPr>
              <w:t xml:space="preserve">Cambio en la ubicación de las obras menores. </w:t>
            </w:r>
            <w:r w:rsidRPr="00061F93">
              <w:rPr>
                <w:rFonts w:ascii="Arial" w:eastAsia="SimSun" w:hAnsi="Arial" w:cs="Arial"/>
                <w:kern w:val="3"/>
                <w:sz w:val="20"/>
                <w:szCs w:val="20"/>
                <w:lang w:eastAsia="zh-CN" w:bidi="hi-IN"/>
              </w:rPr>
              <w:t xml:space="preserve">Se refiere a solicitudes realizadas por Autoridades Municipales, usuarios o vecinos de la carretera invocando derechos de petición u otras </w:t>
            </w:r>
            <w:r w:rsidRPr="00061F93">
              <w:rPr>
                <w:rFonts w:ascii="Arial" w:eastAsia="SimSun" w:hAnsi="Arial" w:cs="Arial"/>
                <w:kern w:val="3"/>
                <w:sz w:val="20"/>
                <w:szCs w:val="20"/>
                <w:lang w:eastAsia="zh-CN" w:bidi="hi-IN"/>
              </w:rPr>
              <w:lastRenderedPageBreak/>
              <w:t>herramientas legales.</w:t>
            </w:r>
          </w:p>
        </w:tc>
        <w:tc>
          <w:tcPr>
            <w:tcW w:w="1162" w:type="dxa"/>
            <w:vAlign w:val="center"/>
            <w:hideMark/>
          </w:tcPr>
          <w:p w14:paraId="22FF3CA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Ajustes en la programación de obras y eventual generación de mayores costos al proyecto.</w:t>
            </w:r>
          </w:p>
        </w:tc>
        <w:tc>
          <w:tcPr>
            <w:tcW w:w="376" w:type="dxa"/>
            <w:noWrap/>
            <w:vAlign w:val="center"/>
            <w:hideMark/>
          </w:tcPr>
          <w:p w14:paraId="34C7BF0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6DF8EF0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01F7885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4</w:t>
            </w:r>
          </w:p>
        </w:tc>
        <w:tc>
          <w:tcPr>
            <w:tcW w:w="763" w:type="dxa"/>
            <w:vAlign w:val="center"/>
            <w:hideMark/>
          </w:tcPr>
          <w:p w14:paraId="1036112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Bajo</w:t>
            </w:r>
          </w:p>
        </w:tc>
        <w:tc>
          <w:tcPr>
            <w:tcW w:w="1274" w:type="dxa"/>
            <w:vAlign w:val="center"/>
            <w:hideMark/>
          </w:tcPr>
          <w:p w14:paraId="053CCAB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848" w:type="dxa"/>
            <w:vAlign w:val="center"/>
            <w:hideMark/>
          </w:tcPr>
          <w:p w14:paraId="08393B7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w:t>
            </w:r>
          </w:p>
        </w:tc>
        <w:tc>
          <w:tcPr>
            <w:tcW w:w="1554" w:type="dxa"/>
            <w:vAlign w:val="center"/>
            <w:hideMark/>
          </w:tcPr>
          <w:p w14:paraId="16AA7F6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Efectuar la socialización del proyecto, para conocimiento de autoridades y comunidad. Control y Gestión con los solicitantes, para que los cambios en la ubicación de obras menores </w:t>
            </w:r>
            <w:r w:rsidRPr="00061F93">
              <w:rPr>
                <w:rFonts w:ascii="Arial" w:eastAsia="SimSun" w:hAnsi="Arial" w:cs="Arial"/>
                <w:kern w:val="3"/>
                <w:sz w:val="20"/>
                <w:szCs w:val="20"/>
                <w:lang w:eastAsia="zh-CN" w:bidi="hi-IN"/>
              </w:rPr>
              <w:lastRenderedPageBreak/>
              <w:t>afecten en menor medida o no afecten las previsiones del proyecto tanto técnicas, como en costos y tiempo. Seguimiento a la ejecución del contrato, incrementando inspecciones y revisiones para asegurar el cumplimiento del mismo.</w:t>
            </w:r>
          </w:p>
        </w:tc>
      </w:tr>
      <w:tr w:rsidR="00061F93" w:rsidRPr="00061F93" w14:paraId="379B6229" w14:textId="77777777" w:rsidTr="00061F93">
        <w:trPr>
          <w:trHeight w:val="1637"/>
          <w:jc w:val="center"/>
        </w:trPr>
        <w:tc>
          <w:tcPr>
            <w:tcW w:w="376" w:type="dxa"/>
            <w:noWrap/>
            <w:vAlign w:val="center"/>
            <w:hideMark/>
          </w:tcPr>
          <w:p w14:paraId="66405E9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6</w:t>
            </w:r>
          </w:p>
        </w:tc>
        <w:tc>
          <w:tcPr>
            <w:tcW w:w="376" w:type="dxa"/>
            <w:noWrap/>
            <w:textDirection w:val="btLr"/>
            <w:vAlign w:val="center"/>
            <w:hideMark/>
          </w:tcPr>
          <w:p w14:paraId="4E79547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General</w:t>
            </w:r>
          </w:p>
        </w:tc>
        <w:tc>
          <w:tcPr>
            <w:tcW w:w="376" w:type="dxa"/>
            <w:noWrap/>
            <w:textDirection w:val="btLr"/>
            <w:vAlign w:val="center"/>
            <w:hideMark/>
          </w:tcPr>
          <w:p w14:paraId="1FAB41DD"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Externo </w:t>
            </w:r>
          </w:p>
        </w:tc>
        <w:tc>
          <w:tcPr>
            <w:tcW w:w="376" w:type="dxa"/>
            <w:noWrap/>
            <w:textDirection w:val="btLr"/>
            <w:vAlign w:val="center"/>
            <w:hideMark/>
          </w:tcPr>
          <w:p w14:paraId="080A77D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14A3D0D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Sociales o Políticos</w:t>
            </w:r>
          </w:p>
        </w:tc>
        <w:tc>
          <w:tcPr>
            <w:tcW w:w="1768" w:type="dxa"/>
            <w:vAlign w:val="center"/>
            <w:hideMark/>
          </w:tcPr>
          <w:p w14:paraId="6B9087B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Orden público: Posible ocurrencia de actos terroristas, paros, huelgas y demás que afecten el orden público. El nivel de asunción del riesgo para cada parte dependerá de la responsabilidad que ésta tenga frente al evento en particular que se presente, en armonía con la constitución y las leyes colombianas </w:t>
            </w:r>
            <w:r w:rsidRPr="00061F93">
              <w:rPr>
                <w:rFonts w:ascii="Arial" w:eastAsia="SimSun" w:hAnsi="Arial" w:cs="Arial"/>
                <w:kern w:val="3"/>
                <w:sz w:val="20"/>
                <w:szCs w:val="20"/>
                <w:lang w:eastAsia="zh-CN" w:bidi="hi-IN"/>
              </w:rPr>
              <w:lastRenderedPageBreak/>
              <w:t>(Municipio de Supia, Caldas, como órgano del Estado en armonía con los demás Entes).</w:t>
            </w:r>
          </w:p>
        </w:tc>
        <w:tc>
          <w:tcPr>
            <w:tcW w:w="1162" w:type="dxa"/>
            <w:vAlign w:val="center"/>
            <w:hideMark/>
          </w:tcPr>
          <w:p w14:paraId="22B4A5F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Pérdida de Bienes del contratista, daños en obras del proyecto causadas por disturbios violentos, Interferencia en el desarrollo del proyecto.</w:t>
            </w:r>
          </w:p>
        </w:tc>
        <w:tc>
          <w:tcPr>
            <w:tcW w:w="376" w:type="dxa"/>
            <w:noWrap/>
            <w:vAlign w:val="center"/>
            <w:hideMark/>
          </w:tcPr>
          <w:p w14:paraId="074EFCA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7C3E331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3</w:t>
            </w:r>
          </w:p>
        </w:tc>
        <w:tc>
          <w:tcPr>
            <w:tcW w:w="376" w:type="dxa"/>
            <w:noWrap/>
            <w:vAlign w:val="center"/>
            <w:hideMark/>
          </w:tcPr>
          <w:p w14:paraId="793A85D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5</w:t>
            </w:r>
          </w:p>
        </w:tc>
        <w:tc>
          <w:tcPr>
            <w:tcW w:w="763" w:type="dxa"/>
            <w:vAlign w:val="center"/>
            <w:hideMark/>
          </w:tcPr>
          <w:p w14:paraId="552E7C6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Medio</w:t>
            </w:r>
          </w:p>
        </w:tc>
        <w:tc>
          <w:tcPr>
            <w:tcW w:w="1274" w:type="dxa"/>
            <w:vAlign w:val="center"/>
            <w:hideMark/>
          </w:tcPr>
          <w:p w14:paraId="736649E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848" w:type="dxa"/>
            <w:vAlign w:val="center"/>
            <w:hideMark/>
          </w:tcPr>
          <w:p w14:paraId="362E641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2CC25DF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Información sobre orden público en la zona de trabajo a cargo del Contratista, solicitud de Gestión Gubernamental para solución de conflicto a cargo de las partes, aseguramiento de bienes por parte del contratista, medidas de contingencia para superar atrasos.</w:t>
            </w:r>
          </w:p>
        </w:tc>
      </w:tr>
      <w:tr w:rsidR="00061F93" w:rsidRPr="00061F93" w14:paraId="4A6642A6" w14:textId="77777777" w:rsidTr="00061F93">
        <w:trPr>
          <w:trHeight w:val="1737"/>
          <w:jc w:val="center"/>
        </w:trPr>
        <w:tc>
          <w:tcPr>
            <w:tcW w:w="376" w:type="dxa"/>
            <w:noWrap/>
            <w:vAlign w:val="center"/>
            <w:hideMark/>
          </w:tcPr>
          <w:p w14:paraId="5F1196C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7</w:t>
            </w:r>
          </w:p>
        </w:tc>
        <w:tc>
          <w:tcPr>
            <w:tcW w:w="376" w:type="dxa"/>
            <w:noWrap/>
            <w:textDirection w:val="btLr"/>
            <w:vAlign w:val="center"/>
            <w:hideMark/>
          </w:tcPr>
          <w:p w14:paraId="40D2795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General</w:t>
            </w:r>
          </w:p>
        </w:tc>
        <w:tc>
          <w:tcPr>
            <w:tcW w:w="376" w:type="dxa"/>
            <w:noWrap/>
            <w:textDirection w:val="btLr"/>
            <w:vAlign w:val="center"/>
            <w:hideMark/>
          </w:tcPr>
          <w:p w14:paraId="6585835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Interno</w:t>
            </w:r>
          </w:p>
        </w:tc>
        <w:tc>
          <w:tcPr>
            <w:tcW w:w="376" w:type="dxa"/>
            <w:noWrap/>
            <w:textDirection w:val="btLr"/>
            <w:vAlign w:val="center"/>
            <w:hideMark/>
          </w:tcPr>
          <w:p w14:paraId="4E0BF20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3B4FC49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Operacional</w:t>
            </w:r>
          </w:p>
        </w:tc>
        <w:tc>
          <w:tcPr>
            <w:tcW w:w="1768" w:type="dxa"/>
            <w:vAlign w:val="center"/>
            <w:hideMark/>
          </w:tcPr>
          <w:p w14:paraId="7E359F7B"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bCs/>
                <w:kern w:val="3"/>
                <w:sz w:val="20"/>
                <w:szCs w:val="20"/>
                <w:lang w:eastAsia="zh-CN" w:bidi="hi-IN"/>
              </w:rPr>
              <w:t>Accidentalidad:</w:t>
            </w:r>
            <w:r w:rsidRPr="00061F93">
              <w:rPr>
                <w:rFonts w:ascii="Arial" w:eastAsia="SimSun" w:hAnsi="Arial" w:cs="Arial"/>
                <w:b/>
                <w:bCs/>
                <w:kern w:val="3"/>
                <w:sz w:val="20"/>
                <w:szCs w:val="20"/>
                <w:lang w:eastAsia="zh-CN" w:bidi="hi-IN"/>
              </w:rPr>
              <w:t xml:space="preserve"> </w:t>
            </w:r>
            <w:r w:rsidRPr="00061F93">
              <w:rPr>
                <w:rFonts w:ascii="Arial" w:eastAsia="SimSun" w:hAnsi="Arial" w:cs="Arial"/>
                <w:kern w:val="3"/>
                <w:sz w:val="20"/>
                <w:szCs w:val="20"/>
                <w:lang w:eastAsia="zh-CN" w:bidi="hi-IN"/>
              </w:rPr>
              <w:t>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trabajadores, etc., por parte del CONTRATISTA.</w:t>
            </w:r>
          </w:p>
        </w:tc>
        <w:tc>
          <w:tcPr>
            <w:tcW w:w="1162" w:type="dxa"/>
            <w:vAlign w:val="center"/>
            <w:hideMark/>
          </w:tcPr>
          <w:p w14:paraId="6A342E9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Impacto Negativo en el proyecto por la probable ocurrencia de accidentes de usuarios de la vía y trabajadores de la obra, Inconformidad con la obra por parte de la comunidad.</w:t>
            </w:r>
          </w:p>
        </w:tc>
        <w:tc>
          <w:tcPr>
            <w:tcW w:w="376" w:type="dxa"/>
            <w:noWrap/>
            <w:vAlign w:val="center"/>
            <w:hideMark/>
          </w:tcPr>
          <w:p w14:paraId="6EEC28E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3</w:t>
            </w:r>
          </w:p>
        </w:tc>
        <w:tc>
          <w:tcPr>
            <w:tcW w:w="376" w:type="dxa"/>
            <w:noWrap/>
            <w:vAlign w:val="center"/>
            <w:hideMark/>
          </w:tcPr>
          <w:p w14:paraId="74E9FBC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4F6D2E2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5</w:t>
            </w:r>
          </w:p>
        </w:tc>
        <w:tc>
          <w:tcPr>
            <w:tcW w:w="763" w:type="dxa"/>
            <w:vAlign w:val="center"/>
            <w:hideMark/>
          </w:tcPr>
          <w:p w14:paraId="2A9069C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Medio</w:t>
            </w:r>
          </w:p>
        </w:tc>
        <w:tc>
          <w:tcPr>
            <w:tcW w:w="1274" w:type="dxa"/>
            <w:vAlign w:val="center"/>
            <w:hideMark/>
          </w:tcPr>
          <w:p w14:paraId="0137E34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w:t>
            </w:r>
          </w:p>
        </w:tc>
        <w:tc>
          <w:tcPr>
            <w:tcW w:w="1848" w:type="dxa"/>
            <w:vAlign w:val="center"/>
            <w:hideMark/>
          </w:tcPr>
          <w:p w14:paraId="58179DD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1D0E588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El Interventor debe exigir el estricto cumplimiento de la normatividad vigente sobre señalización temporal de obras, y seguridad industrial, verificar permanentemente su implementación, recurrir a medidas sancionatorias contractuales de ser necesario. Seguimiento por parte de la Entidad en visitas técnicas. </w:t>
            </w:r>
          </w:p>
        </w:tc>
      </w:tr>
      <w:tr w:rsidR="00061F93" w:rsidRPr="00061F93" w14:paraId="677CF75F" w14:textId="77777777" w:rsidTr="00061F93">
        <w:trPr>
          <w:trHeight w:val="1425"/>
          <w:jc w:val="center"/>
        </w:trPr>
        <w:tc>
          <w:tcPr>
            <w:tcW w:w="376" w:type="dxa"/>
            <w:noWrap/>
            <w:vAlign w:val="center"/>
            <w:hideMark/>
          </w:tcPr>
          <w:p w14:paraId="5017C8D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8</w:t>
            </w:r>
          </w:p>
        </w:tc>
        <w:tc>
          <w:tcPr>
            <w:tcW w:w="376" w:type="dxa"/>
            <w:noWrap/>
            <w:textDirection w:val="btLr"/>
            <w:vAlign w:val="center"/>
            <w:hideMark/>
          </w:tcPr>
          <w:p w14:paraId="3B801D6B"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General</w:t>
            </w:r>
          </w:p>
        </w:tc>
        <w:tc>
          <w:tcPr>
            <w:tcW w:w="376" w:type="dxa"/>
            <w:noWrap/>
            <w:textDirection w:val="btLr"/>
            <w:vAlign w:val="center"/>
            <w:hideMark/>
          </w:tcPr>
          <w:p w14:paraId="3CF578C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Interno</w:t>
            </w:r>
          </w:p>
        </w:tc>
        <w:tc>
          <w:tcPr>
            <w:tcW w:w="376" w:type="dxa"/>
            <w:noWrap/>
            <w:textDirection w:val="btLr"/>
            <w:vAlign w:val="center"/>
            <w:hideMark/>
          </w:tcPr>
          <w:p w14:paraId="3026204A"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41B175B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Operacional</w:t>
            </w:r>
          </w:p>
        </w:tc>
        <w:tc>
          <w:tcPr>
            <w:tcW w:w="1768" w:type="dxa"/>
            <w:vAlign w:val="center"/>
            <w:hideMark/>
          </w:tcPr>
          <w:p w14:paraId="4FFF096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bCs/>
                <w:kern w:val="3"/>
                <w:sz w:val="20"/>
                <w:szCs w:val="20"/>
                <w:lang w:eastAsia="zh-CN" w:bidi="hi-IN"/>
              </w:rPr>
              <w:t>Por Revisión de Obras y/o Ajuste y/o Actualización y/o Unificación y/o Modificación de estudios y diseños y/o elaboración de estudios complementarios realizados por el Contratista:</w:t>
            </w:r>
            <w:r w:rsidRPr="00061F93">
              <w:rPr>
                <w:rFonts w:ascii="Arial" w:eastAsia="SimSun" w:hAnsi="Arial" w:cs="Arial"/>
                <w:kern w:val="3"/>
                <w:sz w:val="20"/>
                <w:szCs w:val="20"/>
                <w:lang w:eastAsia="zh-CN" w:bidi="hi-IN"/>
              </w:rPr>
              <w:t xml:space="preserve"> Ocurre cuando se presentan efectos originados por revisiones adicionales de obras necesarias, cambios o actualización de los estudios y/o diseños definitivos necesarios para la correcta ejecución y operación de las obras.</w:t>
            </w:r>
          </w:p>
        </w:tc>
        <w:tc>
          <w:tcPr>
            <w:tcW w:w="1162" w:type="dxa"/>
            <w:vAlign w:val="center"/>
            <w:hideMark/>
          </w:tcPr>
          <w:p w14:paraId="0619DA7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Retrasos en el cronograma de ejecución, variación de algunas obras del contrato y por ende de cantidades de obra.</w:t>
            </w:r>
          </w:p>
        </w:tc>
        <w:tc>
          <w:tcPr>
            <w:tcW w:w="376" w:type="dxa"/>
            <w:noWrap/>
            <w:vAlign w:val="center"/>
            <w:hideMark/>
          </w:tcPr>
          <w:p w14:paraId="28DFCE3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3</w:t>
            </w:r>
          </w:p>
        </w:tc>
        <w:tc>
          <w:tcPr>
            <w:tcW w:w="376" w:type="dxa"/>
            <w:noWrap/>
            <w:vAlign w:val="center"/>
            <w:hideMark/>
          </w:tcPr>
          <w:p w14:paraId="2CF707E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1BF6B5F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5</w:t>
            </w:r>
          </w:p>
        </w:tc>
        <w:tc>
          <w:tcPr>
            <w:tcW w:w="763" w:type="dxa"/>
            <w:vAlign w:val="center"/>
            <w:hideMark/>
          </w:tcPr>
          <w:p w14:paraId="62AF42B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Medio</w:t>
            </w:r>
          </w:p>
        </w:tc>
        <w:tc>
          <w:tcPr>
            <w:tcW w:w="1274" w:type="dxa"/>
            <w:vAlign w:val="center"/>
            <w:hideMark/>
          </w:tcPr>
          <w:p w14:paraId="789EF74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 </w:t>
            </w:r>
          </w:p>
        </w:tc>
        <w:tc>
          <w:tcPr>
            <w:tcW w:w="1848" w:type="dxa"/>
            <w:vAlign w:val="center"/>
            <w:hideMark/>
          </w:tcPr>
          <w:p w14:paraId="0580B98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365B4BF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Realizar una interventoría adecuada durante la etapa de Ajuste y/0 Actualización y/o Unificación y/o Modificación de estudios y diseños y/o elaboración de estudios complementarios para evitar cambios que impacten negativamente el proyecto. </w:t>
            </w:r>
            <w:r w:rsidRPr="00061F93">
              <w:rPr>
                <w:rFonts w:ascii="Arial" w:eastAsia="SimSun" w:hAnsi="Arial" w:cs="Arial"/>
                <w:kern w:val="3"/>
                <w:sz w:val="20"/>
                <w:szCs w:val="20"/>
                <w:lang w:eastAsia="zh-CN" w:bidi="hi-IN"/>
              </w:rPr>
              <w:br/>
              <w:t>Realizar las consultas pertinentes y oportunas cuando se encuentren diferencias o inconsistencias en los diseños.</w:t>
            </w:r>
          </w:p>
        </w:tc>
      </w:tr>
      <w:tr w:rsidR="00061F93" w:rsidRPr="00061F93" w14:paraId="5B26B0E9" w14:textId="77777777" w:rsidTr="00061F93">
        <w:trPr>
          <w:trHeight w:val="319"/>
          <w:jc w:val="center"/>
        </w:trPr>
        <w:tc>
          <w:tcPr>
            <w:tcW w:w="376" w:type="dxa"/>
            <w:noWrap/>
            <w:vAlign w:val="center"/>
            <w:hideMark/>
          </w:tcPr>
          <w:p w14:paraId="402AF8C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9</w:t>
            </w:r>
          </w:p>
        </w:tc>
        <w:tc>
          <w:tcPr>
            <w:tcW w:w="376" w:type="dxa"/>
            <w:noWrap/>
            <w:textDirection w:val="btLr"/>
            <w:vAlign w:val="center"/>
            <w:hideMark/>
          </w:tcPr>
          <w:p w14:paraId="4B96375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Especifico</w:t>
            </w:r>
          </w:p>
        </w:tc>
        <w:tc>
          <w:tcPr>
            <w:tcW w:w="376" w:type="dxa"/>
            <w:noWrap/>
            <w:textDirection w:val="btLr"/>
            <w:vAlign w:val="center"/>
            <w:hideMark/>
          </w:tcPr>
          <w:p w14:paraId="5CD5F10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Interno</w:t>
            </w:r>
          </w:p>
        </w:tc>
        <w:tc>
          <w:tcPr>
            <w:tcW w:w="376" w:type="dxa"/>
            <w:noWrap/>
            <w:textDirection w:val="btLr"/>
            <w:vAlign w:val="center"/>
            <w:hideMark/>
          </w:tcPr>
          <w:p w14:paraId="168C6D0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243EF34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Operacional</w:t>
            </w:r>
          </w:p>
        </w:tc>
        <w:tc>
          <w:tcPr>
            <w:tcW w:w="1768" w:type="dxa"/>
            <w:vAlign w:val="center"/>
            <w:hideMark/>
          </w:tcPr>
          <w:p w14:paraId="1E07561D"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bCs/>
                <w:kern w:val="3"/>
                <w:sz w:val="20"/>
                <w:szCs w:val="20"/>
                <w:lang w:eastAsia="zh-CN" w:bidi="hi-IN"/>
              </w:rPr>
              <w:t>Ejecución de mayores cantidades de obra no autorizadas, por materiales y/o procedimientos constructivos inadecuados, y/o</w:t>
            </w:r>
            <w:r w:rsidRPr="00061F93">
              <w:rPr>
                <w:rFonts w:ascii="Arial" w:eastAsia="SimSun" w:hAnsi="Arial" w:cs="Arial"/>
                <w:kern w:val="3"/>
                <w:sz w:val="20"/>
                <w:szCs w:val="20"/>
                <w:lang w:eastAsia="zh-CN" w:bidi="hi-IN"/>
              </w:rPr>
              <w:t xml:space="preserve"> </w:t>
            </w:r>
            <w:r w:rsidRPr="00061F93">
              <w:rPr>
                <w:rFonts w:ascii="Arial" w:eastAsia="SimSun" w:hAnsi="Arial" w:cs="Arial"/>
                <w:kern w:val="3"/>
                <w:sz w:val="20"/>
                <w:szCs w:val="20"/>
                <w:lang w:eastAsia="zh-CN" w:bidi="hi-IN"/>
              </w:rPr>
              <w:lastRenderedPageBreak/>
              <w:t xml:space="preserve">por deficiente programación de ejecución de las obras. </w:t>
            </w:r>
          </w:p>
        </w:tc>
        <w:tc>
          <w:tcPr>
            <w:tcW w:w="1162" w:type="dxa"/>
            <w:vAlign w:val="center"/>
            <w:hideMark/>
          </w:tcPr>
          <w:p w14:paraId="1A7F6B4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 xml:space="preserve">Demora en la ejecución de la obra por correctivos necesarios. </w:t>
            </w:r>
          </w:p>
        </w:tc>
        <w:tc>
          <w:tcPr>
            <w:tcW w:w="376" w:type="dxa"/>
            <w:noWrap/>
            <w:vAlign w:val="center"/>
            <w:hideMark/>
          </w:tcPr>
          <w:p w14:paraId="25436D5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26C687B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29501FB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4</w:t>
            </w:r>
          </w:p>
        </w:tc>
        <w:tc>
          <w:tcPr>
            <w:tcW w:w="763" w:type="dxa"/>
            <w:vAlign w:val="center"/>
            <w:hideMark/>
          </w:tcPr>
          <w:p w14:paraId="01DC77F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Bajo</w:t>
            </w:r>
          </w:p>
        </w:tc>
        <w:tc>
          <w:tcPr>
            <w:tcW w:w="1274" w:type="dxa"/>
            <w:vAlign w:val="center"/>
            <w:hideMark/>
          </w:tcPr>
          <w:p w14:paraId="01F3B83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w:t>
            </w:r>
          </w:p>
        </w:tc>
        <w:tc>
          <w:tcPr>
            <w:tcW w:w="1848" w:type="dxa"/>
            <w:vAlign w:val="center"/>
            <w:hideMark/>
          </w:tcPr>
          <w:p w14:paraId="7DEFF71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79E82D8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Interventoría permanente en la ejecución de las obras, para controlar obras autorizadas, materiales, procedimientos constructivos, </w:t>
            </w:r>
            <w:r w:rsidRPr="00061F93">
              <w:rPr>
                <w:rFonts w:ascii="Arial" w:eastAsia="SimSun" w:hAnsi="Arial" w:cs="Arial"/>
                <w:kern w:val="3"/>
                <w:sz w:val="20"/>
                <w:szCs w:val="20"/>
                <w:lang w:eastAsia="zh-CN" w:bidi="hi-IN"/>
              </w:rPr>
              <w:lastRenderedPageBreak/>
              <w:t xml:space="preserve">ajustados a las obras requeridas y especificaciones técnicas contractuales. </w:t>
            </w:r>
          </w:p>
        </w:tc>
      </w:tr>
      <w:tr w:rsidR="00061F93" w:rsidRPr="00061F93" w14:paraId="4ACFED4C" w14:textId="77777777" w:rsidTr="00061F93">
        <w:trPr>
          <w:trHeight w:val="278"/>
          <w:jc w:val="center"/>
        </w:trPr>
        <w:tc>
          <w:tcPr>
            <w:tcW w:w="376" w:type="dxa"/>
            <w:noWrap/>
            <w:vAlign w:val="center"/>
            <w:hideMark/>
          </w:tcPr>
          <w:p w14:paraId="765DCF0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10</w:t>
            </w:r>
          </w:p>
        </w:tc>
        <w:tc>
          <w:tcPr>
            <w:tcW w:w="376" w:type="dxa"/>
            <w:noWrap/>
            <w:textDirection w:val="btLr"/>
            <w:vAlign w:val="center"/>
            <w:hideMark/>
          </w:tcPr>
          <w:p w14:paraId="07DB5CF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Especifico</w:t>
            </w:r>
          </w:p>
        </w:tc>
        <w:tc>
          <w:tcPr>
            <w:tcW w:w="376" w:type="dxa"/>
            <w:noWrap/>
            <w:textDirection w:val="btLr"/>
            <w:vAlign w:val="center"/>
            <w:hideMark/>
          </w:tcPr>
          <w:p w14:paraId="05893B8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Interno</w:t>
            </w:r>
          </w:p>
        </w:tc>
        <w:tc>
          <w:tcPr>
            <w:tcW w:w="376" w:type="dxa"/>
            <w:noWrap/>
            <w:textDirection w:val="btLr"/>
            <w:vAlign w:val="center"/>
            <w:hideMark/>
          </w:tcPr>
          <w:p w14:paraId="7CBD89C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0E5C5C8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Operacional</w:t>
            </w:r>
          </w:p>
        </w:tc>
        <w:tc>
          <w:tcPr>
            <w:tcW w:w="1768" w:type="dxa"/>
            <w:vAlign w:val="center"/>
            <w:hideMark/>
          </w:tcPr>
          <w:p w14:paraId="0857A0C3" w14:textId="77777777" w:rsidR="00061F93" w:rsidRPr="00061F93" w:rsidRDefault="00061F93" w:rsidP="00061F93">
            <w:pPr>
              <w:spacing w:after="100" w:afterAutospacing="1"/>
              <w:jc w:val="left"/>
              <w:rPr>
                <w:rFonts w:ascii="Arial" w:eastAsia="SimSun" w:hAnsi="Arial" w:cs="Arial"/>
                <w:bCs/>
                <w:kern w:val="3"/>
                <w:sz w:val="20"/>
                <w:szCs w:val="20"/>
                <w:lang w:eastAsia="zh-CN" w:bidi="hi-IN"/>
              </w:rPr>
            </w:pPr>
            <w:r w:rsidRPr="00061F93">
              <w:rPr>
                <w:rFonts w:ascii="Arial" w:eastAsia="SimSun" w:hAnsi="Arial" w:cs="Arial"/>
                <w:bCs/>
                <w:kern w:val="3"/>
                <w:sz w:val="20"/>
                <w:szCs w:val="20"/>
                <w:lang w:eastAsia="zh-CN" w:bidi="hi-IN"/>
              </w:rPr>
              <w:t>Ejecución de mayores cantidades de obra por reparaciones El Municipio de Supia, Caldas, asume las variaciones de las cantidades de obra técnicamente requeridas para la ejecución del proyecto y el Contratista asume el riesgo de ejecutar las cantidades de obra en las variaciones que sean necesarias sin afectar el plazo del contrato.</w:t>
            </w:r>
          </w:p>
        </w:tc>
        <w:tc>
          <w:tcPr>
            <w:tcW w:w="1162" w:type="dxa"/>
            <w:vAlign w:val="center"/>
            <w:hideMark/>
          </w:tcPr>
          <w:p w14:paraId="24BEFEE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Genera variación de las cantidades de obra previstas inicialmente por necesidades de reparaciones, siendo necesario ajustes al balance de cantidades de obra, para ceñirse al presupuesto contractual.</w:t>
            </w:r>
          </w:p>
        </w:tc>
        <w:tc>
          <w:tcPr>
            <w:tcW w:w="376" w:type="dxa"/>
            <w:noWrap/>
            <w:vAlign w:val="center"/>
            <w:hideMark/>
          </w:tcPr>
          <w:p w14:paraId="4E45C83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3</w:t>
            </w:r>
          </w:p>
        </w:tc>
        <w:tc>
          <w:tcPr>
            <w:tcW w:w="376" w:type="dxa"/>
            <w:noWrap/>
            <w:vAlign w:val="center"/>
            <w:hideMark/>
          </w:tcPr>
          <w:p w14:paraId="661FFB0A"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73EEACE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5</w:t>
            </w:r>
          </w:p>
        </w:tc>
        <w:tc>
          <w:tcPr>
            <w:tcW w:w="763" w:type="dxa"/>
            <w:vAlign w:val="center"/>
            <w:hideMark/>
          </w:tcPr>
          <w:p w14:paraId="266B5CC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Medio</w:t>
            </w:r>
          </w:p>
        </w:tc>
        <w:tc>
          <w:tcPr>
            <w:tcW w:w="1274" w:type="dxa"/>
            <w:vAlign w:val="center"/>
            <w:hideMark/>
          </w:tcPr>
          <w:p w14:paraId="7FD30FBD"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848" w:type="dxa"/>
            <w:vAlign w:val="center"/>
            <w:hideMark/>
          </w:tcPr>
          <w:p w14:paraId="5F0FB08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77F345F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Se pagará a los precios de los </w:t>
            </w:r>
            <w:proofErr w:type="gramStart"/>
            <w:r w:rsidRPr="00061F93">
              <w:rPr>
                <w:rFonts w:ascii="Arial" w:eastAsia="SimSun" w:hAnsi="Arial" w:cs="Arial"/>
                <w:kern w:val="3"/>
                <w:sz w:val="20"/>
                <w:szCs w:val="20"/>
                <w:lang w:eastAsia="zh-CN" w:bidi="hi-IN"/>
              </w:rPr>
              <w:t>ítem contractuales</w:t>
            </w:r>
            <w:proofErr w:type="gramEnd"/>
            <w:r w:rsidRPr="00061F93">
              <w:rPr>
                <w:rFonts w:ascii="Arial" w:eastAsia="SimSun" w:hAnsi="Arial" w:cs="Arial"/>
                <w:kern w:val="3"/>
                <w:sz w:val="20"/>
                <w:szCs w:val="20"/>
                <w:lang w:eastAsia="zh-CN" w:bidi="hi-IN"/>
              </w:rPr>
              <w:t xml:space="preserve"> que se utilicen para su ejecución, esto es a los precios del concreto que se utilice, el acero que se utilice, el pavimento que se utilice y otros que sean requeridos</w:t>
            </w:r>
          </w:p>
        </w:tc>
      </w:tr>
      <w:tr w:rsidR="00061F93" w:rsidRPr="00061F93" w14:paraId="5A1E22E7" w14:textId="77777777" w:rsidTr="00061F93">
        <w:trPr>
          <w:trHeight w:val="959"/>
          <w:jc w:val="center"/>
        </w:trPr>
        <w:tc>
          <w:tcPr>
            <w:tcW w:w="376" w:type="dxa"/>
            <w:noWrap/>
            <w:vAlign w:val="center"/>
            <w:hideMark/>
          </w:tcPr>
          <w:p w14:paraId="25CF4B1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10</w:t>
            </w:r>
          </w:p>
        </w:tc>
        <w:tc>
          <w:tcPr>
            <w:tcW w:w="376" w:type="dxa"/>
            <w:noWrap/>
            <w:textDirection w:val="btLr"/>
            <w:vAlign w:val="center"/>
            <w:hideMark/>
          </w:tcPr>
          <w:p w14:paraId="1C7F5F1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Especifico</w:t>
            </w:r>
          </w:p>
        </w:tc>
        <w:tc>
          <w:tcPr>
            <w:tcW w:w="376" w:type="dxa"/>
            <w:noWrap/>
            <w:textDirection w:val="btLr"/>
            <w:vAlign w:val="center"/>
            <w:hideMark/>
          </w:tcPr>
          <w:p w14:paraId="5D7074C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Interno</w:t>
            </w:r>
          </w:p>
        </w:tc>
        <w:tc>
          <w:tcPr>
            <w:tcW w:w="376" w:type="dxa"/>
            <w:noWrap/>
            <w:textDirection w:val="btLr"/>
            <w:vAlign w:val="center"/>
            <w:hideMark/>
          </w:tcPr>
          <w:p w14:paraId="3E3D250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4AC2477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Operacional</w:t>
            </w:r>
          </w:p>
        </w:tc>
        <w:tc>
          <w:tcPr>
            <w:tcW w:w="1768" w:type="dxa"/>
            <w:vAlign w:val="center"/>
            <w:hideMark/>
          </w:tcPr>
          <w:p w14:paraId="1A3DB7B1" w14:textId="77777777" w:rsidR="00061F93" w:rsidRPr="00061F93" w:rsidRDefault="00061F93" w:rsidP="00061F93">
            <w:pPr>
              <w:spacing w:after="100" w:afterAutospacing="1"/>
              <w:jc w:val="left"/>
              <w:rPr>
                <w:rFonts w:ascii="Arial" w:eastAsia="SimSun" w:hAnsi="Arial" w:cs="Arial"/>
                <w:bCs/>
                <w:kern w:val="3"/>
                <w:sz w:val="20"/>
                <w:szCs w:val="20"/>
                <w:lang w:eastAsia="zh-CN" w:bidi="hi-IN"/>
              </w:rPr>
            </w:pPr>
            <w:r w:rsidRPr="00061F93">
              <w:rPr>
                <w:rFonts w:ascii="Arial" w:eastAsia="SimSun" w:hAnsi="Arial" w:cs="Arial"/>
                <w:bCs/>
                <w:kern w:val="3"/>
                <w:sz w:val="20"/>
                <w:szCs w:val="20"/>
                <w:lang w:eastAsia="zh-CN" w:bidi="hi-IN"/>
              </w:rPr>
              <w:t xml:space="preserve">Ejecución de mayores cantidades de obra por adecuaciones El Municipio de Supia, Caldas, </w:t>
            </w:r>
            <w:r w:rsidRPr="00061F93">
              <w:rPr>
                <w:rFonts w:ascii="Arial" w:eastAsia="SimSun" w:hAnsi="Arial" w:cs="Arial"/>
                <w:bCs/>
                <w:kern w:val="3"/>
                <w:sz w:val="20"/>
                <w:szCs w:val="20"/>
                <w:lang w:eastAsia="zh-CN" w:bidi="hi-IN"/>
              </w:rPr>
              <w:lastRenderedPageBreak/>
              <w:t>asume las variaciones de las cantidades de obra técnicamente requeridas para la ejecución del proyecto y el Contratista asume el riesgo de ejecutar las cantidades de obra en las variaciones que sean necesarias sin afectar el plazo del contrato.</w:t>
            </w:r>
          </w:p>
        </w:tc>
        <w:tc>
          <w:tcPr>
            <w:tcW w:w="1162" w:type="dxa"/>
            <w:vAlign w:val="center"/>
            <w:hideMark/>
          </w:tcPr>
          <w:p w14:paraId="4CBCD20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Genera variación de las cantidades de obra previstas inicialment</w:t>
            </w:r>
            <w:r w:rsidRPr="00061F93">
              <w:rPr>
                <w:rFonts w:ascii="Arial" w:eastAsia="SimSun" w:hAnsi="Arial" w:cs="Arial"/>
                <w:kern w:val="3"/>
                <w:sz w:val="20"/>
                <w:szCs w:val="20"/>
                <w:lang w:eastAsia="zh-CN" w:bidi="hi-IN"/>
              </w:rPr>
              <w:lastRenderedPageBreak/>
              <w:t>e por necesidades de adecuaciones, siendo necesario ajustes al balance de cantidades de obra, para ceñirse al presupuesto contractual.</w:t>
            </w:r>
          </w:p>
        </w:tc>
        <w:tc>
          <w:tcPr>
            <w:tcW w:w="376" w:type="dxa"/>
            <w:noWrap/>
            <w:vAlign w:val="center"/>
            <w:hideMark/>
          </w:tcPr>
          <w:p w14:paraId="02D1158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3</w:t>
            </w:r>
          </w:p>
        </w:tc>
        <w:tc>
          <w:tcPr>
            <w:tcW w:w="376" w:type="dxa"/>
            <w:noWrap/>
            <w:vAlign w:val="center"/>
            <w:hideMark/>
          </w:tcPr>
          <w:p w14:paraId="2A33B97B"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1D5F6A9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5</w:t>
            </w:r>
          </w:p>
        </w:tc>
        <w:tc>
          <w:tcPr>
            <w:tcW w:w="763" w:type="dxa"/>
            <w:vAlign w:val="center"/>
            <w:hideMark/>
          </w:tcPr>
          <w:p w14:paraId="7088271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Medio</w:t>
            </w:r>
          </w:p>
        </w:tc>
        <w:tc>
          <w:tcPr>
            <w:tcW w:w="1274" w:type="dxa"/>
            <w:vAlign w:val="center"/>
            <w:hideMark/>
          </w:tcPr>
          <w:p w14:paraId="324FDB0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848" w:type="dxa"/>
            <w:vAlign w:val="center"/>
            <w:hideMark/>
          </w:tcPr>
          <w:p w14:paraId="3C93186D"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721CE8D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Se pagará a los precios de los ítems contractuales que se utilicen para su ejecución, esto </w:t>
            </w:r>
            <w:r w:rsidRPr="00061F93">
              <w:rPr>
                <w:rFonts w:ascii="Arial" w:eastAsia="SimSun" w:hAnsi="Arial" w:cs="Arial"/>
                <w:kern w:val="3"/>
                <w:sz w:val="20"/>
                <w:szCs w:val="20"/>
                <w:lang w:eastAsia="zh-CN" w:bidi="hi-IN"/>
              </w:rPr>
              <w:lastRenderedPageBreak/>
              <w:t>es a los precios del concreto que se utilice, el acero que se utilice, el pavimento que se utilice y otros que sean requeridos</w:t>
            </w:r>
          </w:p>
        </w:tc>
      </w:tr>
      <w:tr w:rsidR="00061F93" w:rsidRPr="00061F93" w14:paraId="4A0F890E" w14:textId="77777777" w:rsidTr="00061F93">
        <w:trPr>
          <w:trHeight w:val="1270"/>
          <w:jc w:val="center"/>
        </w:trPr>
        <w:tc>
          <w:tcPr>
            <w:tcW w:w="376" w:type="dxa"/>
            <w:noWrap/>
            <w:vAlign w:val="center"/>
            <w:hideMark/>
          </w:tcPr>
          <w:p w14:paraId="512DCFC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11</w:t>
            </w:r>
          </w:p>
        </w:tc>
        <w:tc>
          <w:tcPr>
            <w:tcW w:w="376" w:type="dxa"/>
            <w:noWrap/>
            <w:textDirection w:val="btLr"/>
            <w:vAlign w:val="center"/>
            <w:hideMark/>
          </w:tcPr>
          <w:p w14:paraId="658A148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Especifico</w:t>
            </w:r>
          </w:p>
        </w:tc>
        <w:tc>
          <w:tcPr>
            <w:tcW w:w="376" w:type="dxa"/>
            <w:noWrap/>
            <w:textDirection w:val="btLr"/>
            <w:vAlign w:val="center"/>
            <w:hideMark/>
          </w:tcPr>
          <w:p w14:paraId="7D41B70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Interno</w:t>
            </w:r>
          </w:p>
        </w:tc>
        <w:tc>
          <w:tcPr>
            <w:tcW w:w="376" w:type="dxa"/>
            <w:noWrap/>
            <w:textDirection w:val="btLr"/>
            <w:vAlign w:val="center"/>
            <w:hideMark/>
          </w:tcPr>
          <w:p w14:paraId="5D17BF1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730BBCA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Operacional</w:t>
            </w:r>
          </w:p>
        </w:tc>
        <w:tc>
          <w:tcPr>
            <w:tcW w:w="1768" w:type="dxa"/>
            <w:vAlign w:val="center"/>
            <w:hideMark/>
          </w:tcPr>
          <w:p w14:paraId="245091C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Variación de cantidades de obra debidamente justificadas: Son los efectos derivados de los cambios en las condiciones técnicas que incrementen o disminuyan las cantidades previstas para la ejecución de las obras. Municipio de Supia, Caldas, asume las variaciones de las cantidades de obra </w:t>
            </w:r>
            <w:r w:rsidRPr="00061F93">
              <w:rPr>
                <w:rFonts w:ascii="Arial" w:eastAsia="SimSun" w:hAnsi="Arial" w:cs="Arial"/>
                <w:kern w:val="3"/>
                <w:sz w:val="20"/>
                <w:szCs w:val="20"/>
                <w:lang w:eastAsia="zh-CN" w:bidi="hi-IN"/>
              </w:rPr>
              <w:lastRenderedPageBreak/>
              <w:t>técnicamente requeridas para la ejecución del proyecto y el Contratista asume el riesgo de ejecutar las cantidades de obra en las variaciones que sean necesarias.</w:t>
            </w:r>
          </w:p>
        </w:tc>
        <w:tc>
          <w:tcPr>
            <w:tcW w:w="1162" w:type="dxa"/>
            <w:vAlign w:val="center"/>
            <w:hideMark/>
          </w:tcPr>
          <w:p w14:paraId="41F5741B"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Genera variación de las cantidades de obra previstas inicialmente, siendo necesario ajustes al balance de cantidades de obra, para ceñirse al presupuesto contractual.</w:t>
            </w:r>
          </w:p>
        </w:tc>
        <w:tc>
          <w:tcPr>
            <w:tcW w:w="376" w:type="dxa"/>
            <w:noWrap/>
            <w:vAlign w:val="center"/>
            <w:hideMark/>
          </w:tcPr>
          <w:p w14:paraId="0074107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4</w:t>
            </w:r>
          </w:p>
        </w:tc>
        <w:tc>
          <w:tcPr>
            <w:tcW w:w="376" w:type="dxa"/>
            <w:noWrap/>
            <w:vAlign w:val="center"/>
            <w:hideMark/>
          </w:tcPr>
          <w:p w14:paraId="7FA88B3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3</w:t>
            </w:r>
          </w:p>
        </w:tc>
        <w:tc>
          <w:tcPr>
            <w:tcW w:w="376" w:type="dxa"/>
            <w:noWrap/>
            <w:vAlign w:val="center"/>
            <w:hideMark/>
          </w:tcPr>
          <w:p w14:paraId="7FF1524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7</w:t>
            </w:r>
          </w:p>
        </w:tc>
        <w:tc>
          <w:tcPr>
            <w:tcW w:w="763" w:type="dxa"/>
            <w:vAlign w:val="center"/>
            <w:hideMark/>
          </w:tcPr>
          <w:p w14:paraId="67EDA9D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Alto</w:t>
            </w:r>
          </w:p>
        </w:tc>
        <w:tc>
          <w:tcPr>
            <w:tcW w:w="1274" w:type="dxa"/>
            <w:vAlign w:val="center"/>
            <w:hideMark/>
          </w:tcPr>
          <w:p w14:paraId="239933F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848" w:type="dxa"/>
            <w:vAlign w:val="center"/>
            <w:hideMark/>
          </w:tcPr>
          <w:p w14:paraId="476B273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74CBD0A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Planeación, revisión, ajuste y seguimiento en la fase precontractual y contractual de forma adecuada de los diseños y cantidades de obra.</w:t>
            </w:r>
          </w:p>
        </w:tc>
      </w:tr>
      <w:tr w:rsidR="00061F93" w:rsidRPr="00061F93" w14:paraId="72EBE4CA" w14:textId="77777777" w:rsidTr="00061F93">
        <w:trPr>
          <w:trHeight w:val="676"/>
          <w:jc w:val="center"/>
        </w:trPr>
        <w:tc>
          <w:tcPr>
            <w:tcW w:w="376" w:type="dxa"/>
            <w:noWrap/>
            <w:vAlign w:val="center"/>
            <w:hideMark/>
          </w:tcPr>
          <w:p w14:paraId="5109AC8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12</w:t>
            </w:r>
          </w:p>
        </w:tc>
        <w:tc>
          <w:tcPr>
            <w:tcW w:w="376" w:type="dxa"/>
            <w:noWrap/>
            <w:textDirection w:val="btLr"/>
            <w:vAlign w:val="center"/>
            <w:hideMark/>
          </w:tcPr>
          <w:p w14:paraId="7B2CE46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Especifico</w:t>
            </w:r>
          </w:p>
        </w:tc>
        <w:tc>
          <w:tcPr>
            <w:tcW w:w="376" w:type="dxa"/>
            <w:noWrap/>
            <w:textDirection w:val="btLr"/>
            <w:vAlign w:val="center"/>
            <w:hideMark/>
          </w:tcPr>
          <w:p w14:paraId="04440F9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Interno</w:t>
            </w:r>
          </w:p>
        </w:tc>
        <w:tc>
          <w:tcPr>
            <w:tcW w:w="376" w:type="dxa"/>
            <w:noWrap/>
            <w:textDirection w:val="btLr"/>
            <w:vAlign w:val="center"/>
            <w:hideMark/>
          </w:tcPr>
          <w:p w14:paraId="42165C7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6EE6D1F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Operacional - Social</w:t>
            </w:r>
          </w:p>
        </w:tc>
        <w:tc>
          <w:tcPr>
            <w:tcW w:w="1768" w:type="dxa"/>
            <w:vAlign w:val="center"/>
            <w:hideMark/>
          </w:tcPr>
          <w:p w14:paraId="2811F78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bCs/>
                <w:kern w:val="3"/>
                <w:sz w:val="20"/>
                <w:szCs w:val="20"/>
                <w:lang w:eastAsia="zh-CN" w:bidi="hi-IN"/>
              </w:rPr>
              <w:t>Expropiación Predial:</w:t>
            </w:r>
            <w:r w:rsidRPr="00061F93">
              <w:rPr>
                <w:rFonts w:ascii="Arial" w:eastAsia="SimSun" w:hAnsi="Arial" w:cs="Arial"/>
                <w:kern w:val="3"/>
                <w:sz w:val="20"/>
                <w:szCs w:val="20"/>
                <w:lang w:eastAsia="zh-CN" w:bidi="hi-IN"/>
              </w:rPr>
              <w:t xml:space="preserve"> Se refiere al caso en el que se requiera recurrir al proceso de expropiación. El contratista prestará la colaboración requerida en el proceso de expropiación</w:t>
            </w:r>
          </w:p>
        </w:tc>
        <w:tc>
          <w:tcPr>
            <w:tcW w:w="1162" w:type="dxa"/>
            <w:vAlign w:val="center"/>
            <w:hideMark/>
          </w:tcPr>
          <w:p w14:paraId="5451C73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Impacto negativo en el desarrollo del objeto contractual, por dificultad en gestión predial que afecta la ejecución del proyecto</w:t>
            </w:r>
          </w:p>
        </w:tc>
        <w:tc>
          <w:tcPr>
            <w:tcW w:w="376" w:type="dxa"/>
            <w:noWrap/>
            <w:vAlign w:val="center"/>
            <w:hideMark/>
          </w:tcPr>
          <w:p w14:paraId="605371C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3</w:t>
            </w:r>
          </w:p>
        </w:tc>
        <w:tc>
          <w:tcPr>
            <w:tcW w:w="376" w:type="dxa"/>
            <w:noWrap/>
            <w:vAlign w:val="center"/>
            <w:hideMark/>
          </w:tcPr>
          <w:p w14:paraId="7C40A40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3</w:t>
            </w:r>
          </w:p>
        </w:tc>
        <w:tc>
          <w:tcPr>
            <w:tcW w:w="376" w:type="dxa"/>
            <w:noWrap/>
            <w:vAlign w:val="center"/>
            <w:hideMark/>
          </w:tcPr>
          <w:p w14:paraId="56E0837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6</w:t>
            </w:r>
          </w:p>
        </w:tc>
        <w:tc>
          <w:tcPr>
            <w:tcW w:w="763" w:type="dxa"/>
            <w:vAlign w:val="center"/>
            <w:hideMark/>
          </w:tcPr>
          <w:p w14:paraId="7E215D6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Alto</w:t>
            </w:r>
          </w:p>
        </w:tc>
        <w:tc>
          <w:tcPr>
            <w:tcW w:w="1274" w:type="dxa"/>
            <w:vAlign w:val="center"/>
            <w:hideMark/>
          </w:tcPr>
          <w:p w14:paraId="6109101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848" w:type="dxa"/>
            <w:vAlign w:val="center"/>
            <w:hideMark/>
          </w:tcPr>
          <w:p w14:paraId="33BAE38D"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23B85D9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Planeación, revisión, ajuste y seguimiento en la fase precontractual y contractual de forma adecuada a los diseños. Seguimiento constante al proceso de expropiación, diligencia en la gestión administrativa, legal y financiera para la menor demora posible.</w:t>
            </w:r>
          </w:p>
        </w:tc>
      </w:tr>
      <w:tr w:rsidR="00061F93" w:rsidRPr="00061F93" w14:paraId="58113280" w14:textId="77777777" w:rsidTr="00061F93">
        <w:trPr>
          <w:trHeight w:val="1128"/>
          <w:jc w:val="center"/>
        </w:trPr>
        <w:tc>
          <w:tcPr>
            <w:tcW w:w="376" w:type="dxa"/>
            <w:noWrap/>
            <w:vAlign w:val="center"/>
            <w:hideMark/>
          </w:tcPr>
          <w:p w14:paraId="5EB4FF4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13</w:t>
            </w:r>
          </w:p>
        </w:tc>
        <w:tc>
          <w:tcPr>
            <w:tcW w:w="376" w:type="dxa"/>
            <w:noWrap/>
            <w:textDirection w:val="btLr"/>
            <w:vAlign w:val="center"/>
            <w:hideMark/>
          </w:tcPr>
          <w:p w14:paraId="60B26E8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Especifico</w:t>
            </w:r>
          </w:p>
        </w:tc>
        <w:tc>
          <w:tcPr>
            <w:tcW w:w="376" w:type="dxa"/>
            <w:noWrap/>
            <w:textDirection w:val="btLr"/>
            <w:vAlign w:val="center"/>
            <w:hideMark/>
          </w:tcPr>
          <w:p w14:paraId="3848320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Interno</w:t>
            </w:r>
          </w:p>
        </w:tc>
        <w:tc>
          <w:tcPr>
            <w:tcW w:w="376" w:type="dxa"/>
            <w:noWrap/>
            <w:textDirection w:val="btLr"/>
            <w:vAlign w:val="center"/>
            <w:hideMark/>
          </w:tcPr>
          <w:p w14:paraId="44B3F45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46B241A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Operacional</w:t>
            </w:r>
          </w:p>
        </w:tc>
        <w:tc>
          <w:tcPr>
            <w:tcW w:w="1768" w:type="dxa"/>
            <w:vAlign w:val="center"/>
            <w:hideMark/>
          </w:tcPr>
          <w:p w14:paraId="3F8D10B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Adquisición Predial: Mayor adquisición predial por cambios requeridos </w:t>
            </w:r>
            <w:r w:rsidRPr="00061F93">
              <w:rPr>
                <w:rFonts w:ascii="Arial" w:eastAsia="SimSun" w:hAnsi="Arial" w:cs="Arial"/>
                <w:kern w:val="3"/>
                <w:sz w:val="20"/>
                <w:szCs w:val="20"/>
                <w:lang w:eastAsia="zh-CN" w:bidi="hi-IN"/>
              </w:rPr>
              <w:lastRenderedPageBreak/>
              <w:t>justificados técnicamente. Municipio de Supia, Caldas, asume el riesgo del costo predial con cargo al contrato; el Contratista efectúa la gestión de la adquisición predial y es responsable de la gestión oportuna de predios.</w:t>
            </w:r>
          </w:p>
        </w:tc>
        <w:tc>
          <w:tcPr>
            <w:tcW w:w="1162" w:type="dxa"/>
            <w:vAlign w:val="center"/>
            <w:hideMark/>
          </w:tcPr>
          <w:p w14:paraId="21C6F1A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Impacto negativo en el desarrollo del objeto contractual</w:t>
            </w:r>
            <w:r w:rsidRPr="00061F93">
              <w:rPr>
                <w:rFonts w:ascii="Arial" w:eastAsia="SimSun" w:hAnsi="Arial" w:cs="Arial"/>
                <w:kern w:val="3"/>
                <w:sz w:val="20"/>
                <w:szCs w:val="20"/>
                <w:lang w:eastAsia="zh-CN" w:bidi="hi-IN"/>
              </w:rPr>
              <w:lastRenderedPageBreak/>
              <w:t xml:space="preserve">, por gestión Y costo predial para las nuevas adquisiciones requeridas </w:t>
            </w:r>
          </w:p>
        </w:tc>
        <w:tc>
          <w:tcPr>
            <w:tcW w:w="376" w:type="dxa"/>
            <w:noWrap/>
            <w:vAlign w:val="center"/>
            <w:hideMark/>
          </w:tcPr>
          <w:p w14:paraId="683278B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2</w:t>
            </w:r>
          </w:p>
        </w:tc>
        <w:tc>
          <w:tcPr>
            <w:tcW w:w="376" w:type="dxa"/>
            <w:noWrap/>
            <w:vAlign w:val="center"/>
            <w:hideMark/>
          </w:tcPr>
          <w:p w14:paraId="734D58B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3</w:t>
            </w:r>
          </w:p>
        </w:tc>
        <w:tc>
          <w:tcPr>
            <w:tcW w:w="376" w:type="dxa"/>
            <w:noWrap/>
            <w:vAlign w:val="center"/>
            <w:hideMark/>
          </w:tcPr>
          <w:p w14:paraId="7951880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5</w:t>
            </w:r>
          </w:p>
        </w:tc>
        <w:tc>
          <w:tcPr>
            <w:tcW w:w="763" w:type="dxa"/>
            <w:vAlign w:val="center"/>
            <w:hideMark/>
          </w:tcPr>
          <w:p w14:paraId="47DD224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Medio</w:t>
            </w:r>
          </w:p>
        </w:tc>
        <w:tc>
          <w:tcPr>
            <w:tcW w:w="1274" w:type="dxa"/>
            <w:vAlign w:val="center"/>
            <w:hideMark/>
          </w:tcPr>
          <w:p w14:paraId="0978E99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848" w:type="dxa"/>
            <w:vAlign w:val="center"/>
            <w:hideMark/>
          </w:tcPr>
          <w:p w14:paraId="7EA7147B"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6AC9BAD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Planeación, revisión, ajuste y seguimiento en la fase precontractual y contractual de </w:t>
            </w:r>
            <w:r w:rsidRPr="00061F93">
              <w:rPr>
                <w:rFonts w:ascii="Arial" w:eastAsia="SimSun" w:hAnsi="Arial" w:cs="Arial"/>
                <w:kern w:val="3"/>
                <w:sz w:val="20"/>
                <w:szCs w:val="20"/>
                <w:lang w:eastAsia="zh-CN" w:bidi="hi-IN"/>
              </w:rPr>
              <w:lastRenderedPageBreak/>
              <w:t>forma adecuada a los diseños. Analizar los cambios de las condiciones técnicas tratando de ajustarlos para que no impacte negativamente el proyecto. Diligencia en la gestión administrativa, legal y financiera para la menor demora posible en la adquisición.</w:t>
            </w:r>
          </w:p>
        </w:tc>
      </w:tr>
      <w:tr w:rsidR="00061F93" w:rsidRPr="00061F93" w14:paraId="6A54A49F" w14:textId="77777777" w:rsidTr="00061F93">
        <w:trPr>
          <w:trHeight w:val="1778"/>
          <w:jc w:val="center"/>
        </w:trPr>
        <w:tc>
          <w:tcPr>
            <w:tcW w:w="376" w:type="dxa"/>
            <w:noWrap/>
            <w:vAlign w:val="center"/>
            <w:hideMark/>
          </w:tcPr>
          <w:p w14:paraId="26CB507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14</w:t>
            </w:r>
          </w:p>
        </w:tc>
        <w:tc>
          <w:tcPr>
            <w:tcW w:w="376" w:type="dxa"/>
            <w:noWrap/>
            <w:textDirection w:val="btLr"/>
            <w:vAlign w:val="center"/>
            <w:hideMark/>
          </w:tcPr>
          <w:p w14:paraId="60DA914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Especifico</w:t>
            </w:r>
          </w:p>
        </w:tc>
        <w:tc>
          <w:tcPr>
            <w:tcW w:w="376" w:type="dxa"/>
            <w:noWrap/>
            <w:textDirection w:val="btLr"/>
            <w:vAlign w:val="center"/>
            <w:hideMark/>
          </w:tcPr>
          <w:p w14:paraId="3C04963B"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Interno</w:t>
            </w:r>
          </w:p>
        </w:tc>
        <w:tc>
          <w:tcPr>
            <w:tcW w:w="376" w:type="dxa"/>
            <w:noWrap/>
            <w:textDirection w:val="btLr"/>
            <w:vAlign w:val="center"/>
            <w:hideMark/>
          </w:tcPr>
          <w:p w14:paraId="170420D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146B9B1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Operacional</w:t>
            </w:r>
          </w:p>
        </w:tc>
        <w:tc>
          <w:tcPr>
            <w:tcW w:w="1768" w:type="dxa"/>
            <w:vAlign w:val="center"/>
            <w:hideMark/>
          </w:tcPr>
          <w:p w14:paraId="7F2883E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bCs/>
                <w:kern w:val="3"/>
                <w:sz w:val="20"/>
                <w:szCs w:val="20"/>
                <w:lang w:eastAsia="zh-CN" w:bidi="hi-IN"/>
              </w:rPr>
              <w:t>Modificación y/o cambios de ubicación en las fuentes de materiales presentadas y/o propuestas y/o proyectadas por el PROPONENTE Y/O CONTRATISTA</w:t>
            </w:r>
            <w:r w:rsidRPr="00061F93">
              <w:rPr>
                <w:rFonts w:ascii="Arial" w:eastAsia="SimSun" w:hAnsi="Arial" w:cs="Arial"/>
                <w:kern w:val="3"/>
                <w:sz w:val="20"/>
                <w:szCs w:val="20"/>
                <w:lang w:eastAsia="zh-CN" w:bidi="hi-IN"/>
              </w:rPr>
              <w:t xml:space="preserve">. Hace referencia al riesgo técnico, económico, ambiental y/o social, en cuanto a calidad y </w:t>
            </w:r>
            <w:r w:rsidRPr="00061F93">
              <w:rPr>
                <w:rFonts w:ascii="Arial" w:eastAsia="SimSun" w:hAnsi="Arial" w:cs="Arial"/>
                <w:kern w:val="3"/>
                <w:sz w:val="20"/>
                <w:szCs w:val="20"/>
                <w:lang w:eastAsia="zh-CN" w:bidi="hi-IN"/>
              </w:rPr>
              <w:lastRenderedPageBreak/>
              <w:t xml:space="preserve">cantidad del material, explotación y su distancia de acarreo. </w:t>
            </w:r>
          </w:p>
        </w:tc>
        <w:tc>
          <w:tcPr>
            <w:tcW w:w="1162" w:type="dxa"/>
            <w:vAlign w:val="center"/>
            <w:hideMark/>
          </w:tcPr>
          <w:p w14:paraId="505A60D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Impacto económico al Contratista</w:t>
            </w:r>
          </w:p>
        </w:tc>
        <w:tc>
          <w:tcPr>
            <w:tcW w:w="376" w:type="dxa"/>
            <w:noWrap/>
            <w:vAlign w:val="center"/>
            <w:hideMark/>
          </w:tcPr>
          <w:p w14:paraId="3641B2B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3</w:t>
            </w:r>
          </w:p>
        </w:tc>
        <w:tc>
          <w:tcPr>
            <w:tcW w:w="376" w:type="dxa"/>
            <w:noWrap/>
            <w:vAlign w:val="center"/>
            <w:hideMark/>
          </w:tcPr>
          <w:p w14:paraId="11718FBD"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4CA4122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5</w:t>
            </w:r>
          </w:p>
        </w:tc>
        <w:tc>
          <w:tcPr>
            <w:tcW w:w="763" w:type="dxa"/>
            <w:vAlign w:val="center"/>
            <w:hideMark/>
          </w:tcPr>
          <w:p w14:paraId="4D599A3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Medio</w:t>
            </w:r>
          </w:p>
        </w:tc>
        <w:tc>
          <w:tcPr>
            <w:tcW w:w="1274" w:type="dxa"/>
            <w:vAlign w:val="center"/>
            <w:hideMark/>
          </w:tcPr>
          <w:p w14:paraId="017D27D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w:t>
            </w:r>
          </w:p>
        </w:tc>
        <w:tc>
          <w:tcPr>
            <w:tcW w:w="1848" w:type="dxa"/>
            <w:vAlign w:val="center"/>
            <w:hideMark/>
          </w:tcPr>
          <w:p w14:paraId="396E150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4F28C68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Planeación, revisión, ajuste y seguimiento en la fase precontractual a las fuentes de materiales para el proyecto. En la fase contractual verificación del cumplimiento de especificaciones técnicas de los materiales.</w:t>
            </w:r>
          </w:p>
        </w:tc>
      </w:tr>
      <w:tr w:rsidR="00061F93" w:rsidRPr="00061F93" w14:paraId="634B59B1" w14:textId="77777777" w:rsidTr="00061F93">
        <w:trPr>
          <w:trHeight w:val="2913"/>
          <w:jc w:val="center"/>
        </w:trPr>
        <w:tc>
          <w:tcPr>
            <w:tcW w:w="376" w:type="dxa"/>
            <w:noWrap/>
            <w:vAlign w:val="center"/>
            <w:hideMark/>
          </w:tcPr>
          <w:p w14:paraId="4C3C4C7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15</w:t>
            </w:r>
          </w:p>
        </w:tc>
        <w:tc>
          <w:tcPr>
            <w:tcW w:w="376" w:type="dxa"/>
            <w:noWrap/>
            <w:textDirection w:val="btLr"/>
            <w:vAlign w:val="center"/>
            <w:hideMark/>
          </w:tcPr>
          <w:p w14:paraId="404E4FDD"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Específico</w:t>
            </w:r>
          </w:p>
        </w:tc>
        <w:tc>
          <w:tcPr>
            <w:tcW w:w="376" w:type="dxa"/>
            <w:noWrap/>
            <w:textDirection w:val="btLr"/>
            <w:vAlign w:val="center"/>
            <w:hideMark/>
          </w:tcPr>
          <w:p w14:paraId="175ABAF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Interno</w:t>
            </w:r>
          </w:p>
        </w:tc>
        <w:tc>
          <w:tcPr>
            <w:tcW w:w="376" w:type="dxa"/>
            <w:noWrap/>
            <w:textDirection w:val="btLr"/>
            <w:vAlign w:val="center"/>
            <w:hideMark/>
          </w:tcPr>
          <w:p w14:paraId="0EC2410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4D44CFE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de la Naturaleza</w:t>
            </w:r>
          </w:p>
        </w:tc>
        <w:tc>
          <w:tcPr>
            <w:tcW w:w="1768" w:type="dxa"/>
            <w:vAlign w:val="center"/>
            <w:hideMark/>
          </w:tcPr>
          <w:p w14:paraId="63E9AE0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Inestabilidad Geológica, Geotécnica, Hidrogeológica. El riesgo puede surgir en taludes, en excavaciones a cielo abierto, efectos de erosión de márgenes de los ríos, los cuales pueden requerir de tratamiento especial de refuerzo, soporte, drenajes, tratamiento de taludes, contenciones y/o de las actividades necesarias para dar estabilidad a sitios y obras. Pueden estar asociados con mayores inversiones, mayores cantidades de obra y mayores plazos. EL </w:t>
            </w:r>
            <w:r w:rsidRPr="00061F93">
              <w:rPr>
                <w:rFonts w:ascii="Arial" w:eastAsia="SimSun" w:hAnsi="Arial" w:cs="Arial"/>
                <w:kern w:val="3"/>
                <w:sz w:val="20"/>
                <w:szCs w:val="20"/>
                <w:lang w:eastAsia="zh-CN" w:bidi="hi-IN"/>
              </w:rPr>
              <w:lastRenderedPageBreak/>
              <w:t>PROPONENTE Y/O CONTRATISTA asumirá los riesgos geológicos, geotécnico e hidrogeológicos identificados, y los que debió identificar en el ajuste y/o elaboración de estudios y diseños y los que se presenten durante la ejecución del contrato. El Municipio de Supia, Caldas, asume el Riesgo por concepto de mayores cantidades de obra que sean necesarias, siempre y cuando no sean de responsabilidad del Contratista.</w:t>
            </w:r>
          </w:p>
        </w:tc>
        <w:tc>
          <w:tcPr>
            <w:tcW w:w="1162" w:type="dxa"/>
            <w:vAlign w:val="center"/>
            <w:hideMark/>
          </w:tcPr>
          <w:p w14:paraId="16C566A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 xml:space="preserve">Impacto negativo en el desarrollo del objeto contractual, Aumento de costos por necesidad de mayores cantidades de </w:t>
            </w:r>
            <w:proofErr w:type="gramStart"/>
            <w:r w:rsidRPr="00061F93">
              <w:rPr>
                <w:rFonts w:ascii="Arial" w:eastAsia="SimSun" w:hAnsi="Arial" w:cs="Arial"/>
                <w:kern w:val="3"/>
                <w:sz w:val="20"/>
                <w:szCs w:val="20"/>
                <w:lang w:eastAsia="zh-CN" w:bidi="hi-IN"/>
              </w:rPr>
              <w:t>obra ,</w:t>
            </w:r>
            <w:proofErr w:type="gramEnd"/>
            <w:r w:rsidRPr="00061F93">
              <w:rPr>
                <w:rFonts w:ascii="Arial" w:eastAsia="SimSun" w:hAnsi="Arial" w:cs="Arial"/>
                <w:kern w:val="3"/>
                <w:sz w:val="20"/>
                <w:szCs w:val="20"/>
                <w:lang w:eastAsia="zh-CN" w:bidi="hi-IN"/>
              </w:rPr>
              <w:t xml:space="preserve"> y eventuales mayores plazos </w:t>
            </w:r>
          </w:p>
        </w:tc>
        <w:tc>
          <w:tcPr>
            <w:tcW w:w="376" w:type="dxa"/>
            <w:noWrap/>
            <w:vAlign w:val="center"/>
            <w:hideMark/>
          </w:tcPr>
          <w:p w14:paraId="2E0106E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3</w:t>
            </w:r>
          </w:p>
        </w:tc>
        <w:tc>
          <w:tcPr>
            <w:tcW w:w="376" w:type="dxa"/>
            <w:noWrap/>
            <w:vAlign w:val="center"/>
            <w:hideMark/>
          </w:tcPr>
          <w:p w14:paraId="78721EF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3</w:t>
            </w:r>
          </w:p>
        </w:tc>
        <w:tc>
          <w:tcPr>
            <w:tcW w:w="376" w:type="dxa"/>
            <w:noWrap/>
            <w:vAlign w:val="center"/>
            <w:hideMark/>
          </w:tcPr>
          <w:p w14:paraId="4D1A9DC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6</w:t>
            </w:r>
          </w:p>
        </w:tc>
        <w:tc>
          <w:tcPr>
            <w:tcW w:w="763" w:type="dxa"/>
            <w:vAlign w:val="center"/>
            <w:hideMark/>
          </w:tcPr>
          <w:p w14:paraId="1124CAF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Alto</w:t>
            </w:r>
          </w:p>
        </w:tc>
        <w:tc>
          <w:tcPr>
            <w:tcW w:w="1274" w:type="dxa"/>
            <w:vAlign w:val="center"/>
            <w:hideMark/>
          </w:tcPr>
          <w:p w14:paraId="4B8B4B7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848" w:type="dxa"/>
            <w:vAlign w:val="center"/>
            <w:hideMark/>
          </w:tcPr>
          <w:p w14:paraId="39DBA12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39C2051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El riesgo en este aspecto puede surgir en taludes, en excavaciones a cielo abierto, en la construcción de túneles y obras subterráneas, desprendimientos de rocas, avalanchas, variaciones geológicas, nuevos sistemas de fallamiento, las acciones de remoción en masa, reptaciones, erosiones, derrumbes, movimientos de placas, activación de fallas geológicas, diaclasas, pliegues, foliaciones, </w:t>
            </w:r>
            <w:r w:rsidRPr="00061F93">
              <w:rPr>
                <w:rFonts w:ascii="Arial" w:eastAsia="SimSun" w:hAnsi="Arial" w:cs="Arial"/>
                <w:kern w:val="3"/>
                <w:sz w:val="20"/>
                <w:szCs w:val="20"/>
                <w:lang w:eastAsia="zh-CN" w:bidi="hi-IN"/>
              </w:rPr>
              <w:lastRenderedPageBreak/>
              <w:t xml:space="preserve">deslizamientos, entre otros, los cuales requieren de tratamiento especial de refuerzo, soporte, contenciones, consolidaciones, anclajes y de las actividades necesarias para dar estabilidad a la obra. </w:t>
            </w:r>
            <w:r w:rsidRPr="00061F93">
              <w:rPr>
                <w:rFonts w:ascii="Arial" w:eastAsia="SimSun" w:hAnsi="Arial" w:cs="Arial"/>
                <w:kern w:val="3"/>
                <w:sz w:val="20"/>
                <w:szCs w:val="20"/>
                <w:lang w:eastAsia="zh-CN" w:bidi="hi-IN"/>
              </w:rPr>
              <w:br/>
              <w:t>Estos riesgos pueden estar asociados con mayores inversiones, mayores cantidades de obra y mayores plazos.</w:t>
            </w:r>
          </w:p>
        </w:tc>
      </w:tr>
      <w:tr w:rsidR="00061F93" w:rsidRPr="00061F93" w14:paraId="34D7834B" w14:textId="77777777" w:rsidTr="00061F93">
        <w:trPr>
          <w:trHeight w:val="2550"/>
          <w:jc w:val="center"/>
        </w:trPr>
        <w:tc>
          <w:tcPr>
            <w:tcW w:w="376" w:type="dxa"/>
            <w:noWrap/>
            <w:vAlign w:val="center"/>
            <w:hideMark/>
          </w:tcPr>
          <w:p w14:paraId="5CBCB69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16</w:t>
            </w:r>
          </w:p>
        </w:tc>
        <w:tc>
          <w:tcPr>
            <w:tcW w:w="376" w:type="dxa"/>
            <w:noWrap/>
            <w:textDirection w:val="btLr"/>
            <w:vAlign w:val="center"/>
            <w:hideMark/>
          </w:tcPr>
          <w:p w14:paraId="4EB4954B"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Específico</w:t>
            </w:r>
          </w:p>
        </w:tc>
        <w:tc>
          <w:tcPr>
            <w:tcW w:w="376" w:type="dxa"/>
            <w:noWrap/>
            <w:textDirection w:val="btLr"/>
            <w:vAlign w:val="center"/>
            <w:hideMark/>
          </w:tcPr>
          <w:p w14:paraId="00D0361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Interno</w:t>
            </w:r>
          </w:p>
        </w:tc>
        <w:tc>
          <w:tcPr>
            <w:tcW w:w="376" w:type="dxa"/>
            <w:noWrap/>
            <w:textDirection w:val="btLr"/>
            <w:vAlign w:val="center"/>
            <w:hideMark/>
          </w:tcPr>
          <w:p w14:paraId="4EB6D92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57B5A91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Operacional</w:t>
            </w:r>
          </w:p>
        </w:tc>
        <w:tc>
          <w:tcPr>
            <w:tcW w:w="1768" w:type="dxa"/>
            <w:vAlign w:val="center"/>
            <w:hideMark/>
          </w:tcPr>
          <w:p w14:paraId="6F251A0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Interferencia con las de redes de servicios públicos existentes: Ocurre por la presencia de redes existentes, que puedan interferir con el proyecto, afectando el normal desarrollo de las obras. El Contratista deberá realizar todas las gestiones que correspondan. EL Municipio de Supia, Caldas, asumirá los costos que correspondan de acuerdo con lo establecido en el Titulo IV Capítulo III de la Ley 1682 de 2013</w:t>
            </w:r>
          </w:p>
        </w:tc>
        <w:tc>
          <w:tcPr>
            <w:tcW w:w="1162" w:type="dxa"/>
            <w:vAlign w:val="center"/>
            <w:hideMark/>
          </w:tcPr>
          <w:p w14:paraId="7D6407E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Impacto negativo en el desarrollo del objeto contractual, por la interferencia de las redes existentes con la ejecución del proyecto </w:t>
            </w:r>
          </w:p>
        </w:tc>
        <w:tc>
          <w:tcPr>
            <w:tcW w:w="376" w:type="dxa"/>
            <w:noWrap/>
            <w:vAlign w:val="center"/>
            <w:hideMark/>
          </w:tcPr>
          <w:p w14:paraId="0190444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1</w:t>
            </w:r>
          </w:p>
        </w:tc>
        <w:tc>
          <w:tcPr>
            <w:tcW w:w="376" w:type="dxa"/>
            <w:noWrap/>
            <w:vAlign w:val="center"/>
            <w:hideMark/>
          </w:tcPr>
          <w:p w14:paraId="1696ED3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1</w:t>
            </w:r>
          </w:p>
        </w:tc>
        <w:tc>
          <w:tcPr>
            <w:tcW w:w="376" w:type="dxa"/>
            <w:noWrap/>
            <w:vAlign w:val="center"/>
            <w:hideMark/>
          </w:tcPr>
          <w:p w14:paraId="3716558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763" w:type="dxa"/>
            <w:vAlign w:val="center"/>
            <w:hideMark/>
          </w:tcPr>
          <w:p w14:paraId="6EDB1FF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Bajo</w:t>
            </w:r>
          </w:p>
        </w:tc>
        <w:tc>
          <w:tcPr>
            <w:tcW w:w="1274" w:type="dxa"/>
            <w:vAlign w:val="center"/>
            <w:hideMark/>
          </w:tcPr>
          <w:p w14:paraId="676771F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848" w:type="dxa"/>
            <w:vAlign w:val="center"/>
            <w:hideMark/>
          </w:tcPr>
          <w:p w14:paraId="068C2C8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4A9442E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Desde la Fase Precontractual y en la etapa contractual solicitar a las Entidades encargadas de Servicios Públicos informar con el mayor detalle posible sobre la existencia de redes de servicios que puedan interferir con el proyecto. En caso de detección de una red no referenciada, gestionar de inmediato lo pertinente con la Empresa de Servicios, para la menor afectación al proyecto.</w:t>
            </w:r>
          </w:p>
        </w:tc>
      </w:tr>
      <w:tr w:rsidR="00061F93" w:rsidRPr="00061F93" w14:paraId="29A4D279" w14:textId="77777777" w:rsidTr="00061F93">
        <w:trPr>
          <w:trHeight w:val="2417"/>
          <w:jc w:val="center"/>
        </w:trPr>
        <w:tc>
          <w:tcPr>
            <w:tcW w:w="376" w:type="dxa"/>
            <w:noWrap/>
            <w:vAlign w:val="center"/>
            <w:hideMark/>
          </w:tcPr>
          <w:p w14:paraId="4AD492E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17</w:t>
            </w:r>
          </w:p>
        </w:tc>
        <w:tc>
          <w:tcPr>
            <w:tcW w:w="376" w:type="dxa"/>
            <w:noWrap/>
            <w:textDirection w:val="btLr"/>
            <w:vAlign w:val="center"/>
            <w:hideMark/>
          </w:tcPr>
          <w:p w14:paraId="5813E29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General</w:t>
            </w:r>
          </w:p>
        </w:tc>
        <w:tc>
          <w:tcPr>
            <w:tcW w:w="376" w:type="dxa"/>
            <w:noWrap/>
            <w:textDirection w:val="btLr"/>
            <w:vAlign w:val="center"/>
            <w:hideMark/>
          </w:tcPr>
          <w:p w14:paraId="0DE953D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Externo</w:t>
            </w:r>
          </w:p>
        </w:tc>
        <w:tc>
          <w:tcPr>
            <w:tcW w:w="376" w:type="dxa"/>
            <w:noWrap/>
            <w:textDirection w:val="btLr"/>
            <w:vAlign w:val="center"/>
            <w:hideMark/>
          </w:tcPr>
          <w:p w14:paraId="4B42186D"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41AFE5B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Financiero</w:t>
            </w:r>
          </w:p>
        </w:tc>
        <w:tc>
          <w:tcPr>
            <w:tcW w:w="1768" w:type="dxa"/>
            <w:vAlign w:val="center"/>
            <w:hideMark/>
          </w:tcPr>
          <w:p w14:paraId="140C685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bCs/>
                <w:kern w:val="3"/>
                <w:sz w:val="20"/>
                <w:szCs w:val="20"/>
                <w:lang w:eastAsia="zh-CN" w:bidi="hi-IN"/>
              </w:rPr>
              <w:t>Riesgo Financiero</w:t>
            </w:r>
            <w:r w:rsidRPr="00061F93">
              <w:rPr>
                <w:rFonts w:ascii="Arial" w:eastAsia="SimSun" w:hAnsi="Arial" w:cs="Arial"/>
                <w:b/>
                <w:bCs/>
                <w:kern w:val="3"/>
                <w:sz w:val="20"/>
                <w:szCs w:val="20"/>
                <w:lang w:eastAsia="zh-CN" w:bidi="hi-IN"/>
              </w:rPr>
              <w:t xml:space="preserve">: </w:t>
            </w:r>
            <w:r w:rsidRPr="00061F93">
              <w:rPr>
                <w:rFonts w:ascii="Arial" w:eastAsia="SimSun" w:hAnsi="Arial" w:cs="Arial"/>
                <w:kern w:val="3"/>
                <w:sz w:val="20"/>
                <w:szCs w:val="20"/>
                <w:lang w:eastAsia="zh-CN" w:bidi="hi-IN"/>
              </w:rPr>
              <w:t xml:space="preserve">Se deriva de los efectos provenientes de las variaciones de las tasas de interés, plazos, tasas de cambio, ajustes por inflación, devaluación, variaciones cambiarias y financieras, y otras variables del mercado por causas micro o macroeconómicas, frente a las estimaciones iniciales del Contratista, que puedan afectar las utilidades esperadas o generar pérdidas. Riesgos de las acciones encaminadas a la administración, consecución y disponibilidad oportuna de recursos financieros, propios o por medio de créditos en moneda </w:t>
            </w:r>
            <w:r w:rsidRPr="00061F93">
              <w:rPr>
                <w:rFonts w:ascii="Arial" w:eastAsia="SimSun" w:hAnsi="Arial" w:cs="Arial"/>
                <w:kern w:val="3"/>
                <w:sz w:val="20"/>
                <w:szCs w:val="20"/>
                <w:lang w:eastAsia="zh-CN" w:bidi="hi-IN"/>
              </w:rPr>
              <w:lastRenderedPageBreak/>
              <w:t>nacional o extranjera, para el cumplimiento del objeto contractual, en los plazos fijados para tal efecto.</w:t>
            </w:r>
          </w:p>
        </w:tc>
        <w:tc>
          <w:tcPr>
            <w:tcW w:w="1162" w:type="dxa"/>
            <w:vAlign w:val="center"/>
            <w:hideMark/>
          </w:tcPr>
          <w:p w14:paraId="3B0B705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Impacto económico al Contratista</w:t>
            </w:r>
          </w:p>
        </w:tc>
        <w:tc>
          <w:tcPr>
            <w:tcW w:w="376" w:type="dxa"/>
            <w:noWrap/>
            <w:vAlign w:val="center"/>
            <w:hideMark/>
          </w:tcPr>
          <w:p w14:paraId="40E10C2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149AF7A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181B74D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4</w:t>
            </w:r>
          </w:p>
        </w:tc>
        <w:tc>
          <w:tcPr>
            <w:tcW w:w="763" w:type="dxa"/>
            <w:vAlign w:val="center"/>
            <w:hideMark/>
          </w:tcPr>
          <w:p w14:paraId="705E5EA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Bajo</w:t>
            </w:r>
          </w:p>
        </w:tc>
        <w:tc>
          <w:tcPr>
            <w:tcW w:w="1274" w:type="dxa"/>
            <w:vAlign w:val="center"/>
            <w:hideMark/>
          </w:tcPr>
          <w:p w14:paraId="6F61305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w:t>
            </w:r>
          </w:p>
        </w:tc>
        <w:tc>
          <w:tcPr>
            <w:tcW w:w="1848" w:type="dxa"/>
            <w:vAlign w:val="center"/>
            <w:hideMark/>
          </w:tcPr>
          <w:p w14:paraId="7E892C9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6F80575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Realizar por parte del Contratista proyecciones de acuerdo con los datos históricos de las variables descritas, y con el estudio de mercado financiero con el fin de que el interesado establezca un punto de equilibrio tendiente a disminuir el riesgo.</w:t>
            </w:r>
          </w:p>
        </w:tc>
      </w:tr>
      <w:tr w:rsidR="00061F93" w:rsidRPr="00061F93" w14:paraId="2A476264" w14:textId="77777777" w:rsidTr="00061F93">
        <w:trPr>
          <w:trHeight w:val="1142"/>
          <w:jc w:val="center"/>
        </w:trPr>
        <w:tc>
          <w:tcPr>
            <w:tcW w:w="376" w:type="dxa"/>
            <w:noWrap/>
            <w:vAlign w:val="center"/>
            <w:hideMark/>
          </w:tcPr>
          <w:p w14:paraId="332B224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18</w:t>
            </w:r>
          </w:p>
        </w:tc>
        <w:tc>
          <w:tcPr>
            <w:tcW w:w="376" w:type="dxa"/>
            <w:noWrap/>
            <w:textDirection w:val="btLr"/>
            <w:vAlign w:val="center"/>
            <w:hideMark/>
          </w:tcPr>
          <w:p w14:paraId="18CEF21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General</w:t>
            </w:r>
          </w:p>
        </w:tc>
        <w:tc>
          <w:tcPr>
            <w:tcW w:w="376" w:type="dxa"/>
            <w:noWrap/>
            <w:textDirection w:val="btLr"/>
            <w:vAlign w:val="center"/>
            <w:hideMark/>
          </w:tcPr>
          <w:p w14:paraId="5629E5D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Externo</w:t>
            </w:r>
          </w:p>
        </w:tc>
        <w:tc>
          <w:tcPr>
            <w:tcW w:w="376" w:type="dxa"/>
            <w:noWrap/>
            <w:textDirection w:val="btLr"/>
            <w:vAlign w:val="center"/>
            <w:hideMark/>
          </w:tcPr>
          <w:p w14:paraId="2064787A"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496E995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Regulatorio</w:t>
            </w:r>
          </w:p>
        </w:tc>
        <w:tc>
          <w:tcPr>
            <w:tcW w:w="1768" w:type="dxa"/>
            <w:vAlign w:val="center"/>
            <w:hideMark/>
          </w:tcPr>
          <w:p w14:paraId="32FD813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bCs/>
                <w:kern w:val="3"/>
                <w:sz w:val="20"/>
                <w:szCs w:val="20"/>
                <w:lang w:eastAsia="zh-CN" w:bidi="hi-IN"/>
              </w:rPr>
              <w:t xml:space="preserve">Expedición y/o modificación de normas: </w:t>
            </w:r>
            <w:r w:rsidRPr="00061F93">
              <w:rPr>
                <w:rFonts w:ascii="Arial" w:eastAsia="SimSun" w:hAnsi="Arial" w:cs="Arial"/>
                <w:kern w:val="3"/>
                <w:sz w:val="20"/>
                <w:szCs w:val="20"/>
                <w:lang w:eastAsia="zh-CN" w:bidi="hi-IN"/>
              </w:rPr>
              <w:t>Ocurre por cambios normativos o por la expedición de normas posteriores al cierre del proceso de licitación pública, que afecten las condiciones económicas y/o técnicas inicialmente pactadas.</w:t>
            </w:r>
          </w:p>
        </w:tc>
        <w:tc>
          <w:tcPr>
            <w:tcW w:w="1162" w:type="dxa"/>
            <w:vAlign w:val="center"/>
            <w:hideMark/>
          </w:tcPr>
          <w:p w14:paraId="4252CFF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Afectación del desarrollo del contrato previsto con la normatividad existente al cierre del proceso de selección </w:t>
            </w:r>
          </w:p>
        </w:tc>
        <w:tc>
          <w:tcPr>
            <w:tcW w:w="376" w:type="dxa"/>
            <w:noWrap/>
            <w:vAlign w:val="center"/>
            <w:hideMark/>
          </w:tcPr>
          <w:p w14:paraId="7E00AD9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7B104D8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3</w:t>
            </w:r>
          </w:p>
        </w:tc>
        <w:tc>
          <w:tcPr>
            <w:tcW w:w="376" w:type="dxa"/>
            <w:noWrap/>
            <w:vAlign w:val="center"/>
            <w:hideMark/>
          </w:tcPr>
          <w:p w14:paraId="3B7BF00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5</w:t>
            </w:r>
          </w:p>
        </w:tc>
        <w:tc>
          <w:tcPr>
            <w:tcW w:w="763" w:type="dxa"/>
            <w:vAlign w:val="center"/>
            <w:hideMark/>
          </w:tcPr>
          <w:p w14:paraId="1CB3A28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Medio</w:t>
            </w:r>
          </w:p>
        </w:tc>
        <w:tc>
          <w:tcPr>
            <w:tcW w:w="1274" w:type="dxa"/>
            <w:vAlign w:val="center"/>
            <w:hideMark/>
          </w:tcPr>
          <w:p w14:paraId="326F873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848" w:type="dxa"/>
            <w:vAlign w:val="center"/>
            <w:hideMark/>
          </w:tcPr>
          <w:p w14:paraId="7BA2FEDA"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w:t>
            </w:r>
          </w:p>
        </w:tc>
        <w:tc>
          <w:tcPr>
            <w:tcW w:w="1554" w:type="dxa"/>
            <w:vAlign w:val="center"/>
            <w:hideMark/>
          </w:tcPr>
          <w:p w14:paraId="3717E20A"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r>
      <w:tr w:rsidR="00061F93" w:rsidRPr="00061F93" w14:paraId="186CD6DB" w14:textId="77777777" w:rsidTr="00061F93">
        <w:trPr>
          <w:trHeight w:val="3075"/>
          <w:jc w:val="center"/>
        </w:trPr>
        <w:tc>
          <w:tcPr>
            <w:tcW w:w="376" w:type="dxa"/>
            <w:noWrap/>
            <w:vAlign w:val="center"/>
            <w:hideMark/>
          </w:tcPr>
          <w:p w14:paraId="0F96581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19</w:t>
            </w:r>
          </w:p>
        </w:tc>
        <w:tc>
          <w:tcPr>
            <w:tcW w:w="376" w:type="dxa"/>
            <w:noWrap/>
            <w:textDirection w:val="btLr"/>
            <w:vAlign w:val="center"/>
            <w:hideMark/>
          </w:tcPr>
          <w:p w14:paraId="15BF3CC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General</w:t>
            </w:r>
          </w:p>
        </w:tc>
        <w:tc>
          <w:tcPr>
            <w:tcW w:w="376" w:type="dxa"/>
            <w:noWrap/>
            <w:textDirection w:val="btLr"/>
            <w:vAlign w:val="center"/>
            <w:hideMark/>
          </w:tcPr>
          <w:p w14:paraId="648C96BB"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Externo</w:t>
            </w:r>
          </w:p>
        </w:tc>
        <w:tc>
          <w:tcPr>
            <w:tcW w:w="376" w:type="dxa"/>
            <w:noWrap/>
            <w:textDirection w:val="btLr"/>
            <w:vAlign w:val="center"/>
            <w:hideMark/>
          </w:tcPr>
          <w:p w14:paraId="007F735B"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3479215B"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Ambiental</w:t>
            </w:r>
          </w:p>
        </w:tc>
        <w:tc>
          <w:tcPr>
            <w:tcW w:w="1768" w:type="dxa"/>
            <w:vAlign w:val="center"/>
            <w:hideMark/>
          </w:tcPr>
          <w:p w14:paraId="26017BD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b/>
                <w:bCs/>
                <w:kern w:val="3"/>
                <w:sz w:val="20"/>
                <w:szCs w:val="20"/>
                <w:lang w:eastAsia="zh-CN" w:bidi="hi-IN"/>
              </w:rPr>
              <w:t>Gestión Ambiental:</w:t>
            </w:r>
            <w:r w:rsidRPr="00061F93">
              <w:rPr>
                <w:rFonts w:ascii="Arial" w:eastAsia="SimSun" w:hAnsi="Arial" w:cs="Arial"/>
                <w:kern w:val="3"/>
                <w:sz w:val="20"/>
                <w:szCs w:val="20"/>
                <w:lang w:eastAsia="zh-CN" w:bidi="hi-IN"/>
              </w:rPr>
              <w:t xml:space="preserve"> Demora en la obtención y/o cesión de licencias y/o permisos ambientales por demora y/o inadecuada presentación de soportes y estudios.</w:t>
            </w:r>
          </w:p>
        </w:tc>
        <w:tc>
          <w:tcPr>
            <w:tcW w:w="1162" w:type="dxa"/>
            <w:vAlign w:val="center"/>
            <w:hideMark/>
          </w:tcPr>
          <w:p w14:paraId="21F9065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Retraso en la Ejecución de los trabajos</w:t>
            </w:r>
          </w:p>
        </w:tc>
        <w:tc>
          <w:tcPr>
            <w:tcW w:w="376" w:type="dxa"/>
            <w:noWrap/>
            <w:vAlign w:val="center"/>
            <w:hideMark/>
          </w:tcPr>
          <w:p w14:paraId="69760DC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70FAF09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3</w:t>
            </w:r>
          </w:p>
        </w:tc>
        <w:tc>
          <w:tcPr>
            <w:tcW w:w="376" w:type="dxa"/>
            <w:noWrap/>
            <w:vAlign w:val="center"/>
            <w:hideMark/>
          </w:tcPr>
          <w:p w14:paraId="65EC542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5</w:t>
            </w:r>
          </w:p>
        </w:tc>
        <w:tc>
          <w:tcPr>
            <w:tcW w:w="763" w:type="dxa"/>
            <w:vAlign w:val="center"/>
            <w:hideMark/>
          </w:tcPr>
          <w:p w14:paraId="366535B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Medio</w:t>
            </w:r>
          </w:p>
        </w:tc>
        <w:tc>
          <w:tcPr>
            <w:tcW w:w="1274" w:type="dxa"/>
            <w:vAlign w:val="center"/>
            <w:hideMark/>
          </w:tcPr>
          <w:p w14:paraId="63CA3CEA"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w:t>
            </w:r>
          </w:p>
        </w:tc>
        <w:tc>
          <w:tcPr>
            <w:tcW w:w="1848" w:type="dxa"/>
            <w:vAlign w:val="center"/>
            <w:hideMark/>
          </w:tcPr>
          <w:p w14:paraId="608FC6E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06CD98D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Seguimiento por parte del Interventor a la gestión documentada del contratista para la obtención de licencias, permisos y autorizaciones ambientales. </w:t>
            </w:r>
            <w:r w:rsidRPr="00061F93">
              <w:rPr>
                <w:rFonts w:ascii="Arial" w:eastAsia="SimSun" w:hAnsi="Arial" w:cs="Arial"/>
                <w:kern w:val="3"/>
                <w:sz w:val="20"/>
                <w:szCs w:val="20"/>
                <w:lang w:eastAsia="zh-CN" w:bidi="hi-IN"/>
              </w:rPr>
              <w:br/>
              <w:t>Reuniones con las autoridades ambientales programadas por el contratista.</w:t>
            </w:r>
          </w:p>
        </w:tc>
      </w:tr>
      <w:tr w:rsidR="00061F93" w:rsidRPr="00061F93" w14:paraId="3F2E5740" w14:textId="77777777" w:rsidTr="00061F93">
        <w:trPr>
          <w:trHeight w:val="1412"/>
          <w:jc w:val="center"/>
        </w:trPr>
        <w:tc>
          <w:tcPr>
            <w:tcW w:w="376" w:type="dxa"/>
            <w:noWrap/>
            <w:vAlign w:val="center"/>
            <w:hideMark/>
          </w:tcPr>
          <w:p w14:paraId="227B613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20</w:t>
            </w:r>
          </w:p>
        </w:tc>
        <w:tc>
          <w:tcPr>
            <w:tcW w:w="376" w:type="dxa"/>
            <w:noWrap/>
            <w:textDirection w:val="btLr"/>
            <w:vAlign w:val="center"/>
            <w:hideMark/>
          </w:tcPr>
          <w:p w14:paraId="724DEDD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General</w:t>
            </w:r>
          </w:p>
        </w:tc>
        <w:tc>
          <w:tcPr>
            <w:tcW w:w="376" w:type="dxa"/>
            <w:noWrap/>
            <w:textDirection w:val="btLr"/>
            <w:vAlign w:val="center"/>
            <w:hideMark/>
          </w:tcPr>
          <w:p w14:paraId="32A985E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Externo</w:t>
            </w:r>
          </w:p>
        </w:tc>
        <w:tc>
          <w:tcPr>
            <w:tcW w:w="376" w:type="dxa"/>
            <w:noWrap/>
            <w:textDirection w:val="btLr"/>
            <w:vAlign w:val="center"/>
            <w:hideMark/>
          </w:tcPr>
          <w:p w14:paraId="2C81D47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0BC1B1C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Ambiental</w:t>
            </w:r>
          </w:p>
        </w:tc>
        <w:tc>
          <w:tcPr>
            <w:tcW w:w="1768" w:type="dxa"/>
            <w:vAlign w:val="center"/>
            <w:hideMark/>
          </w:tcPr>
          <w:p w14:paraId="20CCF3A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b/>
                <w:bCs/>
                <w:kern w:val="3"/>
                <w:sz w:val="20"/>
                <w:szCs w:val="20"/>
                <w:lang w:eastAsia="zh-CN" w:bidi="hi-IN"/>
              </w:rPr>
              <w:t xml:space="preserve">Pasivos Ambientales: </w:t>
            </w:r>
            <w:r w:rsidRPr="00061F93">
              <w:rPr>
                <w:rFonts w:ascii="Arial" w:eastAsia="SimSun" w:hAnsi="Arial" w:cs="Arial"/>
                <w:kern w:val="3"/>
                <w:sz w:val="20"/>
                <w:szCs w:val="20"/>
                <w:lang w:eastAsia="zh-CN" w:bidi="hi-IN"/>
              </w:rPr>
              <w:t>Pasivos ambientales generados en el proceso constructivo, desde el punto de vista ambiental.</w:t>
            </w:r>
            <w:r w:rsidRPr="00061F93">
              <w:rPr>
                <w:rFonts w:ascii="Arial" w:eastAsia="SimSun" w:hAnsi="Arial" w:cs="Arial"/>
                <w:kern w:val="3"/>
                <w:sz w:val="20"/>
                <w:szCs w:val="20"/>
                <w:lang w:eastAsia="zh-CN" w:bidi="hi-IN"/>
              </w:rPr>
              <w:br/>
              <w:t>Pasivos administrativos generados por el no cumplimiento de obligaciones de la cesión de licencias y permisos ambientales</w:t>
            </w:r>
          </w:p>
        </w:tc>
        <w:tc>
          <w:tcPr>
            <w:tcW w:w="1162" w:type="dxa"/>
            <w:vAlign w:val="center"/>
            <w:hideMark/>
          </w:tcPr>
          <w:p w14:paraId="71AB625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Impacto Negativo por efectos en la Ejecución del Proyecto </w:t>
            </w:r>
            <w:r w:rsidRPr="00061F93">
              <w:rPr>
                <w:rFonts w:ascii="Arial" w:eastAsia="SimSun" w:hAnsi="Arial" w:cs="Arial"/>
                <w:kern w:val="3"/>
                <w:sz w:val="20"/>
                <w:szCs w:val="20"/>
                <w:lang w:eastAsia="zh-CN" w:bidi="hi-IN"/>
              </w:rPr>
              <w:br/>
              <w:t>Procesos Sancionatorios por parte de la autoridad ambiental</w:t>
            </w:r>
          </w:p>
        </w:tc>
        <w:tc>
          <w:tcPr>
            <w:tcW w:w="376" w:type="dxa"/>
            <w:noWrap/>
            <w:vAlign w:val="center"/>
            <w:hideMark/>
          </w:tcPr>
          <w:p w14:paraId="56E9AC2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1</w:t>
            </w:r>
          </w:p>
        </w:tc>
        <w:tc>
          <w:tcPr>
            <w:tcW w:w="376" w:type="dxa"/>
            <w:noWrap/>
            <w:vAlign w:val="center"/>
            <w:hideMark/>
          </w:tcPr>
          <w:p w14:paraId="5D7E45A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50442B8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3</w:t>
            </w:r>
          </w:p>
        </w:tc>
        <w:tc>
          <w:tcPr>
            <w:tcW w:w="763" w:type="dxa"/>
            <w:vAlign w:val="center"/>
            <w:hideMark/>
          </w:tcPr>
          <w:p w14:paraId="6246DBE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Bajo</w:t>
            </w:r>
          </w:p>
        </w:tc>
        <w:tc>
          <w:tcPr>
            <w:tcW w:w="1274" w:type="dxa"/>
            <w:vAlign w:val="center"/>
            <w:hideMark/>
          </w:tcPr>
          <w:p w14:paraId="536EB1B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w:t>
            </w:r>
          </w:p>
        </w:tc>
        <w:tc>
          <w:tcPr>
            <w:tcW w:w="1848" w:type="dxa"/>
            <w:vAlign w:val="center"/>
            <w:hideMark/>
          </w:tcPr>
          <w:p w14:paraId="58A484E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3A8C9B4B"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Seguimiento por parte del Interventor a los procesos constructivos, para evitar que se generen pasivos ambientales por esta causa, acompañamiento de Especialistas Ambientales del proyecto cuando sea necesario. Una vez causados, exigir el cumplimiento </w:t>
            </w:r>
            <w:r w:rsidRPr="00061F93">
              <w:rPr>
                <w:rFonts w:ascii="Arial" w:eastAsia="SimSun" w:hAnsi="Arial" w:cs="Arial"/>
                <w:kern w:val="3"/>
                <w:sz w:val="20"/>
                <w:szCs w:val="20"/>
                <w:lang w:eastAsia="zh-CN" w:bidi="hi-IN"/>
              </w:rPr>
              <w:lastRenderedPageBreak/>
              <w:t xml:space="preserve">de las medidas compensatorias de los mismos impuestas por la autoridad ambiental. Seguimiento por parte de la Subdirección del Medio Ambiente. De ser necesario llevar a cabo procesos sancionatorios para conminar su cumplimiento o sancionar el incumplimiento. </w:t>
            </w:r>
          </w:p>
        </w:tc>
      </w:tr>
      <w:tr w:rsidR="00061F93" w:rsidRPr="00061F93" w14:paraId="76857CD9" w14:textId="77777777" w:rsidTr="00061F93">
        <w:trPr>
          <w:trHeight w:val="561"/>
          <w:jc w:val="center"/>
        </w:trPr>
        <w:tc>
          <w:tcPr>
            <w:tcW w:w="376" w:type="dxa"/>
            <w:noWrap/>
            <w:vAlign w:val="center"/>
            <w:hideMark/>
          </w:tcPr>
          <w:p w14:paraId="6FD6054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21</w:t>
            </w:r>
          </w:p>
        </w:tc>
        <w:tc>
          <w:tcPr>
            <w:tcW w:w="376" w:type="dxa"/>
            <w:noWrap/>
            <w:textDirection w:val="btLr"/>
            <w:vAlign w:val="center"/>
            <w:hideMark/>
          </w:tcPr>
          <w:p w14:paraId="00950BCD"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General</w:t>
            </w:r>
          </w:p>
        </w:tc>
        <w:tc>
          <w:tcPr>
            <w:tcW w:w="376" w:type="dxa"/>
            <w:noWrap/>
            <w:textDirection w:val="btLr"/>
            <w:vAlign w:val="center"/>
            <w:hideMark/>
          </w:tcPr>
          <w:p w14:paraId="70F261F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Externo</w:t>
            </w:r>
          </w:p>
        </w:tc>
        <w:tc>
          <w:tcPr>
            <w:tcW w:w="376" w:type="dxa"/>
            <w:noWrap/>
            <w:textDirection w:val="btLr"/>
            <w:vAlign w:val="center"/>
            <w:hideMark/>
          </w:tcPr>
          <w:p w14:paraId="1DA4CD7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566B555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Ambiental</w:t>
            </w:r>
          </w:p>
        </w:tc>
        <w:tc>
          <w:tcPr>
            <w:tcW w:w="1768" w:type="dxa"/>
            <w:vAlign w:val="center"/>
            <w:hideMark/>
          </w:tcPr>
          <w:p w14:paraId="6EB53E1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b/>
                <w:bCs/>
                <w:kern w:val="3"/>
                <w:sz w:val="20"/>
                <w:szCs w:val="20"/>
                <w:lang w:eastAsia="zh-CN" w:bidi="hi-IN"/>
              </w:rPr>
              <w:t>Ambiental:</w:t>
            </w:r>
            <w:r w:rsidRPr="00061F93">
              <w:rPr>
                <w:rFonts w:ascii="Arial" w:eastAsia="SimSun" w:hAnsi="Arial" w:cs="Arial"/>
                <w:kern w:val="3"/>
                <w:sz w:val="20"/>
                <w:szCs w:val="20"/>
                <w:lang w:eastAsia="zh-CN" w:bidi="hi-IN"/>
              </w:rPr>
              <w:t xml:space="preserve"> Riesgos derivados de las obligaciones que emanan de las licencias ambientales, de los planes de manejo ambiental, de los permisos y autorizaciones ambientales, tasas retributivas y compensatorias, obligaciones de mitigación, tareas de monitoreo, </w:t>
            </w:r>
            <w:r w:rsidRPr="00061F93">
              <w:rPr>
                <w:rFonts w:ascii="Arial" w:eastAsia="SimSun" w:hAnsi="Arial" w:cs="Arial"/>
                <w:kern w:val="3"/>
                <w:sz w:val="20"/>
                <w:szCs w:val="20"/>
                <w:lang w:eastAsia="zh-CN" w:bidi="hi-IN"/>
              </w:rPr>
              <w:lastRenderedPageBreak/>
              <w:t>control y seguimiento. También riesgos de las condiciones ambientales o ecológicas exigidas, y de la ejecución de actividades como la explotación minera, ocupación de cauces e intervenciones forestales sin los debidos permisos de las autoridades ambientales.</w:t>
            </w:r>
          </w:p>
        </w:tc>
        <w:tc>
          <w:tcPr>
            <w:tcW w:w="1162" w:type="dxa"/>
            <w:vAlign w:val="center"/>
            <w:hideMark/>
          </w:tcPr>
          <w:p w14:paraId="3A1C22F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Genera incumplimiento ambiental que puede afectar la ejecución del proyecto y ocasiona sanciones de las entidades ambientales competentes.</w:t>
            </w:r>
          </w:p>
        </w:tc>
        <w:tc>
          <w:tcPr>
            <w:tcW w:w="376" w:type="dxa"/>
            <w:noWrap/>
            <w:vAlign w:val="center"/>
            <w:hideMark/>
          </w:tcPr>
          <w:p w14:paraId="64764E7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29AE462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4</w:t>
            </w:r>
          </w:p>
        </w:tc>
        <w:tc>
          <w:tcPr>
            <w:tcW w:w="376" w:type="dxa"/>
            <w:noWrap/>
            <w:vAlign w:val="center"/>
            <w:hideMark/>
          </w:tcPr>
          <w:p w14:paraId="1DC58B0D"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6</w:t>
            </w:r>
          </w:p>
        </w:tc>
        <w:tc>
          <w:tcPr>
            <w:tcW w:w="763" w:type="dxa"/>
            <w:vAlign w:val="center"/>
            <w:hideMark/>
          </w:tcPr>
          <w:p w14:paraId="3E743F8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Alto</w:t>
            </w:r>
          </w:p>
        </w:tc>
        <w:tc>
          <w:tcPr>
            <w:tcW w:w="1274" w:type="dxa"/>
            <w:vAlign w:val="center"/>
            <w:hideMark/>
          </w:tcPr>
          <w:p w14:paraId="0CB4D9C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w:t>
            </w:r>
          </w:p>
        </w:tc>
        <w:tc>
          <w:tcPr>
            <w:tcW w:w="1848" w:type="dxa"/>
            <w:vAlign w:val="center"/>
            <w:hideMark/>
          </w:tcPr>
          <w:p w14:paraId="1114988B"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5E2CC4C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Aplicación de la normatividad ambiental y exigencia de la licencia y/o permisos y/o autorizaciones ambientales al contratista. Verificación de cumplimiento del contratista de las obligaciones que emanan de los mismos. De ser necesario llevar a cabo </w:t>
            </w:r>
            <w:r w:rsidRPr="00061F93">
              <w:rPr>
                <w:rFonts w:ascii="Arial" w:eastAsia="SimSun" w:hAnsi="Arial" w:cs="Arial"/>
                <w:kern w:val="3"/>
                <w:sz w:val="20"/>
                <w:szCs w:val="20"/>
                <w:lang w:eastAsia="zh-CN" w:bidi="hi-IN"/>
              </w:rPr>
              <w:lastRenderedPageBreak/>
              <w:t>procesos sancionatorios para conminar su cumplimiento o sancionar el incumplimiento.</w:t>
            </w:r>
          </w:p>
        </w:tc>
      </w:tr>
      <w:tr w:rsidR="00061F93" w:rsidRPr="00061F93" w14:paraId="04B10AE0" w14:textId="77777777" w:rsidTr="00061F93">
        <w:trPr>
          <w:trHeight w:val="493"/>
          <w:jc w:val="center"/>
        </w:trPr>
        <w:tc>
          <w:tcPr>
            <w:tcW w:w="376" w:type="dxa"/>
            <w:noWrap/>
            <w:vAlign w:val="center"/>
            <w:hideMark/>
          </w:tcPr>
          <w:p w14:paraId="7A13956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22</w:t>
            </w:r>
          </w:p>
        </w:tc>
        <w:tc>
          <w:tcPr>
            <w:tcW w:w="376" w:type="dxa"/>
            <w:noWrap/>
            <w:textDirection w:val="btLr"/>
            <w:vAlign w:val="center"/>
            <w:hideMark/>
          </w:tcPr>
          <w:p w14:paraId="5C56908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General</w:t>
            </w:r>
          </w:p>
        </w:tc>
        <w:tc>
          <w:tcPr>
            <w:tcW w:w="376" w:type="dxa"/>
            <w:noWrap/>
            <w:textDirection w:val="btLr"/>
            <w:vAlign w:val="center"/>
            <w:hideMark/>
          </w:tcPr>
          <w:p w14:paraId="7FF2EF8A"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Externo</w:t>
            </w:r>
          </w:p>
        </w:tc>
        <w:tc>
          <w:tcPr>
            <w:tcW w:w="376" w:type="dxa"/>
            <w:noWrap/>
            <w:textDirection w:val="btLr"/>
            <w:vAlign w:val="center"/>
            <w:hideMark/>
          </w:tcPr>
          <w:p w14:paraId="25DC8E4D"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194BDB8B"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Ambiental</w:t>
            </w:r>
          </w:p>
        </w:tc>
        <w:tc>
          <w:tcPr>
            <w:tcW w:w="1768" w:type="dxa"/>
            <w:vAlign w:val="center"/>
            <w:hideMark/>
          </w:tcPr>
          <w:p w14:paraId="0E32267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b/>
                <w:bCs/>
                <w:kern w:val="3"/>
                <w:sz w:val="20"/>
                <w:szCs w:val="20"/>
                <w:lang w:eastAsia="zh-CN" w:bidi="hi-IN"/>
              </w:rPr>
              <w:t>Ambiental:</w:t>
            </w:r>
            <w:r w:rsidRPr="00061F93">
              <w:rPr>
                <w:rFonts w:ascii="Arial" w:eastAsia="SimSun" w:hAnsi="Arial" w:cs="Arial"/>
                <w:kern w:val="3"/>
                <w:sz w:val="20"/>
                <w:szCs w:val="20"/>
                <w:lang w:eastAsia="zh-CN" w:bidi="hi-IN"/>
              </w:rPr>
              <w:t xml:space="preserve"> Requerimientos adicionales de autoridades ambientales para la protección del medio ambiente, la corrección de problemas detectados a lo largo de todo el corredor o la realización de obras ambientales complementarias y/o necesarias. Riesgo que </w:t>
            </w:r>
            <w:r w:rsidRPr="00061F93">
              <w:rPr>
                <w:rFonts w:ascii="Arial" w:eastAsia="SimSun" w:hAnsi="Arial" w:cs="Arial"/>
                <w:kern w:val="3"/>
                <w:sz w:val="20"/>
                <w:szCs w:val="20"/>
                <w:lang w:eastAsia="zh-CN" w:bidi="hi-IN"/>
              </w:rPr>
              <w:lastRenderedPageBreak/>
              <w:t>asume el contratista en el sentido de su deber de realizar la ejecución de las actividades y riesgo que asume la entidad contratante mediante el pago de las actividades requeridas que sean objeto de pago. Para ello procede inclusive el procedimiento reglado en el acta de modificación de cantidades de obra y la modificación de provisiones.</w:t>
            </w:r>
          </w:p>
        </w:tc>
        <w:tc>
          <w:tcPr>
            <w:tcW w:w="1162" w:type="dxa"/>
            <w:vAlign w:val="center"/>
            <w:hideMark/>
          </w:tcPr>
          <w:p w14:paraId="34FB255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Genera incumplimiento ambiental que puede afectar la ejecución del proyecto y ocasiona sanciones de las entidades ambientales competentes.</w:t>
            </w:r>
          </w:p>
        </w:tc>
        <w:tc>
          <w:tcPr>
            <w:tcW w:w="376" w:type="dxa"/>
            <w:noWrap/>
            <w:vAlign w:val="center"/>
            <w:hideMark/>
          </w:tcPr>
          <w:p w14:paraId="21D50AB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050A107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4</w:t>
            </w:r>
          </w:p>
        </w:tc>
        <w:tc>
          <w:tcPr>
            <w:tcW w:w="376" w:type="dxa"/>
            <w:noWrap/>
            <w:vAlign w:val="center"/>
            <w:hideMark/>
          </w:tcPr>
          <w:p w14:paraId="6E25645D"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6</w:t>
            </w:r>
          </w:p>
        </w:tc>
        <w:tc>
          <w:tcPr>
            <w:tcW w:w="763" w:type="dxa"/>
            <w:vAlign w:val="center"/>
            <w:hideMark/>
          </w:tcPr>
          <w:p w14:paraId="2B882F2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Alto</w:t>
            </w:r>
          </w:p>
        </w:tc>
        <w:tc>
          <w:tcPr>
            <w:tcW w:w="1274" w:type="dxa"/>
            <w:vAlign w:val="center"/>
            <w:hideMark/>
          </w:tcPr>
          <w:p w14:paraId="2285F69D"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848" w:type="dxa"/>
            <w:vAlign w:val="center"/>
            <w:hideMark/>
          </w:tcPr>
          <w:p w14:paraId="085299CA"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63E2891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Aplicación de la normatividad ambiental y exigencia de la licencia y/o permisos y/o autorizaciones ambientales al contratista. Verificación de cumplimiento del contratista de las obligaciones que emanan de los mismos. Realizar una adecuada </w:t>
            </w:r>
            <w:r w:rsidRPr="00061F93">
              <w:rPr>
                <w:rFonts w:ascii="Arial" w:eastAsia="SimSun" w:hAnsi="Arial" w:cs="Arial"/>
                <w:kern w:val="3"/>
                <w:sz w:val="20"/>
                <w:szCs w:val="20"/>
                <w:lang w:eastAsia="zh-CN" w:bidi="hi-IN"/>
              </w:rPr>
              <w:lastRenderedPageBreak/>
              <w:t xml:space="preserve">etapa de </w:t>
            </w:r>
            <w:proofErr w:type="spellStart"/>
            <w:r w:rsidRPr="00061F93">
              <w:rPr>
                <w:rFonts w:ascii="Arial" w:eastAsia="SimSun" w:hAnsi="Arial" w:cs="Arial"/>
                <w:kern w:val="3"/>
                <w:sz w:val="20"/>
                <w:szCs w:val="20"/>
                <w:lang w:eastAsia="zh-CN" w:bidi="hi-IN"/>
              </w:rPr>
              <w:t>preconstrucción</w:t>
            </w:r>
            <w:proofErr w:type="spellEnd"/>
            <w:r w:rsidRPr="00061F93">
              <w:rPr>
                <w:rFonts w:ascii="Arial" w:eastAsia="SimSun" w:hAnsi="Arial" w:cs="Arial"/>
                <w:kern w:val="3"/>
                <w:sz w:val="20"/>
                <w:szCs w:val="20"/>
                <w:lang w:eastAsia="zh-CN" w:bidi="hi-IN"/>
              </w:rPr>
              <w:t>. De ser necesario llevar a cabo procesos sancionatorios para conminar su cumplimiento o sancionar el incumplimiento.</w:t>
            </w:r>
          </w:p>
        </w:tc>
      </w:tr>
      <w:tr w:rsidR="00061F93" w:rsidRPr="00061F93" w14:paraId="4967B607" w14:textId="77777777" w:rsidTr="00061F93">
        <w:trPr>
          <w:trHeight w:val="694"/>
          <w:jc w:val="center"/>
        </w:trPr>
        <w:tc>
          <w:tcPr>
            <w:tcW w:w="376" w:type="dxa"/>
            <w:noWrap/>
            <w:vAlign w:val="center"/>
            <w:hideMark/>
          </w:tcPr>
          <w:p w14:paraId="16FAE19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23</w:t>
            </w:r>
          </w:p>
        </w:tc>
        <w:tc>
          <w:tcPr>
            <w:tcW w:w="376" w:type="dxa"/>
            <w:noWrap/>
            <w:textDirection w:val="btLr"/>
            <w:vAlign w:val="center"/>
            <w:hideMark/>
          </w:tcPr>
          <w:p w14:paraId="31ADD3E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General</w:t>
            </w:r>
          </w:p>
        </w:tc>
        <w:tc>
          <w:tcPr>
            <w:tcW w:w="376" w:type="dxa"/>
            <w:noWrap/>
            <w:textDirection w:val="btLr"/>
            <w:vAlign w:val="center"/>
            <w:hideMark/>
          </w:tcPr>
          <w:p w14:paraId="74A7CBB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Externo</w:t>
            </w:r>
          </w:p>
        </w:tc>
        <w:tc>
          <w:tcPr>
            <w:tcW w:w="376" w:type="dxa"/>
            <w:noWrap/>
            <w:textDirection w:val="btLr"/>
            <w:vAlign w:val="center"/>
            <w:hideMark/>
          </w:tcPr>
          <w:p w14:paraId="643E1FAA"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3E5198FF"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Social</w:t>
            </w:r>
          </w:p>
        </w:tc>
        <w:tc>
          <w:tcPr>
            <w:tcW w:w="1768" w:type="dxa"/>
            <w:vAlign w:val="center"/>
            <w:hideMark/>
          </w:tcPr>
          <w:p w14:paraId="5B67391D"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b/>
                <w:bCs/>
                <w:kern w:val="3"/>
                <w:sz w:val="20"/>
                <w:szCs w:val="20"/>
                <w:lang w:eastAsia="zh-CN" w:bidi="hi-IN"/>
              </w:rPr>
              <w:t>Social</w:t>
            </w:r>
            <w:r w:rsidRPr="00061F93">
              <w:rPr>
                <w:rFonts w:ascii="Arial" w:eastAsia="SimSun" w:hAnsi="Arial" w:cs="Arial"/>
                <w:kern w:val="3"/>
                <w:sz w:val="20"/>
                <w:szCs w:val="20"/>
                <w:lang w:eastAsia="zh-CN" w:bidi="hi-IN"/>
              </w:rPr>
              <w:t>: Riesgo asociado al tratamiento con comunidades y personal en general en el sector y en la región.</w:t>
            </w:r>
          </w:p>
        </w:tc>
        <w:tc>
          <w:tcPr>
            <w:tcW w:w="1162" w:type="dxa"/>
            <w:vAlign w:val="center"/>
            <w:hideMark/>
          </w:tcPr>
          <w:p w14:paraId="2206FC8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Inconformidad de la comunidad por aspectos sociales del proyecto, la socialización del proyecto y ejecución de la obra, puede generar </w:t>
            </w:r>
            <w:r w:rsidRPr="00061F93">
              <w:rPr>
                <w:rFonts w:ascii="Arial" w:eastAsia="SimSun" w:hAnsi="Arial" w:cs="Arial"/>
                <w:kern w:val="3"/>
                <w:sz w:val="20"/>
                <w:szCs w:val="20"/>
                <w:lang w:eastAsia="zh-CN" w:bidi="hi-IN"/>
              </w:rPr>
              <w:lastRenderedPageBreak/>
              <w:t xml:space="preserve">atrasos en la ejecución de la obra. </w:t>
            </w:r>
          </w:p>
        </w:tc>
        <w:tc>
          <w:tcPr>
            <w:tcW w:w="376" w:type="dxa"/>
            <w:noWrap/>
            <w:vAlign w:val="center"/>
            <w:hideMark/>
          </w:tcPr>
          <w:p w14:paraId="0111BB1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2</w:t>
            </w:r>
          </w:p>
        </w:tc>
        <w:tc>
          <w:tcPr>
            <w:tcW w:w="376" w:type="dxa"/>
            <w:noWrap/>
            <w:vAlign w:val="center"/>
            <w:hideMark/>
          </w:tcPr>
          <w:p w14:paraId="2042BC6B"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vAlign w:val="center"/>
            <w:hideMark/>
          </w:tcPr>
          <w:p w14:paraId="3B4319A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4</w:t>
            </w:r>
          </w:p>
        </w:tc>
        <w:tc>
          <w:tcPr>
            <w:tcW w:w="763" w:type="dxa"/>
            <w:vAlign w:val="center"/>
            <w:hideMark/>
          </w:tcPr>
          <w:p w14:paraId="183C1DA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bajo</w:t>
            </w:r>
          </w:p>
        </w:tc>
        <w:tc>
          <w:tcPr>
            <w:tcW w:w="1274" w:type="dxa"/>
            <w:vAlign w:val="center"/>
            <w:hideMark/>
          </w:tcPr>
          <w:p w14:paraId="554998A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w:t>
            </w:r>
          </w:p>
        </w:tc>
        <w:tc>
          <w:tcPr>
            <w:tcW w:w="1848" w:type="dxa"/>
            <w:noWrap/>
            <w:vAlign w:val="center"/>
            <w:hideMark/>
          </w:tcPr>
          <w:p w14:paraId="03733A5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769190AA"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Seguimiento a todos los protocolos y procesos de socialización de los proyectos que así lo requieran. Socialización desde el comienzo del proyecto a las comunidades que se encuentran directamente </w:t>
            </w:r>
            <w:r w:rsidRPr="00061F93">
              <w:rPr>
                <w:rFonts w:ascii="Arial" w:eastAsia="SimSun" w:hAnsi="Arial" w:cs="Arial"/>
                <w:kern w:val="3"/>
                <w:sz w:val="20"/>
                <w:szCs w:val="20"/>
                <w:lang w:eastAsia="zh-CN" w:bidi="hi-IN"/>
              </w:rPr>
              <w:lastRenderedPageBreak/>
              <w:t xml:space="preserve">afectadas. Atención a las inconformidades de la comunidad. </w:t>
            </w:r>
          </w:p>
        </w:tc>
      </w:tr>
      <w:tr w:rsidR="00061F93" w:rsidRPr="00061F93" w14:paraId="02E34031" w14:textId="77777777" w:rsidTr="00061F93">
        <w:trPr>
          <w:trHeight w:val="693"/>
          <w:jc w:val="center"/>
        </w:trPr>
        <w:tc>
          <w:tcPr>
            <w:tcW w:w="376" w:type="dxa"/>
            <w:noWrap/>
            <w:vAlign w:val="center"/>
            <w:hideMark/>
          </w:tcPr>
          <w:p w14:paraId="2ABF168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24</w:t>
            </w:r>
          </w:p>
        </w:tc>
        <w:tc>
          <w:tcPr>
            <w:tcW w:w="376" w:type="dxa"/>
            <w:noWrap/>
            <w:textDirection w:val="btLr"/>
            <w:vAlign w:val="center"/>
            <w:hideMark/>
          </w:tcPr>
          <w:p w14:paraId="7FCF95F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General</w:t>
            </w:r>
          </w:p>
        </w:tc>
        <w:tc>
          <w:tcPr>
            <w:tcW w:w="376" w:type="dxa"/>
            <w:noWrap/>
            <w:textDirection w:val="btLr"/>
            <w:vAlign w:val="center"/>
            <w:hideMark/>
          </w:tcPr>
          <w:p w14:paraId="59B9715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Externo</w:t>
            </w:r>
          </w:p>
        </w:tc>
        <w:tc>
          <w:tcPr>
            <w:tcW w:w="376" w:type="dxa"/>
            <w:noWrap/>
            <w:textDirection w:val="btLr"/>
            <w:vAlign w:val="center"/>
            <w:hideMark/>
          </w:tcPr>
          <w:p w14:paraId="3A3EB2A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noWrap/>
            <w:textDirection w:val="btLr"/>
            <w:vAlign w:val="center"/>
            <w:hideMark/>
          </w:tcPr>
          <w:p w14:paraId="1258C7E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de la naturaleza</w:t>
            </w:r>
          </w:p>
        </w:tc>
        <w:tc>
          <w:tcPr>
            <w:tcW w:w="1768" w:type="dxa"/>
            <w:vAlign w:val="center"/>
            <w:hideMark/>
          </w:tcPr>
          <w:p w14:paraId="72F8A4FA"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Fuerza mayor asegurable. Son las relacionadas con los impactos adversos debido a la ocurrencia de desastres naturales, que afecten los bienes, equipos, maquinaria, personal, insumos, materiales, etc. De propiedad del contratista. Riesgo que asume el PROPONENTE Y/O CONTRATISTA. Se excluyen daños en bienes de la nación que estarán a cargo de Municipio de Supia, Caldas</w:t>
            </w:r>
            <w:proofErr w:type="gramStart"/>
            <w:r w:rsidRPr="00061F93">
              <w:rPr>
                <w:rFonts w:ascii="Arial" w:eastAsia="SimSun" w:hAnsi="Arial" w:cs="Arial"/>
                <w:kern w:val="3"/>
                <w:sz w:val="20"/>
                <w:szCs w:val="20"/>
                <w:lang w:eastAsia="zh-CN" w:bidi="hi-IN"/>
              </w:rPr>
              <w:t>, .</w:t>
            </w:r>
            <w:proofErr w:type="gramEnd"/>
            <w:r w:rsidRPr="00061F93">
              <w:rPr>
                <w:rFonts w:ascii="Arial" w:eastAsia="SimSun" w:hAnsi="Arial" w:cs="Arial"/>
                <w:kern w:val="3"/>
                <w:sz w:val="20"/>
                <w:szCs w:val="20"/>
                <w:lang w:eastAsia="zh-CN" w:bidi="hi-IN"/>
              </w:rPr>
              <w:t xml:space="preserve"> </w:t>
            </w:r>
          </w:p>
        </w:tc>
        <w:tc>
          <w:tcPr>
            <w:tcW w:w="1162" w:type="dxa"/>
            <w:vAlign w:val="center"/>
            <w:hideMark/>
          </w:tcPr>
          <w:p w14:paraId="47DE0B66"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Demora en la ejecución del proyecto. Pérdida de bienes del Contratista</w:t>
            </w:r>
          </w:p>
        </w:tc>
        <w:tc>
          <w:tcPr>
            <w:tcW w:w="376" w:type="dxa"/>
            <w:noWrap/>
            <w:vAlign w:val="center"/>
            <w:hideMark/>
          </w:tcPr>
          <w:p w14:paraId="2C681635"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noWrap/>
            <w:vAlign w:val="center"/>
            <w:hideMark/>
          </w:tcPr>
          <w:p w14:paraId="3028B40A"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2</w:t>
            </w:r>
          </w:p>
        </w:tc>
        <w:tc>
          <w:tcPr>
            <w:tcW w:w="376" w:type="dxa"/>
            <w:vAlign w:val="center"/>
            <w:hideMark/>
          </w:tcPr>
          <w:p w14:paraId="248FB3B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4</w:t>
            </w:r>
          </w:p>
        </w:tc>
        <w:tc>
          <w:tcPr>
            <w:tcW w:w="763" w:type="dxa"/>
            <w:vAlign w:val="center"/>
            <w:hideMark/>
          </w:tcPr>
          <w:p w14:paraId="37EEED7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bajo</w:t>
            </w:r>
          </w:p>
        </w:tc>
        <w:tc>
          <w:tcPr>
            <w:tcW w:w="1274" w:type="dxa"/>
            <w:vAlign w:val="center"/>
            <w:hideMark/>
          </w:tcPr>
          <w:p w14:paraId="6417E01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w:t>
            </w:r>
          </w:p>
        </w:tc>
        <w:tc>
          <w:tcPr>
            <w:tcW w:w="1848" w:type="dxa"/>
            <w:noWrap/>
            <w:vAlign w:val="center"/>
            <w:hideMark/>
          </w:tcPr>
          <w:p w14:paraId="02FCBC9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34DC4F84"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Recopilación de datos estadísticos e información a partir de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w:t>
            </w:r>
            <w:r w:rsidRPr="00061F93">
              <w:rPr>
                <w:rFonts w:ascii="Arial" w:eastAsia="SimSun" w:hAnsi="Arial" w:cs="Arial"/>
                <w:kern w:val="3"/>
                <w:sz w:val="20"/>
                <w:szCs w:val="20"/>
                <w:lang w:eastAsia="zh-CN" w:bidi="hi-IN"/>
              </w:rPr>
              <w:lastRenderedPageBreak/>
              <w:t>seguridad industrial para protección del personal en dichos eventos, etc.</w:t>
            </w:r>
          </w:p>
        </w:tc>
      </w:tr>
      <w:tr w:rsidR="00061F93" w:rsidRPr="00061F93" w14:paraId="6F669F18" w14:textId="77777777" w:rsidTr="00061F93">
        <w:trPr>
          <w:trHeight w:val="551"/>
          <w:jc w:val="center"/>
        </w:trPr>
        <w:tc>
          <w:tcPr>
            <w:tcW w:w="376" w:type="dxa"/>
            <w:noWrap/>
            <w:vAlign w:val="center"/>
            <w:hideMark/>
          </w:tcPr>
          <w:p w14:paraId="63225BF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lastRenderedPageBreak/>
              <w:t>25</w:t>
            </w:r>
          </w:p>
        </w:tc>
        <w:tc>
          <w:tcPr>
            <w:tcW w:w="376" w:type="dxa"/>
            <w:noWrap/>
            <w:textDirection w:val="btLr"/>
            <w:vAlign w:val="center"/>
            <w:hideMark/>
          </w:tcPr>
          <w:p w14:paraId="382FB7A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General</w:t>
            </w:r>
          </w:p>
        </w:tc>
        <w:tc>
          <w:tcPr>
            <w:tcW w:w="376" w:type="dxa"/>
            <w:noWrap/>
            <w:textDirection w:val="btLr"/>
            <w:vAlign w:val="center"/>
            <w:hideMark/>
          </w:tcPr>
          <w:p w14:paraId="19A4673E"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Externo</w:t>
            </w:r>
          </w:p>
        </w:tc>
        <w:tc>
          <w:tcPr>
            <w:tcW w:w="376" w:type="dxa"/>
            <w:noWrap/>
            <w:textDirection w:val="btLr"/>
            <w:vAlign w:val="center"/>
            <w:hideMark/>
          </w:tcPr>
          <w:p w14:paraId="5319818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Ejecución</w:t>
            </w:r>
          </w:p>
        </w:tc>
        <w:tc>
          <w:tcPr>
            <w:tcW w:w="613" w:type="dxa"/>
            <w:textDirection w:val="btLr"/>
            <w:vAlign w:val="center"/>
            <w:hideMark/>
          </w:tcPr>
          <w:p w14:paraId="1489EC63"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político-social, Riesgo de la naturaleza</w:t>
            </w:r>
          </w:p>
        </w:tc>
        <w:tc>
          <w:tcPr>
            <w:tcW w:w="1768" w:type="dxa"/>
            <w:vAlign w:val="center"/>
            <w:hideMark/>
          </w:tcPr>
          <w:p w14:paraId="0A3E4020"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Fuerza mayor no asegurable. Incertidumbre de ocurrencia de eventos de fuerza mayor no asegurables, tales como guerras, hallazgos arqueológicos, yacimientos mineros, (Municipio de Supia, Caldas, como órgano del Estado en armonía con los demás Entes). Se define la Fuerza Mayor o Caso Fortuito, en los términos de la legislación existente.</w:t>
            </w:r>
          </w:p>
        </w:tc>
        <w:tc>
          <w:tcPr>
            <w:tcW w:w="1162" w:type="dxa"/>
            <w:vAlign w:val="center"/>
            <w:hideMark/>
          </w:tcPr>
          <w:p w14:paraId="112EBAE8"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Interferencia en la ejecución del proyecto, pérdidas de bienes de la nación </w:t>
            </w:r>
            <w:proofErr w:type="spellStart"/>
            <w:r w:rsidRPr="00061F93">
              <w:rPr>
                <w:rFonts w:ascii="Arial" w:eastAsia="SimSun" w:hAnsi="Arial" w:cs="Arial"/>
                <w:kern w:val="3"/>
                <w:sz w:val="20"/>
                <w:szCs w:val="20"/>
                <w:lang w:eastAsia="zh-CN" w:bidi="hi-IN"/>
              </w:rPr>
              <w:t>ó</w:t>
            </w:r>
            <w:proofErr w:type="spellEnd"/>
            <w:r w:rsidRPr="00061F93">
              <w:rPr>
                <w:rFonts w:ascii="Arial" w:eastAsia="SimSun" w:hAnsi="Arial" w:cs="Arial"/>
                <w:kern w:val="3"/>
                <w:sz w:val="20"/>
                <w:szCs w:val="20"/>
                <w:lang w:eastAsia="zh-CN" w:bidi="hi-IN"/>
              </w:rPr>
              <w:t xml:space="preserve"> del contratista, cambios en las obras por necesidad de ajustar diseños</w:t>
            </w:r>
          </w:p>
        </w:tc>
        <w:tc>
          <w:tcPr>
            <w:tcW w:w="376" w:type="dxa"/>
            <w:noWrap/>
            <w:vAlign w:val="center"/>
            <w:hideMark/>
          </w:tcPr>
          <w:p w14:paraId="48C5215C"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1</w:t>
            </w:r>
          </w:p>
        </w:tc>
        <w:tc>
          <w:tcPr>
            <w:tcW w:w="376" w:type="dxa"/>
            <w:noWrap/>
            <w:vAlign w:val="center"/>
            <w:hideMark/>
          </w:tcPr>
          <w:p w14:paraId="4D9DA069"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4</w:t>
            </w:r>
          </w:p>
        </w:tc>
        <w:tc>
          <w:tcPr>
            <w:tcW w:w="376" w:type="dxa"/>
            <w:vAlign w:val="center"/>
            <w:hideMark/>
          </w:tcPr>
          <w:p w14:paraId="331FBBC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5</w:t>
            </w:r>
          </w:p>
        </w:tc>
        <w:tc>
          <w:tcPr>
            <w:tcW w:w="763" w:type="dxa"/>
            <w:vAlign w:val="center"/>
            <w:hideMark/>
          </w:tcPr>
          <w:p w14:paraId="6372AC4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Riesgo Medio</w:t>
            </w:r>
          </w:p>
        </w:tc>
        <w:tc>
          <w:tcPr>
            <w:tcW w:w="1274" w:type="dxa"/>
            <w:vAlign w:val="center"/>
            <w:hideMark/>
          </w:tcPr>
          <w:p w14:paraId="41475551"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848" w:type="dxa"/>
            <w:noWrap/>
            <w:vAlign w:val="center"/>
            <w:hideMark/>
          </w:tcPr>
          <w:p w14:paraId="68A0C922"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X</w:t>
            </w:r>
          </w:p>
        </w:tc>
        <w:tc>
          <w:tcPr>
            <w:tcW w:w="1554" w:type="dxa"/>
            <w:vAlign w:val="center"/>
            <w:hideMark/>
          </w:tcPr>
          <w:p w14:paraId="7B510CD7" w14:textId="77777777" w:rsidR="00061F93" w:rsidRPr="00061F93" w:rsidRDefault="00061F93" w:rsidP="00061F93">
            <w:pPr>
              <w:spacing w:after="100" w:afterAutospacing="1"/>
              <w:jc w:val="left"/>
              <w:rPr>
                <w:rFonts w:ascii="Arial" w:eastAsia="SimSun" w:hAnsi="Arial" w:cs="Arial"/>
                <w:kern w:val="3"/>
                <w:sz w:val="20"/>
                <w:szCs w:val="20"/>
                <w:lang w:eastAsia="zh-CN" w:bidi="hi-IN"/>
              </w:rPr>
            </w:pPr>
            <w:r w:rsidRPr="00061F93">
              <w:rPr>
                <w:rFonts w:ascii="Arial" w:eastAsia="SimSun" w:hAnsi="Arial" w:cs="Arial"/>
                <w:kern w:val="3"/>
                <w:sz w:val="20"/>
                <w:szCs w:val="20"/>
                <w:lang w:eastAsia="zh-CN" w:bidi="hi-IN"/>
              </w:rPr>
              <w:t xml:space="preserve">Recopilación de datos estadísticos e información a partir de fuentes oficiales durante la etapa precontractual y contractual, sobre la posibilidad de aparición de hallazgos arqueológicos o yacimientos mineros en la región del proyecto, para advertir oportunamente sobre su interferencia con el proyecto y tomar las medidas tendientes a mitigar el impacto. Ante la aparición del evento efectuar </w:t>
            </w:r>
            <w:r w:rsidRPr="00061F93">
              <w:rPr>
                <w:rFonts w:ascii="Arial" w:eastAsia="SimSun" w:hAnsi="Arial" w:cs="Arial"/>
                <w:kern w:val="3"/>
                <w:sz w:val="20"/>
                <w:szCs w:val="20"/>
                <w:lang w:eastAsia="zh-CN" w:bidi="hi-IN"/>
              </w:rPr>
              <w:lastRenderedPageBreak/>
              <w:t>los ajustes de diseño para las modificaciones a que hubiere lugar en la ejecución del proyecto. En caso de guerra tratar y acordar con el Municipio de Supia, Caldas, el tratamiento contractual al proyecto</w:t>
            </w:r>
          </w:p>
        </w:tc>
      </w:tr>
    </w:tbl>
    <w:p w14:paraId="0A03F767" w14:textId="77777777" w:rsidR="00061F93" w:rsidRPr="00815604" w:rsidRDefault="00061F93" w:rsidP="00061F93">
      <w:pPr>
        <w:spacing w:after="100" w:afterAutospacing="1"/>
        <w:jc w:val="left"/>
        <w:rPr>
          <w:rFonts w:ascii="Arial" w:eastAsia="SimSun" w:hAnsi="Arial" w:cs="Arial"/>
          <w:kern w:val="3"/>
          <w:sz w:val="20"/>
          <w:szCs w:val="20"/>
          <w:lang w:eastAsia="zh-CN" w:bidi="hi-IN"/>
        </w:rPr>
      </w:pPr>
    </w:p>
    <w:p w14:paraId="168C9C57" w14:textId="06F368D3"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F7C4B" w14:textId="77777777" w:rsidR="00D560B6" w:rsidRDefault="00D560B6" w:rsidP="00091875">
      <w:pPr>
        <w:spacing w:line="240" w:lineRule="auto"/>
      </w:pPr>
      <w:r>
        <w:separator/>
      </w:r>
    </w:p>
  </w:endnote>
  <w:endnote w:type="continuationSeparator" w:id="0">
    <w:p w14:paraId="532F44D1" w14:textId="77777777" w:rsidR="00D560B6" w:rsidRDefault="00D560B6"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5899CA35" w14:textId="77777777" w:rsidR="007A656B" w:rsidRDefault="007A656B">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52"/>
          <w:gridCol w:w="2132"/>
          <w:gridCol w:w="1099"/>
          <w:gridCol w:w="314"/>
        </w:tblGrid>
        <w:tr w:rsidR="007A656B" w:rsidRPr="003D005D" w14:paraId="436846A7" w14:textId="77777777" w:rsidTr="00E858D4">
          <w:trPr>
            <w:trHeight w:val="220"/>
          </w:trPr>
          <w:tc>
            <w:tcPr>
              <w:tcW w:w="969" w:type="pct"/>
              <w:vAlign w:val="center"/>
            </w:tcPr>
            <w:p w14:paraId="1EEF47C5" w14:textId="77777777" w:rsidR="007A656B" w:rsidRPr="003D005D" w:rsidRDefault="007A656B" w:rsidP="007A656B">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vAlign w:val="center"/>
            </w:tcPr>
            <w:p w14:paraId="5CA11559" w14:textId="368C6373" w:rsidR="007A656B" w:rsidRPr="003D005D" w:rsidRDefault="007A656B" w:rsidP="007A656B">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Pr>
                  <w:rFonts w:eastAsia="Arial" w:cs="Arial"/>
                  <w:color w:val="595959"/>
                  <w:sz w:val="16"/>
                  <w:szCs w:val="16"/>
                  <w:lang w:eastAsia="es-CO"/>
                </w:rPr>
                <w:t>13</w:t>
              </w:r>
            </w:p>
          </w:tc>
          <w:tc>
            <w:tcPr>
              <w:tcW w:w="1250" w:type="pct"/>
              <w:vAlign w:val="center"/>
            </w:tcPr>
            <w:p w14:paraId="2ABCEDCC" w14:textId="77777777" w:rsidR="007A656B" w:rsidRPr="003D005D" w:rsidRDefault="007A656B" w:rsidP="007A656B">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vAlign w:val="center"/>
            </w:tcPr>
            <w:p w14:paraId="2CFB6541" w14:textId="77777777" w:rsidR="007A656B" w:rsidRPr="003D005D" w:rsidRDefault="007A656B" w:rsidP="007A656B">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56B6126B" w14:textId="2F2FD20B"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20788" w14:textId="77777777" w:rsidR="00D560B6" w:rsidRDefault="00D560B6" w:rsidP="00091875">
      <w:pPr>
        <w:spacing w:line="240" w:lineRule="auto"/>
      </w:pPr>
      <w:r>
        <w:separator/>
      </w:r>
    </w:p>
  </w:footnote>
  <w:footnote w:type="continuationSeparator" w:id="0">
    <w:p w14:paraId="6359F397" w14:textId="77777777" w:rsidR="00D560B6" w:rsidRDefault="00D560B6"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67"/>
      <w:gridCol w:w="3267"/>
      <w:gridCol w:w="3267"/>
    </w:tblGrid>
    <w:tr w:rsidR="749F36F0" w14:paraId="1C0811C8" w14:textId="77777777" w:rsidTr="749F36F0">
      <w:tc>
        <w:tcPr>
          <w:tcW w:w="3267" w:type="dxa"/>
        </w:tcPr>
        <w:p w14:paraId="1A34600C" w14:textId="777BADE2" w:rsidR="749F36F0" w:rsidRDefault="749F36F0" w:rsidP="749F36F0">
          <w:pPr>
            <w:pStyle w:val="Encabezado"/>
            <w:ind w:left="-115"/>
            <w:jc w:val="left"/>
          </w:pPr>
        </w:p>
      </w:tc>
      <w:tc>
        <w:tcPr>
          <w:tcW w:w="3267" w:type="dxa"/>
        </w:tcPr>
        <w:p w14:paraId="12A608CC" w14:textId="33AAC642" w:rsidR="749F36F0" w:rsidRDefault="749F36F0" w:rsidP="749F36F0">
          <w:pPr>
            <w:pStyle w:val="Encabezado"/>
            <w:jc w:val="center"/>
          </w:pPr>
        </w:p>
      </w:tc>
      <w:tc>
        <w:tcPr>
          <w:tcW w:w="3267" w:type="dxa"/>
        </w:tcPr>
        <w:p w14:paraId="7ABF0E98" w14:textId="0D5367E6" w:rsidR="749F36F0" w:rsidRDefault="749F36F0" w:rsidP="749F36F0">
          <w:pPr>
            <w:pStyle w:val="Encabezado"/>
            <w:ind w:right="-115"/>
            <w:jc w:val="right"/>
          </w:pPr>
        </w:p>
      </w:tc>
    </w:tr>
  </w:tbl>
  <w:p w14:paraId="5A1B4C24" w14:textId="0E9AD524" w:rsidR="749F36F0" w:rsidRDefault="749F36F0" w:rsidP="749F36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51584239">
    <w:abstractNumId w:val="6"/>
  </w:num>
  <w:num w:numId="2" w16cid:durableId="611089855">
    <w:abstractNumId w:val="6"/>
  </w:num>
  <w:num w:numId="3" w16cid:durableId="1849784711">
    <w:abstractNumId w:val="6"/>
  </w:num>
  <w:num w:numId="4" w16cid:durableId="523908447">
    <w:abstractNumId w:val="6"/>
  </w:num>
  <w:num w:numId="5" w16cid:durableId="205415282">
    <w:abstractNumId w:val="6"/>
  </w:num>
  <w:num w:numId="6" w16cid:durableId="1192375679">
    <w:abstractNumId w:val="6"/>
  </w:num>
  <w:num w:numId="7" w16cid:durableId="201594915">
    <w:abstractNumId w:val="6"/>
  </w:num>
  <w:num w:numId="8" w16cid:durableId="1144926807">
    <w:abstractNumId w:val="6"/>
  </w:num>
  <w:num w:numId="9" w16cid:durableId="109976853">
    <w:abstractNumId w:val="6"/>
  </w:num>
  <w:num w:numId="10" w16cid:durableId="452789968">
    <w:abstractNumId w:val="3"/>
  </w:num>
  <w:num w:numId="11" w16cid:durableId="1912545763">
    <w:abstractNumId w:val="1"/>
  </w:num>
  <w:num w:numId="12" w16cid:durableId="1423451113">
    <w:abstractNumId w:val="21"/>
  </w:num>
  <w:num w:numId="13" w16cid:durableId="1730806700">
    <w:abstractNumId w:val="29"/>
  </w:num>
  <w:num w:numId="14" w16cid:durableId="370300166">
    <w:abstractNumId w:val="14"/>
  </w:num>
  <w:num w:numId="15" w16cid:durableId="93941976">
    <w:abstractNumId w:val="16"/>
  </w:num>
  <w:num w:numId="16" w16cid:durableId="2133011103">
    <w:abstractNumId w:val="0"/>
  </w:num>
  <w:num w:numId="17" w16cid:durableId="94137957">
    <w:abstractNumId w:val="2"/>
  </w:num>
  <w:num w:numId="18" w16cid:durableId="439226268">
    <w:abstractNumId w:val="9"/>
  </w:num>
  <w:num w:numId="19" w16cid:durableId="2006668445">
    <w:abstractNumId w:val="4"/>
  </w:num>
  <w:num w:numId="20" w16cid:durableId="154146531">
    <w:abstractNumId w:val="18"/>
  </w:num>
  <w:num w:numId="21" w16cid:durableId="538666627">
    <w:abstractNumId w:val="7"/>
  </w:num>
  <w:num w:numId="22" w16cid:durableId="1169521129">
    <w:abstractNumId w:val="27"/>
  </w:num>
  <w:num w:numId="23" w16cid:durableId="1775515765">
    <w:abstractNumId w:val="11"/>
  </w:num>
  <w:num w:numId="24" w16cid:durableId="495220703">
    <w:abstractNumId w:val="12"/>
  </w:num>
  <w:num w:numId="25" w16cid:durableId="126122723">
    <w:abstractNumId w:val="5"/>
  </w:num>
  <w:num w:numId="26" w16cid:durableId="696155918">
    <w:abstractNumId w:val="17"/>
  </w:num>
  <w:num w:numId="27" w16cid:durableId="2009206484">
    <w:abstractNumId w:val="15"/>
  </w:num>
  <w:num w:numId="28" w16cid:durableId="1710951584">
    <w:abstractNumId w:val="10"/>
  </w:num>
  <w:num w:numId="29" w16cid:durableId="1838155967">
    <w:abstractNumId w:val="25"/>
  </w:num>
  <w:num w:numId="30" w16cid:durableId="232354429">
    <w:abstractNumId w:val="26"/>
  </w:num>
  <w:num w:numId="31" w16cid:durableId="789127406">
    <w:abstractNumId w:val="24"/>
  </w:num>
  <w:num w:numId="32" w16cid:durableId="629212444">
    <w:abstractNumId w:val="13"/>
  </w:num>
  <w:num w:numId="33" w16cid:durableId="775439658">
    <w:abstractNumId w:val="23"/>
  </w:num>
  <w:num w:numId="34" w16cid:durableId="431902760">
    <w:abstractNumId w:val="8"/>
  </w:num>
  <w:num w:numId="35" w16cid:durableId="120653429">
    <w:abstractNumId w:val="22"/>
  </w:num>
  <w:num w:numId="36" w16cid:durableId="476268036">
    <w:abstractNumId w:val="28"/>
  </w:num>
  <w:num w:numId="37" w16cid:durableId="1760590993">
    <w:abstractNumId w:val="20"/>
  </w:num>
  <w:num w:numId="38" w16cid:durableId="691633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1F93"/>
    <w:rsid w:val="00091875"/>
    <w:rsid w:val="000A2F3B"/>
    <w:rsid w:val="000C2AAE"/>
    <w:rsid w:val="000F7C80"/>
    <w:rsid w:val="00101037"/>
    <w:rsid w:val="00103B17"/>
    <w:rsid w:val="00106362"/>
    <w:rsid w:val="001246B3"/>
    <w:rsid w:val="00136C78"/>
    <w:rsid w:val="001477DE"/>
    <w:rsid w:val="0015719E"/>
    <w:rsid w:val="001D1F23"/>
    <w:rsid w:val="001E7630"/>
    <w:rsid w:val="00277255"/>
    <w:rsid w:val="002D1AFB"/>
    <w:rsid w:val="003322F8"/>
    <w:rsid w:val="003558EC"/>
    <w:rsid w:val="00374B32"/>
    <w:rsid w:val="00375454"/>
    <w:rsid w:val="0039239D"/>
    <w:rsid w:val="003B7338"/>
    <w:rsid w:val="003E331F"/>
    <w:rsid w:val="003E4428"/>
    <w:rsid w:val="003F50E3"/>
    <w:rsid w:val="004338C5"/>
    <w:rsid w:val="004D7C35"/>
    <w:rsid w:val="00507FAA"/>
    <w:rsid w:val="00511F46"/>
    <w:rsid w:val="00513343"/>
    <w:rsid w:val="00540CF2"/>
    <w:rsid w:val="00545461"/>
    <w:rsid w:val="005752CE"/>
    <w:rsid w:val="0058222E"/>
    <w:rsid w:val="005E5030"/>
    <w:rsid w:val="00686C25"/>
    <w:rsid w:val="006A3288"/>
    <w:rsid w:val="006B4FEE"/>
    <w:rsid w:val="006E6D9B"/>
    <w:rsid w:val="007115DA"/>
    <w:rsid w:val="00721886"/>
    <w:rsid w:val="00762556"/>
    <w:rsid w:val="0076567A"/>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B5F8B"/>
    <w:rsid w:val="00AE2ECB"/>
    <w:rsid w:val="00B26E25"/>
    <w:rsid w:val="00B60C9E"/>
    <w:rsid w:val="00B76DAD"/>
    <w:rsid w:val="00B773A4"/>
    <w:rsid w:val="00B81B1F"/>
    <w:rsid w:val="00B83621"/>
    <w:rsid w:val="00B92158"/>
    <w:rsid w:val="00B94790"/>
    <w:rsid w:val="00BA3870"/>
    <w:rsid w:val="00BC48AE"/>
    <w:rsid w:val="00C53FEB"/>
    <w:rsid w:val="00C61BDB"/>
    <w:rsid w:val="00C71F76"/>
    <w:rsid w:val="00CB7D17"/>
    <w:rsid w:val="00D01750"/>
    <w:rsid w:val="00D13765"/>
    <w:rsid w:val="00D560B6"/>
    <w:rsid w:val="00D70D7B"/>
    <w:rsid w:val="00D86ECC"/>
    <w:rsid w:val="00DA2321"/>
    <w:rsid w:val="00DD4300"/>
    <w:rsid w:val="00DF421A"/>
    <w:rsid w:val="00E20BE5"/>
    <w:rsid w:val="00E56873"/>
    <w:rsid w:val="00F6022F"/>
    <w:rsid w:val="00F63350"/>
    <w:rsid w:val="00F77C04"/>
    <w:rsid w:val="00FD3BD6"/>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4.xml><?xml version="1.0" encoding="utf-8"?>
<ds:datastoreItem xmlns:ds="http://schemas.openxmlformats.org/officeDocument/2006/customXml" ds:itemID="{D6FBCF9B-E213-4FA3-85EA-EBB279B6B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3576</Words>
  <Characters>19670</Characters>
  <Application>Microsoft Office Word</Application>
  <DocSecurity>0</DocSecurity>
  <Lines>163</Lines>
  <Paragraphs>46</Paragraphs>
  <ScaleCrop>false</ScaleCrop>
  <Company>Hewlett-Packard Company</Company>
  <LinksUpToDate>false</LinksUpToDate>
  <CharactersWithSpaces>23200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Juan Pablo Bustamante Arias</cp:lastModifiedBy>
  <cp:revision>9</cp:revision>
  <cp:lastPrinted>2015-10-20T15:00:00Z</cp:lastPrinted>
  <dcterms:created xsi:type="dcterms:W3CDTF">2019-11-22T16:51:00Z</dcterms:created>
  <dcterms:modified xsi:type="dcterms:W3CDTF">2026-06-02T17:30:00Z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