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6C877" w14:textId="53E13751" w:rsidR="00090BEA" w:rsidRPr="00090BEA" w:rsidRDefault="00090BEA" w:rsidP="00090BEA">
      <w:pPr>
        <w:jc w:val="both"/>
        <w:rPr>
          <w:rFonts w:ascii="Arial" w:hAnsi="Arial" w:cs="Arial"/>
          <w:b/>
          <w:sz w:val="20"/>
          <w:szCs w:val="20"/>
        </w:rPr>
      </w:pPr>
    </w:p>
    <w:p w14:paraId="2DC82A4F" w14:textId="77777777" w:rsidR="00090BEA" w:rsidRPr="00090BEA" w:rsidRDefault="00090BEA" w:rsidP="00090BEA">
      <w:pPr>
        <w:jc w:val="both"/>
        <w:rPr>
          <w:rFonts w:ascii="Arial" w:hAnsi="Arial" w:cs="Arial"/>
          <w:sz w:val="20"/>
          <w:szCs w:val="20"/>
        </w:rPr>
      </w:pPr>
    </w:p>
    <w:p w14:paraId="730BD683" w14:textId="77777777" w:rsidR="00090BEA" w:rsidRPr="00090BEA" w:rsidRDefault="00090BEA" w:rsidP="00090BEA">
      <w:pPr>
        <w:jc w:val="both"/>
        <w:rPr>
          <w:rFonts w:ascii="Arial" w:hAnsi="Arial" w:cs="Arial"/>
          <w:sz w:val="20"/>
          <w:szCs w:val="20"/>
        </w:rPr>
      </w:pPr>
      <w:r w:rsidRPr="00090BEA">
        <w:rPr>
          <w:rFonts w:ascii="Arial" w:hAnsi="Arial" w:cs="Arial"/>
          <w:b/>
          <w:sz w:val="20"/>
          <w:szCs w:val="20"/>
        </w:rPr>
        <w:t>AVISO DE CONVOCATORIA NRO.</w:t>
      </w:r>
      <w:r w:rsidRPr="00090BEA">
        <w:rPr>
          <w:rFonts w:ascii="Arial" w:hAnsi="Arial" w:cs="Arial"/>
          <w:b/>
          <w:bCs/>
          <w:sz w:val="20"/>
          <w:szCs w:val="20"/>
        </w:rPr>
        <w:t>1</w:t>
      </w:r>
    </w:p>
    <w:p w14:paraId="28315A2D" w14:textId="77777777" w:rsidR="00090BEA" w:rsidRPr="00090BEA" w:rsidRDefault="00090BEA" w:rsidP="00090BEA">
      <w:pPr>
        <w:jc w:val="both"/>
        <w:rPr>
          <w:rFonts w:ascii="Arial" w:hAnsi="Arial" w:cs="Arial"/>
          <w:sz w:val="20"/>
          <w:szCs w:val="20"/>
        </w:rPr>
      </w:pPr>
    </w:p>
    <w:p w14:paraId="085D2A1F"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 alcaldía municipal de Cocorná de conformidad a lo establecido en el artículo 2.2.1.1.2.1.2 del Decreto 1082 de 2015, convoca públicamente a todas las personas naturales y jurídicas interesadas en participar en el proceso teniendo en cuenta lo siguiente:</w:t>
      </w:r>
    </w:p>
    <w:p w14:paraId="79259C75" w14:textId="77777777" w:rsidR="00090BEA" w:rsidRPr="00090BEA" w:rsidRDefault="00090BEA" w:rsidP="00090BEA">
      <w:pPr>
        <w:jc w:val="both"/>
        <w:rPr>
          <w:rFonts w:ascii="Arial" w:hAnsi="Arial" w:cs="Arial"/>
          <w:sz w:val="20"/>
          <w:szCs w:val="20"/>
        </w:rPr>
      </w:pPr>
    </w:p>
    <w:p w14:paraId="32F0335C"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COMUNICACIONES</w:t>
      </w:r>
    </w:p>
    <w:p w14:paraId="43EF17D4" w14:textId="77777777" w:rsidR="00090BEA" w:rsidRPr="00090BEA" w:rsidRDefault="00090BEA" w:rsidP="00090BEA">
      <w:pPr>
        <w:jc w:val="both"/>
        <w:rPr>
          <w:rFonts w:ascii="Arial" w:hAnsi="Arial" w:cs="Arial"/>
          <w:sz w:val="20"/>
          <w:szCs w:val="20"/>
        </w:rPr>
      </w:pPr>
    </w:p>
    <w:p w14:paraId="4671FDD3"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La alcaldía municipal de </w:t>
      </w:r>
      <w:proofErr w:type="gramStart"/>
      <w:r w:rsidRPr="00090BEA">
        <w:rPr>
          <w:rFonts w:ascii="Arial" w:hAnsi="Arial" w:cs="Arial"/>
          <w:sz w:val="20"/>
          <w:szCs w:val="20"/>
        </w:rPr>
        <w:t>Cocorná  informará</w:t>
      </w:r>
      <w:proofErr w:type="gramEnd"/>
      <w:r w:rsidRPr="00090BEA">
        <w:rPr>
          <w:rFonts w:ascii="Arial" w:hAnsi="Arial" w:cs="Arial"/>
          <w:sz w:val="20"/>
          <w:szCs w:val="20"/>
        </w:rPr>
        <w:t xml:space="preserve"> a los interesados todos los asuntos relacionados con el presente proceso de selección de manera exclusiva, a través de la plataforma SECOP II, siendo este el único canal de comunicación, entre las partes: </w:t>
      </w:r>
      <w:hyperlink r:id="rId7">
        <w:r w:rsidRPr="00090BEA">
          <w:rPr>
            <w:rFonts w:ascii="Arial" w:hAnsi="Arial" w:cs="Arial"/>
            <w:color w:val="0000FF"/>
            <w:sz w:val="20"/>
            <w:szCs w:val="20"/>
            <w:u w:val="single"/>
          </w:rPr>
          <w:t>https://www.colombiacompra.gov.co/secop-ii</w:t>
        </w:r>
      </w:hyperlink>
      <w:r w:rsidRPr="00090BEA">
        <w:rPr>
          <w:rFonts w:ascii="Arial" w:hAnsi="Arial" w:cs="Arial"/>
          <w:color w:val="0000FF"/>
          <w:sz w:val="20"/>
          <w:szCs w:val="20"/>
        </w:rPr>
        <w:t xml:space="preserve"> </w:t>
      </w:r>
    </w:p>
    <w:p w14:paraId="1E237161" w14:textId="77777777" w:rsidR="00090BEA" w:rsidRPr="00090BEA" w:rsidRDefault="00090BEA" w:rsidP="00090BEA">
      <w:pPr>
        <w:jc w:val="both"/>
        <w:rPr>
          <w:rFonts w:ascii="Arial" w:hAnsi="Arial" w:cs="Arial"/>
          <w:sz w:val="20"/>
          <w:szCs w:val="20"/>
        </w:rPr>
      </w:pPr>
    </w:p>
    <w:p w14:paraId="50C15507"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Únicamente en caso de que se presente indisponibilidad de la plataforma y en cumplimiento de la guía establecida para ello por Colombia Compra Eficiente, se pondrá a disposición de los interesados el correo: gobierno@cocorna-antioquia.gov.co</w:t>
      </w:r>
    </w:p>
    <w:p w14:paraId="23E7CFA0" w14:textId="77777777" w:rsidR="00090BEA" w:rsidRPr="00090BEA" w:rsidRDefault="00090BEA" w:rsidP="00090BEA">
      <w:pPr>
        <w:jc w:val="both"/>
        <w:rPr>
          <w:rFonts w:ascii="Arial" w:hAnsi="Arial" w:cs="Arial"/>
          <w:sz w:val="20"/>
          <w:szCs w:val="20"/>
        </w:rPr>
      </w:pPr>
    </w:p>
    <w:p w14:paraId="0F14FE0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OBJETO</w:t>
      </w:r>
    </w:p>
    <w:p w14:paraId="3362F2CB" w14:textId="77777777" w:rsidR="00090BEA" w:rsidRPr="00090BEA" w:rsidRDefault="00090BEA" w:rsidP="00090BEA">
      <w:pPr>
        <w:jc w:val="both"/>
        <w:rPr>
          <w:rFonts w:ascii="Arial" w:hAnsi="Arial" w:cs="Arial"/>
          <w:sz w:val="20"/>
          <w:szCs w:val="20"/>
          <w:lang w:val="es-ES"/>
        </w:rPr>
      </w:pPr>
      <w:r w:rsidRPr="00090BEA">
        <w:rPr>
          <w:rFonts w:ascii="Arial" w:hAnsi="Arial" w:cs="Arial"/>
          <w:b/>
          <w:sz w:val="20"/>
          <w:szCs w:val="20"/>
          <w:lang w:val="es-ES"/>
        </w:rPr>
        <w:t>SUMINISTRO DE INSUMOS PARA EL ESTABLECIMIENTO DE SISTEMAS AGROFORESTALES DE CULTIVOS DE CACAO EN LA ZONA RURAL DEL MUNICIPIO DE COCORNÁ</w:t>
      </w:r>
      <w:r w:rsidRPr="00090BEA">
        <w:rPr>
          <w:rFonts w:ascii="Arial" w:hAnsi="Arial" w:cs="Arial"/>
          <w:sz w:val="20"/>
          <w:szCs w:val="20"/>
          <w:lang w:val="es-ES"/>
        </w:rPr>
        <w:t>.</w:t>
      </w:r>
    </w:p>
    <w:p w14:paraId="760926D1" w14:textId="77777777" w:rsidR="00090BEA" w:rsidRPr="00090BEA" w:rsidRDefault="00090BEA" w:rsidP="00090BEA">
      <w:pPr>
        <w:jc w:val="both"/>
        <w:rPr>
          <w:rFonts w:ascii="Arial" w:hAnsi="Arial" w:cs="Arial"/>
          <w:sz w:val="20"/>
          <w:szCs w:val="20"/>
        </w:rPr>
      </w:pPr>
    </w:p>
    <w:p w14:paraId="58230E4B" w14:textId="77777777" w:rsidR="00090BEA" w:rsidRPr="00090BEA" w:rsidRDefault="00090BEA" w:rsidP="00090BEA">
      <w:pPr>
        <w:jc w:val="both"/>
        <w:rPr>
          <w:rFonts w:ascii="Arial" w:hAnsi="Arial" w:cs="Arial"/>
          <w:sz w:val="20"/>
          <w:szCs w:val="20"/>
        </w:rPr>
      </w:pPr>
    </w:p>
    <w:p w14:paraId="53E84284"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ESPECIFICACIONES</w:t>
      </w:r>
    </w:p>
    <w:p w14:paraId="104C91AE" w14:textId="77777777" w:rsidR="00090BEA" w:rsidRPr="00090BEA" w:rsidRDefault="00090BEA" w:rsidP="00090BEA">
      <w:pPr>
        <w:jc w:val="both"/>
        <w:rPr>
          <w:rFonts w:ascii="Arial" w:hAnsi="Arial" w:cs="Arial"/>
          <w:sz w:val="20"/>
          <w:szCs w:val="20"/>
        </w:rPr>
      </w:pPr>
    </w:p>
    <w:p w14:paraId="647D7DE0"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especificaciones técnicas se encuentran escritas en el Estudio Previo y demás anexos, los cuales hacen parte integral del proceso de selección.</w:t>
      </w:r>
    </w:p>
    <w:p w14:paraId="3D52E706" w14:textId="77777777" w:rsidR="00090BEA" w:rsidRPr="00090BEA" w:rsidRDefault="00090BEA" w:rsidP="00090BEA">
      <w:pPr>
        <w:jc w:val="both"/>
        <w:rPr>
          <w:rFonts w:ascii="Arial" w:hAnsi="Arial" w:cs="Arial"/>
          <w:sz w:val="20"/>
          <w:szCs w:val="20"/>
        </w:rPr>
      </w:pPr>
    </w:p>
    <w:p w14:paraId="30759331"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MODALIDAD DE SELECCIÓN</w:t>
      </w:r>
    </w:p>
    <w:p w14:paraId="299C999E" w14:textId="77777777" w:rsidR="00090BEA" w:rsidRPr="00090BEA" w:rsidRDefault="00090BEA" w:rsidP="00090BEA">
      <w:pPr>
        <w:jc w:val="both"/>
        <w:rPr>
          <w:rFonts w:ascii="Arial" w:hAnsi="Arial" w:cs="Arial"/>
          <w:sz w:val="20"/>
          <w:szCs w:val="20"/>
        </w:rPr>
      </w:pPr>
    </w:p>
    <w:p w14:paraId="77BDFB91"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lastRenderedPageBreak/>
        <w:t>Selección abreviada de menor cuantía</w:t>
      </w:r>
      <w:r w:rsidRPr="00090BEA">
        <w:rPr>
          <w:rFonts w:ascii="Arial" w:hAnsi="Arial" w:cs="Arial"/>
          <w:color w:val="C00000"/>
          <w:sz w:val="20"/>
          <w:szCs w:val="20"/>
        </w:rPr>
        <w:t xml:space="preserve"> </w:t>
      </w:r>
    </w:p>
    <w:p w14:paraId="4E68DA38" w14:textId="77777777" w:rsidR="00090BEA" w:rsidRPr="00090BEA" w:rsidRDefault="00090BEA" w:rsidP="00090BEA">
      <w:pPr>
        <w:jc w:val="both"/>
        <w:rPr>
          <w:rFonts w:ascii="Arial" w:hAnsi="Arial" w:cs="Arial"/>
          <w:sz w:val="20"/>
          <w:szCs w:val="20"/>
        </w:rPr>
      </w:pPr>
    </w:p>
    <w:p w14:paraId="27886997"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PLAZO DE EJECUCIÓN</w:t>
      </w:r>
    </w:p>
    <w:p w14:paraId="37479821" w14:textId="77777777" w:rsidR="00090BEA" w:rsidRPr="00090BEA" w:rsidRDefault="00090BEA" w:rsidP="00090BEA">
      <w:pPr>
        <w:jc w:val="both"/>
        <w:rPr>
          <w:rFonts w:ascii="Arial" w:hAnsi="Arial" w:cs="Arial"/>
          <w:sz w:val="20"/>
          <w:szCs w:val="20"/>
        </w:rPr>
      </w:pPr>
    </w:p>
    <w:p w14:paraId="50A3EE66" w14:textId="77777777" w:rsidR="00090BEA" w:rsidRPr="00090BEA" w:rsidRDefault="00090BEA" w:rsidP="00090BEA">
      <w:pPr>
        <w:jc w:val="both"/>
        <w:rPr>
          <w:rFonts w:ascii="Arial" w:hAnsi="Arial" w:cs="Arial"/>
          <w:sz w:val="20"/>
          <w:szCs w:val="20"/>
        </w:rPr>
      </w:pPr>
      <w:r w:rsidRPr="00090BEA">
        <w:rPr>
          <w:rFonts w:ascii="Arial" w:eastAsia="Arial" w:hAnsi="Arial" w:cs="Arial"/>
          <w:color w:val="000000"/>
          <w:sz w:val="20"/>
          <w:szCs w:val="20"/>
        </w:rPr>
        <w:t>EL PLAZO DE EJECUCIÓN DEL CONTRATO SERÁ DE UN (1) MESES, TÉRMINO CONTADO A PARTIR DE LA SUSCRIPCIÓN DEL ACTA DE INICIO, PREVIO CUMPLIMIENTO DE LOS REQUISITOS DE PERFECCIONAMIENTO Y EJECUCIÓN DEL CONTRATO Y SIN SUPERAR EL 31 DE DICIEMBRE DE 2026</w:t>
      </w:r>
    </w:p>
    <w:p w14:paraId="3BFD92AD" w14:textId="77777777" w:rsidR="00090BEA" w:rsidRPr="00090BEA" w:rsidRDefault="00090BEA" w:rsidP="00090BEA">
      <w:pPr>
        <w:jc w:val="both"/>
        <w:rPr>
          <w:rFonts w:ascii="Arial" w:hAnsi="Arial" w:cs="Arial"/>
          <w:sz w:val="20"/>
          <w:szCs w:val="20"/>
        </w:rPr>
      </w:pPr>
    </w:p>
    <w:p w14:paraId="09F0C59A"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PRESENTACIÓN DE OFERTAS</w:t>
      </w:r>
    </w:p>
    <w:p w14:paraId="74D954BF" w14:textId="77777777" w:rsidR="00090BEA" w:rsidRPr="00090BEA" w:rsidRDefault="00090BEA" w:rsidP="00090BEA">
      <w:pPr>
        <w:jc w:val="both"/>
        <w:rPr>
          <w:rFonts w:ascii="Arial" w:hAnsi="Arial" w:cs="Arial"/>
          <w:sz w:val="20"/>
          <w:szCs w:val="20"/>
        </w:rPr>
      </w:pPr>
    </w:p>
    <w:p w14:paraId="50951F3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Los proponentes deben presentar sus ofertas escaneadas o digitalizadas por medio del botón establecido para ello dentro de SECOP II, con los formatos contenidos, en la fecha establecida en el cronograma, y acompañadas de los documentos solicitados en esta sección, así como de la garantía de seriedad de la oferta.</w:t>
      </w:r>
    </w:p>
    <w:p w14:paraId="03DC711B" w14:textId="77777777" w:rsidR="00090BEA" w:rsidRPr="00090BEA" w:rsidRDefault="00090BEA" w:rsidP="00090BEA">
      <w:pPr>
        <w:jc w:val="both"/>
        <w:rPr>
          <w:rFonts w:ascii="Arial" w:hAnsi="Arial" w:cs="Arial"/>
          <w:sz w:val="20"/>
          <w:szCs w:val="20"/>
        </w:rPr>
      </w:pPr>
    </w:p>
    <w:p w14:paraId="3AEBDBA5"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ofertas estarán vigentes por el término de noventa (90) días calendario, contados desde la fecha de presentación de ofertas establecidas en el cronograma.</w:t>
      </w:r>
    </w:p>
    <w:p w14:paraId="055623AF" w14:textId="77777777" w:rsidR="00090BEA" w:rsidRPr="00090BEA" w:rsidRDefault="00090BEA" w:rsidP="00090BEA">
      <w:pPr>
        <w:jc w:val="both"/>
        <w:rPr>
          <w:rFonts w:ascii="Arial" w:hAnsi="Arial" w:cs="Arial"/>
          <w:sz w:val="20"/>
          <w:szCs w:val="20"/>
        </w:rPr>
      </w:pPr>
    </w:p>
    <w:p w14:paraId="54A3A2C6"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La presentación de la oferta implica la aceptación por parte del proponente de la distribución de riesgos efectuada dentro del presente proceso, estudios previos, matriz de riesgos, pliego electrónico, sus adendas y demás anexos. </w:t>
      </w:r>
    </w:p>
    <w:p w14:paraId="24A87A98" w14:textId="77777777" w:rsidR="00090BEA" w:rsidRPr="00090BEA" w:rsidRDefault="00090BEA" w:rsidP="00090BEA">
      <w:pPr>
        <w:jc w:val="both"/>
        <w:rPr>
          <w:rFonts w:ascii="Arial" w:hAnsi="Arial" w:cs="Arial"/>
          <w:sz w:val="20"/>
          <w:szCs w:val="20"/>
        </w:rPr>
      </w:pPr>
    </w:p>
    <w:p w14:paraId="6E73EBF0"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Toda propuesta que se presente fuera del término del proceso; que sea remitida en físico, por mensaje, correo electrónico; o que sea entregada en lugar diferente al señalado dentro de la plataforma SECOP II será RECHAZADA, excepto cuando se configure lo indicado en la guía de indisponibilidad.</w:t>
      </w:r>
    </w:p>
    <w:p w14:paraId="702F4468" w14:textId="77777777" w:rsidR="00090BEA" w:rsidRPr="00090BEA" w:rsidRDefault="00090BEA" w:rsidP="00090BEA">
      <w:pPr>
        <w:jc w:val="both"/>
        <w:rPr>
          <w:rFonts w:ascii="Arial" w:hAnsi="Arial" w:cs="Arial"/>
          <w:sz w:val="20"/>
          <w:szCs w:val="20"/>
        </w:rPr>
      </w:pPr>
    </w:p>
    <w:p w14:paraId="60602B1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PRESUPUESTO DISPONIBLE</w:t>
      </w:r>
    </w:p>
    <w:p w14:paraId="6462CF93" w14:textId="77777777" w:rsidR="00090BEA" w:rsidRPr="00090BEA" w:rsidRDefault="00090BEA" w:rsidP="00090BEA">
      <w:pPr>
        <w:jc w:val="both"/>
        <w:rPr>
          <w:rFonts w:ascii="Arial" w:hAnsi="Arial" w:cs="Arial"/>
          <w:sz w:val="20"/>
          <w:szCs w:val="20"/>
        </w:rPr>
      </w:pPr>
    </w:p>
    <w:p w14:paraId="3DC224A7" w14:textId="77777777" w:rsidR="00090BEA" w:rsidRPr="00090BEA" w:rsidRDefault="00090BEA" w:rsidP="00090BEA">
      <w:pPr>
        <w:pBdr>
          <w:top w:val="nil"/>
          <w:left w:val="nil"/>
          <w:bottom w:val="nil"/>
          <w:right w:val="nil"/>
          <w:between w:val="nil"/>
        </w:pBdr>
        <w:spacing w:line="240" w:lineRule="auto"/>
        <w:jc w:val="both"/>
        <w:rPr>
          <w:rFonts w:ascii="Arial" w:eastAsia="Arial" w:hAnsi="Arial" w:cs="Arial"/>
          <w:color w:val="000000"/>
          <w:sz w:val="20"/>
          <w:szCs w:val="20"/>
        </w:rPr>
      </w:pPr>
      <w:r w:rsidRPr="00090BEA">
        <w:rPr>
          <w:rFonts w:ascii="Arial" w:hAnsi="Arial" w:cs="Arial"/>
          <w:sz w:val="20"/>
          <w:szCs w:val="20"/>
        </w:rPr>
        <w:t xml:space="preserve">El presupuesto total del contrato será hasta por la suma de </w:t>
      </w:r>
      <w:r w:rsidRPr="00090BEA">
        <w:rPr>
          <w:rFonts w:ascii="Arial" w:hAnsi="Arial" w:cs="Arial"/>
          <w:bCs/>
          <w:sz w:val="20"/>
          <w:szCs w:val="20"/>
        </w:rPr>
        <w:t>SESENTA Y UN MILLONES CUATROCIENTOS VEINTICINCO MIL PESOS ($</w:t>
      </w:r>
      <w:r w:rsidRPr="00090BEA">
        <w:rPr>
          <w:rFonts w:ascii="Arial" w:eastAsia="Times New Roman" w:hAnsi="Arial" w:cs="Arial"/>
          <w:bCs/>
          <w:sz w:val="20"/>
          <w:szCs w:val="20"/>
          <w:lang w:val="es-MX" w:eastAsia="es-MX"/>
        </w:rPr>
        <w:t>61.425.000</w:t>
      </w:r>
      <w:proofErr w:type="gramStart"/>
      <w:r w:rsidRPr="00090BEA">
        <w:rPr>
          <w:rFonts w:ascii="Arial" w:hAnsi="Arial" w:cs="Arial"/>
          <w:bCs/>
          <w:sz w:val="20"/>
          <w:szCs w:val="20"/>
        </w:rPr>
        <w:t>)</w:t>
      </w:r>
      <w:r w:rsidRPr="00090BEA">
        <w:rPr>
          <w:rFonts w:ascii="Arial" w:eastAsia="Arial" w:hAnsi="Arial" w:cs="Arial"/>
          <w:color w:val="000000"/>
          <w:sz w:val="20"/>
          <w:szCs w:val="20"/>
        </w:rPr>
        <w:t>.</w:t>
      </w:r>
      <w:r w:rsidRPr="00090BEA">
        <w:rPr>
          <w:rFonts w:ascii="Arial" w:hAnsi="Arial" w:cs="Arial"/>
          <w:sz w:val="20"/>
          <w:szCs w:val="20"/>
        </w:rPr>
        <w:t>.</w:t>
      </w:r>
      <w:proofErr w:type="gramEnd"/>
      <w:r w:rsidRPr="00090BEA">
        <w:rPr>
          <w:rFonts w:ascii="Arial" w:hAnsi="Arial" w:cs="Arial"/>
          <w:sz w:val="20"/>
          <w:szCs w:val="20"/>
        </w:rPr>
        <w:t xml:space="preserve"> incluido IVA y demás impuestos de </w:t>
      </w:r>
      <w:r w:rsidRPr="00090BEA">
        <w:rPr>
          <w:rFonts w:ascii="Arial" w:hAnsi="Arial" w:cs="Arial"/>
          <w:sz w:val="20"/>
          <w:szCs w:val="20"/>
        </w:rPr>
        <w:lastRenderedPageBreak/>
        <w:t>ley a los que hubiera lugar. Dentro de este valor se encuentran incluidos todos los costos directos e indirectos en que se incurra durante la ejecución del contrato, así como todos los impuestos, tasas y contribuciones.</w:t>
      </w:r>
    </w:p>
    <w:p w14:paraId="5C04E3DF" w14:textId="77777777" w:rsidR="00090BEA" w:rsidRPr="00090BEA" w:rsidRDefault="00090BEA" w:rsidP="00090BEA">
      <w:pPr>
        <w:jc w:val="both"/>
        <w:rPr>
          <w:rFonts w:ascii="Arial" w:hAnsi="Arial" w:cs="Arial"/>
          <w:sz w:val="20"/>
          <w:szCs w:val="20"/>
        </w:rPr>
      </w:pPr>
    </w:p>
    <w:p w14:paraId="42A6CD9C"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La alcaldía de </w:t>
      </w:r>
      <w:proofErr w:type="gramStart"/>
      <w:r w:rsidRPr="00090BEA">
        <w:rPr>
          <w:rFonts w:ascii="Arial" w:hAnsi="Arial" w:cs="Arial"/>
          <w:sz w:val="20"/>
          <w:szCs w:val="20"/>
        </w:rPr>
        <w:t>Cocorná  cuenta</w:t>
      </w:r>
      <w:proofErr w:type="gramEnd"/>
      <w:r w:rsidRPr="00090BEA">
        <w:rPr>
          <w:rFonts w:ascii="Arial" w:hAnsi="Arial" w:cs="Arial"/>
          <w:sz w:val="20"/>
          <w:szCs w:val="20"/>
        </w:rPr>
        <w:t xml:space="preserve"> con el Certificado de Disponibilidad Presupuestal CDP nro. 445</w:t>
      </w:r>
    </w:p>
    <w:p w14:paraId="142AAD38" w14:textId="77777777" w:rsidR="00090BEA" w:rsidRPr="00090BEA" w:rsidRDefault="00090BEA" w:rsidP="00090BEA">
      <w:pPr>
        <w:jc w:val="both"/>
        <w:rPr>
          <w:rFonts w:ascii="Arial" w:hAnsi="Arial" w:cs="Arial"/>
          <w:sz w:val="20"/>
          <w:szCs w:val="20"/>
        </w:rPr>
      </w:pPr>
    </w:p>
    <w:p w14:paraId="44440520"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ACUERDO INTERNACIONAL O TRATADO DE LIBRE COMERCIO</w:t>
      </w:r>
    </w:p>
    <w:p w14:paraId="3AD5ED5E"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Para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w:t>
      </w:r>
    </w:p>
    <w:p w14:paraId="3C000F22" w14:textId="77777777" w:rsidR="0010225D" w:rsidRPr="0026460E" w:rsidRDefault="0010225D" w:rsidP="0010225D">
      <w:pPr>
        <w:spacing w:after="0"/>
        <w:jc w:val="both"/>
        <w:rPr>
          <w:rFonts w:ascii="Arial" w:eastAsia="Arial" w:hAnsi="Arial" w:cs="Arial"/>
          <w:sz w:val="18"/>
          <w:szCs w:val="18"/>
        </w:rPr>
      </w:pPr>
    </w:p>
    <w:p w14:paraId="695158FA"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 </w:t>
      </w:r>
    </w:p>
    <w:p w14:paraId="70CF4F8D" w14:textId="77777777" w:rsidR="0010225D" w:rsidRPr="0026460E" w:rsidRDefault="0010225D" w:rsidP="0010225D">
      <w:pPr>
        <w:spacing w:after="0"/>
        <w:jc w:val="both"/>
        <w:rPr>
          <w:rFonts w:ascii="Arial" w:eastAsia="Arial" w:hAnsi="Arial" w:cs="Arial"/>
          <w:sz w:val="18"/>
          <w:szCs w:val="18"/>
        </w:rPr>
      </w:pPr>
    </w:p>
    <w:p w14:paraId="5C2BC12B"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La Constitución Nacional establece que la actividad aseguradora en Colombia es de interés público razón por la cual solo puede ser ejercida en el país previa autorización del Estado. (Ver artículo 335 C.N.) 5 Por ello, cualquier persona que desee desarrollar el negocio de los seguros en Colombia debe contar con la autorización previa de la Superintendencia Financiera de Colombia. (Ver artículos 39 y 108, numeral 3º EOSF). </w:t>
      </w:r>
    </w:p>
    <w:p w14:paraId="159E6CA9" w14:textId="77777777" w:rsidR="0010225D" w:rsidRPr="0026460E" w:rsidRDefault="0010225D" w:rsidP="0010225D">
      <w:pPr>
        <w:spacing w:after="0"/>
        <w:jc w:val="both"/>
        <w:rPr>
          <w:rFonts w:ascii="Arial" w:eastAsia="Arial" w:hAnsi="Arial" w:cs="Arial"/>
          <w:sz w:val="18"/>
          <w:szCs w:val="18"/>
        </w:rPr>
      </w:pPr>
    </w:p>
    <w:p w14:paraId="79BB414B"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Para desarrollar la actividad aseguradora en Colombia debe constituirse en el país una entidad bajo la forma de sociedad anónima mercantil o asociación cooperativa, una vez obtenida la autorización expresa de la Superintendencia Financiera de Colombia. </w:t>
      </w:r>
    </w:p>
    <w:p w14:paraId="1FC4D967" w14:textId="77777777" w:rsidR="0010225D" w:rsidRPr="0026460E" w:rsidRDefault="0010225D" w:rsidP="0010225D">
      <w:pPr>
        <w:spacing w:after="0"/>
        <w:jc w:val="both"/>
        <w:rPr>
          <w:rFonts w:ascii="Arial" w:eastAsia="Arial" w:hAnsi="Arial" w:cs="Arial"/>
          <w:sz w:val="18"/>
          <w:szCs w:val="18"/>
        </w:rPr>
      </w:pPr>
    </w:p>
    <w:p w14:paraId="3C9A85E0" w14:textId="77777777" w:rsidR="00090BEA" w:rsidRPr="00090BEA" w:rsidRDefault="00090BEA" w:rsidP="00090BEA">
      <w:pPr>
        <w:jc w:val="both"/>
        <w:rPr>
          <w:rFonts w:ascii="Arial" w:hAnsi="Arial" w:cs="Arial"/>
          <w:sz w:val="20"/>
          <w:szCs w:val="20"/>
        </w:rPr>
      </w:pPr>
    </w:p>
    <w:p w14:paraId="0F0EC0B7" w14:textId="77777777" w:rsidR="00090BEA" w:rsidRPr="00090BEA" w:rsidRDefault="00090BEA" w:rsidP="00090BEA">
      <w:pPr>
        <w:jc w:val="both"/>
        <w:rPr>
          <w:rFonts w:ascii="Arial" w:hAnsi="Arial" w:cs="Arial"/>
          <w:sz w:val="20"/>
          <w:szCs w:val="20"/>
        </w:rPr>
      </w:pPr>
    </w:p>
    <w:p w14:paraId="4403D3E5"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CONVOCATORIA LIMITADA A MIPYMES</w:t>
      </w:r>
    </w:p>
    <w:p w14:paraId="61E4C07F" w14:textId="77777777" w:rsidR="00090BEA" w:rsidRPr="00090BEA" w:rsidRDefault="00090BEA" w:rsidP="00090BEA">
      <w:pPr>
        <w:jc w:val="both"/>
        <w:rPr>
          <w:rFonts w:ascii="Arial" w:hAnsi="Arial" w:cs="Arial"/>
          <w:sz w:val="20"/>
          <w:szCs w:val="20"/>
        </w:rPr>
      </w:pPr>
    </w:p>
    <w:p w14:paraId="1FB9ACD8"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 convocatoria será limitada a MIPYME cuando se dé cumplimiento a lo establecido en el artículo 2.2.1.2.4.2.2 del Decreto 1082 de 2015.</w:t>
      </w:r>
    </w:p>
    <w:p w14:paraId="312892BE" w14:textId="77777777" w:rsidR="00090BEA" w:rsidRPr="00090BEA" w:rsidRDefault="00090BEA" w:rsidP="00090BEA">
      <w:pPr>
        <w:jc w:val="both"/>
        <w:rPr>
          <w:rFonts w:ascii="Arial" w:hAnsi="Arial" w:cs="Arial"/>
          <w:sz w:val="20"/>
          <w:szCs w:val="20"/>
        </w:rPr>
      </w:pPr>
    </w:p>
    <w:p w14:paraId="7C92464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En ese sentido, cuando el presupuesto sea superior a ciento veinticinco mil dólares de los Estados unidos de América (USD 125.000.00), liquidados con la tasa de cambio que para el efecto determina el Ministerio de Comercio, Industria y Turismo, la convocatoria no será susceptible de ser limitada a la participación de </w:t>
      </w:r>
      <w:proofErr w:type="spellStart"/>
      <w:r w:rsidRPr="00090BEA">
        <w:rPr>
          <w:rFonts w:ascii="Arial" w:hAnsi="Arial" w:cs="Arial"/>
          <w:sz w:val="20"/>
          <w:szCs w:val="20"/>
        </w:rPr>
        <w:t>Mipymes</w:t>
      </w:r>
      <w:proofErr w:type="spellEnd"/>
      <w:r w:rsidRPr="00090BEA">
        <w:rPr>
          <w:rFonts w:ascii="Arial" w:hAnsi="Arial" w:cs="Arial"/>
          <w:sz w:val="20"/>
          <w:szCs w:val="20"/>
        </w:rPr>
        <w:t xml:space="preserve"> nacionales.</w:t>
      </w:r>
    </w:p>
    <w:p w14:paraId="12A022E3" w14:textId="77777777" w:rsidR="00090BEA" w:rsidRPr="00090BEA" w:rsidRDefault="00090BEA" w:rsidP="00090BEA">
      <w:pPr>
        <w:jc w:val="both"/>
        <w:rPr>
          <w:rFonts w:ascii="Arial" w:hAnsi="Arial" w:cs="Arial"/>
          <w:sz w:val="20"/>
          <w:szCs w:val="20"/>
        </w:rPr>
      </w:pPr>
    </w:p>
    <w:p w14:paraId="24671E61"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Por lo expuesto, y teniendo en cuenta que el presupuesto definido para el presente proceso de selección, la convocatoria no será limitada a </w:t>
      </w:r>
      <w:proofErr w:type="spellStart"/>
      <w:r w:rsidRPr="00090BEA">
        <w:rPr>
          <w:rFonts w:ascii="Arial" w:hAnsi="Arial" w:cs="Arial"/>
          <w:sz w:val="20"/>
          <w:szCs w:val="20"/>
        </w:rPr>
        <w:t>Mipymes</w:t>
      </w:r>
      <w:proofErr w:type="spellEnd"/>
      <w:r w:rsidRPr="00090BEA">
        <w:rPr>
          <w:rFonts w:ascii="Arial" w:hAnsi="Arial" w:cs="Arial"/>
          <w:sz w:val="20"/>
          <w:szCs w:val="20"/>
        </w:rPr>
        <w:t>.</w:t>
      </w:r>
    </w:p>
    <w:p w14:paraId="230546C2" w14:textId="77777777" w:rsidR="00090BEA" w:rsidRPr="00090BEA" w:rsidRDefault="00090BEA" w:rsidP="00090BEA">
      <w:pPr>
        <w:jc w:val="both"/>
        <w:rPr>
          <w:rFonts w:ascii="Arial" w:hAnsi="Arial" w:cs="Arial"/>
          <w:sz w:val="20"/>
          <w:szCs w:val="20"/>
        </w:rPr>
      </w:pPr>
    </w:p>
    <w:p w14:paraId="1C7839F3"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CONDICIONES PARA PARTICIPAR EL PROCESO</w:t>
      </w:r>
    </w:p>
    <w:p w14:paraId="4B53DEF7" w14:textId="77777777" w:rsidR="00090BEA" w:rsidRPr="00090BEA" w:rsidRDefault="00090BEA" w:rsidP="00090BEA">
      <w:pPr>
        <w:jc w:val="both"/>
        <w:rPr>
          <w:rFonts w:ascii="Arial" w:hAnsi="Arial" w:cs="Arial"/>
          <w:sz w:val="20"/>
          <w:szCs w:val="20"/>
        </w:rPr>
      </w:pPr>
    </w:p>
    <w:p w14:paraId="6B9D92B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Podrán participar personas naturales, jurídicas, nacionales o extranjeras, consorcios y/o uniones temporales, cuyo objeto social se encuentre relacionado con el objeto de la presente contratación, quienes deberán acreditar no encontrarse incursos en algunas de las causales e inhabilidades e incompatibilidades establecidas en la Constitución Política de Colombia y demás disposiciones legales vigentes.</w:t>
      </w:r>
    </w:p>
    <w:p w14:paraId="1711EF97" w14:textId="77777777" w:rsidR="00090BEA" w:rsidRPr="00090BEA" w:rsidRDefault="00090BEA" w:rsidP="00090BEA">
      <w:pPr>
        <w:jc w:val="both"/>
        <w:rPr>
          <w:rFonts w:ascii="Arial" w:hAnsi="Arial" w:cs="Arial"/>
          <w:sz w:val="20"/>
          <w:szCs w:val="20"/>
        </w:rPr>
      </w:pPr>
    </w:p>
    <w:p w14:paraId="2621326C"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condiciones para participar en el presente proceso de selección se encuentran descritas en el estudio previo, pliego electrónico y demás documentos que hacen parte integral del proceso.</w:t>
      </w:r>
    </w:p>
    <w:p w14:paraId="62982669" w14:textId="77777777" w:rsidR="00090BEA" w:rsidRPr="00090BEA" w:rsidRDefault="00090BEA" w:rsidP="00090BEA">
      <w:pPr>
        <w:jc w:val="both"/>
        <w:rPr>
          <w:rFonts w:ascii="Arial" w:hAnsi="Arial" w:cs="Arial"/>
          <w:sz w:val="20"/>
          <w:szCs w:val="20"/>
        </w:rPr>
      </w:pPr>
    </w:p>
    <w:p w14:paraId="0206676F"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 xml:space="preserve">PRECALIFICACIÓN </w:t>
      </w:r>
    </w:p>
    <w:p w14:paraId="4ABAC645" w14:textId="77777777" w:rsidR="00090BEA" w:rsidRPr="00090BEA" w:rsidRDefault="00090BEA" w:rsidP="00090BEA">
      <w:pPr>
        <w:jc w:val="both"/>
        <w:rPr>
          <w:rFonts w:ascii="Arial" w:hAnsi="Arial" w:cs="Arial"/>
          <w:sz w:val="20"/>
          <w:szCs w:val="20"/>
        </w:rPr>
      </w:pPr>
    </w:p>
    <w:p w14:paraId="7A5520B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El presente proceso de contratación NO da lugar a precalificación.</w:t>
      </w:r>
    </w:p>
    <w:p w14:paraId="2ED48FDB" w14:textId="77777777" w:rsidR="00090BEA" w:rsidRPr="00090BEA" w:rsidRDefault="00090BEA" w:rsidP="00090BEA">
      <w:pPr>
        <w:jc w:val="both"/>
        <w:rPr>
          <w:rFonts w:ascii="Arial" w:hAnsi="Arial" w:cs="Arial"/>
          <w:sz w:val="20"/>
          <w:szCs w:val="20"/>
        </w:rPr>
      </w:pPr>
    </w:p>
    <w:p w14:paraId="2B9F7EC8"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CRONOGRAMA DEL PROCESO</w:t>
      </w:r>
    </w:p>
    <w:p w14:paraId="20CF774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 </w:t>
      </w:r>
    </w:p>
    <w:p w14:paraId="5220AB19"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El cronograma del proceso será el consignado en la plataforma SECOP II, en conjunto con las adendas que lo modifiquen. Las fechas podrán variar de acuerdo con la ley y con las condiciones previstas del Pliego de condiciones y, en consecuencia, el proponente deberá estar consultando el cronograma en la referida plataforma.</w:t>
      </w:r>
    </w:p>
    <w:p w14:paraId="4A50CE06" w14:textId="77777777" w:rsidR="00090BEA" w:rsidRPr="00090BEA" w:rsidRDefault="00090BEA" w:rsidP="00090BEA">
      <w:pPr>
        <w:jc w:val="both"/>
        <w:rPr>
          <w:rFonts w:ascii="Arial" w:hAnsi="Arial" w:cs="Arial"/>
          <w:sz w:val="20"/>
          <w:szCs w:val="20"/>
        </w:rPr>
      </w:pPr>
    </w:p>
    <w:p w14:paraId="18FCA442" w14:textId="77777777" w:rsidR="00090BEA" w:rsidRPr="00090BEA" w:rsidRDefault="00090BEA" w:rsidP="00090BEA">
      <w:pPr>
        <w:jc w:val="both"/>
        <w:rPr>
          <w:rFonts w:ascii="Arial" w:hAnsi="Arial" w:cs="Arial"/>
          <w:sz w:val="20"/>
          <w:szCs w:val="20"/>
        </w:rPr>
      </w:pPr>
      <w:bookmarkStart w:id="0" w:name="_heading=h.nvd8omnb7rfy" w:colFirst="0" w:colLast="0"/>
      <w:bookmarkEnd w:id="0"/>
      <w:r w:rsidRPr="00090BEA">
        <w:rPr>
          <w:rFonts w:ascii="Arial" w:hAnsi="Arial" w:cs="Arial"/>
          <w:sz w:val="20"/>
          <w:szCs w:val="20"/>
        </w:rPr>
        <w:t xml:space="preserve">Las fechas, plazos y horas de ejecución cronograma del presente proceso se encuentran publicados en la plataforma del SECOP II </w:t>
      </w:r>
    </w:p>
    <w:p w14:paraId="2F3636EB" w14:textId="77777777" w:rsidR="00090BEA" w:rsidRPr="00090BEA" w:rsidRDefault="00090BEA" w:rsidP="00090BEA">
      <w:pPr>
        <w:jc w:val="both"/>
        <w:rPr>
          <w:rFonts w:ascii="Arial" w:hAnsi="Arial" w:cs="Arial"/>
          <w:sz w:val="20"/>
          <w:szCs w:val="20"/>
        </w:rPr>
      </w:pPr>
    </w:p>
    <w:p w14:paraId="4DE59F06"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Los interesados deberán sujetarse a las fechas y plazos establecidos en el cronograma del proceso, publicado en la plataforma SECOP II.</w:t>
      </w:r>
    </w:p>
    <w:p w14:paraId="7D129838" w14:textId="77777777" w:rsidR="00090BEA" w:rsidRPr="00090BEA" w:rsidRDefault="00090BEA" w:rsidP="00090BEA">
      <w:pPr>
        <w:jc w:val="both"/>
        <w:rPr>
          <w:rFonts w:ascii="Arial" w:hAnsi="Arial" w:cs="Arial"/>
          <w:sz w:val="20"/>
          <w:szCs w:val="20"/>
        </w:rPr>
      </w:pPr>
    </w:p>
    <w:p w14:paraId="4D66A3E3"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CONSULTA DEL PROCESO</w:t>
      </w:r>
    </w:p>
    <w:p w14:paraId="75AA2BEE" w14:textId="77777777" w:rsidR="00090BEA" w:rsidRPr="00090BEA" w:rsidRDefault="00090BEA" w:rsidP="00090BEA">
      <w:pPr>
        <w:jc w:val="both"/>
        <w:rPr>
          <w:rFonts w:ascii="Arial" w:hAnsi="Arial" w:cs="Arial"/>
          <w:sz w:val="20"/>
          <w:szCs w:val="20"/>
        </w:rPr>
      </w:pPr>
    </w:p>
    <w:p w14:paraId="1C643BF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El proceso y sus documentos podrán ser consultados por los interesados y la ciudadanía en general en la plataforma SECOP II: </w:t>
      </w:r>
      <w:hyperlink r:id="rId8">
        <w:r w:rsidRPr="00090BEA">
          <w:rPr>
            <w:rFonts w:ascii="Arial" w:hAnsi="Arial" w:cs="Arial"/>
            <w:color w:val="0000FF"/>
            <w:sz w:val="20"/>
            <w:szCs w:val="20"/>
            <w:u w:val="single"/>
          </w:rPr>
          <w:t>https://www.colombiacompra.gov.co/secop-ii</w:t>
        </w:r>
      </w:hyperlink>
    </w:p>
    <w:p w14:paraId="4C5CC819" w14:textId="77777777" w:rsidR="00090BEA" w:rsidRPr="00090BEA" w:rsidRDefault="00090BEA" w:rsidP="00090BEA">
      <w:pPr>
        <w:jc w:val="both"/>
        <w:rPr>
          <w:rFonts w:ascii="Arial" w:hAnsi="Arial" w:cs="Arial"/>
          <w:sz w:val="20"/>
          <w:szCs w:val="20"/>
        </w:rPr>
      </w:pPr>
    </w:p>
    <w:p w14:paraId="1E75335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INVITACIÓN A LAS VEEDURÍAS CIUDADANAS</w:t>
      </w:r>
    </w:p>
    <w:p w14:paraId="114026D1" w14:textId="77777777" w:rsidR="00090BEA" w:rsidRPr="00090BEA" w:rsidRDefault="00090BEA" w:rsidP="00090BEA">
      <w:pPr>
        <w:jc w:val="both"/>
        <w:rPr>
          <w:rFonts w:ascii="Arial" w:hAnsi="Arial" w:cs="Arial"/>
          <w:sz w:val="20"/>
          <w:szCs w:val="20"/>
        </w:rPr>
      </w:pPr>
    </w:p>
    <w:p w14:paraId="651DE3F5"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En cumplimiento de lo dispuesto en el inciso 3 del artículo 66 de la Ley 80 de 1993, la alcaldía </w:t>
      </w:r>
      <w:proofErr w:type="gramStart"/>
      <w:r w:rsidRPr="00090BEA">
        <w:rPr>
          <w:rFonts w:ascii="Arial" w:hAnsi="Arial" w:cs="Arial"/>
          <w:sz w:val="20"/>
          <w:szCs w:val="20"/>
        </w:rPr>
        <w:t>municipal  invita</w:t>
      </w:r>
      <w:proofErr w:type="gramEnd"/>
      <w:r w:rsidRPr="00090BEA">
        <w:rPr>
          <w:rFonts w:ascii="Arial" w:hAnsi="Arial" w:cs="Arial"/>
          <w:sz w:val="20"/>
          <w:szCs w:val="20"/>
        </w:rPr>
        <w:t xml:space="preserve">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la plataforma SECOP II.</w:t>
      </w:r>
    </w:p>
    <w:p w14:paraId="46BF2B82" w14:textId="77777777" w:rsidR="00090BEA" w:rsidRPr="00090BEA" w:rsidRDefault="00090BEA" w:rsidP="00090BEA">
      <w:pPr>
        <w:jc w:val="both"/>
        <w:rPr>
          <w:rFonts w:ascii="Arial" w:hAnsi="Arial" w:cs="Arial"/>
          <w:sz w:val="20"/>
          <w:szCs w:val="20"/>
        </w:rPr>
      </w:pPr>
    </w:p>
    <w:p w14:paraId="2EF4FD95" w14:textId="77777777" w:rsidR="00090BEA" w:rsidRPr="00090BEA" w:rsidRDefault="00090BEA" w:rsidP="00090BEA">
      <w:pPr>
        <w:jc w:val="both"/>
        <w:rPr>
          <w:rFonts w:ascii="Arial" w:hAnsi="Arial" w:cs="Arial"/>
          <w:sz w:val="20"/>
          <w:szCs w:val="20"/>
        </w:rPr>
      </w:pPr>
    </w:p>
    <w:p w14:paraId="07B1116D" w14:textId="77777777" w:rsidR="00090BEA" w:rsidRPr="00090BEA" w:rsidRDefault="00090BEA" w:rsidP="00090BEA">
      <w:pPr>
        <w:jc w:val="both"/>
        <w:rPr>
          <w:rFonts w:ascii="Arial" w:hAnsi="Arial" w:cs="Arial"/>
          <w:sz w:val="20"/>
          <w:szCs w:val="20"/>
        </w:rPr>
      </w:pPr>
      <w:r w:rsidRPr="00090BEA">
        <w:rPr>
          <w:rFonts w:ascii="Arial" w:hAnsi="Arial" w:cs="Arial"/>
          <w:b/>
          <w:sz w:val="20"/>
          <w:szCs w:val="20"/>
        </w:rPr>
        <w:t>PARA CONSTANCIA SE FIRMA A TRAVÉS DE LA PLATAFORMA SECOP II</w:t>
      </w:r>
    </w:p>
    <w:p w14:paraId="2EF64356" w14:textId="77777777" w:rsidR="00090BEA" w:rsidRPr="00090BEA" w:rsidRDefault="00090BEA" w:rsidP="00090BEA">
      <w:pPr>
        <w:jc w:val="both"/>
        <w:rPr>
          <w:rFonts w:ascii="Arial" w:hAnsi="Arial" w:cs="Arial"/>
          <w:sz w:val="20"/>
          <w:szCs w:val="20"/>
        </w:rPr>
      </w:pPr>
    </w:p>
    <w:p w14:paraId="388211AF" w14:textId="77777777" w:rsidR="00090BEA" w:rsidRPr="00090BEA" w:rsidRDefault="00090BEA" w:rsidP="00090BEA">
      <w:pPr>
        <w:jc w:val="both"/>
        <w:rPr>
          <w:rFonts w:ascii="Arial" w:hAnsi="Arial" w:cs="Arial"/>
          <w:sz w:val="20"/>
          <w:szCs w:val="20"/>
        </w:rPr>
      </w:pPr>
    </w:p>
    <w:p w14:paraId="70ED3F70"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MONICA ANDREA VILLEGAS TORO</w:t>
      </w:r>
    </w:p>
    <w:p w14:paraId="58A795DC"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SECRETARIA DE AGRICULTURA Y MEDIO AMBIENTE</w:t>
      </w:r>
    </w:p>
    <w:p w14:paraId="302D0199"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 xml:space="preserve">(original firmado)  </w:t>
      </w:r>
    </w:p>
    <w:p w14:paraId="49A31AE8" w14:textId="77777777" w:rsidR="00090BEA" w:rsidRPr="00090BEA" w:rsidRDefault="00090BEA" w:rsidP="00090BEA">
      <w:pPr>
        <w:jc w:val="both"/>
        <w:rPr>
          <w:rFonts w:ascii="Arial" w:hAnsi="Arial" w:cs="Arial"/>
          <w:sz w:val="20"/>
          <w:szCs w:val="20"/>
        </w:rPr>
      </w:pPr>
    </w:p>
    <w:p w14:paraId="114C0555" w14:textId="77777777" w:rsidR="00090BEA" w:rsidRPr="00090BEA" w:rsidRDefault="00090BEA" w:rsidP="00090BEA">
      <w:pPr>
        <w:jc w:val="both"/>
        <w:rPr>
          <w:rFonts w:ascii="Arial" w:hAnsi="Arial" w:cs="Arial"/>
          <w:color w:val="000000"/>
          <w:sz w:val="20"/>
          <w:szCs w:val="20"/>
        </w:rPr>
      </w:pPr>
    </w:p>
    <w:p w14:paraId="2C75598F" w14:textId="77777777" w:rsidR="00090BEA" w:rsidRPr="00090BEA" w:rsidRDefault="00090BEA" w:rsidP="00090BEA">
      <w:pPr>
        <w:jc w:val="both"/>
        <w:rPr>
          <w:rFonts w:ascii="Arial" w:hAnsi="Arial" w:cs="Arial"/>
          <w:color w:val="000000"/>
          <w:sz w:val="20"/>
          <w:szCs w:val="20"/>
        </w:rPr>
      </w:pPr>
    </w:p>
    <w:p w14:paraId="2CF987F6" w14:textId="77777777" w:rsidR="00090BEA" w:rsidRPr="00090BEA" w:rsidRDefault="00090BEA" w:rsidP="00090BEA">
      <w:pPr>
        <w:jc w:val="both"/>
        <w:rPr>
          <w:rFonts w:ascii="Arial" w:hAnsi="Arial" w:cs="Arial"/>
          <w:sz w:val="20"/>
          <w:szCs w:val="20"/>
        </w:rPr>
      </w:pPr>
    </w:p>
    <w:p w14:paraId="76304E00" w14:textId="77777777" w:rsidR="00090BEA" w:rsidRPr="00090BEA" w:rsidRDefault="00090BEA" w:rsidP="00090BEA">
      <w:pPr>
        <w:jc w:val="both"/>
        <w:rPr>
          <w:rFonts w:ascii="Arial" w:hAnsi="Arial" w:cs="Arial"/>
          <w:sz w:val="20"/>
          <w:szCs w:val="20"/>
          <w:lang w:val="es-MX"/>
        </w:rPr>
      </w:pPr>
    </w:p>
    <w:sectPr w:rsidR="00090BEA" w:rsidRPr="00090BEA" w:rsidSect="00201DCA">
      <w:headerReference w:type="default" r:id="rId9"/>
      <w:footerReference w:type="default" r:id="rId10"/>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13F0C" w14:textId="77777777" w:rsidR="004E3750" w:rsidRDefault="004E3750" w:rsidP="00CA4DF8">
      <w:pPr>
        <w:spacing w:after="0" w:line="240" w:lineRule="auto"/>
      </w:pPr>
      <w:r>
        <w:separator/>
      </w:r>
    </w:p>
  </w:endnote>
  <w:endnote w:type="continuationSeparator" w:id="0">
    <w:p w14:paraId="12FB10AC" w14:textId="77777777" w:rsidR="004E3750" w:rsidRDefault="004E3750"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73C16" w14:textId="77777777" w:rsidR="004E3750" w:rsidRDefault="004E3750" w:rsidP="00CA4DF8">
      <w:pPr>
        <w:spacing w:after="0" w:line="240" w:lineRule="auto"/>
      </w:pPr>
      <w:r>
        <w:separator/>
      </w:r>
    </w:p>
  </w:footnote>
  <w:footnote w:type="continuationSeparator" w:id="0">
    <w:p w14:paraId="5DE1B2B7" w14:textId="77777777" w:rsidR="004E3750" w:rsidRDefault="004E3750"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E0469A"/>
    <w:multiLevelType w:val="multilevel"/>
    <w:tmpl w:val="82102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D91C40"/>
    <w:multiLevelType w:val="multilevel"/>
    <w:tmpl w:val="F536D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427134EA"/>
    <w:multiLevelType w:val="multilevel"/>
    <w:tmpl w:val="72B4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A732936"/>
    <w:multiLevelType w:val="multilevel"/>
    <w:tmpl w:val="53B4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86214607">
    <w:abstractNumId w:val="17"/>
  </w:num>
  <w:num w:numId="2" w16cid:durableId="2095079474">
    <w:abstractNumId w:val="16"/>
  </w:num>
  <w:num w:numId="3" w16cid:durableId="214900313">
    <w:abstractNumId w:val="4"/>
  </w:num>
  <w:num w:numId="4" w16cid:durableId="129523744">
    <w:abstractNumId w:val="6"/>
  </w:num>
  <w:num w:numId="5" w16cid:durableId="1979678279">
    <w:abstractNumId w:val="2"/>
  </w:num>
  <w:num w:numId="6" w16cid:durableId="1232041475">
    <w:abstractNumId w:val="9"/>
  </w:num>
  <w:num w:numId="7" w16cid:durableId="808204528">
    <w:abstractNumId w:val="0"/>
  </w:num>
  <w:num w:numId="8" w16cid:durableId="132142256">
    <w:abstractNumId w:val="18"/>
  </w:num>
  <w:num w:numId="9" w16cid:durableId="1628121360">
    <w:abstractNumId w:val="8"/>
  </w:num>
  <w:num w:numId="10" w16cid:durableId="1647317950">
    <w:abstractNumId w:val="15"/>
  </w:num>
  <w:num w:numId="11" w16cid:durableId="2013677375">
    <w:abstractNumId w:val="10"/>
  </w:num>
  <w:num w:numId="12" w16cid:durableId="872619235">
    <w:abstractNumId w:val="1"/>
  </w:num>
  <w:num w:numId="13" w16cid:durableId="353265946">
    <w:abstractNumId w:val="12"/>
  </w:num>
  <w:num w:numId="14" w16cid:durableId="2096633086">
    <w:abstractNumId w:val="3"/>
  </w:num>
  <w:num w:numId="15" w16cid:durableId="1407921540">
    <w:abstractNumId w:val="14"/>
  </w:num>
  <w:num w:numId="16" w16cid:durableId="1102385481">
    <w:abstractNumId w:val="5"/>
  </w:num>
  <w:num w:numId="17" w16cid:durableId="1576434513">
    <w:abstractNumId w:val="11"/>
  </w:num>
  <w:num w:numId="18" w16cid:durableId="231434319">
    <w:abstractNumId w:val="7"/>
  </w:num>
  <w:num w:numId="19" w16cid:durableId="15017783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0418"/>
    <w:rsid w:val="000037D1"/>
    <w:rsid w:val="00014736"/>
    <w:rsid w:val="00026D7A"/>
    <w:rsid w:val="00047603"/>
    <w:rsid w:val="00066F1F"/>
    <w:rsid w:val="000674AD"/>
    <w:rsid w:val="00073464"/>
    <w:rsid w:val="00074053"/>
    <w:rsid w:val="00080B8C"/>
    <w:rsid w:val="000830F7"/>
    <w:rsid w:val="00086591"/>
    <w:rsid w:val="00087F49"/>
    <w:rsid w:val="00090BEA"/>
    <w:rsid w:val="00091AA0"/>
    <w:rsid w:val="000930DA"/>
    <w:rsid w:val="00094408"/>
    <w:rsid w:val="000968FB"/>
    <w:rsid w:val="000A2685"/>
    <w:rsid w:val="000A42DF"/>
    <w:rsid w:val="000B4CD1"/>
    <w:rsid w:val="000B70BB"/>
    <w:rsid w:val="000C592D"/>
    <w:rsid w:val="000D1D1A"/>
    <w:rsid w:val="000E1EAA"/>
    <w:rsid w:val="000E66EA"/>
    <w:rsid w:val="000F2993"/>
    <w:rsid w:val="000F33E5"/>
    <w:rsid w:val="000F3B8B"/>
    <w:rsid w:val="0010225D"/>
    <w:rsid w:val="0010289F"/>
    <w:rsid w:val="00107EE4"/>
    <w:rsid w:val="001123BA"/>
    <w:rsid w:val="00114346"/>
    <w:rsid w:val="00114617"/>
    <w:rsid w:val="001319E7"/>
    <w:rsid w:val="0013328E"/>
    <w:rsid w:val="001452DC"/>
    <w:rsid w:val="00153DF5"/>
    <w:rsid w:val="00181B5C"/>
    <w:rsid w:val="00190EB8"/>
    <w:rsid w:val="0019551E"/>
    <w:rsid w:val="0019748E"/>
    <w:rsid w:val="001A0587"/>
    <w:rsid w:val="001D0CF5"/>
    <w:rsid w:val="001D17D8"/>
    <w:rsid w:val="002001B2"/>
    <w:rsid w:val="00201DCA"/>
    <w:rsid w:val="00203417"/>
    <w:rsid w:val="00203D00"/>
    <w:rsid w:val="00210023"/>
    <w:rsid w:val="00210103"/>
    <w:rsid w:val="00220EEA"/>
    <w:rsid w:val="00222DDE"/>
    <w:rsid w:val="00240EB2"/>
    <w:rsid w:val="002448B8"/>
    <w:rsid w:val="00247942"/>
    <w:rsid w:val="00254D5B"/>
    <w:rsid w:val="00256E8D"/>
    <w:rsid w:val="00260E74"/>
    <w:rsid w:val="0026538F"/>
    <w:rsid w:val="002656CE"/>
    <w:rsid w:val="0027638D"/>
    <w:rsid w:val="00277FE8"/>
    <w:rsid w:val="0028729A"/>
    <w:rsid w:val="00296B17"/>
    <w:rsid w:val="00296C45"/>
    <w:rsid w:val="002A2C46"/>
    <w:rsid w:val="002A3258"/>
    <w:rsid w:val="002B19CD"/>
    <w:rsid w:val="002B3692"/>
    <w:rsid w:val="002C288F"/>
    <w:rsid w:val="002E3DE2"/>
    <w:rsid w:val="002E639F"/>
    <w:rsid w:val="002F05C6"/>
    <w:rsid w:val="00302D0D"/>
    <w:rsid w:val="00312FF8"/>
    <w:rsid w:val="0031456C"/>
    <w:rsid w:val="00321F08"/>
    <w:rsid w:val="0033344C"/>
    <w:rsid w:val="00336AF6"/>
    <w:rsid w:val="00345FF4"/>
    <w:rsid w:val="00350E5A"/>
    <w:rsid w:val="00351FF4"/>
    <w:rsid w:val="00355CDF"/>
    <w:rsid w:val="003618D2"/>
    <w:rsid w:val="0037019E"/>
    <w:rsid w:val="00384232"/>
    <w:rsid w:val="00391474"/>
    <w:rsid w:val="003A0047"/>
    <w:rsid w:val="003A6E4F"/>
    <w:rsid w:val="003B2E41"/>
    <w:rsid w:val="003C097C"/>
    <w:rsid w:val="003C2E06"/>
    <w:rsid w:val="003D03E5"/>
    <w:rsid w:val="003F1CC3"/>
    <w:rsid w:val="004043CF"/>
    <w:rsid w:val="00405995"/>
    <w:rsid w:val="00405EB7"/>
    <w:rsid w:val="0041561E"/>
    <w:rsid w:val="0042018C"/>
    <w:rsid w:val="004264AE"/>
    <w:rsid w:val="00435CFC"/>
    <w:rsid w:val="00444CDD"/>
    <w:rsid w:val="00451104"/>
    <w:rsid w:val="00455A49"/>
    <w:rsid w:val="00466517"/>
    <w:rsid w:val="00471873"/>
    <w:rsid w:val="004743A9"/>
    <w:rsid w:val="00475BD8"/>
    <w:rsid w:val="00487F23"/>
    <w:rsid w:val="00491737"/>
    <w:rsid w:val="004930EA"/>
    <w:rsid w:val="004A2425"/>
    <w:rsid w:val="004A5AB6"/>
    <w:rsid w:val="004B2F63"/>
    <w:rsid w:val="004C10C0"/>
    <w:rsid w:val="004D4982"/>
    <w:rsid w:val="004D7630"/>
    <w:rsid w:val="004E3750"/>
    <w:rsid w:val="004F3C3A"/>
    <w:rsid w:val="005003ED"/>
    <w:rsid w:val="00504A3A"/>
    <w:rsid w:val="005058A8"/>
    <w:rsid w:val="00506319"/>
    <w:rsid w:val="00506D6E"/>
    <w:rsid w:val="005128B7"/>
    <w:rsid w:val="0051520B"/>
    <w:rsid w:val="0052245A"/>
    <w:rsid w:val="0052612D"/>
    <w:rsid w:val="00526F80"/>
    <w:rsid w:val="00543734"/>
    <w:rsid w:val="00544BBE"/>
    <w:rsid w:val="00552F64"/>
    <w:rsid w:val="00562F5F"/>
    <w:rsid w:val="005652F2"/>
    <w:rsid w:val="00571D85"/>
    <w:rsid w:val="00574EA6"/>
    <w:rsid w:val="0058099C"/>
    <w:rsid w:val="00587CCB"/>
    <w:rsid w:val="00587FD7"/>
    <w:rsid w:val="005A1F72"/>
    <w:rsid w:val="005B4895"/>
    <w:rsid w:val="005B518E"/>
    <w:rsid w:val="005C4BA4"/>
    <w:rsid w:val="005D507B"/>
    <w:rsid w:val="005D5392"/>
    <w:rsid w:val="005E422F"/>
    <w:rsid w:val="005E6268"/>
    <w:rsid w:val="005F40E7"/>
    <w:rsid w:val="006028BF"/>
    <w:rsid w:val="006116BE"/>
    <w:rsid w:val="0061434A"/>
    <w:rsid w:val="006209B9"/>
    <w:rsid w:val="0062185E"/>
    <w:rsid w:val="006256B8"/>
    <w:rsid w:val="00627DF7"/>
    <w:rsid w:val="006338FB"/>
    <w:rsid w:val="006345D5"/>
    <w:rsid w:val="00680C46"/>
    <w:rsid w:val="006916BD"/>
    <w:rsid w:val="00696DB5"/>
    <w:rsid w:val="006A5CD3"/>
    <w:rsid w:val="006A6299"/>
    <w:rsid w:val="006B0F2B"/>
    <w:rsid w:val="006D1C65"/>
    <w:rsid w:val="006E09A5"/>
    <w:rsid w:val="006E50E2"/>
    <w:rsid w:val="006F4EA3"/>
    <w:rsid w:val="006F6355"/>
    <w:rsid w:val="007004C7"/>
    <w:rsid w:val="00710483"/>
    <w:rsid w:val="00710D1F"/>
    <w:rsid w:val="007165B4"/>
    <w:rsid w:val="00734CD4"/>
    <w:rsid w:val="00736094"/>
    <w:rsid w:val="00742F29"/>
    <w:rsid w:val="007450BB"/>
    <w:rsid w:val="00746F98"/>
    <w:rsid w:val="007645FC"/>
    <w:rsid w:val="00774772"/>
    <w:rsid w:val="00793CEF"/>
    <w:rsid w:val="00794E79"/>
    <w:rsid w:val="007A6A26"/>
    <w:rsid w:val="007B2C86"/>
    <w:rsid w:val="007B3257"/>
    <w:rsid w:val="007C1A8B"/>
    <w:rsid w:val="007C2BFB"/>
    <w:rsid w:val="007F1093"/>
    <w:rsid w:val="007F2EDC"/>
    <w:rsid w:val="007F6A2C"/>
    <w:rsid w:val="008015B1"/>
    <w:rsid w:val="00802394"/>
    <w:rsid w:val="00803461"/>
    <w:rsid w:val="00803776"/>
    <w:rsid w:val="00803C0D"/>
    <w:rsid w:val="00817764"/>
    <w:rsid w:val="00820726"/>
    <w:rsid w:val="0082465A"/>
    <w:rsid w:val="008260F0"/>
    <w:rsid w:val="00831103"/>
    <w:rsid w:val="00831BC3"/>
    <w:rsid w:val="00832B47"/>
    <w:rsid w:val="00835B2C"/>
    <w:rsid w:val="00835E19"/>
    <w:rsid w:val="00847D39"/>
    <w:rsid w:val="00865C10"/>
    <w:rsid w:val="00867DB3"/>
    <w:rsid w:val="008715C1"/>
    <w:rsid w:val="008736F1"/>
    <w:rsid w:val="008753D4"/>
    <w:rsid w:val="0087582F"/>
    <w:rsid w:val="0087721E"/>
    <w:rsid w:val="00880759"/>
    <w:rsid w:val="00882D66"/>
    <w:rsid w:val="00891239"/>
    <w:rsid w:val="008B50B7"/>
    <w:rsid w:val="008B5707"/>
    <w:rsid w:val="008B5A71"/>
    <w:rsid w:val="008C0140"/>
    <w:rsid w:val="008C777A"/>
    <w:rsid w:val="008D2217"/>
    <w:rsid w:val="008D5FBE"/>
    <w:rsid w:val="008D7F44"/>
    <w:rsid w:val="008E3240"/>
    <w:rsid w:val="008E485D"/>
    <w:rsid w:val="008E5EAD"/>
    <w:rsid w:val="008E7604"/>
    <w:rsid w:val="009078B9"/>
    <w:rsid w:val="00920BF4"/>
    <w:rsid w:val="00947E74"/>
    <w:rsid w:val="0095384D"/>
    <w:rsid w:val="00953B1D"/>
    <w:rsid w:val="00970C1E"/>
    <w:rsid w:val="00984E7F"/>
    <w:rsid w:val="00986207"/>
    <w:rsid w:val="009A4E93"/>
    <w:rsid w:val="009C3BA3"/>
    <w:rsid w:val="009D0015"/>
    <w:rsid w:val="009E4C1E"/>
    <w:rsid w:val="009E5A7F"/>
    <w:rsid w:val="009F04CB"/>
    <w:rsid w:val="009F2B5A"/>
    <w:rsid w:val="009F6DFD"/>
    <w:rsid w:val="00A07FB7"/>
    <w:rsid w:val="00A1343B"/>
    <w:rsid w:val="00A15D7C"/>
    <w:rsid w:val="00A1610D"/>
    <w:rsid w:val="00A1681F"/>
    <w:rsid w:val="00A208F0"/>
    <w:rsid w:val="00A230B3"/>
    <w:rsid w:val="00A33920"/>
    <w:rsid w:val="00A3793C"/>
    <w:rsid w:val="00A37F9D"/>
    <w:rsid w:val="00A42907"/>
    <w:rsid w:val="00A56A77"/>
    <w:rsid w:val="00A6139F"/>
    <w:rsid w:val="00A71644"/>
    <w:rsid w:val="00A72606"/>
    <w:rsid w:val="00A9781D"/>
    <w:rsid w:val="00AB31D5"/>
    <w:rsid w:val="00AC04E7"/>
    <w:rsid w:val="00AC2873"/>
    <w:rsid w:val="00AC2902"/>
    <w:rsid w:val="00AC7AEE"/>
    <w:rsid w:val="00AD45FF"/>
    <w:rsid w:val="00AF19E8"/>
    <w:rsid w:val="00B07762"/>
    <w:rsid w:val="00B17EEC"/>
    <w:rsid w:val="00B26AE9"/>
    <w:rsid w:val="00B33BF9"/>
    <w:rsid w:val="00B376A2"/>
    <w:rsid w:val="00B44458"/>
    <w:rsid w:val="00B52222"/>
    <w:rsid w:val="00B52581"/>
    <w:rsid w:val="00B61FFC"/>
    <w:rsid w:val="00B75211"/>
    <w:rsid w:val="00B81F5F"/>
    <w:rsid w:val="00B92D60"/>
    <w:rsid w:val="00B973BE"/>
    <w:rsid w:val="00BA5170"/>
    <w:rsid w:val="00BC7310"/>
    <w:rsid w:val="00BD5E8E"/>
    <w:rsid w:val="00BD665A"/>
    <w:rsid w:val="00BD77F5"/>
    <w:rsid w:val="00C12108"/>
    <w:rsid w:val="00C24A34"/>
    <w:rsid w:val="00C30AD1"/>
    <w:rsid w:val="00C51683"/>
    <w:rsid w:val="00C76F32"/>
    <w:rsid w:val="00C77ABB"/>
    <w:rsid w:val="00C834D1"/>
    <w:rsid w:val="00C83D5C"/>
    <w:rsid w:val="00C90F9A"/>
    <w:rsid w:val="00C94B9D"/>
    <w:rsid w:val="00C97797"/>
    <w:rsid w:val="00CA001F"/>
    <w:rsid w:val="00CA4DF8"/>
    <w:rsid w:val="00CA723F"/>
    <w:rsid w:val="00CB2547"/>
    <w:rsid w:val="00CB2C9A"/>
    <w:rsid w:val="00CB7A47"/>
    <w:rsid w:val="00CC286A"/>
    <w:rsid w:val="00CC7C16"/>
    <w:rsid w:val="00CE2069"/>
    <w:rsid w:val="00CF2946"/>
    <w:rsid w:val="00D03D8F"/>
    <w:rsid w:val="00D04BCC"/>
    <w:rsid w:val="00D05C00"/>
    <w:rsid w:val="00D069E9"/>
    <w:rsid w:val="00D13155"/>
    <w:rsid w:val="00D13E07"/>
    <w:rsid w:val="00D14712"/>
    <w:rsid w:val="00D22351"/>
    <w:rsid w:val="00D22CB2"/>
    <w:rsid w:val="00D241FC"/>
    <w:rsid w:val="00D30CA6"/>
    <w:rsid w:val="00D343EC"/>
    <w:rsid w:val="00D5305B"/>
    <w:rsid w:val="00D5560C"/>
    <w:rsid w:val="00D5669A"/>
    <w:rsid w:val="00D66768"/>
    <w:rsid w:val="00D767BB"/>
    <w:rsid w:val="00D843D5"/>
    <w:rsid w:val="00DA5823"/>
    <w:rsid w:val="00DB2F48"/>
    <w:rsid w:val="00DC00EA"/>
    <w:rsid w:val="00DC1557"/>
    <w:rsid w:val="00DC219F"/>
    <w:rsid w:val="00DF023C"/>
    <w:rsid w:val="00E10B77"/>
    <w:rsid w:val="00E10ED1"/>
    <w:rsid w:val="00E17E71"/>
    <w:rsid w:val="00E20002"/>
    <w:rsid w:val="00E25A38"/>
    <w:rsid w:val="00E260E2"/>
    <w:rsid w:val="00E57316"/>
    <w:rsid w:val="00E60C68"/>
    <w:rsid w:val="00E7097E"/>
    <w:rsid w:val="00E83740"/>
    <w:rsid w:val="00E8389F"/>
    <w:rsid w:val="00E86062"/>
    <w:rsid w:val="00E9605C"/>
    <w:rsid w:val="00EA180A"/>
    <w:rsid w:val="00EA390B"/>
    <w:rsid w:val="00EC4B2C"/>
    <w:rsid w:val="00EC79F8"/>
    <w:rsid w:val="00ED1C63"/>
    <w:rsid w:val="00ED2205"/>
    <w:rsid w:val="00EE3502"/>
    <w:rsid w:val="00EE4E48"/>
    <w:rsid w:val="00EE7BEE"/>
    <w:rsid w:val="00F029B3"/>
    <w:rsid w:val="00F069D2"/>
    <w:rsid w:val="00F074C0"/>
    <w:rsid w:val="00F236B1"/>
    <w:rsid w:val="00F445A6"/>
    <w:rsid w:val="00F452C7"/>
    <w:rsid w:val="00F46DDA"/>
    <w:rsid w:val="00F610F6"/>
    <w:rsid w:val="00F679B8"/>
    <w:rsid w:val="00F67E51"/>
    <w:rsid w:val="00F70656"/>
    <w:rsid w:val="00F70B05"/>
    <w:rsid w:val="00F867F0"/>
    <w:rsid w:val="00F927AD"/>
    <w:rsid w:val="00FA5400"/>
    <w:rsid w:val="00FA59A9"/>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 w:type="table" w:styleId="Tabladecuadrcula4">
    <w:name w:val="Grid Table 4"/>
    <w:basedOn w:val="Tablanormal"/>
    <w:uiPriority w:val="49"/>
    <w:rsid w:val="00090BEA"/>
    <w:pPr>
      <w:spacing w:after="0" w:line="240" w:lineRule="auto"/>
      <w:jc w:val="both"/>
    </w:pPr>
    <w:rPr>
      <w:rFonts w:ascii="Calibri" w:eastAsiaTheme="minorEastAsia" w:hAnsi="Calibri" w:cs="Calibr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090BEA"/>
    <w:pPr>
      <w:widowControl w:val="0"/>
      <w:autoSpaceDE w:val="0"/>
      <w:autoSpaceDN w:val="0"/>
      <w:spacing w:after="0" w:line="240" w:lineRule="auto"/>
    </w:pPr>
    <w:rPr>
      <w:rFonts w:ascii="Arial MT" w:eastAsia="Arial MT" w:hAnsi="Arial MT" w:cs="Arial MT"/>
      <w:lang w:val="es-ES" w:eastAsia="en-US"/>
    </w:rPr>
  </w:style>
  <w:style w:type="table" w:customStyle="1" w:styleId="TableNormal">
    <w:name w:val="Table Normal"/>
    <w:uiPriority w:val="2"/>
    <w:semiHidden/>
    <w:unhideWhenUsed/>
    <w:qFormat/>
    <w:rsid w:val="00090B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1180</Words>
  <Characters>6602</Characters>
  <Application>Microsoft Office Word</Application>
  <DocSecurity>0</DocSecurity>
  <Lines>188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Lizeth Yomara Lopez Villegas</cp:lastModifiedBy>
  <cp:revision>4</cp:revision>
  <cp:lastPrinted>2024-01-02T18:26:00Z</cp:lastPrinted>
  <dcterms:created xsi:type="dcterms:W3CDTF">2026-08-04T17:36:00Z</dcterms:created>
  <dcterms:modified xsi:type="dcterms:W3CDTF">2026-08-05T18:31:00Z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2026-07-31T19:21:50Z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9fa6e04b-17a0-412e-a06a-e2f370b5c1ed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