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177486" w:rsidRDefault="0077727E" w:rsidP="0077727E">
      <w:pPr>
        <w:jc w:val="center"/>
        <w:rPr>
          <w:rFonts w:ascii="Arial" w:hAnsi="Arial" w:cs="Arial"/>
          <w:b/>
          <w:sz w:val="20"/>
          <w:szCs w:val="20"/>
        </w:rPr>
      </w:pPr>
      <w:r w:rsidRPr="00177486">
        <w:rPr>
          <w:rFonts w:ascii="Arial" w:hAnsi="Arial" w:cs="Arial"/>
          <w:b/>
          <w:sz w:val="20"/>
          <w:szCs w:val="20"/>
        </w:rPr>
        <w:t>MATRIZ 3</w:t>
      </w:r>
      <w:r w:rsidR="00136C78" w:rsidRPr="00177486">
        <w:rPr>
          <w:rFonts w:ascii="Arial" w:hAnsi="Arial" w:cs="Arial"/>
          <w:b/>
          <w:sz w:val="20"/>
          <w:szCs w:val="20"/>
        </w:rPr>
        <w:t xml:space="preserve"> -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45376DE5" w14:textId="77777777" w:rsidR="00CB6B0C" w:rsidRPr="00CB6B0C" w:rsidRDefault="00CB6B0C" w:rsidP="00CB6B0C">
      <w:pPr>
        <w:spacing w:after="100" w:afterAutospacing="1"/>
        <w:rPr>
          <w:rFonts w:ascii="Arial" w:hAnsi="Arial" w:cs="Arial"/>
          <w:sz w:val="20"/>
          <w:szCs w:val="20"/>
          <w:lang w:val="es-ES_tradnl" w:eastAsia="es-CO"/>
        </w:rPr>
      </w:pPr>
      <w:r w:rsidRPr="00CB6B0C">
        <w:rPr>
          <w:rFonts w:ascii="Arial" w:hAnsi="Arial" w:cs="Arial"/>
          <w:sz w:val="20"/>
          <w:szCs w:val="20"/>
          <w:lang w:val="es-ES_tradnl" w:eastAsia="es-CO"/>
        </w:rPr>
        <w:t>Para el presente Proceso Contractual, de acuerdo con lo dispuesto en la Ley 1150 de 2007 y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ejecutar en la ejecución contractual.</w:t>
      </w:r>
    </w:p>
    <w:p w14:paraId="7A7FB15F" w14:textId="77777777" w:rsidR="00CB6B0C" w:rsidRPr="00CB6B0C" w:rsidRDefault="00CB6B0C" w:rsidP="00CB6B0C">
      <w:pPr>
        <w:spacing w:after="100" w:afterAutospacing="1"/>
        <w:rPr>
          <w:rFonts w:ascii="Arial" w:hAnsi="Arial" w:cs="Arial"/>
          <w:sz w:val="20"/>
          <w:szCs w:val="20"/>
          <w:lang w:val="es-ES_tradnl" w:eastAsia="es-CO"/>
        </w:rPr>
      </w:pPr>
    </w:p>
    <w:p w14:paraId="0FC478C9" w14:textId="77777777" w:rsidR="00CB6B0C" w:rsidRPr="00CB6B0C" w:rsidRDefault="00CB6B0C" w:rsidP="00CB6B0C">
      <w:pPr>
        <w:spacing w:after="100" w:afterAutospacing="1"/>
        <w:rPr>
          <w:rFonts w:ascii="Arial" w:hAnsi="Arial" w:cs="Arial"/>
          <w:sz w:val="20"/>
          <w:szCs w:val="20"/>
          <w:lang w:val="es-ES_tradnl" w:eastAsia="es-CO"/>
        </w:rPr>
      </w:pPr>
      <w:r w:rsidRPr="00CB6B0C">
        <w:rPr>
          <w:rFonts w:ascii="Arial" w:hAnsi="Arial" w:cs="Arial"/>
          <w:sz w:val="20"/>
          <w:szCs w:val="20"/>
          <w:lang w:val="es-ES_tradnl" w:eastAsia="es-CO"/>
        </w:rPr>
        <w:t xml:space="preserve">Corresponderá al Contratista seleccionado la asunción del Riesgo previsible propio de este tipo de contratación aceptando su costo, siempre que el mismo no se encuentre expresamente asignado a la Entidad Estatal en el Contrato. </w:t>
      </w:r>
    </w:p>
    <w:p w14:paraId="7F5A6074" w14:textId="77777777" w:rsidR="00CB6B0C" w:rsidRPr="00CB6B0C" w:rsidRDefault="00CB6B0C" w:rsidP="00CB6B0C">
      <w:pPr>
        <w:spacing w:after="100" w:afterAutospacing="1"/>
        <w:rPr>
          <w:rFonts w:ascii="Arial" w:hAnsi="Arial" w:cs="Arial"/>
          <w:sz w:val="20"/>
          <w:szCs w:val="20"/>
          <w:lang w:val="es-ES_tradnl" w:eastAsia="es-CO"/>
        </w:rPr>
      </w:pPr>
    </w:p>
    <w:p w14:paraId="49332D23" w14:textId="77777777" w:rsidR="00CB6B0C" w:rsidRPr="00CB6B0C" w:rsidRDefault="00CB6B0C" w:rsidP="00CB6B0C">
      <w:pPr>
        <w:spacing w:after="100" w:afterAutospacing="1"/>
        <w:rPr>
          <w:rFonts w:ascii="Arial" w:hAnsi="Arial" w:cs="Arial"/>
          <w:sz w:val="20"/>
          <w:szCs w:val="20"/>
          <w:lang w:val="es-ES_tradnl" w:eastAsia="es-CO"/>
        </w:rPr>
      </w:pPr>
      <w:r w:rsidRPr="00CB6B0C">
        <w:rPr>
          <w:rFonts w:ascii="Arial" w:hAnsi="Arial" w:cs="Arial"/>
          <w:sz w:val="20"/>
          <w:szCs w:val="20"/>
          <w:lang w:val="es-ES_tradnl" w:eastAsia="es-CO"/>
        </w:rPr>
        <w:t>De acuerdo con el procedimiento de la referencia, se establece la tipificación, estimación y asignación de los Riesgos previsibles que puedan afectar el presente Proceso Contractual.</w:t>
      </w:r>
    </w:p>
    <w:p w14:paraId="4B57803D" w14:textId="77777777" w:rsidR="00CB6B0C" w:rsidRPr="00CB6B0C" w:rsidRDefault="00CB6B0C" w:rsidP="00CB6B0C">
      <w:pPr>
        <w:spacing w:after="100" w:afterAutospacing="1"/>
        <w:rPr>
          <w:rFonts w:ascii="Arial" w:hAnsi="Arial" w:cs="Arial"/>
          <w:sz w:val="20"/>
          <w:szCs w:val="20"/>
          <w:lang w:val="es-ES_tradnl" w:eastAsia="es-CO"/>
        </w:rPr>
      </w:pPr>
    </w:p>
    <w:p w14:paraId="50AA65CC" w14:textId="76DF8CE8" w:rsidR="005E5030" w:rsidRDefault="00CB6B0C" w:rsidP="00CB6B0C">
      <w:pPr>
        <w:spacing w:after="100" w:afterAutospacing="1"/>
        <w:rPr>
          <w:rFonts w:ascii="Arial" w:hAnsi="Arial" w:cs="Arial"/>
          <w:sz w:val="20"/>
          <w:szCs w:val="20"/>
          <w:lang w:val="es-ES_tradnl" w:eastAsia="es-CO"/>
        </w:rPr>
      </w:pPr>
      <w:r w:rsidRPr="00CB6B0C">
        <w:rPr>
          <w:rFonts w:ascii="Arial" w:hAnsi="Arial" w:cs="Arial"/>
          <w:sz w:val="20"/>
          <w:szCs w:val="20"/>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6610CB30" w14:textId="77777777" w:rsidR="00CB6B0C" w:rsidRPr="00177486" w:rsidRDefault="00CB6B0C" w:rsidP="00CB6B0C">
      <w:pPr>
        <w:spacing w:after="100" w:afterAutospacing="1"/>
        <w:rPr>
          <w:rFonts w:ascii="Arial" w:eastAsia="SimSun" w:hAnsi="Arial" w:cs="Arial"/>
          <w:b/>
          <w:kern w:val="3"/>
          <w:sz w:val="20"/>
          <w:szCs w:val="20"/>
          <w:u w:val="single"/>
          <w:lang w:eastAsia="zh-CN" w:bidi="hi-IN"/>
        </w:rPr>
      </w:pPr>
    </w:p>
    <w:p w14:paraId="4D84E88B" w14:textId="77777777" w:rsidR="0058222E" w:rsidRPr="00177486" w:rsidRDefault="00815604" w:rsidP="00D70D7B">
      <w:pPr>
        <w:spacing w:after="100" w:afterAutospacing="1"/>
        <w:rPr>
          <w:rFonts w:ascii="Arial" w:eastAsia="SimSun" w:hAnsi="Arial" w:cs="Arial"/>
          <w:kern w:val="3"/>
          <w:sz w:val="20"/>
          <w:szCs w:val="20"/>
          <w:lang w:eastAsia="zh-CN" w:bidi="hi-IN"/>
        </w:rPr>
      </w:pPr>
      <w:r w:rsidRPr="00177486">
        <w:rPr>
          <w:rFonts w:ascii="Arial" w:eastAsia="SimSun" w:hAnsi="Arial" w:cs="Arial"/>
          <w:b/>
          <w:kern w:val="3"/>
          <w:sz w:val="20"/>
          <w:szCs w:val="20"/>
          <w:u w:val="single"/>
          <w:lang w:eastAsia="zh-CN" w:bidi="hi-IN"/>
        </w:rPr>
        <w:t>Matriz de Riesgos</w:t>
      </w:r>
    </w:p>
    <w:p w14:paraId="74770F23" w14:textId="77777777" w:rsidR="00815604" w:rsidRPr="00EC3965" w:rsidRDefault="00815604" w:rsidP="004D7C35">
      <w:pPr>
        <w:spacing w:after="100" w:afterAutospacing="1"/>
        <w:jc w:val="center"/>
        <w:rPr>
          <w:rFonts w:ascii="Arial" w:eastAsia="SimSun" w:hAnsi="Arial" w:cs="Arial"/>
          <w:kern w:val="3"/>
          <w:sz w:val="20"/>
          <w:szCs w:val="20"/>
          <w:lang w:eastAsia="zh-CN" w:bidi="hi-IN"/>
        </w:rPr>
      </w:pPr>
    </w:p>
    <w:tbl>
      <w:tblPr>
        <w:tblW w:w="15943" w:type="dxa"/>
        <w:tblLayout w:type="fixed"/>
        <w:tblCellMar>
          <w:top w:w="15" w:type="dxa"/>
          <w:left w:w="70" w:type="dxa"/>
          <w:bottom w:w="15" w:type="dxa"/>
          <w:right w:w="70" w:type="dxa"/>
        </w:tblCellMar>
        <w:tblLook w:val="04A0" w:firstRow="1" w:lastRow="0" w:firstColumn="1" w:lastColumn="0" w:noHBand="0" w:noVBand="1"/>
      </w:tblPr>
      <w:tblGrid>
        <w:gridCol w:w="324"/>
        <w:gridCol w:w="372"/>
        <w:gridCol w:w="372"/>
        <w:gridCol w:w="372"/>
        <w:gridCol w:w="372"/>
        <w:gridCol w:w="1338"/>
        <w:gridCol w:w="1350"/>
        <w:gridCol w:w="372"/>
        <w:gridCol w:w="372"/>
        <w:gridCol w:w="372"/>
        <w:gridCol w:w="372"/>
        <w:gridCol w:w="421"/>
        <w:gridCol w:w="1781"/>
        <w:gridCol w:w="372"/>
        <w:gridCol w:w="372"/>
        <w:gridCol w:w="372"/>
        <w:gridCol w:w="372"/>
        <w:gridCol w:w="372"/>
        <w:gridCol w:w="421"/>
        <w:gridCol w:w="1372"/>
        <w:gridCol w:w="1040"/>
        <w:gridCol w:w="1607"/>
        <w:gridCol w:w="1293"/>
        <w:gridCol w:w="152"/>
        <w:gridCol w:w="8"/>
      </w:tblGrid>
      <w:tr w:rsidR="00CB6B0C" w:rsidRPr="008F3FC3" w14:paraId="11870084" w14:textId="77777777" w:rsidTr="00A22D8C">
        <w:trPr>
          <w:gridAfter w:val="1"/>
          <w:wAfter w:w="8" w:type="dxa"/>
          <w:trHeight w:val="480"/>
        </w:trPr>
        <w:tc>
          <w:tcPr>
            <w:tcW w:w="15935" w:type="dxa"/>
            <w:gridSpan w:val="24"/>
            <w:tcBorders>
              <w:top w:val="nil"/>
              <w:left w:val="nil"/>
              <w:bottom w:val="nil"/>
              <w:right w:val="nil"/>
            </w:tcBorders>
            <w:vAlign w:val="center"/>
            <w:hideMark/>
          </w:tcPr>
          <w:p w14:paraId="3A420357" w14:textId="77777777" w:rsidR="00CB6B0C" w:rsidRPr="008F3FC3" w:rsidRDefault="00CB6B0C" w:rsidP="005E2EED">
            <w:pPr>
              <w:spacing w:line="240" w:lineRule="auto"/>
              <w:contextualSpacing w:val="0"/>
              <w:jc w:val="center"/>
              <w:rPr>
                <w:rFonts w:eastAsia="Times New Roman" w:cstheme="minorHAnsi"/>
                <w:b/>
                <w:bCs/>
                <w:sz w:val="16"/>
                <w:szCs w:val="16"/>
                <w:lang w:eastAsia="es-CO"/>
              </w:rPr>
            </w:pPr>
            <w:r w:rsidRPr="008F3FC3">
              <w:rPr>
                <w:rFonts w:eastAsia="Times New Roman" w:cstheme="minorHAnsi"/>
                <w:b/>
                <w:bCs/>
                <w:sz w:val="16"/>
                <w:szCs w:val="16"/>
                <w:lang w:eastAsia="es-CO"/>
              </w:rPr>
              <w:t>ANÁLISIS DE RIESGOS, ASIGNACIÓN Y TIPIFICACIÓN</w:t>
            </w:r>
          </w:p>
        </w:tc>
      </w:tr>
      <w:tr w:rsidR="00CB6B0C" w:rsidRPr="008F3FC3" w14:paraId="4B2C3776" w14:textId="77777777" w:rsidTr="00A22D8C">
        <w:trPr>
          <w:trHeight w:val="480"/>
        </w:trPr>
        <w:tc>
          <w:tcPr>
            <w:tcW w:w="324" w:type="dxa"/>
            <w:vMerge w:val="restart"/>
            <w:tcBorders>
              <w:top w:val="single" w:sz="4" w:space="0" w:color="A6A6A6"/>
              <w:left w:val="single" w:sz="4" w:space="0" w:color="A6A6A6"/>
              <w:bottom w:val="nil"/>
              <w:right w:val="single" w:sz="4" w:space="0" w:color="A6A6A6"/>
            </w:tcBorders>
            <w:shd w:val="clear" w:color="000000" w:fill="4E4D4D"/>
            <w:vAlign w:val="center"/>
            <w:hideMark/>
          </w:tcPr>
          <w:p w14:paraId="032B8E9D"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N</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390ADB8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Clase</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7094904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Fuente</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0E6EDFA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Etapa</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4E872C5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Tipo</w:t>
            </w:r>
          </w:p>
        </w:tc>
        <w:tc>
          <w:tcPr>
            <w:tcW w:w="1338" w:type="dxa"/>
            <w:vMerge w:val="restart"/>
            <w:tcBorders>
              <w:top w:val="single" w:sz="4" w:space="0" w:color="A6A6A6"/>
              <w:left w:val="single" w:sz="4" w:space="0" w:color="A6A6A6"/>
              <w:bottom w:val="nil"/>
              <w:right w:val="single" w:sz="4" w:space="0" w:color="A6A6A6"/>
            </w:tcBorders>
            <w:shd w:val="clear" w:color="000000" w:fill="4E4D4D"/>
            <w:vAlign w:val="center"/>
            <w:hideMark/>
          </w:tcPr>
          <w:p w14:paraId="32BCC63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Descripción</w:t>
            </w:r>
          </w:p>
        </w:tc>
        <w:tc>
          <w:tcPr>
            <w:tcW w:w="1350" w:type="dxa"/>
            <w:vMerge w:val="restart"/>
            <w:tcBorders>
              <w:top w:val="single" w:sz="4" w:space="0" w:color="A6A6A6"/>
              <w:left w:val="single" w:sz="4" w:space="0" w:color="A6A6A6"/>
              <w:bottom w:val="nil"/>
              <w:right w:val="single" w:sz="4" w:space="0" w:color="A6A6A6"/>
            </w:tcBorders>
            <w:shd w:val="clear" w:color="000000" w:fill="4E4D4D"/>
            <w:vAlign w:val="center"/>
            <w:hideMark/>
          </w:tcPr>
          <w:p w14:paraId="0F0C35AC" w14:textId="77777777" w:rsidR="00CB6B0C" w:rsidRPr="008F3FC3" w:rsidRDefault="00CB6B0C" w:rsidP="005E2EED">
            <w:pPr>
              <w:spacing w:line="240" w:lineRule="auto"/>
              <w:ind w:firstLineChars="100" w:firstLine="160"/>
              <w:contextualSpacing w:val="0"/>
              <w:jc w:val="left"/>
              <w:rPr>
                <w:rFonts w:eastAsia="Times New Roman" w:cstheme="minorHAnsi"/>
                <w:sz w:val="16"/>
                <w:szCs w:val="16"/>
                <w:lang w:eastAsia="es-CO"/>
              </w:rPr>
            </w:pPr>
            <w:r w:rsidRPr="008F3FC3">
              <w:rPr>
                <w:rFonts w:eastAsia="Times New Roman" w:cstheme="minorHAnsi"/>
                <w:color w:val="FFFFFF"/>
                <w:sz w:val="16"/>
                <w:szCs w:val="16"/>
                <w:lang w:eastAsia="es-CO"/>
              </w:rPr>
              <w:t>Consecuencia de la ocurrencia del evento</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bottom"/>
            <w:hideMark/>
          </w:tcPr>
          <w:p w14:paraId="6273C23A"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color w:val="FFFFFF"/>
                <w:sz w:val="16"/>
                <w:szCs w:val="16"/>
                <w:lang w:eastAsia="es-CO"/>
              </w:rPr>
              <w:t>Probabilidad</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0DEF147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Impacto</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27F2156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Valoración</w:t>
            </w:r>
          </w:p>
        </w:tc>
        <w:tc>
          <w:tcPr>
            <w:tcW w:w="372" w:type="dxa"/>
            <w:vMerge w:val="restart"/>
            <w:tcBorders>
              <w:top w:val="single" w:sz="4" w:space="0" w:color="A6A6A6"/>
              <w:left w:val="single" w:sz="4" w:space="0" w:color="A6A6A6"/>
              <w:bottom w:val="nil"/>
              <w:right w:val="single" w:sz="4" w:space="0" w:color="A6A6A6"/>
            </w:tcBorders>
            <w:shd w:val="clear" w:color="000000" w:fill="4E4D4D"/>
            <w:textDirection w:val="btLr"/>
            <w:vAlign w:val="center"/>
            <w:hideMark/>
          </w:tcPr>
          <w:p w14:paraId="0D2C761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color w:val="FFFFFF"/>
                <w:sz w:val="16"/>
                <w:szCs w:val="16"/>
                <w:lang w:eastAsia="es-CO"/>
              </w:rPr>
              <w:t>Categoría</w:t>
            </w:r>
          </w:p>
        </w:tc>
        <w:tc>
          <w:tcPr>
            <w:tcW w:w="421" w:type="dxa"/>
            <w:vMerge w:val="restart"/>
            <w:tcBorders>
              <w:top w:val="single" w:sz="4" w:space="0" w:color="A6A6A6"/>
              <w:left w:val="single" w:sz="4" w:space="0" w:color="A6A6A6"/>
              <w:bottom w:val="nil"/>
              <w:right w:val="single" w:sz="4" w:space="0" w:color="A6A6A6"/>
            </w:tcBorders>
            <w:shd w:val="clear" w:color="000000" w:fill="A6A6A6"/>
            <w:textDirection w:val="btLr"/>
            <w:vAlign w:val="bottom"/>
            <w:hideMark/>
          </w:tcPr>
          <w:p w14:paraId="7DBA8653"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quién se le asigna?</w:t>
            </w:r>
          </w:p>
        </w:tc>
        <w:tc>
          <w:tcPr>
            <w:tcW w:w="1781" w:type="dxa"/>
            <w:vMerge w:val="restart"/>
            <w:tcBorders>
              <w:top w:val="single" w:sz="4" w:space="0" w:color="A6A6A6"/>
              <w:left w:val="single" w:sz="4" w:space="0" w:color="A6A6A6"/>
              <w:bottom w:val="nil"/>
              <w:right w:val="single" w:sz="4" w:space="0" w:color="A6A6A6"/>
            </w:tcBorders>
            <w:shd w:val="clear" w:color="000000" w:fill="A6A6A6"/>
            <w:vAlign w:val="center"/>
            <w:hideMark/>
          </w:tcPr>
          <w:p w14:paraId="77C00CAB" w14:textId="77777777" w:rsidR="00CB6B0C" w:rsidRPr="008F3FC3" w:rsidRDefault="00CB6B0C" w:rsidP="005E2EED">
            <w:pPr>
              <w:spacing w:line="240" w:lineRule="auto"/>
              <w:ind w:firstLineChars="100" w:firstLine="160"/>
              <w:contextualSpacing w:val="0"/>
              <w:jc w:val="left"/>
              <w:rPr>
                <w:rFonts w:eastAsia="Times New Roman" w:cstheme="minorHAnsi"/>
                <w:sz w:val="16"/>
                <w:szCs w:val="16"/>
                <w:lang w:eastAsia="es-CO"/>
              </w:rPr>
            </w:pPr>
            <w:r w:rsidRPr="008F3FC3">
              <w:rPr>
                <w:rFonts w:eastAsia="Times New Roman" w:cstheme="minorHAnsi"/>
                <w:sz w:val="16"/>
                <w:szCs w:val="16"/>
                <w:lang w:eastAsia="es-CO"/>
              </w:rPr>
              <w:t>Tratamiento/Control a ser implementado</w:t>
            </w:r>
          </w:p>
        </w:tc>
        <w:tc>
          <w:tcPr>
            <w:tcW w:w="1488" w:type="dxa"/>
            <w:gridSpan w:val="4"/>
            <w:tcBorders>
              <w:top w:val="single" w:sz="4" w:space="0" w:color="A6A6A6"/>
              <w:left w:val="single" w:sz="4" w:space="0" w:color="A6A6A6"/>
              <w:bottom w:val="single" w:sz="4" w:space="0" w:color="A6A6A6"/>
              <w:right w:val="nil"/>
            </w:tcBorders>
            <w:shd w:val="clear" w:color="000000" w:fill="A6A6A6"/>
            <w:hideMark/>
          </w:tcPr>
          <w:p w14:paraId="1DB2F954" w14:textId="77777777" w:rsidR="00CB6B0C" w:rsidRPr="008F3FC3" w:rsidRDefault="00CB6B0C" w:rsidP="005E2EED">
            <w:pPr>
              <w:spacing w:line="240" w:lineRule="auto"/>
              <w:ind w:firstLineChars="100" w:firstLine="160"/>
              <w:contextualSpacing w:val="0"/>
              <w:jc w:val="left"/>
              <w:rPr>
                <w:rFonts w:eastAsia="Times New Roman" w:cstheme="minorHAnsi"/>
                <w:sz w:val="16"/>
                <w:szCs w:val="16"/>
                <w:lang w:eastAsia="es-CO"/>
              </w:rPr>
            </w:pPr>
            <w:r w:rsidRPr="008F3FC3">
              <w:rPr>
                <w:rFonts w:eastAsia="Times New Roman" w:cstheme="minorHAnsi"/>
                <w:sz w:val="16"/>
                <w:szCs w:val="16"/>
                <w:lang w:eastAsia="es-CO"/>
              </w:rPr>
              <w:t>Impacto después del tratamiento</w:t>
            </w:r>
          </w:p>
        </w:tc>
        <w:tc>
          <w:tcPr>
            <w:tcW w:w="372" w:type="dxa"/>
            <w:vMerge w:val="restart"/>
            <w:tcBorders>
              <w:top w:val="single" w:sz="4" w:space="0" w:color="A6A6A6"/>
              <w:left w:val="single" w:sz="4" w:space="0" w:color="A6A6A6"/>
              <w:bottom w:val="nil"/>
              <w:right w:val="single" w:sz="4" w:space="0" w:color="A6A6A6"/>
            </w:tcBorders>
            <w:shd w:val="clear" w:color="000000" w:fill="A6A6A6"/>
            <w:textDirection w:val="btLr"/>
            <w:vAlign w:val="bottom"/>
            <w:hideMark/>
          </w:tcPr>
          <w:p w14:paraId="7613D312"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¿Afecta la ejecución del contrato?</w:t>
            </w:r>
          </w:p>
        </w:tc>
        <w:tc>
          <w:tcPr>
            <w:tcW w:w="421" w:type="dxa"/>
            <w:vMerge w:val="restart"/>
            <w:tcBorders>
              <w:top w:val="single" w:sz="4" w:space="0" w:color="A6A6A6"/>
              <w:left w:val="single" w:sz="4" w:space="0" w:color="A6A6A6"/>
              <w:bottom w:val="nil"/>
              <w:right w:val="single" w:sz="4" w:space="0" w:color="A6A6A6"/>
            </w:tcBorders>
            <w:shd w:val="clear" w:color="000000" w:fill="A6A6A6"/>
            <w:textDirection w:val="btLr"/>
            <w:vAlign w:val="bottom"/>
            <w:hideMark/>
          </w:tcPr>
          <w:p w14:paraId="71954549"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Responsable por implementar el tratamiento</w:t>
            </w:r>
          </w:p>
        </w:tc>
        <w:tc>
          <w:tcPr>
            <w:tcW w:w="1372" w:type="dxa"/>
            <w:vMerge w:val="restart"/>
            <w:tcBorders>
              <w:top w:val="single" w:sz="4" w:space="0" w:color="A6A6A6"/>
              <w:left w:val="single" w:sz="4" w:space="0" w:color="A6A6A6"/>
              <w:bottom w:val="nil"/>
              <w:right w:val="single" w:sz="4" w:space="0" w:color="A6A6A6"/>
            </w:tcBorders>
            <w:shd w:val="clear" w:color="000000" w:fill="A6A6A6"/>
            <w:textDirection w:val="btLr"/>
            <w:vAlign w:val="bottom"/>
            <w:hideMark/>
          </w:tcPr>
          <w:p w14:paraId="068FE32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partir de cuándo inicia tratamiento</w:t>
            </w:r>
          </w:p>
        </w:tc>
        <w:tc>
          <w:tcPr>
            <w:tcW w:w="1040" w:type="dxa"/>
            <w:vMerge w:val="restart"/>
            <w:tcBorders>
              <w:top w:val="single" w:sz="4" w:space="0" w:color="A6A6A6"/>
              <w:left w:val="single" w:sz="4" w:space="0" w:color="A6A6A6"/>
              <w:bottom w:val="nil"/>
              <w:right w:val="single" w:sz="4" w:space="0" w:color="A6A6A6"/>
            </w:tcBorders>
            <w:shd w:val="clear" w:color="000000" w:fill="A6A6A6"/>
            <w:textDirection w:val="btLr"/>
            <w:vAlign w:val="bottom"/>
            <w:hideMark/>
          </w:tcPr>
          <w:p w14:paraId="590A1CB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Cuando se completa el tratamiento</w:t>
            </w:r>
          </w:p>
        </w:tc>
        <w:tc>
          <w:tcPr>
            <w:tcW w:w="2900" w:type="dxa"/>
            <w:gridSpan w:val="2"/>
            <w:tcBorders>
              <w:top w:val="single" w:sz="4" w:space="0" w:color="A6A6A6"/>
              <w:left w:val="single" w:sz="4" w:space="0" w:color="A6A6A6"/>
              <w:bottom w:val="single" w:sz="4" w:space="0" w:color="A6A6A6"/>
              <w:right w:val="nil"/>
            </w:tcBorders>
            <w:shd w:val="clear" w:color="000000" w:fill="A6A6A6"/>
            <w:vAlign w:val="center"/>
            <w:hideMark/>
          </w:tcPr>
          <w:p w14:paraId="73FC989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Monitoreo y revisión</w:t>
            </w:r>
          </w:p>
        </w:tc>
        <w:tc>
          <w:tcPr>
            <w:tcW w:w="160" w:type="dxa"/>
            <w:gridSpan w:val="2"/>
            <w:tcBorders>
              <w:top w:val="nil"/>
              <w:left w:val="nil"/>
              <w:bottom w:val="nil"/>
              <w:right w:val="nil"/>
            </w:tcBorders>
            <w:noWrap/>
            <w:hideMark/>
          </w:tcPr>
          <w:p w14:paraId="3C776360" w14:textId="77777777" w:rsidR="00CB6B0C" w:rsidRPr="008F3FC3" w:rsidRDefault="00CB6B0C" w:rsidP="005E2EED">
            <w:pPr>
              <w:spacing w:line="240" w:lineRule="auto"/>
              <w:contextualSpacing w:val="0"/>
              <w:jc w:val="center"/>
              <w:rPr>
                <w:rFonts w:eastAsia="Times New Roman" w:cstheme="minorHAnsi"/>
                <w:sz w:val="16"/>
                <w:szCs w:val="16"/>
                <w:lang w:eastAsia="es-CO"/>
              </w:rPr>
            </w:pPr>
          </w:p>
        </w:tc>
      </w:tr>
      <w:tr w:rsidR="00CB6B0C" w:rsidRPr="008F3FC3" w14:paraId="34CC274F" w14:textId="77777777" w:rsidTr="00A22D8C">
        <w:trPr>
          <w:trHeight w:val="1170"/>
        </w:trPr>
        <w:tc>
          <w:tcPr>
            <w:tcW w:w="324" w:type="dxa"/>
            <w:vMerge/>
            <w:tcBorders>
              <w:top w:val="single" w:sz="4" w:space="0" w:color="A6A6A6"/>
              <w:left w:val="single" w:sz="4" w:space="0" w:color="A6A6A6"/>
              <w:bottom w:val="nil"/>
              <w:right w:val="single" w:sz="4" w:space="0" w:color="A6A6A6"/>
            </w:tcBorders>
            <w:vAlign w:val="center"/>
            <w:hideMark/>
          </w:tcPr>
          <w:p w14:paraId="7A587EAF"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3000F118"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2F2DE064"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0E06186D"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1AE3B4A3"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1338" w:type="dxa"/>
            <w:vMerge/>
            <w:tcBorders>
              <w:top w:val="single" w:sz="4" w:space="0" w:color="A6A6A6"/>
              <w:left w:val="single" w:sz="4" w:space="0" w:color="A6A6A6"/>
              <w:bottom w:val="nil"/>
              <w:right w:val="single" w:sz="4" w:space="0" w:color="A6A6A6"/>
            </w:tcBorders>
            <w:vAlign w:val="center"/>
            <w:hideMark/>
          </w:tcPr>
          <w:p w14:paraId="2C959D0B"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1350" w:type="dxa"/>
            <w:vMerge/>
            <w:tcBorders>
              <w:top w:val="single" w:sz="4" w:space="0" w:color="A6A6A6"/>
              <w:left w:val="single" w:sz="4" w:space="0" w:color="A6A6A6"/>
              <w:bottom w:val="nil"/>
              <w:right w:val="single" w:sz="4" w:space="0" w:color="A6A6A6"/>
            </w:tcBorders>
            <w:vAlign w:val="center"/>
            <w:hideMark/>
          </w:tcPr>
          <w:p w14:paraId="02B681F2"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2EA3D750"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5E87ECF5"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1F9A5C21"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vMerge/>
            <w:tcBorders>
              <w:top w:val="single" w:sz="4" w:space="0" w:color="A6A6A6"/>
              <w:left w:val="single" w:sz="4" w:space="0" w:color="A6A6A6"/>
              <w:bottom w:val="nil"/>
              <w:right w:val="single" w:sz="4" w:space="0" w:color="A6A6A6"/>
            </w:tcBorders>
            <w:vAlign w:val="center"/>
            <w:hideMark/>
          </w:tcPr>
          <w:p w14:paraId="7FCD31C1"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421" w:type="dxa"/>
            <w:vMerge/>
            <w:tcBorders>
              <w:top w:val="single" w:sz="4" w:space="0" w:color="A6A6A6"/>
              <w:left w:val="single" w:sz="4" w:space="0" w:color="A6A6A6"/>
              <w:bottom w:val="nil"/>
              <w:right w:val="single" w:sz="4" w:space="0" w:color="A6A6A6"/>
            </w:tcBorders>
            <w:vAlign w:val="center"/>
            <w:hideMark/>
          </w:tcPr>
          <w:p w14:paraId="7DFABC29"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1781" w:type="dxa"/>
            <w:vMerge/>
            <w:tcBorders>
              <w:top w:val="single" w:sz="4" w:space="0" w:color="A6A6A6"/>
              <w:left w:val="single" w:sz="4" w:space="0" w:color="A6A6A6"/>
              <w:bottom w:val="nil"/>
              <w:right w:val="single" w:sz="4" w:space="0" w:color="A6A6A6"/>
            </w:tcBorders>
            <w:vAlign w:val="center"/>
            <w:hideMark/>
          </w:tcPr>
          <w:p w14:paraId="17116543"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372" w:type="dxa"/>
            <w:tcBorders>
              <w:top w:val="single" w:sz="4" w:space="0" w:color="A6A6A6"/>
              <w:left w:val="single" w:sz="4" w:space="0" w:color="A6A6A6"/>
              <w:bottom w:val="single" w:sz="4" w:space="0" w:color="A6A6A6"/>
              <w:right w:val="single" w:sz="4" w:space="0" w:color="A6A6A6"/>
            </w:tcBorders>
            <w:shd w:val="clear" w:color="000000" w:fill="A6A6A6"/>
            <w:textDirection w:val="btLr"/>
            <w:vAlign w:val="center"/>
            <w:hideMark/>
          </w:tcPr>
          <w:p w14:paraId="1166724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Probabilidad</w:t>
            </w:r>
          </w:p>
        </w:tc>
        <w:tc>
          <w:tcPr>
            <w:tcW w:w="372" w:type="dxa"/>
            <w:tcBorders>
              <w:top w:val="single" w:sz="4" w:space="0" w:color="A6A6A6"/>
              <w:left w:val="single" w:sz="4" w:space="0" w:color="A6A6A6"/>
              <w:bottom w:val="single" w:sz="4" w:space="0" w:color="A6A6A6"/>
              <w:right w:val="single" w:sz="4" w:space="0" w:color="A6A6A6"/>
            </w:tcBorders>
            <w:shd w:val="clear" w:color="000000" w:fill="A6A6A6"/>
            <w:textDirection w:val="btLr"/>
            <w:vAlign w:val="center"/>
            <w:hideMark/>
          </w:tcPr>
          <w:p w14:paraId="223A53A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Impacto</w:t>
            </w:r>
          </w:p>
        </w:tc>
        <w:tc>
          <w:tcPr>
            <w:tcW w:w="372" w:type="dxa"/>
            <w:tcBorders>
              <w:top w:val="single" w:sz="4" w:space="0" w:color="A6A6A6"/>
              <w:left w:val="single" w:sz="4" w:space="0" w:color="A6A6A6"/>
              <w:bottom w:val="single" w:sz="4" w:space="0" w:color="A6A6A6"/>
              <w:right w:val="single" w:sz="4" w:space="0" w:color="A6A6A6"/>
            </w:tcBorders>
            <w:shd w:val="clear" w:color="000000" w:fill="A6A6A6"/>
            <w:textDirection w:val="btLr"/>
            <w:vAlign w:val="center"/>
            <w:hideMark/>
          </w:tcPr>
          <w:p w14:paraId="32A7E2F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Valoración</w:t>
            </w:r>
          </w:p>
        </w:tc>
        <w:tc>
          <w:tcPr>
            <w:tcW w:w="372" w:type="dxa"/>
            <w:tcBorders>
              <w:top w:val="single" w:sz="4" w:space="0" w:color="A6A6A6"/>
              <w:left w:val="single" w:sz="4" w:space="0" w:color="A6A6A6"/>
              <w:bottom w:val="single" w:sz="4" w:space="0" w:color="A6A6A6"/>
              <w:right w:val="single" w:sz="4" w:space="0" w:color="A6A6A6"/>
            </w:tcBorders>
            <w:shd w:val="clear" w:color="000000" w:fill="A6A6A6"/>
            <w:textDirection w:val="btLr"/>
            <w:vAlign w:val="center"/>
            <w:hideMark/>
          </w:tcPr>
          <w:p w14:paraId="6DBA170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Categoría</w:t>
            </w:r>
          </w:p>
        </w:tc>
        <w:tc>
          <w:tcPr>
            <w:tcW w:w="372" w:type="dxa"/>
            <w:vMerge/>
            <w:tcBorders>
              <w:top w:val="single" w:sz="4" w:space="0" w:color="A6A6A6"/>
              <w:left w:val="single" w:sz="4" w:space="0" w:color="A6A6A6"/>
              <w:bottom w:val="nil"/>
              <w:right w:val="single" w:sz="4" w:space="0" w:color="A6A6A6"/>
            </w:tcBorders>
            <w:vAlign w:val="center"/>
            <w:hideMark/>
          </w:tcPr>
          <w:p w14:paraId="1711914E"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421" w:type="dxa"/>
            <w:vMerge/>
            <w:tcBorders>
              <w:top w:val="single" w:sz="4" w:space="0" w:color="A6A6A6"/>
              <w:left w:val="single" w:sz="4" w:space="0" w:color="A6A6A6"/>
              <w:bottom w:val="nil"/>
              <w:right w:val="single" w:sz="4" w:space="0" w:color="A6A6A6"/>
            </w:tcBorders>
            <w:vAlign w:val="center"/>
            <w:hideMark/>
          </w:tcPr>
          <w:p w14:paraId="18000E44"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1372" w:type="dxa"/>
            <w:vMerge/>
            <w:tcBorders>
              <w:top w:val="single" w:sz="4" w:space="0" w:color="A6A6A6"/>
              <w:left w:val="single" w:sz="4" w:space="0" w:color="A6A6A6"/>
              <w:bottom w:val="nil"/>
              <w:right w:val="single" w:sz="4" w:space="0" w:color="A6A6A6"/>
            </w:tcBorders>
            <w:vAlign w:val="center"/>
            <w:hideMark/>
          </w:tcPr>
          <w:p w14:paraId="553011A1"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1040" w:type="dxa"/>
            <w:vMerge/>
            <w:tcBorders>
              <w:top w:val="single" w:sz="4" w:space="0" w:color="A6A6A6"/>
              <w:left w:val="single" w:sz="4" w:space="0" w:color="A6A6A6"/>
              <w:bottom w:val="nil"/>
              <w:right w:val="single" w:sz="4" w:space="0" w:color="A6A6A6"/>
            </w:tcBorders>
            <w:vAlign w:val="center"/>
            <w:hideMark/>
          </w:tcPr>
          <w:p w14:paraId="30213FE8"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c>
          <w:tcPr>
            <w:tcW w:w="1607" w:type="dxa"/>
            <w:tcBorders>
              <w:top w:val="single" w:sz="4" w:space="0" w:color="A6A6A6"/>
              <w:left w:val="single" w:sz="4" w:space="0" w:color="A6A6A6"/>
              <w:bottom w:val="single" w:sz="4" w:space="0" w:color="A6A6A6"/>
              <w:right w:val="single" w:sz="4" w:space="0" w:color="A6A6A6"/>
            </w:tcBorders>
            <w:shd w:val="clear" w:color="000000" w:fill="A6A6A6"/>
            <w:textDirection w:val="btLr"/>
            <w:vAlign w:val="bottom"/>
            <w:hideMark/>
          </w:tcPr>
          <w:p w14:paraId="069D68C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¿Cómo se realiza el monitoreo?</w:t>
            </w:r>
          </w:p>
        </w:tc>
        <w:tc>
          <w:tcPr>
            <w:tcW w:w="1292" w:type="dxa"/>
            <w:tcBorders>
              <w:top w:val="single" w:sz="4" w:space="0" w:color="A6A6A6"/>
              <w:left w:val="single" w:sz="4" w:space="0" w:color="A6A6A6"/>
              <w:bottom w:val="single" w:sz="4" w:space="0" w:color="A6A6A6"/>
              <w:right w:val="single" w:sz="4" w:space="0" w:color="A6A6A6"/>
            </w:tcBorders>
            <w:shd w:val="clear" w:color="000000" w:fill="A6A6A6"/>
            <w:textDirection w:val="btLr"/>
            <w:vAlign w:val="bottom"/>
            <w:hideMark/>
          </w:tcPr>
          <w:p w14:paraId="5FC91DF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Periodicidad</w:t>
            </w:r>
          </w:p>
        </w:tc>
        <w:tc>
          <w:tcPr>
            <w:tcW w:w="160" w:type="dxa"/>
            <w:gridSpan w:val="2"/>
            <w:tcBorders>
              <w:top w:val="nil"/>
              <w:left w:val="nil"/>
              <w:bottom w:val="nil"/>
              <w:right w:val="nil"/>
            </w:tcBorders>
            <w:noWrap/>
            <w:hideMark/>
          </w:tcPr>
          <w:p w14:paraId="418F62C0"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54E4ABED" w14:textId="77777777" w:rsidTr="00A22D8C">
        <w:trPr>
          <w:trHeight w:val="1530"/>
        </w:trPr>
        <w:tc>
          <w:tcPr>
            <w:tcW w:w="324" w:type="dxa"/>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14:paraId="170CC71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603E521C"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Específico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51E0E21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Interno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B4DCDF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Selección</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2E264A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23B324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Incumplimiento de condiciones y/o requisitos habilitantes de todos los proponentes que generen el rechazo de todas las ofertas</w:t>
            </w:r>
          </w:p>
        </w:tc>
        <w:tc>
          <w:tcPr>
            <w:tcW w:w="135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2405AE8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Declaratorio desierto del proceso de contratación</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9065DB9"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54463768"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24C8694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377B69C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49534A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Al proponente</w:t>
            </w:r>
          </w:p>
        </w:tc>
        <w:tc>
          <w:tcPr>
            <w:tcW w:w="1781"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B12E50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de las condiciones jurídicas, técnicas y financieras y operacionales habilitantes y revisión posterior del pliego de condiciones, para verificar que las mismas son claras, precisas y no inducen a error.</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5EEA2EDD"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5914B9E3"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B2C1EFF"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36ADD4D5"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45CAD20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No</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0E96BC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37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65D7B0F0"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Apertura del proceso</w:t>
            </w:r>
          </w:p>
        </w:tc>
        <w:tc>
          <w:tcPr>
            <w:tcW w:w="104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1EABE19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El mismo día la declaración de desierto del Proceso</w:t>
            </w:r>
          </w:p>
        </w:tc>
        <w:tc>
          <w:tcPr>
            <w:tcW w:w="1607"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2FB62F5"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Mediante el análisis de los motivos que dieron lugar a la declaratoria desierta, igualmente a la revisión y respuesta a las observaciones presentadas por los interesados durante el proceso de contratación</w:t>
            </w:r>
          </w:p>
        </w:tc>
        <w:tc>
          <w:tcPr>
            <w:tcW w:w="129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11034C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25C6C0F1"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7959AB72" w14:textId="77777777" w:rsidTr="00A22D8C">
        <w:trPr>
          <w:trHeight w:val="3735"/>
        </w:trPr>
        <w:tc>
          <w:tcPr>
            <w:tcW w:w="324" w:type="dxa"/>
            <w:tcBorders>
              <w:top w:val="single" w:sz="4" w:space="0" w:color="A6A6A6"/>
              <w:left w:val="single" w:sz="4" w:space="0" w:color="A6A6A6"/>
              <w:bottom w:val="single" w:sz="4" w:space="0" w:color="A6A6A6"/>
              <w:right w:val="single" w:sz="4" w:space="0" w:color="A6A6A6"/>
            </w:tcBorders>
            <w:noWrap/>
            <w:vAlign w:val="center"/>
            <w:hideMark/>
          </w:tcPr>
          <w:p w14:paraId="63A47CC9"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lastRenderedPageBreak/>
              <w:t>2</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3854151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Específico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0CBB0189"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Interno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7D368BE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Selección</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30A12FE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vAlign w:val="center"/>
            <w:hideMark/>
          </w:tcPr>
          <w:p w14:paraId="32B75975"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Adjudicar el contrato a un</w:t>
            </w:r>
            <w:r w:rsidRPr="008F3FC3">
              <w:rPr>
                <w:rFonts w:eastAsia="Times New Roman" w:cstheme="minorHAnsi"/>
                <w:sz w:val="16"/>
                <w:szCs w:val="16"/>
                <w:lang w:eastAsia="es-CO"/>
              </w:rPr>
              <w:br/>
              <w:t>contratista que no cumpla los</w:t>
            </w:r>
            <w:r w:rsidRPr="008F3FC3">
              <w:rPr>
                <w:rFonts w:eastAsia="Times New Roman" w:cstheme="minorHAnsi"/>
                <w:sz w:val="16"/>
                <w:szCs w:val="16"/>
                <w:lang w:eastAsia="es-CO"/>
              </w:rPr>
              <w:br/>
              <w:t>requisitos técnicos, legales y</w:t>
            </w:r>
            <w:r w:rsidRPr="008F3FC3">
              <w:rPr>
                <w:rFonts w:eastAsia="Times New Roman" w:cstheme="minorHAnsi"/>
                <w:sz w:val="16"/>
                <w:szCs w:val="16"/>
                <w:lang w:eastAsia="es-CO"/>
              </w:rPr>
              <w:br/>
              <w:t>financieros que requiere la Entidad o se encuentren incursos en alguna</w:t>
            </w:r>
            <w:r w:rsidRPr="008F3FC3">
              <w:rPr>
                <w:rFonts w:eastAsia="Times New Roman" w:cstheme="minorHAnsi"/>
                <w:sz w:val="16"/>
                <w:szCs w:val="16"/>
                <w:lang w:eastAsia="es-CO"/>
              </w:rPr>
              <w:br/>
              <w:t>inhabilidad o incompatibilidad.</w:t>
            </w:r>
          </w:p>
        </w:tc>
        <w:tc>
          <w:tcPr>
            <w:tcW w:w="1350" w:type="dxa"/>
            <w:tcBorders>
              <w:top w:val="single" w:sz="4" w:space="0" w:color="A6A6A6"/>
              <w:left w:val="single" w:sz="4" w:space="0" w:color="A6A6A6"/>
              <w:bottom w:val="single" w:sz="4" w:space="0" w:color="A6A6A6"/>
              <w:right w:val="single" w:sz="4" w:space="0" w:color="A6A6A6"/>
            </w:tcBorders>
            <w:vAlign w:val="center"/>
            <w:hideMark/>
          </w:tcPr>
          <w:p w14:paraId="3EEF9B3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Inadecuada selección del consultor.</w:t>
            </w:r>
            <w:r w:rsidRPr="008F3FC3">
              <w:rPr>
                <w:rFonts w:eastAsia="Times New Roman" w:cstheme="minorHAnsi"/>
                <w:sz w:val="16"/>
                <w:szCs w:val="16"/>
                <w:lang w:eastAsia="es-CO"/>
              </w:rPr>
              <w:br/>
              <w:t>No obtención del objeto que</w:t>
            </w:r>
            <w:r w:rsidRPr="008F3FC3">
              <w:rPr>
                <w:rFonts w:eastAsia="Times New Roman" w:cstheme="minorHAnsi"/>
                <w:sz w:val="16"/>
                <w:szCs w:val="16"/>
                <w:lang w:eastAsia="es-CO"/>
              </w:rPr>
              <w:br/>
              <w:t>espera conseguir la Entidad.</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9238D2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33EA5BF8"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40D71448"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1631EA2C"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13F14F9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781" w:type="dxa"/>
            <w:tcBorders>
              <w:top w:val="single" w:sz="4" w:space="0" w:color="A6A6A6"/>
              <w:left w:val="single" w:sz="4" w:space="0" w:color="A6A6A6"/>
              <w:bottom w:val="single" w:sz="4" w:space="0" w:color="A6A6A6"/>
              <w:right w:val="single" w:sz="4" w:space="0" w:color="A6A6A6"/>
            </w:tcBorders>
            <w:vAlign w:val="center"/>
            <w:hideMark/>
          </w:tcPr>
          <w:p w14:paraId="2B85F5EB"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de las condiciones jurídicas, técnicas y financieras y operacionales habilitantes y revisión posterior del pliego de condiciones, para verificar que las mismas son claras, precisas y no inducen a error.</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4D38117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7B02B49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31D6945E"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1006A4B5"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69E95CF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No</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38A045D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372" w:type="dxa"/>
            <w:tcBorders>
              <w:top w:val="single" w:sz="4" w:space="0" w:color="A6A6A6"/>
              <w:left w:val="single" w:sz="4" w:space="0" w:color="A6A6A6"/>
              <w:bottom w:val="single" w:sz="4" w:space="0" w:color="A6A6A6"/>
              <w:right w:val="single" w:sz="4" w:space="0" w:color="A6A6A6"/>
            </w:tcBorders>
            <w:vAlign w:val="center"/>
            <w:hideMark/>
          </w:tcPr>
          <w:p w14:paraId="77A37E2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Apertura del proceso</w:t>
            </w:r>
          </w:p>
        </w:tc>
        <w:tc>
          <w:tcPr>
            <w:tcW w:w="1040" w:type="dxa"/>
            <w:tcBorders>
              <w:top w:val="single" w:sz="4" w:space="0" w:color="A6A6A6"/>
              <w:left w:val="single" w:sz="4" w:space="0" w:color="A6A6A6"/>
              <w:bottom w:val="single" w:sz="4" w:space="0" w:color="A6A6A6"/>
              <w:right w:val="single" w:sz="4" w:space="0" w:color="A6A6A6"/>
            </w:tcBorders>
            <w:vAlign w:val="center"/>
            <w:hideMark/>
          </w:tcPr>
          <w:p w14:paraId="562C6BF9"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la firma del contrato</w:t>
            </w:r>
          </w:p>
        </w:tc>
        <w:tc>
          <w:tcPr>
            <w:tcW w:w="1607"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01371164"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La Entidad reduce la probabilidad de este riesgo ya que se rige por las Leyes que conforman el Estatuto General de Contratación de la Administración Pública, así como la Ley 1150 de 2007 y sus decretos reglamentarios. Adicionalmente, el establecimiento de requisitos habilitantes tal y como lo establece el manual de contratación, garantiza la selección del proponente idóneo. En los Pliegos de Condiciones se fijan los criterios de evaluación de forma clara y acorde con la necesidad a contratar. La revisión se lleva a cabo con el seguimiento del personal de la Entidad.</w:t>
            </w:r>
          </w:p>
        </w:tc>
        <w:tc>
          <w:tcPr>
            <w:tcW w:w="1292" w:type="dxa"/>
            <w:tcBorders>
              <w:top w:val="single" w:sz="4" w:space="0" w:color="A6A6A6"/>
              <w:left w:val="single" w:sz="4" w:space="0" w:color="A6A6A6"/>
              <w:bottom w:val="single" w:sz="4" w:space="0" w:color="A6A6A6"/>
              <w:right w:val="single" w:sz="4" w:space="0" w:color="A6A6A6"/>
            </w:tcBorders>
            <w:vAlign w:val="center"/>
            <w:hideMark/>
          </w:tcPr>
          <w:p w14:paraId="38A2EC5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5D50A1BD"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17D7E96B" w14:textId="77777777" w:rsidTr="00A22D8C">
        <w:trPr>
          <w:trHeight w:val="1860"/>
        </w:trPr>
        <w:tc>
          <w:tcPr>
            <w:tcW w:w="324" w:type="dxa"/>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14:paraId="001321D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7904E38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General</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4B99B06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Interno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62101D9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Contratación</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F4B944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18435A5"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Incumplimiento de requisitos legales en la celebración de contratos</w:t>
            </w:r>
          </w:p>
        </w:tc>
        <w:tc>
          <w:tcPr>
            <w:tcW w:w="135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80ACA3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Adquisición de un bien o servicio que no cumple con los verdaderos requerimientos y especificaciones de la entidad, o precios que no son del mercado</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10FC8091"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41DCF352"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546F76EA"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7</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5331DEF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B42F85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Contratante</w:t>
            </w:r>
          </w:p>
        </w:tc>
        <w:tc>
          <w:tcPr>
            <w:tcW w:w="1781" w:type="dxa"/>
            <w:tcBorders>
              <w:top w:val="single" w:sz="4" w:space="0" w:color="A6A6A6"/>
              <w:left w:val="single" w:sz="4" w:space="0" w:color="A6A6A6"/>
              <w:bottom w:val="single" w:sz="4" w:space="0" w:color="A6A6A6"/>
              <w:right w:val="single" w:sz="4" w:space="0" w:color="A6A6A6"/>
            </w:tcBorders>
            <w:shd w:val="clear" w:color="000000" w:fill="D9D9D9"/>
            <w:hideMark/>
          </w:tcPr>
          <w:p w14:paraId="133E7A00"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del asesor y de las Coordinaciones de Contratos del cumplimiento de requisitos legales. Verificación de la existencia del documento en el que consta el registro presupuestal expedido por parte de la Oficina Financiera al responsable de la legalización del contrato.</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5EDB1BA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16C0C4B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7C475B4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5886630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690E28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Si</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6F4EFB4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Contratante</w:t>
            </w:r>
          </w:p>
        </w:tc>
        <w:tc>
          <w:tcPr>
            <w:tcW w:w="137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409DEE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Inicio del proceso contractual</w:t>
            </w:r>
          </w:p>
        </w:tc>
        <w:tc>
          <w:tcPr>
            <w:tcW w:w="104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9B837BA"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la firma del contrato</w:t>
            </w:r>
          </w:p>
        </w:tc>
        <w:tc>
          <w:tcPr>
            <w:tcW w:w="1607"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B3EBA2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y aprobación de documentación</w:t>
            </w:r>
          </w:p>
        </w:tc>
        <w:tc>
          <w:tcPr>
            <w:tcW w:w="129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707947DB"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77C691E5"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68304BBF" w14:textId="77777777" w:rsidTr="00A22D8C">
        <w:trPr>
          <w:trHeight w:val="2835"/>
        </w:trPr>
        <w:tc>
          <w:tcPr>
            <w:tcW w:w="324" w:type="dxa"/>
            <w:tcBorders>
              <w:top w:val="single" w:sz="4" w:space="0" w:color="A6A6A6"/>
              <w:left w:val="single" w:sz="4" w:space="0" w:color="A6A6A6"/>
              <w:bottom w:val="single" w:sz="4" w:space="0" w:color="A6A6A6"/>
              <w:right w:val="single" w:sz="4" w:space="0" w:color="A6A6A6"/>
            </w:tcBorders>
            <w:noWrap/>
            <w:vAlign w:val="center"/>
            <w:hideMark/>
          </w:tcPr>
          <w:p w14:paraId="51225EA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lastRenderedPageBreak/>
              <w:t>4</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2E95E9A9"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Especifico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4831CCB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Interno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3986630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Planeación</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73924E1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vAlign w:val="center"/>
            <w:hideMark/>
          </w:tcPr>
          <w:p w14:paraId="4ECA07C4"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Inadecuado diseño del Proceso de Contratación</w:t>
            </w:r>
          </w:p>
        </w:tc>
        <w:tc>
          <w:tcPr>
            <w:tcW w:w="1350" w:type="dxa"/>
            <w:tcBorders>
              <w:top w:val="single" w:sz="4" w:space="0" w:color="A6A6A6"/>
              <w:left w:val="single" w:sz="4" w:space="0" w:color="A6A6A6"/>
              <w:bottom w:val="single" w:sz="4" w:space="0" w:color="A6A6A6"/>
              <w:right w:val="single" w:sz="4" w:space="0" w:color="A6A6A6"/>
            </w:tcBorders>
            <w:vAlign w:val="center"/>
            <w:hideMark/>
          </w:tcPr>
          <w:p w14:paraId="3798D48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No obtención del objeto que espera conseguir la Entidad</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7D1E0F3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53A987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33F7948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5</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3C08BDB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3663707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781"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1FDF8F8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Para los procesos de contratación, la Entidad reduce la</w:t>
            </w:r>
            <w:r w:rsidRPr="008F3FC3">
              <w:rPr>
                <w:rFonts w:eastAsia="Times New Roman" w:cstheme="minorHAnsi"/>
                <w:sz w:val="16"/>
                <w:szCs w:val="16"/>
                <w:lang w:eastAsia="es-CO"/>
              </w:rPr>
              <w:br/>
              <w:t>probabilidad ya que se rige por las Leyes que conforman el</w:t>
            </w:r>
            <w:r w:rsidRPr="008F3FC3">
              <w:rPr>
                <w:rFonts w:eastAsia="Times New Roman" w:cstheme="minorHAnsi"/>
                <w:sz w:val="16"/>
                <w:szCs w:val="16"/>
                <w:lang w:eastAsia="es-CO"/>
              </w:rPr>
              <w:br/>
              <w:t>Estatuto General de Contratación de la Administración Pública,</w:t>
            </w:r>
            <w:r w:rsidRPr="008F3FC3">
              <w:rPr>
                <w:rFonts w:eastAsia="Times New Roman" w:cstheme="minorHAnsi"/>
                <w:sz w:val="16"/>
                <w:szCs w:val="16"/>
                <w:lang w:eastAsia="es-CO"/>
              </w:rPr>
              <w:br/>
              <w:t>así como la Ley 1150 de 2007 y los Decretos reglamentarios.</w:t>
            </w:r>
            <w:r w:rsidRPr="008F3FC3">
              <w:rPr>
                <w:rFonts w:eastAsia="Times New Roman" w:cstheme="minorHAnsi"/>
                <w:sz w:val="16"/>
                <w:szCs w:val="16"/>
                <w:lang w:eastAsia="es-CO"/>
              </w:rPr>
              <w:br/>
              <w:t>La Entidad reduce la probabilidad este riesgo con el desarrollo del Anexo 1</w:t>
            </w:r>
            <w:r w:rsidRPr="008F3FC3">
              <w:rPr>
                <w:rFonts w:eastAsia="Times New Roman" w:cstheme="minorHAnsi"/>
                <w:sz w:val="16"/>
                <w:szCs w:val="16"/>
                <w:lang w:eastAsia="es-CO"/>
              </w:rPr>
              <w:br/>
              <w:t xml:space="preserve">especificaciones técnicas donde se informa las obligaciones técnicas que </w:t>
            </w:r>
            <w:r w:rsidRPr="008F3FC3">
              <w:rPr>
                <w:rFonts w:eastAsia="Times New Roman" w:cstheme="minorHAnsi"/>
                <w:sz w:val="16"/>
                <w:szCs w:val="16"/>
                <w:lang w:eastAsia="es-CO"/>
              </w:rPr>
              <w:br/>
              <w:t>deberá ejecutar el Consultor.</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5E9119C2"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7F9615C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3BCE0EC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6B1A4EB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6B49F16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No</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0EBF0E9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Entidad/contratista</w:t>
            </w:r>
          </w:p>
        </w:tc>
        <w:tc>
          <w:tcPr>
            <w:tcW w:w="1372" w:type="dxa"/>
            <w:tcBorders>
              <w:top w:val="single" w:sz="4" w:space="0" w:color="A6A6A6"/>
              <w:left w:val="single" w:sz="4" w:space="0" w:color="A6A6A6"/>
              <w:bottom w:val="single" w:sz="4" w:space="0" w:color="A6A6A6"/>
              <w:right w:val="single" w:sz="4" w:space="0" w:color="A6A6A6"/>
            </w:tcBorders>
            <w:vAlign w:val="center"/>
            <w:hideMark/>
          </w:tcPr>
          <w:p w14:paraId="52A0127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Inicio del proceso contractual</w:t>
            </w:r>
          </w:p>
        </w:tc>
        <w:tc>
          <w:tcPr>
            <w:tcW w:w="1040" w:type="dxa"/>
            <w:tcBorders>
              <w:top w:val="single" w:sz="4" w:space="0" w:color="A6A6A6"/>
              <w:left w:val="single" w:sz="4" w:space="0" w:color="A6A6A6"/>
              <w:bottom w:val="single" w:sz="4" w:space="0" w:color="A6A6A6"/>
              <w:right w:val="single" w:sz="4" w:space="0" w:color="A6A6A6"/>
            </w:tcBorders>
            <w:vAlign w:val="center"/>
            <w:hideMark/>
          </w:tcPr>
          <w:p w14:paraId="61F16E5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la firma del contrato</w:t>
            </w:r>
          </w:p>
        </w:tc>
        <w:tc>
          <w:tcPr>
            <w:tcW w:w="1607" w:type="dxa"/>
            <w:tcBorders>
              <w:top w:val="single" w:sz="4" w:space="0" w:color="A6A6A6"/>
              <w:left w:val="single" w:sz="4" w:space="0" w:color="A6A6A6"/>
              <w:bottom w:val="single" w:sz="4" w:space="0" w:color="A6A6A6"/>
              <w:right w:val="single" w:sz="4" w:space="0" w:color="A6A6A6"/>
            </w:tcBorders>
            <w:vAlign w:val="center"/>
            <w:hideMark/>
          </w:tcPr>
          <w:p w14:paraId="0622FD44"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La Entidad reduce la probabilidad este riesgo con las especificaciones</w:t>
            </w:r>
            <w:r w:rsidRPr="008F3FC3">
              <w:rPr>
                <w:rFonts w:eastAsia="Times New Roman" w:cstheme="minorHAnsi"/>
                <w:sz w:val="16"/>
                <w:szCs w:val="16"/>
                <w:lang w:eastAsia="es-CO"/>
              </w:rPr>
              <w:br/>
              <w:t>técnicas del anexo 1 adelantados durante esta etapa, identificándolas actividades necesarias que deberá adelantar el consultor. La revisión se</w:t>
            </w:r>
            <w:r w:rsidRPr="008F3FC3">
              <w:rPr>
                <w:rFonts w:eastAsia="Times New Roman" w:cstheme="minorHAnsi"/>
                <w:sz w:val="16"/>
                <w:szCs w:val="16"/>
                <w:lang w:eastAsia="es-CO"/>
              </w:rPr>
              <w:br/>
              <w:t>lleva a cabo con el seguimiento del personal de la Entidad</w:t>
            </w:r>
          </w:p>
        </w:tc>
        <w:tc>
          <w:tcPr>
            <w:tcW w:w="1292" w:type="dxa"/>
            <w:tcBorders>
              <w:top w:val="single" w:sz="4" w:space="0" w:color="A6A6A6"/>
              <w:left w:val="single" w:sz="4" w:space="0" w:color="A6A6A6"/>
              <w:bottom w:val="single" w:sz="4" w:space="0" w:color="A6A6A6"/>
              <w:right w:val="single" w:sz="4" w:space="0" w:color="A6A6A6"/>
            </w:tcBorders>
            <w:vAlign w:val="center"/>
            <w:hideMark/>
          </w:tcPr>
          <w:p w14:paraId="075ABE4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3F42291E"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4BFB7DA9" w14:textId="77777777" w:rsidTr="00A22D8C">
        <w:trPr>
          <w:trHeight w:val="2535"/>
        </w:trPr>
        <w:tc>
          <w:tcPr>
            <w:tcW w:w="324" w:type="dxa"/>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14:paraId="1FD6D52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5</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0FBBE8D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Especifico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6DFAE3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Externo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E2B130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Ejecución</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584C87C"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Regulatorio</w:t>
            </w:r>
          </w:p>
        </w:tc>
        <w:tc>
          <w:tcPr>
            <w:tcW w:w="1338"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220BFC9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Cambios normativos en Bienes de Interés Cultural Patrimonial que impacta los estudios y diseños ya aprobados por Interventoría o alguno de los productos recibidos a Satisfacción por la Interventoría</w:t>
            </w:r>
          </w:p>
        </w:tc>
        <w:tc>
          <w:tcPr>
            <w:tcW w:w="135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0E5E18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Imposibilidad de entregar productos del Proyecto por cambios normativos en Bienes de Interés Cultural</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4E09EC7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6DC20ED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5</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48C10881"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6</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30701CF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58153E3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781"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2000305"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Monitoreo de cambios normativos - Gestión frente a entidades patrimoniales para obtención de permisos requeridos</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15809E2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23FEEA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69B31DC9"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178A8CC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9486AB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No</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2A32CAF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Entidad/contratista</w:t>
            </w:r>
          </w:p>
        </w:tc>
        <w:tc>
          <w:tcPr>
            <w:tcW w:w="137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79A05EE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partir del cumplimiento de los requisitos de perfeccionamiento y ejecución</w:t>
            </w:r>
          </w:p>
        </w:tc>
        <w:tc>
          <w:tcPr>
            <w:tcW w:w="104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1866D96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Vencimiento del plazo del contrato</w:t>
            </w:r>
          </w:p>
        </w:tc>
        <w:tc>
          <w:tcPr>
            <w:tcW w:w="1607"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CB02C4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Equipo Desarrollador del Proyecto y Supervisor del Contrato desde el MADR</w:t>
            </w:r>
          </w:p>
        </w:tc>
        <w:tc>
          <w:tcPr>
            <w:tcW w:w="129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DA0498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1932C6A6"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4643D864" w14:textId="77777777" w:rsidTr="00A22D8C">
        <w:trPr>
          <w:trHeight w:val="2535"/>
        </w:trPr>
        <w:tc>
          <w:tcPr>
            <w:tcW w:w="324" w:type="dxa"/>
            <w:tcBorders>
              <w:top w:val="single" w:sz="4" w:space="0" w:color="A6A6A6"/>
              <w:left w:val="single" w:sz="4" w:space="0" w:color="A6A6A6"/>
              <w:bottom w:val="single" w:sz="4" w:space="0" w:color="A6A6A6"/>
              <w:right w:val="single" w:sz="4" w:space="0" w:color="A6A6A6"/>
            </w:tcBorders>
            <w:shd w:val="clear" w:color="000000" w:fill="FFFFFF"/>
            <w:noWrap/>
            <w:vAlign w:val="center"/>
            <w:hideMark/>
          </w:tcPr>
          <w:p w14:paraId="0A108E72"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lastRenderedPageBreak/>
              <w:t>5</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38355AE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Especifico</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71EDC95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Externo</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4A5275A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Ejecución</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58799B4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Regulatorio</w:t>
            </w:r>
          </w:p>
        </w:tc>
        <w:tc>
          <w:tcPr>
            <w:tcW w:w="1338"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4C47EC4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 xml:space="preserve">Los efectos favorables o desfavorables derivados de los cambios en la Ley Aplicable que afecten directa o indirectamente la ejecución de las obligaciones a cargo del Consultor Técnico bajo el presente Contrato de Consultoría, siempre que los cambios en la Ley Aplicable impliquen la realización de un nuevo estudio no previsto en el Anexo 1 del Contrato de Consultoría y la modificación de los diseños aprobados por Interventoría </w:t>
            </w:r>
          </w:p>
        </w:tc>
        <w:tc>
          <w:tcPr>
            <w:tcW w:w="1350"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7E40640A"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Posibles incrementos de costos de ejecución, necesidad de reprocesos técnicos, ampliación de plazos, afectación de entregables y modificación de condiciones técnicas, jurídicas o financieras del Proyecto.</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074AC45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5A5A852F"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5DB43E8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66CFB4C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ALTO</w:t>
            </w:r>
          </w:p>
        </w:tc>
        <w:tc>
          <w:tcPr>
            <w:tcW w:w="421"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4958350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781"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57F7207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La Interventoría deberá efectuar un seguimiento permanente a cambios regulatorios con base en la identificación de línea base normativa dada en el Anexo 1 del Contrato de Consultoría, previendo la obligación de generar alertas tempranas sobre impactos regulatorios.</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3EA6382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9C5C4E2"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31EBDDD"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4D667DC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Alto</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6FF3575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Sí</w:t>
            </w:r>
          </w:p>
        </w:tc>
        <w:tc>
          <w:tcPr>
            <w:tcW w:w="421"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656A899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 / Interventoría</w:t>
            </w:r>
          </w:p>
        </w:tc>
        <w:tc>
          <w:tcPr>
            <w:tcW w:w="1372"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432DF9D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Acta de Inicio del Contrato de Consultoría</w:t>
            </w:r>
          </w:p>
        </w:tc>
        <w:tc>
          <w:tcPr>
            <w:tcW w:w="1040"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55D5A01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 xml:space="preserve">El mismo día de la suscripción del Acta de Inicio </w:t>
            </w:r>
          </w:p>
        </w:tc>
        <w:tc>
          <w:tcPr>
            <w:tcW w:w="1607"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7F6B7209"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Monitoreo permanente de la Interventoría</w:t>
            </w:r>
          </w:p>
        </w:tc>
        <w:tc>
          <w:tcPr>
            <w:tcW w:w="1292"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5802C1B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En la etapa de ejecución del Contrato de Consultoría</w:t>
            </w:r>
          </w:p>
        </w:tc>
        <w:tc>
          <w:tcPr>
            <w:tcW w:w="160" w:type="dxa"/>
            <w:gridSpan w:val="2"/>
            <w:tcBorders>
              <w:top w:val="nil"/>
              <w:left w:val="nil"/>
              <w:bottom w:val="nil"/>
              <w:right w:val="nil"/>
            </w:tcBorders>
            <w:noWrap/>
            <w:hideMark/>
          </w:tcPr>
          <w:p w14:paraId="7CCFAD9A"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7462843C" w14:textId="77777777" w:rsidTr="00A22D8C">
        <w:trPr>
          <w:trHeight w:val="1950"/>
        </w:trPr>
        <w:tc>
          <w:tcPr>
            <w:tcW w:w="324" w:type="dxa"/>
            <w:tcBorders>
              <w:top w:val="single" w:sz="4" w:space="0" w:color="A6A6A6"/>
              <w:left w:val="single" w:sz="4" w:space="0" w:color="A6A6A6"/>
              <w:bottom w:val="single" w:sz="4" w:space="0" w:color="A6A6A6"/>
              <w:right w:val="single" w:sz="4" w:space="0" w:color="A6A6A6"/>
            </w:tcBorders>
            <w:noWrap/>
            <w:vAlign w:val="center"/>
            <w:hideMark/>
          </w:tcPr>
          <w:p w14:paraId="33D16073"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6</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026DF9B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Especifico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501298F5"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Externo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7482CBE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Ejecución</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58D5C9D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vAlign w:val="center"/>
            <w:hideMark/>
          </w:tcPr>
          <w:p w14:paraId="1CAD246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 xml:space="preserve">Los efectos favorables y/o desfavorables derivados de los cambios en la disponibilidad, especialidad o cantidad de personal e insumos técnicos necesarios para la ejecución del Contrato de Consultoría Técnica. </w:t>
            </w:r>
          </w:p>
        </w:tc>
        <w:tc>
          <w:tcPr>
            <w:tcW w:w="1350" w:type="dxa"/>
            <w:tcBorders>
              <w:top w:val="single" w:sz="4" w:space="0" w:color="A6A6A6"/>
              <w:left w:val="single" w:sz="4" w:space="0" w:color="A6A6A6"/>
              <w:bottom w:val="single" w:sz="4" w:space="0" w:color="A6A6A6"/>
              <w:right w:val="single" w:sz="4" w:space="0" w:color="A6A6A6"/>
            </w:tcBorders>
            <w:vAlign w:val="center"/>
            <w:hideMark/>
          </w:tcPr>
          <w:p w14:paraId="395B7C4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Retrasos en la ejecución del contrato y posible incumplimiento de metas del proyecto</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05BCAF3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329A22D3"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5E36D6B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78D6F63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69B001A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781" w:type="dxa"/>
            <w:tcBorders>
              <w:top w:val="single" w:sz="4" w:space="0" w:color="A6A6A6"/>
              <w:left w:val="single" w:sz="4" w:space="0" w:color="A6A6A6"/>
              <w:bottom w:val="single" w:sz="4" w:space="0" w:color="A6A6A6"/>
              <w:right w:val="single" w:sz="4" w:space="0" w:color="A6A6A6"/>
            </w:tcBorders>
            <w:vAlign w:val="center"/>
            <w:hideMark/>
          </w:tcPr>
          <w:p w14:paraId="203D537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del personal mínimo que cumpla con las exigencias del proceso.</w:t>
            </w:r>
            <w:r w:rsidRPr="008F3FC3">
              <w:rPr>
                <w:rFonts w:eastAsia="Times New Roman" w:cstheme="minorHAnsi"/>
                <w:sz w:val="16"/>
                <w:szCs w:val="16"/>
                <w:lang w:eastAsia="es-CO"/>
              </w:rPr>
              <w:br/>
              <w:t>Definición de un plan operativo de que determine la revisión de los profesionales y seguimiento que sean los aprobados.</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6BB8D619"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2CFA684E"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1D804F7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5E75DEAC"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6AEC672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Si</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0A3DB72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 Entidad</w:t>
            </w:r>
          </w:p>
        </w:tc>
        <w:tc>
          <w:tcPr>
            <w:tcW w:w="1372" w:type="dxa"/>
            <w:tcBorders>
              <w:top w:val="single" w:sz="4" w:space="0" w:color="A6A6A6"/>
              <w:left w:val="single" w:sz="4" w:space="0" w:color="A6A6A6"/>
              <w:bottom w:val="single" w:sz="4" w:space="0" w:color="A6A6A6"/>
              <w:right w:val="single" w:sz="4" w:space="0" w:color="A6A6A6"/>
            </w:tcBorders>
            <w:vAlign w:val="center"/>
            <w:hideMark/>
          </w:tcPr>
          <w:p w14:paraId="7CA9372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partir del cumplimiento de los requisitos de perfeccionamiento y ejecución</w:t>
            </w:r>
          </w:p>
        </w:tc>
        <w:tc>
          <w:tcPr>
            <w:tcW w:w="1040" w:type="dxa"/>
            <w:tcBorders>
              <w:top w:val="single" w:sz="4" w:space="0" w:color="A6A6A6"/>
              <w:left w:val="single" w:sz="4" w:space="0" w:color="A6A6A6"/>
              <w:bottom w:val="single" w:sz="4" w:space="0" w:color="A6A6A6"/>
              <w:right w:val="single" w:sz="4" w:space="0" w:color="A6A6A6"/>
            </w:tcBorders>
            <w:vAlign w:val="center"/>
            <w:hideMark/>
          </w:tcPr>
          <w:p w14:paraId="02B5AC09"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Vencimiento del plazo del contrato</w:t>
            </w:r>
          </w:p>
        </w:tc>
        <w:tc>
          <w:tcPr>
            <w:tcW w:w="1607" w:type="dxa"/>
            <w:tcBorders>
              <w:top w:val="single" w:sz="4" w:space="0" w:color="A6A6A6"/>
              <w:left w:val="single" w:sz="4" w:space="0" w:color="A6A6A6"/>
              <w:bottom w:val="single" w:sz="4" w:space="0" w:color="A6A6A6"/>
              <w:right w:val="single" w:sz="4" w:space="0" w:color="A6A6A6"/>
            </w:tcBorders>
            <w:vAlign w:val="center"/>
            <w:hideMark/>
          </w:tcPr>
          <w:p w14:paraId="0E95993C"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El supervisor a través de la interventoría del contrato realizará el seguimiento del Equipo Mínimo requerido del Proyecto.</w:t>
            </w:r>
          </w:p>
        </w:tc>
        <w:tc>
          <w:tcPr>
            <w:tcW w:w="1292" w:type="dxa"/>
            <w:tcBorders>
              <w:top w:val="single" w:sz="4" w:space="0" w:color="A6A6A6"/>
              <w:left w:val="single" w:sz="4" w:space="0" w:color="A6A6A6"/>
              <w:bottom w:val="single" w:sz="4" w:space="0" w:color="A6A6A6"/>
              <w:right w:val="single" w:sz="4" w:space="0" w:color="A6A6A6"/>
            </w:tcBorders>
            <w:vAlign w:val="center"/>
            <w:hideMark/>
          </w:tcPr>
          <w:p w14:paraId="1C243C9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ejecución y la etapa contractual del proceso</w:t>
            </w:r>
          </w:p>
        </w:tc>
        <w:tc>
          <w:tcPr>
            <w:tcW w:w="160" w:type="dxa"/>
            <w:gridSpan w:val="2"/>
            <w:tcBorders>
              <w:top w:val="nil"/>
              <w:left w:val="nil"/>
              <w:bottom w:val="nil"/>
              <w:right w:val="nil"/>
            </w:tcBorders>
            <w:noWrap/>
            <w:hideMark/>
          </w:tcPr>
          <w:p w14:paraId="353604CA"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2893C5B6" w14:textId="77777777" w:rsidTr="00A22D8C">
        <w:trPr>
          <w:trHeight w:val="1950"/>
        </w:trPr>
        <w:tc>
          <w:tcPr>
            <w:tcW w:w="324" w:type="dxa"/>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14:paraId="0277DD4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lastRenderedPageBreak/>
              <w:t>6</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4B6F7FA5"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Especifico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0F80BAE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Externo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588F183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Ejecución</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04A0F03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2D2B451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Los efectos favorables o desfavorables de las fluctuaciones en los costos laborales, honorarios, cargas sociales y parafiscales, así como los costos indirectos o administrativos asociados a la ejecución del Contrato de Consultoría Técnica</w:t>
            </w:r>
          </w:p>
        </w:tc>
        <w:tc>
          <w:tcPr>
            <w:tcW w:w="135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70067385"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Mayores costos a los revistos en la Oferta económica</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428AB24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5DE6E68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7E2779FF"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4B80367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0B6D67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781"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514F500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 xml:space="preserve">El valor del Contrato de Consultoría se cotizo como un precio global fijo que recoge en el cálculo del AIU, los conceptos de imprevistos en la ejecución </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6ABDF57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147F60D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75B26321"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5791D91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141CA4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No</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23F9E2D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37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480B5F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partir de la presentación de la Oferta Económica</w:t>
            </w:r>
          </w:p>
        </w:tc>
        <w:tc>
          <w:tcPr>
            <w:tcW w:w="104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18D1865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Con la presentación de la Oferta Económica</w:t>
            </w:r>
          </w:p>
        </w:tc>
        <w:tc>
          <w:tcPr>
            <w:tcW w:w="1607"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91CA27C"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Será responsabilidad del Consultor hacer sus estimaciones y elaborar sus modelos de proyección</w:t>
            </w:r>
          </w:p>
        </w:tc>
        <w:tc>
          <w:tcPr>
            <w:tcW w:w="129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1A923CD3"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773432F5"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3DD957BB" w14:textId="77777777" w:rsidTr="00A22D8C">
        <w:trPr>
          <w:trHeight w:val="3210"/>
        </w:trPr>
        <w:tc>
          <w:tcPr>
            <w:tcW w:w="324" w:type="dxa"/>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14:paraId="48148F63"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7</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57CDB29D"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General</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094A0F39"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Interno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7936BD8B"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Contratación</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4412746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13089DD0"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Retrasos en el perfeccionamiento del contrato</w:t>
            </w:r>
          </w:p>
        </w:tc>
        <w:tc>
          <w:tcPr>
            <w:tcW w:w="135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C9AFAD8"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Mayores costos, plazos e imposibilidad del inicio de</w:t>
            </w:r>
            <w:r w:rsidRPr="008F3FC3">
              <w:rPr>
                <w:rFonts w:eastAsia="Times New Roman" w:cstheme="minorHAnsi"/>
                <w:sz w:val="16"/>
                <w:szCs w:val="16"/>
                <w:lang w:eastAsia="es-CO"/>
              </w:rPr>
              <w:br/>
              <w:t>la ejecución del contrato.</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709618D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4943F148"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5</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4E8C36B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741AEE7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483BB7C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781"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606381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 xml:space="preserve">La Entidad reduce la probabilidad de este riesgo con el establecimiento de las condiciones y plazos para el adecuado perfeccionamiento del contrato. </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27A1B7C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0214DBDD"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75435D1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345710DA"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0B2E4F5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Sí</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0AA695C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 Entidad</w:t>
            </w:r>
          </w:p>
        </w:tc>
        <w:tc>
          <w:tcPr>
            <w:tcW w:w="137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3CC8640"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partir del cumplimiento de los requisitos de perfeccionamiento y ejecución</w:t>
            </w:r>
          </w:p>
        </w:tc>
        <w:tc>
          <w:tcPr>
            <w:tcW w:w="104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8471D5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Con la firma de Acta de Inicio</w:t>
            </w:r>
          </w:p>
        </w:tc>
        <w:tc>
          <w:tcPr>
            <w:tcW w:w="1607"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6B3E6A00"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Adecuado seguimiento y gestión por parte de los responsables dentro de la entidad, minimiza el acaecimiento de este riesgo. En línea con lo anterior, el contrato estima plazos y condiciones</w:t>
            </w:r>
            <w:r w:rsidRPr="008F3FC3">
              <w:rPr>
                <w:rFonts w:eastAsia="Times New Roman" w:cstheme="minorHAnsi"/>
                <w:sz w:val="16"/>
                <w:szCs w:val="16"/>
                <w:lang w:eastAsia="es-CO"/>
              </w:rPr>
              <w:br/>
              <w:t>para su perfeccionamiento; así mismo, incluye la obligatoriedad por parte del contratista de presentar las garantías correspondientes, en caso de incumplimiento se realizarán las acciones legales que establece la normatividad para estos casos en contra del consultor.</w:t>
            </w:r>
          </w:p>
        </w:tc>
        <w:tc>
          <w:tcPr>
            <w:tcW w:w="129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54756D72"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Únicamente al inicio del contrato o cuando se presente la necesidad de firmar modificaciones al mismo.</w:t>
            </w:r>
          </w:p>
        </w:tc>
        <w:tc>
          <w:tcPr>
            <w:tcW w:w="160" w:type="dxa"/>
            <w:gridSpan w:val="2"/>
            <w:tcBorders>
              <w:top w:val="nil"/>
              <w:left w:val="nil"/>
              <w:bottom w:val="nil"/>
              <w:right w:val="nil"/>
            </w:tcBorders>
            <w:noWrap/>
            <w:hideMark/>
          </w:tcPr>
          <w:p w14:paraId="37F49A89"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09069D33" w14:textId="77777777" w:rsidTr="00A22D8C">
        <w:trPr>
          <w:trHeight w:val="4965"/>
        </w:trPr>
        <w:tc>
          <w:tcPr>
            <w:tcW w:w="324" w:type="dxa"/>
            <w:tcBorders>
              <w:top w:val="single" w:sz="4" w:space="0" w:color="A6A6A6"/>
              <w:left w:val="single" w:sz="4" w:space="0" w:color="A6A6A6"/>
              <w:bottom w:val="single" w:sz="4" w:space="0" w:color="A6A6A6"/>
              <w:right w:val="single" w:sz="4" w:space="0" w:color="A6A6A6"/>
            </w:tcBorders>
            <w:noWrap/>
            <w:vAlign w:val="center"/>
            <w:hideMark/>
          </w:tcPr>
          <w:p w14:paraId="5607723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lastRenderedPageBreak/>
              <w:t>8</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76B61E5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General</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43B6F8CD"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Externo</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5D739A6D"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Selección</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36F82C2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vAlign w:val="center"/>
            <w:hideMark/>
          </w:tcPr>
          <w:p w14:paraId="69C2A4D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Colusión del Proceso</w:t>
            </w:r>
          </w:p>
        </w:tc>
        <w:tc>
          <w:tcPr>
            <w:tcW w:w="1350" w:type="dxa"/>
            <w:tcBorders>
              <w:top w:val="single" w:sz="4" w:space="0" w:color="A6A6A6"/>
              <w:left w:val="single" w:sz="4" w:space="0" w:color="A6A6A6"/>
              <w:bottom w:val="single" w:sz="4" w:space="0" w:color="A6A6A6"/>
              <w:right w:val="single" w:sz="4" w:space="0" w:color="A6A6A6"/>
            </w:tcBorders>
            <w:vAlign w:val="center"/>
            <w:hideMark/>
          </w:tcPr>
          <w:p w14:paraId="6B3BA42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Posibles perjuicios técnicos, financieros y/o legales contra la entidad e Imposibilidad de ejecución de un contrato.</w:t>
            </w:r>
          </w:p>
        </w:tc>
        <w:tc>
          <w:tcPr>
            <w:tcW w:w="372" w:type="dxa"/>
            <w:tcBorders>
              <w:top w:val="single" w:sz="4" w:space="0" w:color="A6A6A6"/>
              <w:left w:val="single" w:sz="4" w:space="0" w:color="A6A6A6"/>
              <w:bottom w:val="single" w:sz="4" w:space="0" w:color="A6A6A6"/>
              <w:right w:val="single" w:sz="4" w:space="0" w:color="A6A6A6"/>
            </w:tcBorders>
            <w:shd w:val="clear" w:color="000000" w:fill="F2DCDB"/>
            <w:noWrap/>
            <w:vAlign w:val="center"/>
            <w:hideMark/>
          </w:tcPr>
          <w:p w14:paraId="6A162FC8"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F2DCDB"/>
            <w:noWrap/>
            <w:vAlign w:val="center"/>
            <w:hideMark/>
          </w:tcPr>
          <w:p w14:paraId="7033F8F9"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F2DCDB"/>
            <w:noWrap/>
            <w:vAlign w:val="center"/>
            <w:hideMark/>
          </w:tcPr>
          <w:p w14:paraId="14E3693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6</w:t>
            </w:r>
          </w:p>
        </w:tc>
        <w:tc>
          <w:tcPr>
            <w:tcW w:w="372" w:type="dxa"/>
            <w:tcBorders>
              <w:top w:val="single" w:sz="4" w:space="0" w:color="A6A6A6"/>
              <w:left w:val="single" w:sz="4" w:space="0" w:color="A6A6A6"/>
              <w:bottom w:val="single" w:sz="4" w:space="0" w:color="A6A6A6"/>
              <w:right w:val="single" w:sz="4" w:space="0" w:color="A6A6A6"/>
            </w:tcBorders>
            <w:shd w:val="clear" w:color="000000" w:fill="F2DCDB"/>
            <w:textDirection w:val="btLr"/>
            <w:vAlign w:val="center"/>
            <w:hideMark/>
          </w:tcPr>
          <w:p w14:paraId="73470C4F"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Alta</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07B0238C"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781" w:type="dxa"/>
            <w:tcBorders>
              <w:top w:val="single" w:sz="4" w:space="0" w:color="A6A6A6"/>
              <w:left w:val="single" w:sz="4" w:space="0" w:color="A6A6A6"/>
              <w:bottom w:val="single" w:sz="4" w:space="0" w:color="A6A6A6"/>
              <w:right w:val="single" w:sz="4" w:space="0" w:color="A6A6A6"/>
            </w:tcBorders>
            <w:hideMark/>
          </w:tcPr>
          <w:p w14:paraId="0B50544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La entidad reduce la probabilidad del riesgo de colusión, mediante los criterios de selección y fórmulas de adjudicación objetivas concordantes con los compromisos de transparencia, igualdad y selección objetiva. Lo anterior, teniendo en cuenta i). El resultado de la evaluación del proceso por parte de la Entidad en los términos de los Pliegos de Condiciones en donde se establecen las condiciones del proceso de selección. A su vez, los oferentes y/o el consultor cuentan con la obligación de reportar cualquier situación respecto de la cual se pueda derivar la materialización del presente riesgo. La revisión se lleva a cabo con el seguimiento del personal de la Entidad.</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23BD0367"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25384C5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7BD4F80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343CD3C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372" w:type="dxa"/>
            <w:tcBorders>
              <w:top w:val="single" w:sz="4" w:space="0" w:color="A6A6A6"/>
              <w:left w:val="single" w:sz="4" w:space="0" w:color="A6A6A6"/>
              <w:bottom w:val="single" w:sz="4" w:space="0" w:color="A6A6A6"/>
              <w:right w:val="single" w:sz="4" w:space="0" w:color="A6A6A6"/>
            </w:tcBorders>
            <w:textDirection w:val="btLr"/>
            <w:vAlign w:val="center"/>
            <w:hideMark/>
          </w:tcPr>
          <w:p w14:paraId="1C95570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Si</w:t>
            </w:r>
          </w:p>
        </w:tc>
        <w:tc>
          <w:tcPr>
            <w:tcW w:w="421" w:type="dxa"/>
            <w:tcBorders>
              <w:top w:val="single" w:sz="4" w:space="0" w:color="A6A6A6"/>
              <w:left w:val="single" w:sz="4" w:space="0" w:color="A6A6A6"/>
              <w:bottom w:val="single" w:sz="4" w:space="0" w:color="A6A6A6"/>
              <w:right w:val="single" w:sz="4" w:space="0" w:color="A6A6A6"/>
            </w:tcBorders>
            <w:textDirection w:val="btLr"/>
            <w:vAlign w:val="center"/>
            <w:hideMark/>
          </w:tcPr>
          <w:p w14:paraId="28388A4D"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372" w:type="dxa"/>
            <w:tcBorders>
              <w:top w:val="single" w:sz="4" w:space="0" w:color="A6A6A6"/>
              <w:left w:val="single" w:sz="4" w:space="0" w:color="A6A6A6"/>
              <w:bottom w:val="single" w:sz="4" w:space="0" w:color="A6A6A6"/>
              <w:right w:val="single" w:sz="4" w:space="0" w:color="A6A6A6"/>
            </w:tcBorders>
            <w:vAlign w:val="center"/>
            <w:hideMark/>
          </w:tcPr>
          <w:p w14:paraId="1C1E6EE3"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Apertura del proceso</w:t>
            </w:r>
          </w:p>
        </w:tc>
        <w:tc>
          <w:tcPr>
            <w:tcW w:w="1040" w:type="dxa"/>
            <w:tcBorders>
              <w:top w:val="single" w:sz="4" w:space="0" w:color="A6A6A6"/>
              <w:left w:val="single" w:sz="4" w:space="0" w:color="A6A6A6"/>
              <w:bottom w:val="single" w:sz="4" w:space="0" w:color="A6A6A6"/>
              <w:right w:val="single" w:sz="4" w:space="0" w:color="A6A6A6"/>
            </w:tcBorders>
            <w:vAlign w:val="center"/>
            <w:hideMark/>
          </w:tcPr>
          <w:p w14:paraId="5690B5C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Finalizado el proceso de selección del consultor u oferente</w:t>
            </w:r>
          </w:p>
        </w:tc>
        <w:tc>
          <w:tcPr>
            <w:tcW w:w="1607" w:type="dxa"/>
            <w:tcBorders>
              <w:top w:val="single" w:sz="4" w:space="0" w:color="A6A6A6"/>
              <w:left w:val="single" w:sz="4" w:space="0" w:color="A6A6A6"/>
              <w:bottom w:val="single" w:sz="4" w:space="0" w:color="A6A6A6"/>
              <w:right w:val="single" w:sz="4" w:space="0" w:color="A6A6A6"/>
            </w:tcBorders>
            <w:vAlign w:val="center"/>
            <w:hideMark/>
          </w:tcPr>
          <w:p w14:paraId="089B9AA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El supervisor del contrato realizará el seguimiento con apoyo del Equipo Implementador del Proyecto</w:t>
            </w:r>
          </w:p>
        </w:tc>
        <w:tc>
          <w:tcPr>
            <w:tcW w:w="1292" w:type="dxa"/>
            <w:tcBorders>
              <w:top w:val="single" w:sz="4" w:space="0" w:color="A6A6A6"/>
              <w:left w:val="single" w:sz="4" w:space="0" w:color="A6A6A6"/>
              <w:bottom w:val="single" w:sz="4" w:space="0" w:color="A6A6A6"/>
              <w:right w:val="single" w:sz="4" w:space="0" w:color="A6A6A6"/>
            </w:tcBorders>
            <w:vAlign w:val="center"/>
            <w:hideMark/>
          </w:tcPr>
          <w:p w14:paraId="54887A9D"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Durante la etapa de planeación y la etapa precontractual del proceso</w:t>
            </w:r>
          </w:p>
        </w:tc>
        <w:tc>
          <w:tcPr>
            <w:tcW w:w="160" w:type="dxa"/>
            <w:gridSpan w:val="2"/>
            <w:tcBorders>
              <w:top w:val="nil"/>
              <w:left w:val="nil"/>
              <w:bottom w:val="nil"/>
              <w:right w:val="nil"/>
            </w:tcBorders>
            <w:noWrap/>
            <w:hideMark/>
          </w:tcPr>
          <w:p w14:paraId="12D4CE9A"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1EE21A57" w14:textId="77777777" w:rsidTr="00A22D8C">
        <w:trPr>
          <w:trHeight w:val="2640"/>
        </w:trPr>
        <w:tc>
          <w:tcPr>
            <w:tcW w:w="324" w:type="dxa"/>
            <w:tcBorders>
              <w:top w:val="single" w:sz="4" w:space="0" w:color="A6A6A6"/>
              <w:left w:val="single" w:sz="4" w:space="0" w:color="A6A6A6"/>
              <w:bottom w:val="single" w:sz="4" w:space="0" w:color="A6A6A6"/>
              <w:right w:val="single" w:sz="4" w:space="0" w:color="A6A6A6"/>
            </w:tcBorders>
            <w:shd w:val="clear" w:color="000000" w:fill="D9D9D9"/>
            <w:noWrap/>
            <w:vAlign w:val="center"/>
            <w:hideMark/>
          </w:tcPr>
          <w:p w14:paraId="5DC96A4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9</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2FFA50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General</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7469BE19"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Interno</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17AEC1C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Contratación</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264C394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553DE754"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Rehusarse a suscribir el contrato y obtener sus garantías</w:t>
            </w:r>
          </w:p>
        </w:tc>
        <w:tc>
          <w:tcPr>
            <w:tcW w:w="135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42E0647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Mayores costos y plazos asociados al proceso de contratación e imposibilidad de ejecutar el contrato.</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357C33F4"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78E1ECFB"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6</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noWrap/>
            <w:vAlign w:val="center"/>
            <w:hideMark/>
          </w:tcPr>
          <w:p w14:paraId="0E4D551E"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5</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47C7242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DC2FE9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781"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7CAD4AC1"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La Entidad transfiere el riesgo, debido a que los Oferentes se encuentran obligados a aportar con su Oferta la garantía de seriedad de la Oferta como un requisito habilitante, en consecuencia, en el evento en que el adjudicatario no suscriba el contrato o no allegue las garantías estipuladas contractualmente.</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1F19C9E6"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3B6332BA"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noWrap/>
            <w:vAlign w:val="center"/>
            <w:hideMark/>
          </w:tcPr>
          <w:p w14:paraId="679DEFEC"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EBF1DE"/>
            <w:textDirection w:val="btLr"/>
            <w:vAlign w:val="center"/>
            <w:hideMark/>
          </w:tcPr>
          <w:p w14:paraId="310A0F3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Baja</w:t>
            </w:r>
          </w:p>
        </w:tc>
        <w:tc>
          <w:tcPr>
            <w:tcW w:w="372"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69F6B30E"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Si</w:t>
            </w:r>
          </w:p>
        </w:tc>
        <w:tc>
          <w:tcPr>
            <w:tcW w:w="421" w:type="dxa"/>
            <w:tcBorders>
              <w:top w:val="single" w:sz="4" w:space="0" w:color="A6A6A6"/>
              <w:left w:val="single" w:sz="4" w:space="0" w:color="A6A6A6"/>
              <w:bottom w:val="single" w:sz="4" w:space="0" w:color="A6A6A6"/>
              <w:right w:val="single" w:sz="4" w:space="0" w:color="A6A6A6"/>
            </w:tcBorders>
            <w:shd w:val="clear" w:color="000000" w:fill="D9D9D9"/>
            <w:textDirection w:val="btLr"/>
            <w:vAlign w:val="center"/>
            <w:hideMark/>
          </w:tcPr>
          <w:p w14:paraId="38400684"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Entidad</w:t>
            </w:r>
          </w:p>
        </w:tc>
        <w:tc>
          <w:tcPr>
            <w:tcW w:w="137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0B46B50C"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Inicio del proceso contractual</w:t>
            </w:r>
          </w:p>
        </w:tc>
        <w:tc>
          <w:tcPr>
            <w:tcW w:w="1040"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329C3E97"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 la firma del contrato</w:t>
            </w:r>
          </w:p>
        </w:tc>
        <w:tc>
          <w:tcPr>
            <w:tcW w:w="1607"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2F19E74C"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y aprobación de documentación.</w:t>
            </w:r>
            <w:r w:rsidRPr="008F3FC3">
              <w:rPr>
                <w:rFonts w:eastAsia="Times New Roman" w:cstheme="minorHAnsi"/>
                <w:sz w:val="16"/>
                <w:szCs w:val="16"/>
                <w:lang w:eastAsia="es-CO"/>
              </w:rPr>
              <w:br/>
            </w:r>
            <w:r w:rsidRPr="008F3FC3">
              <w:rPr>
                <w:rFonts w:eastAsia="Times New Roman" w:cstheme="minorHAnsi"/>
                <w:sz w:val="16"/>
                <w:szCs w:val="16"/>
                <w:lang w:eastAsia="es-CO"/>
              </w:rPr>
              <w:br/>
              <w:t xml:space="preserve">La Entidad procederá a declarar el siniestro amparado en la Garantía de Seriedad de la Oferta adjudicataria, con los efectos jurídicos que ello acarrea de conformidad con la normatividad vigente. La revisión se lleva a cabo con el </w:t>
            </w:r>
            <w:r w:rsidRPr="008F3FC3">
              <w:rPr>
                <w:rFonts w:eastAsia="Times New Roman" w:cstheme="minorHAnsi"/>
                <w:sz w:val="16"/>
                <w:szCs w:val="16"/>
                <w:lang w:eastAsia="es-CO"/>
              </w:rPr>
              <w:lastRenderedPageBreak/>
              <w:t>seguimiento del personal de la Entidad.</w:t>
            </w:r>
          </w:p>
        </w:tc>
        <w:tc>
          <w:tcPr>
            <w:tcW w:w="1292" w:type="dxa"/>
            <w:tcBorders>
              <w:top w:val="single" w:sz="4" w:space="0" w:color="A6A6A6"/>
              <w:left w:val="single" w:sz="4" w:space="0" w:color="A6A6A6"/>
              <w:bottom w:val="single" w:sz="4" w:space="0" w:color="A6A6A6"/>
              <w:right w:val="single" w:sz="4" w:space="0" w:color="A6A6A6"/>
            </w:tcBorders>
            <w:shd w:val="clear" w:color="000000" w:fill="D9D9D9"/>
            <w:vAlign w:val="center"/>
            <w:hideMark/>
          </w:tcPr>
          <w:p w14:paraId="0FCB0A2E"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lastRenderedPageBreak/>
              <w:t>Durante la etapa de planeación y la etapa precontractual del proceso</w:t>
            </w:r>
          </w:p>
        </w:tc>
        <w:tc>
          <w:tcPr>
            <w:tcW w:w="160" w:type="dxa"/>
            <w:gridSpan w:val="2"/>
            <w:tcBorders>
              <w:top w:val="nil"/>
              <w:left w:val="nil"/>
              <w:bottom w:val="nil"/>
              <w:right w:val="nil"/>
            </w:tcBorders>
            <w:noWrap/>
            <w:hideMark/>
          </w:tcPr>
          <w:p w14:paraId="7B5249B2"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r w:rsidR="00CB6B0C" w:rsidRPr="008F3FC3" w14:paraId="0A4DEDD0" w14:textId="77777777" w:rsidTr="00A22D8C">
        <w:trPr>
          <w:trHeight w:val="1320"/>
        </w:trPr>
        <w:tc>
          <w:tcPr>
            <w:tcW w:w="324" w:type="dxa"/>
            <w:tcBorders>
              <w:top w:val="single" w:sz="4" w:space="0" w:color="A6A6A6"/>
              <w:left w:val="single" w:sz="4" w:space="0" w:color="A6A6A6"/>
              <w:bottom w:val="single" w:sz="4" w:space="0" w:color="A6A6A6"/>
              <w:right w:val="single" w:sz="4" w:space="0" w:color="A6A6A6"/>
            </w:tcBorders>
            <w:shd w:val="clear" w:color="000000" w:fill="FFFFFF"/>
            <w:noWrap/>
            <w:vAlign w:val="center"/>
            <w:hideMark/>
          </w:tcPr>
          <w:p w14:paraId="63194C00" w14:textId="77777777" w:rsidR="00CB6B0C" w:rsidRPr="008F3FC3" w:rsidRDefault="00CB6B0C" w:rsidP="005E2EED">
            <w:pPr>
              <w:spacing w:line="240" w:lineRule="auto"/>
              <w:contextualSpacing w:val="0"/>
              <w:jc w:val="center"/>
              <w:rPr>
                <w:rFonts w:eastAsia="Times New Roman" w:cstheme="minorHAnsi"/>
                <w:color w:val="000000"/>
                <w:sz w:val="16"/>
                <w:szCs w:val="16"/>
                <w:lang w:eastAsia="es-CO"/>
              </w:rPr>
            </w:pPr>
            <w:r w:rsidRPr="008F3FC3">
              <w:rPr>
                <w:rFonts w:eastAsia="Times New Roman" w:cstheme="minorHAnsi"/>
                <w:color w:val="000000"/>
                <w:sz w:val="16"/>
                <w:szCs w:val="16"/>
                <w:lang w:eastAsia="es-CO"/>
              </w:rPr>
              <w:t>10</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5C85986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Especifico</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0C33AF29"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Externo</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35D37D4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Ejecución</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0D79EE47"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Operacional</w:t>
            </w:r>
          </w:p>
        </w:tc>
        <w:tc>
          <w:tcPr>
            <w:tcW w:w="1338"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19B6D95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Retrasos en la entrega de los productos del contrato</w:t>
            </w:r>
          </w:p>
        </w:tc>
        <w:tc>
          <w:tcPr>
            <w:tcW w:w="1350"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16BC6CEB"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atrasos y retrasos en la ejecución y consecuencias multas y sanciones.</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55AB417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3</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25FA969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1970197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7C8CBDD1"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421"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3E5AFCDA"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Contratista</w:t>
            </w:r>
          </w:p>
        </w:tc>
        <w:tc>
          <w:tcPr>
            <w:tcW w:w="1781"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43A30FD6"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Revisión del cronograma, y plan de seguimiento elaborado por la interventoría del contrato.</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61A35A02"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52C0F3B0"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2</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4F51958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4</w:t>
            </w:r>
          </w:p>
        </w:tc>
        <w:tc>
          <w:tcPr>
            <w:tcW w:w="372" w:type="dxa"/>
            <w:tcBorders>
              <w:top w:val="single" w:sz="4" w:space="0" w:color="A6A6A6"/>
              <w:left w:val="single" w:sz="4" w:space="0" w:color="A6A6A6"/>
              <w:bottom w:val="single" w:sz="4" w:space="0" w:color="A6A6A6"/>
              <w:right w:val="single" w:sz="4" w:space="0" w:color="A6A6A6"/>
            </w:tcBorders>
            <w:shd w:val="clear" w:color="000000" w:fill="FDE9D9"/>
            <w:textDirection w:val="btLr"/>
            <w:vAlign w:val="center"/>
            <w:hideMark/>
          </w:tcPr>
          <w:p w14:paraId="07E26025"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Media</w:t>
            </w:r>
          </w:p>
        </w:tc>
        <w:tc>
          <w:tcPr>
            <w:tcW w:w="372"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128F27D6"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No</w:t>
            </w:r>
          </w:p>
        </w:tc>
        <w:tc>
          <w:tcPr>
            <w:tcW w:w="421" w:type="dxa"/>
            <w:tcBorders>
              <w:top w:val="single" w:sz="4" w:space="0" w:color="A6A6A6"/>
              <w:left w:val="single" w:sz="4" w:space="0" w:color="A6A6A6"/>
              <w:bottom w:val="single" w:sz="4" w:space="0" w:color="A6A6A6"/>
              <w:right w:val="single" w:sz="4" w:space="0" w:color="A6A6A6"/>
            </w:tcBorders>
            <w:shd w:val="clear" w:color="000000" w:fill="FFFFFF"/>
            <w:textDirection w:val="btLr"/>
            <w:vAlign w:val="center"/>
            <w:hideMark/>
          </w:tcPr>
          <w:p w14:paraId="18F7FFA8" w14:textId="77777777" w:rsidR="00CB6B0C" w:rsidRPr="008F3FC3" w:rsidRDefault="00CB6B0C" w:rsidP="005E2EED">
            <w:pPr>
              <w:spacing w:line="240" w:lineRule="auto"/>
              <w:contextualSpacing w:val="0"/>
              <w:jc w:val="center"/>
              <w:rPr>
                <w:rFonts w:eastAsia="Times New Roman" w:cstheme="minorHAnsi"/>
                <w:sz w:val="16"/>
                <w:szCs w:val="16"/>
                <w:lang w:eastAsia="es-CO"/>
              </w:rPr>
            </w:pPr>
            <w:r w:rsidRPr="008F3FC3">
              <w:rPr>
                <w:rFonts w:eastAsia="Times New Roman" w:cstheme="minorHAnsi"/>
                <w:sz w:val="16"/>
                <w:szCs w:val="16"/>
                <w:lang w:eastAsia="es-CO"/>
              </w:rPr>
              <w:t>Contratista/ Entidad</w:t>
            </w:r>
          </w:p>
        </w:tc>
        <w:tc>
          <w:tcPr>
            <w:tcW w:w="1372"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7D178B5F"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Vencimiento del plazo del contrato</w:t>
            </w:r>
          </w:p>
        </w:tc>
        <w:tc>
          <w:tcPr>
            <w:tcW w:w="1040"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0B4AB653"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Vencimiento del plazo del contrato</w:t>
            </w:r>
          </w:p>
        </w:tc>
        <w:tc>
          <w:tcPr>
            <w:tcW w:w="1607"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4C41368A"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El supervisor del contrato a través de la interventoría realizará el seguimiento del cronograma del proyecto.</w:t>
            </w:r>
          </w:p>
        </w:tc>
        <w:tc>
          <w:tcPr>
            <w:tcW w:w="1292" w:type="dxa"/>
            <w:tcBorders>
              <w:top w:val="single" w:sz="4" w:space="0" w:color="A6A6A6"/>
              <w:left w:val="single" w:sz="4" w:space="0" w:color="A6A6A6"/>
              <w:bottom w:val="single" w:sz="4" w:space="0" w:color="A6A6A6"/>
              <w:right w:val="single" w:sz="4" w:space="0" w:color="A6A6A6"/>
            </w:tcBorders>
            <w:shd w:val="clear" w:color="000000" w:fill="FFFFFF"/>
            <w:vAlign w:val="center"/>
            <w:hideMark/>
          </w:tcPr>
          <w:p w14:paraId="7CD6224C" w14:textId="77777777" w:rsidR="00CB6B0C" w:rsidRPr="008F3FC3" w:rsidRDefault="00CB6B0C" w:rsidP="005E2EED">
            <w:pPr>
              <w:spacing w:line="240" w:lineRule="auto"/>
              <w:contextualSpacing w:val="0"/>
              <w:jc w:val="left"/>
              <w:rPr>
                <w:rFonts w:eastAsia="Times New Roman" w:cstheme="minorHAnsi"/>
                <w:sz w:val="16"/>
                <w:szCs w:val="16"/>
                <w:lang w:eastAsia="es-CO"/>
              </w:rPr>
            </w:pPr>
            <w:r w:rsidRPr="008F3FC3">
              <w:rPr>
                <w:rFonts w:eastAsia="Times New Roman" w:cstheme="minorHAnsi"/>
                <w:sz w:val="16"/>
                <w:szCs w:val="16"/>
                <w:lang w:eastAsia="es-CO"/>
              </w:rPr>
              <w:t xml:space="preserve">Cuando sea requerido en la </w:t>
            </w:r>
            <w:proofErr w:type="gramStart"/>
            <w:r w:rsidRPr="008F3FC3">
              <w:rPr>
                <w:rFonts w:eastAsia="Times New Roman" w:cstheme="minorHAnsi"/>
                <w:sz w:val="16"/>
                <w:szCs w:val="16"/>
                <w:lang w:eastAsia="es-CO"/>
              </w:rPr>
              <w:t>etapa  contractual</w:t>
            </w:r>
            <w:proofErr w:type="gramEnd"/>
            <w:r w:rsidRPr="008F3FC3">
              <w:rPr>
                <w:rFonts w:eastAsia="Times New Roman" w:cstheme="minorHAnsi"/>
                <w:sz w:val="16"/>
                <w:szCs w:val="16"/>
                <w:lang w:eastAsia="es-CO"/>
              </w:rPr>
              <w:t xml:space="preserve"> del contrato</w:t>
            </w:r>
          </w:p>
        </w:tc>
        <w:tc>
          <w:tcPr>
            <w:tcW w:w="160" w:type="dxa"/>
            <w:gridSpan w:val="2"/>
            <w:tcBorders>
              <w:top w:val="nil"/>
              <w:left w:val="nil"/>
              <w:bottom w:val="nil"/>
              <w:right w:val="nil"/>
            </w:tcBorders>
            <w:noWrap/>
            <w:hideMark/>
          </w:tcPr>
          <w:p w14:paraId="3DEEB977" w14:textId="77777777" w:rsidR="00CB6B0C" w:rsidRPr="008F3FC3" w:rsidRDefault="00CB6B0C" w:rsidP="005E2EED">
            <w:pPr>
              <w:spacing w:line="240" w:lineRule="auto"/>
              <w:contextualSpacing w:val="0"/>
              <w:jc w:val="left"/>
              <w:rPr>
                <w:rFonts w:eastAsia="Times New Roman" w:cstheme="minorHAnsi"/>
                <w:sz w:val="16"/>
                <w:szCs w:val="16"/>
                <w:lang w:eastAsia="es-CO"/>
              </w:rPr>
            </w:pPr>
          </w:p>
        </w:tc>
      </w:tr>
    </w:tbl>
    <w:p w14:paraId="168C9C57" w14:textId="06F368D3" w:rsidR="00D70D7B" w:rsidRPr="00EC3965" w:rsidRDefault="00D70D7B" w:rsidP="00D70D7B">
      <w:pPr>
        <w:spacing w:after="100" w:afterAutospacing="1"/>
        <w:rPr>
          <w:rFonts w:ascii="Arial" w:eastAsia="SimSun" w:hAnsi="Arial" w:cs="Arial"/>
          <w:kern w:val="3"/>
          <w:sz w:val="20"/>
          <w:szCs w:val="20"/>
          <w:lang w:eastAsia="zh-CN" w:bidi="hi-IN"/>
        </w:rPr>
      </w:pPr>
    </w:p>
    <w:sectPr w:rsidR="00D70D7B" w:rsidRPr="00EC3965" w:rsidSect="00910DD0">
      <w:headerReference w:type="default" r:id="rId11"/>
      <w:footerReference w:type="default" r:id="rId12"/>
      <w:pgSz w:w="18720" w:h="12240" w:orient="landscape" w:code="119"/>
      <w:pgMar w:top="1310" w:right="1138" w:bottom="1138" w:left="1138"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DFA58" w14:textId="77777777" w:rsidR="000B0ABB" w:rsidRDefault="000B0ABB" w:rsidP="00091875">
      <w:pPr>
        <w:spacing w:line="240" w:lineRule="auto"/>
      </w:pPr>
      <w:r>
        <w:separator/>
      </w:r>
    </w:p>
  </w:endnote>
  <w:endnote w:type="continuationSeparator" w:id="0">
    <w:p w14:paraId="52FF60A4" w14:textId="77777777" w:rsidR="000B0ABB" w:rsidRDefault="000B0ABB" w:rsidP="00091875">
      <w:pPr>
        <w:spacing w:line="240" w:lineRule="auto"/>
      </w:pPr>
      <w:r>
        <w:continuationSeparator/>
      </w:r>
    </w:p>
  </w:endnote>
  <w:endnote w:type="continuationNotice" w:id="1">
    <w:p w14:paraId="5B9064AB" w14:textId="77777777" w:rsidR="000B0ABB" w:rsidRDefault="000B0A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115D306F" w:rsidR="00091875" w:rsidRDefault="00103B17">
        <w:pPr>
          <w:pStyle w:val="Piedepgina"/>
          <w:jc w:val="right"/>
        </w:pPr>
        <w:r>
          <w:fldChar w:fldCharType="begin"/>
        </w:r>
        <w:r w:rsidR="00091875">
          <w:instrText>PAGE   \* MERGEFORMAT</w:instrText>
        </w:r>
        <w:r>
          <w:fldChar w:fldCharType="separate"/>
        </w:r>
        <w:r w:rsidR="000D13B3" w:rsidRPr="000D13B3">
          <w:rPr>
            <w:noProof/>
            <w:lang w:val="es-ES"/>
          </w:rPr>
          <w:t>4</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430"/>
      <w:gridCol w:w="3577"/>
      <w:gridCol w:w="1845"/>
      <w:gridCol w:w="527"/>
    </w:tblGrid>
    <w:tr w:rsidR="00FD3DFC" w:rsidRPr="003D005D" w14:paraId="6A095833" w14:textId="77777777" w:rsidTr="00E858D4">
      <w:trPr>
        <w:trHeight w:val="220"/>
      </w:trPr>
      <w:tc>
        <w:tcPr>
          <w:tcW w:w="969" w:type="pct"/>
          <w:vAlign w:val="center"/>
        </w:tcPr>
        <w:p w14:paraId="23C4F711" w14:textId="77777777" w:rsidR="00FD3DFC" w:rsidRPr="003D005D" w:rsidRDefault="00FD3DFC"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vAlign w:val="center"/>
        </w:tcPr>
        <w:p w14:paraId="56471207" w14:textId="5EDD8036" w:rsidR="00FD3DFC" w:rsidRPr="003D005D" w:rsidRDefault="00FD3DFC"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BA7F43">
            <w:rPr>
              <w:rFonts w:eastAsia="Arial" w:cs="Arial"/>
              <w:color w:val="595959"/>
              <w:sz w:val="16"/>
              <w:szCs w:val="16"/>
              <w:lang w:eastAsia="es-CO"/>
            </w:rPr>
            <w:t>46</w:t>
          </w:r>
        </w:p>
      </w:tc>
      <w:tc>
        <w:tcPr>
          <w:tcW w:w="1250" w:type="pct"/>
          <w:vAlign w:val="center"/>
        </w:tcPr>
        <w:p w14:paraId="7F8B81FD" w14:textId="77777777" w:rsidR="00FD3DFC" w:rsidRPr="003D005D" w:rsidRDefault="00FD3DFC"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vAlign w:val="center"/>
        </w:tcPr>
        <w:p w14:paraId="2606B2E2" w14:textId="0100032A" w:rsidR="00FD3DFC" w:rsidRPr="003D005D" w:rsidRDefault="00D90D85"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3BCC6" w14:textId="77777777" w:rsidR="000B0ABB" w:rsidRDefault="000B0ABB" w:rsidP="00091875">
      <w:pPr>
        <w:spacing w:line="240" w:lineRule="auto"/>
      </w:pPr>
      <w:r>
        <w:separator/>
      </w:r>
    </w:p>
  </w:footnote>
  <w:footnote w:type="continuationSeparator" w:id="0">
    <w:p w14:paraId="110CEB19" w14:textId="77777777" w:rsidR="000B0ABB" w:rsidRDefault="000B0ABB" w:rsidP="00091875">
      <w:pPr>
        <w:spacing w:line="240" w:lineRule="auto"/>
      </w:pPr>
      <w:r>
        <w:continuationSeparator/>
      </w:r>
    </w:p>
  </w:footnote>
  <w:footnote w:type="continuationNotice" w:id="1">
    <w:p w14:paraId="20D6A1B4" w14:textId="77777777" w:rsidR="000B0ABB" w:rsidRDefault="000B0AB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51"/>
      <w:gridCol w:w="7196"/>
      <w:gridCol w:w="1506"/>
      <w:gridCol w:w="3219"/>
    </w:tblGrid>
    <w:tr w:rsidR="00BA7F43"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BA7F43"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BA7F43" w:rsidRPr="00123E1F" w:rsidRDefault="00BA7F43"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BA7F43" w:rsidRPr="00123E1F" w:rsidRDefault="00BA7F43"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BA7F43" w:rsidRPr="00123E1F" w:rsidRDefault="00BA7F43"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37B9D05E"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000D13B3">
            <w:rPr>
              <w:rFonts w:ascii="Arial" w:eastAsia="Arial" w:hAnsi="Arial" w:cs="Arial"/>
              <w:noProof/>
              <w:sz w:val="16"/>
              <w:szCs w:val="16"/>
            </w:rPr>
            <w:t>4</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000D13B3">
            <w:rPr>
              <w:rFonts w:ascii="Arial" w:eastAsia="Arial" w:hAnsi="Arial" w:cs="Arial"/>
              <w:noProof/>
              <w:sz w:val="16"/>
              <w:szCs w:val="16"/>
            </w:rPr>
            <w:t>4</w:t>
          </w:r>
          <w:r w:rsidRPr="00123E1F">
            <w:rPr>
              <w:rFonts w:ascii="Arial" w:eastAsia="Arial" w:hAnsi="Arial" w:cs="Arial"/>
              <w:sz w:val="16"/>
              <w:szCs w:val="16"/>
            </w:rPr>
            <w:fldChar w:fldCharType="end"/>
          </w:r>
        </w:p>
      </w:tc>
    </w:tr>
    <w:tr w:rsidR="00BA7F43"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BA7F43" w:rsidRPr="00123E1F" w:rsidRDefault="00BA7F43"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38A4A234" w:rsidRDefault="38A4A234"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25202406">
    <w:abstractNumId w:val="6"/>
  </w:num>
  <w:num w:numId="2" w16cid:durableId="731149743">
    <w:abstractNumId w:val="6"/>
  </w:num>
  <w:num w:numId="3" w16cid:durableId="2025085841">
    <w:abstractNumId w:val="6"/>
  </w:num>
  <w:num w:numId="4" w16cid:durableId="2056663347">
    <w:abstractNumId w:val="6"/>
  </w:num>
  <w:num w:numId="5" w16cid:durableId="33428031">
    <w:abstractNumId w:val="6"/>
  </w:num>
  <w:num w:numId="6" w16cid:durableId="1450661503">
    <w:abstractNumId w:val="6"/>
  </w:num>
  <w:num w:numId="7" w16cid:durableId="1314604417">
    <w:abstractNumId w:val="6"/>
  </w:num>
  <w:num w:numId="8" w16cid:durableId="407924454">
    <w:abstractNumId w:val="6"/>
  </w:num>
  <w:num w:numId="9" w16cid:durableId="1899853237">
    <w:abstractNumId w:val="6"/>
  </w:num>
  <w:num w:numId="10" w16cid:durableId="1253051572">
    <w:abstractNumId w:val="3"/>
  </w:num>
  <w:num w:numId="11" w16cid:durableId="321203297">
    <w:abstractNumId w:val="1"/>
  </w:num>
  <w:num w:numId="12" w16cid:durableId="1551303624">
    <w:abstractNumId w:val="21"/>
  </w:num>
  <w:num w:numId="13" w16cid:durableId="737554177">
    <w:abstractNumId w:val="29"/>
  </w:num>
  <w:num w:numId="14" w16cid:durableId="373968201">
    <w:abstractNumId w:val="14"/>
  </w:num>
  <w:num w:numId="15" w16cid:durableId="1679038938">
    <w:abstractNumId w:val="16"/>
  </w:num>
  <w:num w:numId="16" w16cid:durableId="1321884902">
    <w:abstractNumId w:val="0"/>
  </w:num>
  <w:num w:numId="17" w16cid:durableId="1003095404">
    <w:abstractNumId w:val="2"/>
  </w:num>
  <w:num w:numId="18" w16cid:durableId="954018016">
    <w:abstractNumId w:val="9"/>
  </w:num>
  <w:num w:numId="19" w16cid:durableId="339964329">
    <w:abstractNumId w:val="4"/>
  </w:num>
  <w:num w:numId="20" w16cid:durableId="200822076">
    <w:abstractNumId w:val="18"/>
  </w:num>
  <w:num w:numId="21" w16cid:durableId="157113876">
    <w:abstractNumId w:val="7"/>
  </w:num>
  <w:num w:numId="22" w16cid:durableId="1671525274">
    <w:abstractNumId w:val="27"/>
  </w:num>
  <w:num w:numId="23" w16cid:durableId="1179539123">
    <w:abstractNumId w:val="11"/>
  </w:num>
  <w:num w:numId="24" w16cid:durableId="1386291791">
    <w:abstractNumId w:val="12"/>
  </w:num>
  <w:num w:numId="25" w16cid:durableId="784731979">
    <w:abstractNumId w:val="5"/>
  </w:num>
  <w:num w:numId="26" w16cid:durableId="23992695">
    <w:abstractNumId w:val="17"/>
  </w:num>
  <w:num w:numId="27" w16cid:durableId="2046640786">
    <w:abstractNumId w:val="15"/>
  </w:num>
  <w:num w:numId="28" w16cid:durableId="2118138222">
    <w:abstractNumId w:val="10"/>
  </w:num>
  <w:num w:numId="29" w16cid:durableId="2138987933">
    <w:abstractNumId w:val="25"/>
  </w:num>
  <w:num w:numId="30" w16cid:durableId="339964706">
    <w:abstractNumId w:val="26"/>
  </w:num>
  <w:num w:numId="31" w16cid:durableId="316497241">
    <w:abstractNumId w:val="24"/>
  </w:num>
  <w:num w:numId="32" w16cid:durableId="334917838">
    <w:abstractNumId w:val="13"/>
  </w:num>
  <w:num w:numId="33" w16cid:durableId="622275965">
    <w:abstractNumId w:val="23"/>
  </w:num>
  <w:num w:numId="34" w16cid:durableId="295843676">
    <w:abstractNumId w:val="8"/>
  </w:num>
  <w:num w:numId="35" w16cid:durableId="2009169806">
    <w:abstractNumId w:val="22"/>
  </w:num>
  <w:num w:numId="36" w16cid:durableId="534274190">
    <w:abstractNumId w:val="28"/>
  </w:num>
  <w:num w:numId="37" w16cid:durableId="802192195">
    <w:abstractNumId w:val="20"/>
  </w:num>
  <w:num w:numId="38" w16cid:durableId="3703488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B0ABB"/>
    <w:rsid w:val="000C2AAE"/>
    <w:rsid w:val="000D13B3"/>
    <w:rsid w:val="00101037"/>
    <w:rsid w:val="00103B17"/>
    <w:rsid w:val="00106362"/>
    <w:rsid w:val="00123AD0"/>
    <w:rsid w:val="00123E1F"/>
    <w:rsid w:val="001246B3"/>
    <w:rsid w:val="00136C78"/>
    <w:rsid w:val="001477DE"/>
    <w:rsid w:val="0015719E"/>
    <w:rsid w:val="00177486"/>
    <w:rsid w:val="001D1F23"/>
    <w:rsid w:val="001E7630"/>
    <w:rsid w:val="0021139D"/>
    <w:rsid w:val="0027130C"/>
    <w:rsid w:val="00277255"/>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32D07"/>
    <w:rsid w:val="00540CF2"/>
    <w:rsid w:val="00545461"/>
    <w:rsid w:val="005752CE"/>
    <w:rsid w:val="0058222E"/>
    <w:rsid w:val="005E5030"/>
    <w:rsid w:val="00686C25"/>
    <w:rsid w:val="006A3288"/>
    <w:rsid w:val="006B0E9F"/>
    <w:rsid w:val="006B4FEE"/>
    <w:rsid w:val="006C3AC4"/>
    <w:rsid w:val="006E6D9B"/>
    <w:rsid w:val="007115DA"/>
    <w:rsid w:val="00721886"/>
    <w:rsid w:val="00736184"/>
    <w:rsid w:val="00762556"/>
    <w:rsid w:val="0076567A"/>
    <w:rsid w:val="0077727E"/>
    <w:rsid w:val="007B33E6"/>
    <w:rsid w:val="007C5B18"/>
    <w:rsid w:val="007C702A"/>
    <w:rsid w:val="007E1A1D"/>
    <w:rsid w:val="00805ECB"/>
    <w:rsid w:val="00815604"/>
    <w:rsid w:val="00833F3B"/>
    <w:rsid w:val="00841B5A"/>
    <w:rsid w:val="008537E3"/>
    <w:rsid w:val="0085653A"/>
    <w:rsid w:val="0085672F"/>
    <w:rsid w:val="00874392"/>
    <w:rsid w:val="00885039"/>
    <w:rsid w:val="008E39CA"/>
    <w:rsid w:val="008F3FC3"/>
    <w:rsid w:val="00910DD0"/>
    <w:rsid w:val="009321E7"/>
    <w:rsid w:val="009771F1"/>
    <w:rsid w:val="009847F7"/>
    <w:rsid w:val="009E77AD"/>
    <w:rsid w:val="009F3A90"/>
    <w:rsid w:val="00A1437D"/>
    <w:rsid w:val="00A22D8C"/>
    <w:rsid w:val="00A411F2"/>
    <w:rsid w:val="00A802EF"/>
    <w:rsid w:val="00A9107A"/>
    <w:rsid w:val="00AB5F8B"/>
    <w:rsid w:val="00AE2ECB"/>
    <w:rsid w:val="00B26E25"/>
    <w:rsid w:val="00B60C9E"/>
    <w:rsid w:val="00B76DAD"/>
    <w:rsid w:val="00B773A4"/>
    <w:rsid w:val="00B81B1F"/>
    <w:rsid w:val="00B83621"/>
    <w:rsid w:val="00B92158"/>
    <w:rsid w:val="00B94790"/>
    <w:rsid w:val="00BA3870"/>
    <w:rsid w:val="00BA7F43"/>
    <w:rsid w:val="00BC48AE"/>
    <w:rsid w:val="00BF3A5C"/>
    <w:rsid w:val="00C12EC5"/>
    <w:rsid w:val="00C53FEB"/>
    <w:rsid w:val="00C61BDB"/>
    <w:rsid w:val="00C71F76"/>
    <w:rsid w:val="00CB6B0C"/>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B138CE-2AA5-4A5B-BD8B-79607F4AA56E}">
  <ds:schemaRefs>
    <ds:schemaRef ds:uri="http://schemas.openxmlformats.org/officeDocument/2006/bibliography"/>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1998</Words>
  <Characters>10994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Anapoima cundinamarca</cp:lastModifiedBy>
  <cp:revision>8</cp:revision>
  <cp:lastPrinted>2015-10-20T15:00:00Z</cp:lastPrinted>
  <dcterms:created xsi:type="dcterms:W3CDTF">2022-08-02T21:42:00Z</dcterms:created>
  <dcterms:modified xsi:type="dcterms:W3CDTF">2026-08-24T14:54:00Z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