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spacing w:after="120"/>
        <w:jc w:val="both"/>
      </w:pPr>
      <w:r>
        <w:rPr>
          <w:rFonts w:ascii="Arial" w:hAnsi="Arial"/>
          <w:b/>
          <w:sz w:val="22"/>
        </w:rPr>
        <w:t>CONTRATO No. USPEC-CTO-__________-2026</w:t>
      </w:r>
    </w:p>
    <w:p>
      <w:pPr>
        <w:spacing w:after="120"/>
        <w:jc w:val="both"/>
      </w:pPr>
      <w:r>
        <w:rPr>
          <w:rFonts w:ascii="Arial" w:hAnsi="Arial"/>
          <w:b w:val="0"/>
          <w:sz w:val="22"/>
        </w:rPr>
      </w:r>
    </w:p>
    <w:p>
      <w:pPr>
        <w:spacing w:after="120"/>
        <w:jc w:val="both"/>
      </w:pPr>
      <w:r>
        <w:rPr>
          <w:rFonts w:ascii="Arial" w:hAnsi="Arial"/>
          <w:b/>
          <w:sz w:val="22"/>
        </w:rPr>
        <w:t>OBJETO: “FORTALECIMIENTO DE LA SOLUCIÓN INTEGRAL DE CIBERSEGURIDAD PARA LA USPEC”.</w:t>
      </w:r>
    </w:p>
    <w:p>
      <w:pPr>
        <w:spacing w:after="120"/>
        <w:jc w:val="both"/>
      </w:pPr>
      <w:r>
        <w:rPr>
          <w:rFonts w:ascii="Arial" w:hAnsi="Arial"/>
          <w:b w:val="0"/>
          <w:sz w:val="22"/>
        </w:rPr>
      </w:r>
    </w:p>
    <w:p>
      <w:pPr>
        <w:spacing w:after="120"/>
        <w:jc w:val="both"/>
      </w:pPr>
      <w:r>
        <w:rPr>
          <w:rFonts w:ascii="Arial" w:hAnsi="Arial"/>
          <w:b w:val="0"/>
          <w:sz w:val="22"/>
        </w:rPr>
        <w:t>Entre los suscritos, ________________________________________, mayor de edad, identificado con la cédula de ciudadanía No. __________, actuando en calidad de ________________________________________, y quien para todos los efectos actúa en representación de la UNIDAD DE SERVICIOS PENITENCIARIOS Y CARCELARIOS – USPEC, identificada con NIT 900.523.392-1, por una parte; y por la otra, ________________________________________, identificado con NIT No. __________, representado legalmente por __________, identificado con cédula de ciudadanía No. __________, quien para los efectos del presente documento se denominará EL CONTRATISTA y declara que ni él, ni la sociedad que representa, se encuentran incursos en causal alguna de inhabilidad o incompatibilidad establecida por la ley, ni se encuentran reportados en el Boletín de Responsables Fiscales de la Contraloría General de la República, hemos convenido celebrar el presente CONTRATO, previas las siguientes:</w:t>
      </w:r>
    </w:p>
    <w:p>
      <w:pPr>
        <w:spacing w:after="120"/>
        <w:jc w:val="both"/>
      </w:pPr>
      <w:r>
        <w:rPr>
          <w:rFonts w:ascii="Arial" w:hAnsi="Arial"/>
          <w:b w:val="0"/>
          <w:sz w:val="22"/>
        </w:rPr>
      </w:r>
    </w:p>
    <w:p>
      <w:pPr>
        <w:spacing w:after="120"/>
        <w:jc w:val="both"/>
      </w:pPr>
      <w:r>
        <w:rPr>
          <w:rFonts w:ascii="Arial" w:hAnsi="Arial"/>
          <w:b/>
          <w:sz w:val="22"/>
        </w:rPr>
        <w:t>CONSIDERACIONES</w:t>
      </w:r>
    </w:p>
    <w:p>
      <w:pPr>
        <w:spacing w:after="120"/>
        <w:jc w:val="both"/>
      </w:pPr>
      <w:r>
        <w:rPr>
          <w:rFonts w:ascii="Arial" w:hAnsi="Arial"/>
          <w:b w:val="0"/>
          <w:sz w:val="22"/>
        </w:rPr>
      </w:r>
    </w:p>
    <w:p>
      <w:pPr>
        <w:spacing w:after="120"/>
        <w:jc w:val="both"/>
      </w:pPr>
      <w:r>
        <w:rPr>
          <w:rFonts w:ascii="Arial" w:hAnsi="Arial"/>
          <w:b w:val="0"/>
          <w:sz w:val="22"/>
        </w:rPr>
        <w:t>1. La Oficina de Tecnología remitió el memorando de necesidad USPEC-SA-SI-022-2026 (ID-247-2026-OTEC) del 23 de julio de 2026, con los estudios y documentos previos del proceso.</w:t>
      </w:r>
    </w:p>
    <w:p>
      <w:pPr>
        <w:spacing w:after="120"/>
        <w:jc w:val="both"/>
      </w:pPr>
      <w:r>
        <w:rPr>
          <w:rFonts w:ascii="Arial" w:hAnsi="Arial"/>
          <w:b w:val="0"/>
          <w:sz w:val="22"/>
        </w:rPr>
        <w:t>2. El proceso se adelantó por la modalidad de SELECCIÓN ABREVIADA POR SUBASTA INVERSA ELECTRÓNICA, de conformidad con el literal a) del numeral 2 del artículo 2 de la Ley 1150 de 2007 y con los artículos 2.2.1.2.1.2.1 y siguientes del Decreto 1082 de 2015, por tratarse de bienes y servicios de características técnicas uniformes y de común utilización.</w:t>
      </w:r>
    </w:p>
    <w:p>
      <w:pPr>
        <w:spacing w:after="120"/>
        <w:jc w:val="both"/>
      </w:pPr>
      <w:r>
        <w:rPr>
          <w:rFonts w:ascii="Arial" w:hAnsi="Arial"/>
          <w:b w:val="0"/>
          <w:sz w:val="22"/>
        </w:rPr>
        <w:t>3. Mediante Resolución No. __________ de __________ se dio apertura al proceso ID-247-2026-OTEC.</w:t>
      </w:r>
    </w:p>
    <w:p>
      <w:pPr>
        <w:spacing w:after="120"/>
        <w:jc w:val="both"/>
      </w:pPr>
      <w:r>
        <w:rPr>
          <w:rFonts w:ascii="Arial" w:hAnsi="Arial"/>
          <w:b w:val="0"/>
          <w:sz w:val="22"/>
        </w:rPr>
        <w:t>4. El evento de subasta inversa electrónica se surtió el __________ en la plataforma SECOP II, y el último lance válido del adjudicatario fue de $__________.</w:t>
      </w:r>
    </w:p>
    <w:p>
      <w:pPr>
        <w:spacing w:after="120"/>
        <w:jc w:val="both"/>
      </w:pPr>
      <w:r>
        <w:rPr>
          <w:rFonts w:ascii="Arial" w:hAnsi="Arial"/>
          <w:b w:val="0"/>
          <w:sz w:val="22"/>
        </w:rPr>
        <w:t>5. Mediante Resolución No. __________ de __________ se adjudicó el proceso.</w:t>
      </w:r>
    </w:p>
    <w:p>
      <w:pPr>
        <w:spacing w:after="120"/>
        <w:jc w:val="both"/>
      </w:pPr>
      <w:r>
        <w:rPr>
          <w:rFonts w:ascii="Arial" w:hAnsi="Arial"/>
          <w:b w:val="0"/>
          <w:sz w:val="22"/>
        </w:rPr>
        <w:t>6. LA USPEC dio cumplimiento a las disposiciones consagradas en la Ley 80 de 1993, la Ley 1150 de 2007, el Decreto 1082 de 2015 y demás disposiciones reglamentarias y complementarias.</w:t>
      </w:r>
    </w:p>
    <w:p>
      <w:pPr>
        <w:spacing w:after="120"/>
        <w:jc w:val="both"/>
      </w:pPr>
      <w:r>
        <w:rPr>
          <w:rFonts w:ascii="Arial" w:hAnsi="Arial"/>
          <w:b w:val="0"/>
          <w:sz w:val="22"/>
        </w:rPr>
      </w:r>
    </w:p>
    <w:p>
      <w:pPr>
        <w:spacing w:after="120"/>
        <w:jc w:val="both"/>
      </w:pPr>
      <w:r>
        <w:rPr>
          <w:rFonts w:ascii="Arial" w:hAnsi="Arial"/>
          <w:b/>
          <w:sz w:val="22"/>
        </w:rPr>
        <w:t>CLÁUSULAS:</w:t>
      </w:r>
    </w:p>
    <w:p>
      <w:pPr>
        <w:spacing w:after="120"/>
        <w:jc w:val="both"/>
      </w:pPr>
      <w:r>
        <w:rPr>
          <w:rFonts w:ascii="Arial" w:hAnsi="Arial"/>
          <w:b w:val="0"/>
          <w:sz w:val="22"/>
        </w:rPr>
      </w:r>
    </w:p>
    <w:p>
      <w:pPr>
        <w:spacing w:after="120"/>
        <w:jc w:val="both"/>
      </w:pPr>
      <w:r>
        <w:rPr>
          <w:rFonts w:ascii="Arial" w:hAnsi="Arial"/>
          <w:b/>
          <w:sz w:val="22"/>
        </w:rPr>
        <w:t>PRIMERA – OBJETO: FORTALECIMIENTO DE LA SOLUCIÓN INTEGRAL DE CIBERSEGURIDAD PARA LA USPEC.</w:t>
      </w:r>
    </w:p>
    <w:p>
      <w:pPr>
        <w:spacing w:after="120"/>
        <w:jc w:val="both"/>
      </w:pPr>
      <w:r>
        <w:rPr>
          <w:rFonts w:ascii="Arial" w:hAnsi="Arial"/>
          <w:b w:val="0"/>
          <w:sz w:val="22"/>
        </w:rPr>
        <w:t>PARÁGRAFO – DOCUMENTOS DEL CONTRATO: Hacen parte integral del presente contrato, y obligan a las partes en su integridad, los siguientes documentos: el estudio previo y sus anexos; el estudio del sector; el ANEXO TÉCNICO; el ANEXO DE CONDICIONES GENERALES DE PARTICIPACIÓN y sus adendas; el ANEXO MATRIZ DE RIESGOS; el ANEXO ANS; el ANEXO DE OFERTA ECONÓMICA diligenciado y suscrito por el CONTRATISTA con la desagregación por ítem del valor adjudicado; la oferta presentada y los lances del evento de subasta; el informe de evaluación; el acto de adjudicación; y los demás documentos que obren en el expediente contractual. En caso de discrepancia entre ellos prevalecerá, en su orden, el presente contrato, el ANEXO DE CONDICIONES GENERALES DE PARTICIPACIÓN con sus adendas, el estudio previo con sus anexos y la oferta del CONTRATISTA.</w:t>
      </w:r>
    </w:p>
    <w:p>
      <w:pPr>
        <w:spacing w:after="120"/>
        <w:jc w:val="both"/>
      </w:pPr>
      <w:r>
        <w:rPr>
          <w:rFonts w:ascii="Arial" w:hAnsi="Arial"/>
          <w:b w:val="0"/>
          <w:sz w:val="22"/>
        </w:rPr>
      </w:r>
    </w:p>
    <w:p>
      <w:pPr>
        <w:spacing w:after="120"/>
        <w:jc w:val="both"/>
      </w:pPr>
      <w:r>
        <w:rPr>
          <w:rFonts w:ascii="Arial" w:hAnsi="Arial"/>
          <w:b/>
          <w:sz w:val="22"/>
        </w:rPr>
        <w:t>SEGUNDA – ALCANCE DEL OBJETO: Comprende la renovación del licenciamiento y del soporte de la plataforma de seguridad perimetral de propiedad de la Entidad, la renovación del licenciamiento de la plataforma de reportería de ciberseguridad, y la adquisición del licenciamiento de la solución integral de detección y respuesta para punto final, de la solución de multifactor de autenticación y de la solución de simulación de phishing, junto con el soporte del CONTRATISTA sobre la totalidad de los productos renovados y adquiridos, en las condiciones, cantidades y patrones de desempeño mínimos señalados en el ANEXO TÉCNICO, que hace parte integral del presente contrato.</w:t>
      </w:r>
    </w:p>
    <w:p>
      <w:pPr>
        <w:spacing w:after="120"/>
        <w:jc w:val="both"/>
      </w:pPr>
      <w:r>
        <w:rPr>
          <w:rFonts w:ascii="Arial" w:hAnsi="Arial"/>
          <w:b w:val="0"/>
          <w:sz w:val="22"/>
        </w:rPr>
      </w:r>
    </w:p>
    <w:p>
      <w:pPr>
        <w:spacing w:after="120"/>
        <w:jc w:val="both"/>
      </w:pPr>
      <w:r>
        <w:rPr>
          <w:rFonts w:ascii="Arial" w:hAnsi="Arial"/>
          <w:b/>
          <w:sz w:val="22"/>
        </w:rPr>
        <w:t>TERCERA – PLAZO DE EJECUCIÓN: El plazo de ejecución del contrato será hasta el 31 de diciembre de 2026, contado a partir de la suscripción del acta de inicio, previo cumplimiento de los requisitos de perfeccionamiento y ejecución. El licenciamiento objeto de los ítems 1 a 5 se entrega como bien con vigencia mínima hasta el 30 de septiembre de 2027, de modo que su vigencia se extiende más allá del plazo de ejecución; el correcto funcionamiento del licenciamiento durante ese lapso queda amparado por la garantía de calidad, cuya vigencia se extiende doce (12) meses más allá del plazo de ejecución.</w:t>
      </w:r>
    </w:p>
    <w:p>
      <w:pPr>
        <w:spacing w:after="120"/>
        <w:jc w:val="both"/>
      </w:pPr>
      <w:r>
        <w:rPr>
          <w:rFonts w:ascii="Arial" w:hAnsi="Arial"/>
          <w:b w:val="0"/>
          <w:sz w:val="22"/>
        </w:rPr>
      </w:r>
    </w:p>
    <w:p>
      <w:pPr>
        <w:spacing w:after="120"/>
        <w:jc w:val="both"/>
      </w:pPr>
      <w:r>
        <w:rPr>
          <w:rFonts w:ascii="Arial" w:hAnsi="Arial"/>
          <w:b/>
          <w:sz w:val="22"/>
        </w:rPr>
        <w:t>CUARTA – VALOR: El valor del presente contrato es de ________________________________________ PESOS M/CTE ($__________). incluido el impuesto sobre las ventas y todos los impuestos. tasas. contribuciones. costos directos e indirectos y el costo de las garantías a que haya lugar. El valor corresponde al último lance válido presentado por el CONTRATISTA en el evento de subasta inversa electrónica del proceso ID-247-2026-OTEC y su desagregación por ítem consta en el ANEXO DE OFERTA ECONÓMICA suscrito por el representante legal. que hace parte integral de este contrato. El presupuesto oficial estimado del proceso fue de $ 613.388.932 con IVA incluido, con cargo al certificado de disponibilidad presupuestal No. 53826 del 22 de julio de 2026, posición de catálogo de gasto A-02-02-02-008-004, dependencia 140 OTEC – Oficina de Tecnología, recurso Nación CSF.</w:t>
      </w:r>
    </w:p>
    <w:p>
      <w:pPr>
        <w:spacing w:after="120"/>
        <w:jc w:val="both"/>
      </w:pPr>
      <w:r>
        <w:rPr>
          <w:rFonts w:ascii="Arial" w:hAnsi="Arial"/>
          <w:b w:val="0"/>
          <w:sz w:val="22"/>
        </w:rPr>
        <w:t>PARÁGRAFO: Los ítems 1 y 6 se encuentran gravados con el impuesto sobre las ventas a la tarifa general; los ítems 2, 3, 4 y 5 se encuentran excluidos, conforme al numeral 24 del artículo 476 del Estatuto Tributario. Las tarifas fueron fijadas por la Entidad en el ANEXO DE OFERTA ECONÓMICA y aplicadas por igual a todos los proponentes.</w:t>
      </w:r>
    </w:p>
    <w:p>
      <w:pPr>
        <w:spacing w:after="120"/>
        <w:jc w:val="both"/>
      </w:pPr>
      <w:r>
        <w:rPr>
          <w:rFonts w:ascii="Arial" w:hAnsi="Arial"/>
          <w:b w:val="0"/>
          <w:sz w:val="22"/>
        </w:rPr>
      </w:r>
    </w:p>
    <w:p>
      <w:pPr>
        <w:spacing w:after="120"/>
        <w:jc w:val="both"/>
      </w:pPr>
      <w:r>
        <w:rPr>
          <w:rFonts w:ascii="Arial" w:hAnsi="Arial"/>
          <w:b/>
          <w:sz w:val="22"/>
        </w:rPr>
        <w:t>QUINTA – LUGAR DE EJECUCIÓN: El lugar de ejecución del contrato será la ciudad de Bogotá D.C., en las instalaciones de la Unidad de Servicios Penitenciarios y Carcelarios – USPEC, Avenida Calle 26 No. 69 - 76, Edificio Elemento, Torre 4 Agua, pisos 12 y 13, sin perjuicio de las actividades que deban adelantarse de manera remota sobre la plataforma de ciberseguridad de la Entidad.</w:t>
      </w:r>
    </w:p>
    <w:p>
      <w:pPr>
        <w:spacing w:after="120"/>
        <w:jc w:val="both"/>
      </w:pPr>
      <w:r>
        <w:rPr>
          <w:rFonts w:ascii="Arial" w:hAnsi="Arial"/>
          <w:b w:val="0"/>
          <w:sz w:val="22"/>
        </w:rPr>
      </w:r>
    </w:p>
    <w:p>
      <w:pPr>
        <w:spacing w:after="120"/>
        <w:jc w:val="both"/>
      </w:pPr>
      <w:r>
        <w:rPr>
          <w:rFonts w:ascii="Arial" w:hAnsi="Arial"/>
          <w:b/>
          <w:sz w:val="22"/>
        </w:rPr>
        <w:t>SEXTA – FORMA DE PAGO: La Unidad de Servicios Penitenciarios y Carcelarios – USPEC realizará UN ÚNICO PAGO correspondiente al total del licenciamiento y de los servicios efectivamente adquiridos, conforme al valor de la cláusula cuarta y a la desagregación por ítem suscrita por el CONTRATISTA. El pago se efectuará una vez el CONTRATISTA entregue la transferencia de conocimiento, el certificado de licenciamiento válido como mínimo hasta el 30 de septiembre de 2027 a nombre de la Unidad de Servicios Penitenciarios y Carcelarios – USPEC y todo lo relacionado con la implementación y ejecución del ANEXO TÉCNICO, junto con el reporte de entrega verificado por el supervisor del contrato.</w:t>
      </w:r>
    </w:p>
    <w:p>
      <w:pPr>
        <w:spacing w:after="120"/>
        <w:jc w:val="both"/>
      </w:pPr>
      <w:r>
        <w:rPr>
          <w:rFonts w:ascii="Arial" w:hAnsi="Arial"/>
          <w:b w:val="0"/>
          <w:sz w:val="22"/>
        </w:rPr>
        <w:t>El pago se realizará previa certificación de cumplimiento y recibo a satisfacción por parte del supervisor del contrato, sin perjuicio de la responsabilidad que asiste al CONTRATISTA de cumplir con las actividades periódicas que deban realizarse durante la ejecución del contrato. La factura será cancelada dentro de los treinta (30) días siguientes a la fecha de su radicación, previa aprobación de la Dirección Administrativa y Financiera y disponibilidad del PAC.</w:t>
      </w:r>
    </w:p>
    <w:p>
      <w:pPr>
        <w:spacing w:after="120"/>
        <w:jc w:val="both"/>
      </w:pPr>
      <w:r>
        <w:rPr>
          <w:rFonts w:ascii="Arial" w:hAnsi="Arial"/>
          <w:b w:val="0"/>
          <w:sz w:val="22"/>
        </w:rPr>
        <w:t>PARÁGRAFO PRIMERO: La USPEC practicará los descuentos legales en los porcentajes vigentes y los derivados de los Acuerdos de Niveles de Servicio del ANEXO ANS, con el tope acumulado del diez por ciento (10%) del valor del contrato allí previsto.</w:t>
      </w:r>
    </w:p>
    <w:p>
      <w:pPr>
        <w:spacing w:after="120"/>
        <w:jc w:val="both"/>
      </w:pPr>
      <w:r>
        <w:rPr>
          <w:rFonts w:ascii="Arial" w:hAnsi="Arial"/>
          <w:b w:val="0"/>
          <w:sz w:val="22"/>
        </w:rPr>
        <w:t>PARÁGRAFO SEGUNDO: Como el pago se tramita una vez entregado y activado el licenciamiento, mientras que las obligaciones de soporte, informes y niveles de servicio se extienden hasta la terminación del contrato, los descuentos causados antes del trámite del pago se deducen de él, y los causados con posterioridad al pago se cuantifican con las mismas reglas y con el mismo tope y se hacen efectivos mediante el procedimiento del artículo 86 de la Ley 1474 de 2011, con cargo al amparo de cumplimiento de la garantía única. El momento del pago no altera la consecuencia del incumplimiento.</w:t>
      </w:r>
    </w:p>
    <w:p>
      <w:pPr>
        <w:spacing w:after="120"/>
        <w:jc w:val="both"/>
      </w:pPr>
      <w:r>
        <w:rPr>
          <w:rFonts w:ascii="Arial" w:hAnsi="Arial"/>
          <w:b w:val="0"/>
          <w:sz w:val="22"/>
        </w:rPr>
      </w:r>
    </w:p>
    <w:p>
      <w:pPr>
        <w:spacing w:after="120"/>
        <w:jc w:val="both"/>
      </w:pPr>
      <w:r>
        <w:rPr>
          <w:rFonts w:ascii="Arial" w:hAnsi="Arial"/>
          <w:b/>
          <w:sz w:val="22"/>
        </w:rPr>
        <w:t>SÉPTIMA – REQUISITOS PARA EL PAGO: Para el trámite del pago, el CONTRATISTA deberá cumplir con los siguientes requisitos:</w:t>
      </w:r>
    </w:p>
    <w:p>
      <w:pPr>
        <w:spacing w:after="120"/>
        <w:jc w:val="both"/>
      </w:pPr>
      <w:r>
        <w:rPr>
          <w:rFonts w:ascii="Arial" w:hAnsi="Arial"/>
          <w:b w:val="0"/>
          <w:sz w:val="22"/>
        </w:rPr>
        <w:t>1. Incluir en el SIIF Nación la factura por el valor del contrato, conforme a la oferta económica definitiva del proceso.</w:t>
      </w:r>
    </w:p>
    <w:p>
      <w:pPr>
        <w:spacing w:after="120"/>
        <w:jc w:val="both"/>
      </w:pPr>
      <w:r>
        <w:rPr>
          <w:rFonts w:ascii="Arial" w:hAnsi="Arial"/>
          <w:b w:val="0"/>
          <w:sz w:val="22"/>
        </w:rPr>
        <w:t>2. Cargar en la plataforma de Central de Cuentas de la USPEC la certificación bancaria, el RUT actualizado, el certificado de cámara de comercio, la fotocopia de la cédula del CONTRATISTA o de su representante legal, la fotocopia de la cédula del revisor fiscal, la copia de la oferta económica final y la factura electrónica original.</w:t>
      </w:r>
    </w:p>
    <w:p>
      <w:pPr>
        <w:spacing w:after="120"/>
        <w:jc w:val="both"/>
      </w:pPr>
      <w:r>
        <w:rPr>
          <w:rFonts w:ascii="Arial" w:hAnsi="Arial"/>
          <w:b w:val="0"/>
          <w:sz w:val="22"/>
        </w:rPr>
        <w:t>3. Aportar la certificación de pago de los aportes al Sistema General de Seguridad Social y parafiscales, conforme al artículo 50 de la Ley 789 de 2002 y a la Ley 1150 de 2007.</w:t>
      </w:r>
    </w:p>
    <w:p>
      <w:pPr>
        <w:spacing w:after="120"/>
        <w:jc w:val="both"/>
      </w:pPr>
      <w:r>
        <w:rPr>
          <w:rFonts w:ascii="Arial" w:hAnsi="Arial"/>
          <w:b w:val="0"/>
          <w:sz w:val="22"/>
        </w:rPr>
        <w:t>4. Aportar el certificado y el acta de recibo a satisfacción de los bienes y servicios contratados, suscrita por la Entidad y el CONTRATISTA, conforme a los formatos vigentes en la USPEC.</w:t>
      </w:r>
    </w:p>
    <w:p>
      <w:pPr>
        <w:spacing w:after="120"/>
        <w:jc w:val="both"/>
      </w:pPr>
      <w:r>
        <w:rPr>
          <w:rFonts w:ascii="Arial" w:hAnsi="Arial"/>
          <w:b w:val="0"/>
          <w:sz w:val="22"/>
        </w:rPr>
        <w:t>5. Aportar el ANEXO DE OFERTA ECONÓMICA con la desagregación del valor adjudicado por ítem, debidamente diligenciado y suscrito por el representante legal, como soporte del ingreso al almacén y de la ejecución presupuestal.</w:t>
      </w:r>
    </w:p>
    <w:p>
      <w:pPr>
        <w:spacing w:after="120"/>
        <w:jc w:val="both"/>
      </w:pPr>
      <w:r>
        <w:rPr>
          <w:rFonts w:ascii="Arial" w:hAnsi="Arial"/>
          <w:b w:val="0"/>
          <w:sz w:val="22"/>
        </w:rPr>
        <w:t>Si los documentos para el pago son devueltos por la USPEC por inconsistencias como la falta de información o el mal diligenciamiento de estos, el término de treinta (30) días calendario para el pago empezará a contarse a partir de la aprobación de la nueva factura.</w:t>
      </w:r>
    </w:p>
    <w:p>
      <w:pPr>
        <w:spacing w:after="120"/>
        <w:jc w:val="both"/>
      </w:pPr>
      <w:r>
        <w:rPr>
          <w:rFonts w:ascii="Arial" w:hAnsi="Arial"/>
          <w:b w:val="0"/>
          <w:sz w:val="22"/>
        </w:rPr>
        <w:t>CUENTA PARA PAGOS: El pago aquí previsto se acreditará a favor del CONTRATISTA en la cuenta bancaria registrada en el SIIF Nación. En todo caso, el CONTRATISTA deberá anexar la correspondiente certificación bancaria acompañada del Formato de Información de Terceros del Ministerio de Hacienda y Crédito Público, a su nombre.</w:t>
      </w:r>
    </w:p>
    <w:p>
      <w:pPr>
        <w:spacing w:after="120"/>
        <w:jc w:val="both"/>
      </w:pPr>
      <w:r>
        <w:rPr>
          <w:rFonts w:ascii="Arial" w:hAnsi="Arial"/>
          <w:b w:val="0"/>
          <w:sz w:val="22"/>
        </w:rPr>
      </w:r>
    </w:p>
    <w:p>
      <w:pPr>
        <w:spacing w:after="120"/>
        <w:jc w:val="both"/>
      </w:pPr>
      <w:r>
        <w:rPr>
          <w:rFonts w:ascii="Arial" w:hAnsi="Arial"/>
          <w:b/>
          <w:sz w:val="22"/>
        </w:rPr>
        <w:t>OCTAVA – SUJECIÓN A LAS APROPIACIONES PRESUPUESTALES: Las sumas de dinero que la UNIDAD DE SERVICIOS PENITENCIARIOS Y CARCELARIOS - USPEC se obliga a pagar al contratista, se subordinan a las apropiaciones presupuestales de la vigencia fiscal del año 2026.</w:t>
      </w:r>
    </w:p>
    <w:p>
      <w:pPr>
        <w:spacing w:after="120"/>
        <w:jc w:val="both"/>
      </w:pPr>
      <w:r>
        <w:rPr>
          <w:rFonts w:ascii="Arial" w:hAnsi="Arial"/>
          <w:b w:val="0"/>
          <w:sz w:val="22"/>
        </w:rPr>
        <w:t>PARÁGRAFO PRIMERO: Para atender los gastos de la presente contratación, la USPEC cuenta con el Certificado de Disponibilidad Presupuestal 39726 del 2 de junio de 2026.</w:t>
      </w:r>
    </w:p>
    <w:p>
      <w:pPr>
        <w:spacing w:after="120"/>
        <w:jc w:val="both"/>
      </w:pPr>
      <w:r>
        <w:rPr>
          <w:rFonts w:ascii="Arial" w:hAnsi="Arial"/>
          <w:b w:val="0"/>
          <w:sz w:val="22"/>
        </w:rPr>
      </w:r>
    </w:p>
    <w:p>
      <w:pPr>
        <w:spacing w:after="120"/>
        <w:jc w:val="both"/>
      </w:pPr>
      <w:r>
        <w:rPr>
          <w:rFonts w:ascii="Arial" w:hAnsi="Arial"/>
          <w:b/>
          <w:sz w:val="22"/>
        </w:rPr>
        <w:t>NOVENA – CESIÓN: El CONTRATISTA no podrá ceder el presente, salvo las excepciones que contempla la Ley 80 de 1993, sin la aprobación previa y expresa de la UNIDAD DE SERVICIOS PENITENCIARIOS Y CARCELARIOS - USPEC, la cual puede negar mediante acto administrativo debidamente motivado.</w:t>
      </w:r>
    </w:p>
    <w:p>
      <w:pPr>
        <w:spacing w:after="120"/>
        <w:jc w:val="both"/>
      </w:pPr>
      <w:r>
        <w:rPr>
          <w:rFonts w:ascii="Arial" w:hAnsi="Arial"/>
          <w:b w:val="0"/>
          <w:sz w:val="22"/>
        </w:rPr>
      </w:r>
    </w:p>
    <w:p>
      <w:pPr>
        <w:spacing w:after="120"/>
        <w:jc w:val="both"/>
      </w:pPr>
      <w:r>
        <w:rPr>
          <w:rFonts w:ascii="Arial" w:hAnsi="Arial"/>
          <w:b/>
          <w:sz w:val="22"/>
        </w:rPr>
        <w:t>DÉCIMA – DOMICILIO: Para efectos del presente contrato se tendrá como domicilio la ciudad de Bogotá D.C., Colombia.</w:t>
      </w:r>
    </w:p>
    <w:p>
      <w:pPr>
        <w:spacing w:after="120"/>
        <w:jc w:val="both"/>
      </w:pPr>
      <w:r>
        <w:rPr>
          <w:rFonts w:ascii="Arial" w:hAnsi="Arial"/>
          <w:b w:val="0"/>
          <w:sz w:val="22"/>
        </w:rPr>
      </w:r>
    </w:p>
    <w:p>
      <w:pPr>
        <w:spacing w:after="120"/>
        <w:jc w:val="both"/>
      </w:pPr>
      <w:r>
        <w:rPr>
          <w:rFonts w:ascii="Arial" w:hAnsi="Arial"/>
          <w:b/>
          <w:sz w:val="22"/>
        </w:rPr>
        <w:t>DÉCIMA PRIMERA – OBLIGACIONES GENERALES DEL CONTRATISTA:</w:t>
      </w:r>
    </w:p>
    <w:p>
      <w:pPr>
        <w:spacing w:after="120"/>
        <w:jc w:val="both"/>
      </w:pPr>
      <w:r>
        <w:rPr>
          <w:rFonts w:ascii="Arial" w:hAnsi="Arial"/>
          <w:b w:val="0"/>
          <w:sz w:val="22"/>
        </w:rPr>
        <w:t>1. Realizar la suscripción del acta de inicio.</w:t>
      </w:r>
    </w:p>
    <w:p>
      <w:pPr>
        <w:spacing w:after="120"/>
        <w:jc w:val="both"/>
      </w:pPr>
      <w:r>
        <w:rPr>
          <w:rFonts w:ascii="Arial" w:hAnsi="Arial"/>
          <w:b w:val="0"/>
          <w:sz w:val="22"/>
        </w:rPr>
        <w:t>2. Realizar la constitución de las garantías y publicarlas en la plataforma SECOP II dentro del término establecido.</w:t>
      </w:r>
    </w:p>
    <w:p>
      <w:pPr>
        <w:spacing w:after="120"/>
        <w:jc w:val="both"/>
      </w:pPr>
      <w:r>
        <w:rPr>
          <w:rFonts w:ascii="Arial" w:hAnsi="Arial"/>
          <w:b w:val="0"/>
          <w:sz w:val="22"/>
        </w:rPr>
        <w:t>3. Cumplir con lo establecido en las políticas de tratamiento de datos personales, de seguridad y privacidad de la información y demás lineamientos internos para la continuidad de la operación de los servicios y el tratamiento de la información de la Entidad.</w:t>
      </w:r>
    </w:p>
    <w:p>
      <w:pPr>
        <w:spacing w:after="120"/>
        <w:jc w:val="both"/>
      </w:pPr>
      <w:r>
        <w:rPr>
          <w:rFonts w:ascii="Arial" w:hAnsi="Arial"/>
          <w:b w:val="0"/>
          <w:sz w:val="22"/>
        </w:rPr>
        <w:t>4. Salvaguardar los activos de información de la Unidad de Servicios Penitenciarios y Carcelarios – USPEC.</w:t>
      </w:r>
    </w:p>
    <w:p>
      <w:pPr>
        <w:spacing w:after="120"/>
        <w:jc w:val="both"/>
      </w:pPr>
      <w:r>
        <w:rPr>
          <w:rFonts w:ascii="Arial" w:hAnsi="Arial"/>
          <w:b w:val="0"/>
          <w:sz w:val="22"/>
        </w:rPr>
        <w:t>5. Suscribir el formato de confidencialidad y no divulgación definido por la Oficina de Tecnología, por parte de todo el personal relacionado con el proyecto, tanto directo como de proveedores aliados. Este acuerdo deberá cubrir toda la vigencia del contrato e incluso el tiempo de licenciamiento.</w:t>
      </w:r>
    </w:p>
    <w:p>
      <w:pPr>
        <w:spacing w:after="120"/>
        <w:jc w:val="both"/>
      </w:pPr>
      <w:r>
        <w:rPr>
          <w:rFonts w:ascii="Arial" w:hAnsi="Arial"/>
          <w:b w:val="0"/>
          <w:sz w:val="22"/>
        </w:rPr>
        <w:t>6. Aceptar y cumplir las políticas de seguridad y privacidad de la información y los lineamientos del Sistema de Gestión de Seguridad de la Información – SGSI adoptados mediante la Resolución 008 de 2025 y demás actos que la modifiquen o sustituyan.</w:t>
      </w:r>
    </w:p>
    <w:p>
      <w:pPr>
        <w:spacing w:after="120"/>
        <w:jc w:val="both"/>
      </w:pPr>
      <w:r>
        <w:rPr>
          <w:rFonts w:ascii="Arial" w:hAnsi="Arial"/>
          <w:b w:val="0"/>
          <w:sz w:val="22"/>
        </w:rPr>
        <w:t>7. Cumplir a cabalidad con lo establecido en el objeto descrito en el presente documento, en los términos y condiciones aquí pactadas y lo señalado en su propuesta, observando en todo momento la Constitución Política, las leyes colombianas y el régimen de contratación pública.</w:t>
      </w:r>
    </w:p>
    <w:p>
      <w:pPr>
        <w:spacing w:after="120"/>
        <w:jc w:val="both"/>
      </w:pPr>
      <w:r>
        <w:rPr>
          <w:rFonts w:ascii="Arial" w:hAnsi="Arial"/>
          <w:b w:val="0"/>
          <w:sz w:val="22"/>
        </w:rPr>
        <w:t>8. Ejercer la dirección y el control propio de todas las actividades encomendadas, en forma oportuna y dentro del término establecido.</w:t>
      </w:r>
    </w:p>
    <w:p>
      <w:pPr>
        <w:spacing w:after="120"/>
        <w:jc w:val="both"/>
      </w:pPr>
      <w:r>
        <w:rPr>
          <w:rFonts w:ascii="Arial" w:hAnsi="Arial"/>
          <w:b w:val="0"/>
          <w:sz w:val="22"/>
        </w:rPr>
        <w:t>9. Responder, sin perjuicio de la respectiva garantía, por el cumplimiento y la calidad de los bienes y servicios, por el término previsto en el contrato.</w:t>
      </w:r>
    </w:p>
    <w:p>
      <w:pPr>
        <w:spacing w:after="120"/>
        <w:jc w:val="both"/>
      </w:pPr>
      <w:r>
        <w:rPr>
          <w:rFonts w:ascii="Arial" w:hAnsi="Arial"/>
          <w:b w:val="0"/>
          <w:sz w:val="22"/>
        </w:rPr>
        <w:t>10. Responder ante terceros por los daños que se ocasionen y que provengan de causas que le sean imputables.</w:t>
      </w:r>
    </w:p>
    <w:p>
      <w:pPr>
        <w:spacing w:after="120"/>
        <w:jc w:val="both"/>
      </w:pPr>
      <w:r>
        <w:rPr>
          <w:rFonts w:ascii="Arial" w:hAnsi="Arial"/>
          <w:b w:val="0"/>
          <w:sz w:val="22"/>
        </w:rPr>
        <w:t>11. Atender los requerimientos, instrucciones y recomendaciones que durante el desarrollo del contrato le imparta el supervisor del contrato o quien designe la Entidad.</w:t>
      </w:r>
    </w:p>
    <w:p>
      <w:pPr>
        <w:spacing w:after="120"/>
        <w:jc w:val="both"/>
      </w:pPr>
      <w:r>
        <w:rPr>
          <w:rFonts w:ascii="Arial" w:hAnsi="Arial"/>
          <w:b w:val="0"/>
          <w:sz w:val="22"/>
        </w:rPr>
        <w:t>12. Presentar la factura electrónica previamente validada por la DIAN, como requisito necesario para el pago de los bienes y servicios contratados, conforme al Decreto 358 del 5 de marzo de 2020 y a la Resolución 000042 del 5 de mayo de 2020, en los casos en que aplique.</w:t>
      </w:r>
    </w:p>
    <w:p>
      <w:pPr>
        <w:spacing w:after="120"/>
        <w:jc w:val="both"/>
      </w:pPr>
      <w:r>
        <w:rPr>
          <w:rFonts w:ascii="Arial" w:hAnsi="Arial"/>
          <w:b w:val="0"/>
          <w:sz w:val="22"/>
        </w:rPr>
        <w:t>13. Cumplir con la certificación de pago de los aportes al Sistema General de Seguridad Social y parafiscales, conforme al artículo 50 de la Ley 789 de 2002 y a la Ley 1150 de 2007.</w:t>
      </w:r>
    </w:p>
    <w:p>
      <w:pPr>
        <w:spacing w:after="120"/>
        <w:jc w:val="both"/>
      </w:pPr>
      <w:r>
        <w:rPr>
          <w:rFonts w:ascii="Arial" w:hAnsi="Arial"/>
          <w:b w:val="0"/>
          <w:sz w:val="22"/>
        </w:rPr>
        <w:t>14. Ejecutar el contrato atendiendo los reglamentos de riesgos laborales y proporcionar al personal destinado a su ejecución los elementos necesarios para el desarrollo de sus funciones.</w:t>
      </w:r>
    </w:p>
    <w:p>
      <w:pPr>
        <w:spacing w:after="120"/>
        <w:jc w:val="both"/>
      </w:pPr>
      <w:r>
        <w:rPr>
          <w:rFonts w:ascii="Arial" w:hAnsi="Arial"/>
          <w:b w:val="0"/>
          <w:sz w:val="22"/>
        </w:rPr>
        <w:t>15. Las demás obligaciones que por la naturaleza del contrato el contratista esté obligado a cumplir.</w:t>
      </w:r>
    </w:p>
    <w:p>
      <w:pPr>
        <w:spacing w:after="120"/>
        <w:jc w:val="both"/>
      </w:pPr>
      <w:r>
        <w:rPr>
          <w:rFonts w:ascii="Arial" w:hAnsi="Arial"/>
          <w:b w:val="0"/>
          <w:sz w:val="22"/>
        </w:rPr>
      </w:r>
    </w:p>
    <w:p>
      <w:pPr>
        <w:spacing w:after="120"/>
        <w:jc w:val="both"/>
      </w:pPr>
      <w:r>
        <w:rPr>
          <w:rFonts w:ascii="Arial" w:hAnsi="Arial"/>
          <w:b/>
          <w:sz w:val="22"/>
        </w:rPr>
        <w:t>DÉCIMA SEGUNDA – OBLIGACIONES ESPECÍFICAS DEL CONTRATISTA:</w:t>
      </w:r>
    </w:p>
    <w:p>
      <w:pPr>
        <w:spacing w:after="120"/>
        <w:jc w:val="both"/>
      </w:pPr>
      <w:r>
        <w:rPr>
          <w:rFonts w:ascii="Arial" w:hAnsi="Arial"/>
          <w:b w:val="0"/>
          <w:sz w:val="22"/>
        </w:rPr>
        <w:t>1. Emplear todos los recursos técnicos, económicos, físicos y logísticos necesarios para garantizar el normal desarrollo del objeto contractual.</w:t>
      </w:r>
    </w:p>
    <w:p>
      <w:pPr>
        <w:spacing w:after="120"/>
        <w:jc w:val="both"/>
      </w:pPr>
      <w:r>
        <w:rPr>
          <w:rFonts w:ascii="Arial" w:hAnsi="Arial"/>
          <w:b w:val="0"/>
          <w:sz w:val="22"/>
        </w:rPr>
        <w:t>2. Garantizar el funcionamiento continuo y la operatividad de la solución ofertada. En caso de presentarse fallas o incidentes, dar respuesta de acuerdo con los tiempos estipulados en el Anexo ANS.</w:t>
      </w:r>
    </w:p>
    <w:p>
      <w:pPr>
        <w:spacing w:after="120"/>
        <w:jc w:val="both"/>
      </w:pPr>
      <w:r>
        <w:rPr>
          <w:rFonts w:ascii="Arial" w:hAnsi="Arial"/>
          <w:b w:val="0"/>
          <w:sz w:val="22"/>
        </w:rPr>
        <w:t>3. Entregar al supervisor del contrato el informe de las actividades realizadas durante el mes o periodo, al igual que los informes que se soliciten sobre cualquier aspecto y resultados obtenidos.</w:t>
      </w:r>
    </w:p>
    <w:p>
      <w:pPr>
        <w:spacing w:after="120"/>
        <w:jc w:val="both"/>
      </w:pPr>
      <w:r>
        <w:rPr>
          <w:rFonts w:ascii="Arial" w:hAnsi="Arial"/>
          <w:b w:val="0"/>
          <w:sz w:val="22"/>
        </w:rPr>
        <w:t>4. Reportar de manera inmediata al supervisor la ocurrencia de cualquier novedad o anomalía durante la ejecución del contrato.</w:t>
      </w:r>
    </w:p>
    <w:p>
      <w:pPr>
        <w:spacing w:after="120"/>
        <w:jc w:val="both"/>
      </w:pPr>
      <w:r>
        <w:rPr>
          <w:rFonts w:ascii="Arial" w:hAnsi="Arial"/>
          <w:b w:val="0"/>
          <w:sz w:val="22"/>
        </w:rPr>
        <w:t>5. Generar informes de tipo técnico y gerencial sobre los servicios ofertados, con periodicidad mensual durante la vigencia del contrato, y un informe final dentro de los treinta (30) días calendario posteriores a la finalización del contrato, con el contenido señalado en el Anexo Técnico.</w:t>
      </w:r>
    </w:p>
    <w:p>
      <w:pPr>
        <w:spacing w:after="120"/>
        <w:jc w:val="both"/>
      </w:pPr>
      <w:r>
        <w:rPr>
          <w:rFonts w:ascii="Arial" w:hAnsi="Arial"/>
          <w:b w:val="0"/>
          <w:sz w:val="22"/>
        </w:rPr>
        <w:t>6. Entregar los informes mensuales dentro de los cinco (5) días hábiles del mes vencido, consolidando la totalidad de las solicitudes, incidentes y requerimientos, las vulnerabilidades detectadas de forma reactiva o proactiva, las mitigaciones realizadas y los indicadores de compromiso registrados en el periodo.</w:t>
      </w:r>
    </w:p>
    <w:p>
      <w:pPr>
        <w:spacing w:after="120"/>
        <w:jc w:val="both"/>
      </w:pPr>
      <w:r>
        <w:rPr>
          <w:rFonts w:ascii="Arial" w:hAnsi="Arial"/>
          <w:b w:val="0"/>
          <w:sz w:val="22"/>
        </w:rPr>
        <w:t>7. Remediar, a costo cero para la Entidad, las vulnerabilidades identificadas por la Oficina de Tecnología, por el propio proveedor del servicio o notificadas por el fabricante, documentando las acciones realizadas en los informes mensuales y dentro de los tiempos del Anexo ANS.</w:t>
      </w:r>
    </w:p>
    <w:p>
      <w:pPr>
        <w:spacing w:after="120"/>
        <w:jc w:val="both"/>
      </w:pPr>
      <w:r>
        <w:rPr>
          <w:rFonts w:ascii="Arial" w:hAnsi="Arial"/>
          <w:b w:val="0"/>
          <w:sz w:val="22"/>
        </w:rPr>
        <w:t>8. Apoyar a la Entidad en las configuraciones que se requieran por parte de la USPEC o de otros proveedores aliados, para integrar la solución de ciberseguridad con el directorio activo, LDAP, MFA, interfaces de programación de aplicaciones y demás tecnologías comprendidas en el licenciamiento adquirido.</w:t>
      </w:r>
    </w:p>
    <w:p>
      <w:pPr>
        <w:spacing w:after="120"/>
        <w:jc w:val="both"/>
      </w:pPr>
      <w:r>
        <w:rPr>
          <w:rFonts w:ascii="Arial" w:hAnsi="Arial"/>
          <w:b w:val="0"/>
          <w:sz w:val="22"/>
        </w:rPr>
        <w:t>9. Cumplir con la totalidad de los ítems relacionados en el Anexo Técnico Ciberseguridad.</w:t>
      </w:r>
    </w:p>
    <w:p>
      <w:pPr>
        <w:spacing w:after="120"/>
        <w:jc w:val="both"/>
      </w:pPr>
      <w:r>
        <w:rPr>
          <w:rFonts w:ascii="Arial" w:hAnsi="Arial"/>
          <w:b w:val="0"/>
          <w:sz w:val="22"/>
        </w:rPr>
        <w:t>10. Adelantar todas las gestiones de configuración que garanticen la renovación, implementación, instalación, puesta en marcha, puesta a punto y disponibilidad del servicio contratado, dentro de los dos (2) días hábiles siguientes a la firma del acta de inicio.</w:t>
      </w:r>
    </w:p>
    <w:p>
      <w:pPr>
        <w:spacing w:after="120"/>
        <w:jc w:val="both"/>
      </w:pPr>
      <w:r>
        <w:rPr>
          <w:rFonts w:ascii="Arial" w:hAnsi="Arial"/>
          <w:b w:val="0"/>
          <w:sz w:val="22"/>
        </w:rPr>
        <w:t>11. Asumir completamente los gastos que se generen con ocasión de las garantías.</w:t>
      </w:r>
    </w:p>
    <w:p>
      <w:pPr>
        <w:spacing w:after="120"/>
        <w:jc w:val="both"/>
      </w:pPr>
      <w:r>
        <w:rPr>
          <w:rFonts w:ascii="Arial" w:hAnsi="Arial"/>
          <w:b w:val="0"/>
          <w:sz w:val="22"/>
        </w:rPr>
        <w:t>12. Notificar al supervisor del contrato cualquier hecho que impida la correcta prestación del servicio o que genere desviación del cronograma de implementación y operación.</w:t>
      </w:r>
    </w:p>
    <w:p>
      <w:pPr>
        <w:spacing w:after="120"/>
        <w:jc w:val="both"/>
      </w:pPr>
      <w:r>
        <w:rPr>
          <w:rFonts w:ascii="Arial" w:hAnsi="Arial"/>
          <w:b w:val="0"/>
          <w:sz w:val="22"/>
        </w:rPr>
        <w:t>13. Entregar al supervisor del contrato, dentro de los siete (7) días siguientes a la firma del acta de inicio, la carta con membrete del contratista que relacione los licenciamientos adquiridos y activados ante el fabricante, con detalle de los productos, fechas iniciales de activación, fechas finales de vigencia y demás información relevante, documento que constituye soporte del pago.</w:t>
      </w:r>
    </w:p>
    <w:p>
      <w:pPr>
        <w:spacing w:after="120"/>
        <w:jc w:val="both"/>
      </w:pPr>
      <w:r>
        <w:rPr>
          <w:rFonts w:ascii="Arial" w:hAnsi="Arial"/>
          <w:b w:val="0"/>
          <w:sz w:val="22"/>
        </w:rPr>
        <w:t>14. Remitir al supervisor del contrato, dentro de los tres (3) días hábiles siguientes a la firma del acta de inicio, las hojas de vida del personal asignado al proyecto. Los cambios que requiera la Entidad se atenderán dentro de los dos (2) días siguientes a la notificación, con aplicación del Acuerdo de Nivel de Servicio respectivo.</w:t>
      </w:r>
    </w:p>
    <w:p>
      <w:pPr>
        <w:spacing w:after="120"/>
        <w:jc w:val="both"/>
      </w:pPr>
      <w:r>
        <w:rPr>
          <w:rFonts w:ascii="Arial" w:hAnsi="Arial"/>
          <w:b w:val="0"/>
          <w:sz w:val="22"/>
        </w:rPr>
        <w:t>15. Llevar a cabo mínimo dos (2) mantenimientos preventivos a la plataforma de ciberseguridad durante la vigencia del contrato, sin generación de indisponibilidad, y los mantenimientos correctivos requeridos, sin costo adicional para la USPEC.</w:t>
      </w:r>
    </w:p>
    <w:p>
      <w:pPr>
        <w:spacing w:after="120"/>
        <w:jc w:val="both"/>
      </w:pPr>
      <w:r>
        <w:rPr>
          <w:rFonts w:ascii="Arial" w:hAnsi="Arial"/>
          <w:b w:val="0"/>
          <w:sz w:val="22"/>
        </w:rPr>
        <w:t>16. Cubrir todo el software licenciado, suministros, componentes y demás elementos o accesorios que se requieran para la correcta prestación del servicio ofertado, sin costo adicional para la USPEC.</w:t>
      </w:r>
    </w:p>
    <w:p>
      <w:pPr>
        <w:spacing w:after="120"/>
        <w:jc w:val="both"/>
      </w:pPr>
      <w:r>
        <w:rPr>
          <w:rFonts w:ascii="Arial" w:hAnsi="Arial"/>
          <w:b w:val="0"/>
          <w:sz w:val="22"/>
        </w:rPr>
        <w:t>17. Garantizar el soporte técnico centralizado y canalizado a través de la mesa de servicios de la USPEC, de acuerdo con la tabla de Acuerdos de Niveles de Servicio, y notificar el cierre de cada caso.</w:t>
      </w:r>
    </w:p>
    <w:p>
      <w:pPr>
        <w:spacing w:after="120"/>
        <w:jc w:val="both"/>
      </w:pPr>
      <w:r>
        <w:rPr>
          <w:rFonts w:ascii="Arial" w:hAnsi="Arial"/>
          <w:b w:val="0"/>
          <w:sz w:val="22"/>
        </w:rPr>
        <w:t>18. Prestar soporte técnico presencial, telefónico o remoto, eventualmente los fines de semana, con el personal idóneo de acuerdo con el incidente, solicitud o requerimiento presentado, sin costo adicional para la USPEC, en horario 7x24.</w:t>
      </w:r>
    </w:p>
    <w:p>
      <w:pPr>
        <w:spacing w:after="120"/>
        <w:jc w:val="both"/>
      </w:pPr>
      <w:r>
        <w:rPr>
          <w:rFonts w:ascii="Arial" w:hAnsi="Arial"/>
          <w:b w:val="0"/>
          <w:sz w:val="22"/>
        </w:rPr>
        <w:t>19. Proporcionar la transferencia de conocimiento durante la implementación de los productos y servicios ofertados, con un mínimo de cuatro (4) horas de entrenamiento por producto o servicio de forma independiente, para mínimo tres (3) miembros del personal profesional o especializado indicado por la Entidad, dejando las evidencias correspondientes en el repositorio señalado por la USPEC.</w:t>
      </w:r>
    </w:p>
    <w:p>
      <w:pPr>
        <w:spacing w:after="120"/>
        <w:jc w:val="both"/>
      </w:pPr>
      <w:r>
        <w:rPr>
          <w:rFonts w:ascii="Arial" w:hAnsi="Arial"/>
          <w:b w:val="0"/>
          <w:sz w:val="22"/>
        </w:rPr>
        <w:t>20. Entregar las evidencias correspondientes al supervisor del contrato, de acuerdo con lo solicitado en el Anexo Técnico Ciberseguridad.</w:t>
      </w:r>
    </w:p>
    <w:p>
      <w:pPr>
        <w:spacing w:after="120"/>
        <w:jc w:val="both"/>
      </w:pPr>
      <w:r>
        <w:rPr>
          <w:rFonts w:ascii="Arial" w:hAnsi="Arial"/>
          <w:b w:val="0"/>
          <w:sz w:val="22"/>
        </w:rPr>
        <w:t>21. Reportar a la mesa de servicio los incidentes que afecten o puedan afectar la seguridad y privacidad de la información, la seguridad digital y la continuidad del servicio de la Entidad.</w:t>
      </w:r>
    </w:p>
    <w:p>
      <w:pPr>
        <w:spacing w:after="120"/>
        <w:jc w:val="both"/>
      </w:pPr>
      <w:r>
        <w:rPr>
          <w:rFonts w:ascii="Arial" w:hAnsi="Arial"/>
          <w:b w:val="0"/>
          <w:sz w:val="22"/>
        </w:rPr>
        <w:t>22. Finalizar el contrato y tramitar su liquidación, asignando para ello el personal idóneo.</w:t>
      </w:r>
    </w:p>
    <w:p>
      <w:pPr>
        <w:spacing w:after="120"/>
        <w:jc w:val="both"/>
      </w:pPr>
      <w:r>
        <w:rPr>
          <w:rFonts w:ascii="Arial" w:hAnsi="Arial"/>
          <w:b w:val="0"/>
          <w:sz w:val="22"/>
        </w:rPr>
        <w:t>23. Las demás contempladas en los documentos precontractuales.</w:t>
      </w:r>
    </w:p>
    <w:p>
      <w:pPr>
        <w:spacing w:after="120"/>
        <w:jc w:val="both"/>
      </w:pPr>
      <w:r>
        <w:rPr>
          <w:rFonts w:ascii="Arial" w:hAnsi="Arial"/>
          <w:b w:val="0"/>
          <w:sz w:val="22"/>
        </w:rPr>
      </w:r>
    </w:p>
    <w:p>
      <w:pPr>
        <w:spacing w:after="120"/>
        <w:jc w:val="both"/>
      </w:pPr>
      <w:r>
        <w:rPr>
          <w:rFonts w:ascii="Arial" w:hAnsi="Arial"/>
          <w:b/>
          <w:sz w:val="22"/>
        </w:rPr>
        <w:t>DÉCIMA TERCERA – OBLIGACIONES DE LA USPEC:</w:t>
      </w:r>
    </w:p>
    <w:p>
      <w:pPr>
        <w:spacing w:after="120"/>
        <w:jc w:val="both"/>
      </w:pPr>
      <w:r>
        <w:rPr>
          <w:rFonts w:ascii="Arial" w:hAnsi="Arial"/>
          <w:b w:val="0"/>
          <w:sz w:val="22"/>
        </w:rPr>
        <w:t>1. Realizar la suscripción del acta de inicio.</w:t>
      </w:r>
    </w:p>
    <w:p>
      <w:pPr>
        <w:spacing w:after="120"/>
        <w:jc w:val="both"/>
      </w:pPr>
      <w:r>
        <w:rPr>
          <w:rFonts w:ascii="Arial" w:hAnsi="Arial"/>
          <w:b w:val="0"/>
          <w:sz w:val="22"/>
        </w:rPr>
        <w:t>2. Pagar oportunamente el valor determinado en el contrato, de conformidad con lo estipulado en este documento.</w:t>
      </w:r>
    </w:p>
    <w:p>
      <w:pPr>
        <w:spacing w:after="120"/>
        <w:jc w:val="both"/>
      </w:pPr>
      <w:r>
        <w:rPr>
          <w:rFonts w:ascii="Arial" w:hAnsi="Arial"/>
          <w:b w:val="0"/>
          <w:sz w:val="22"/>
        </w:rPr>
        <w:t>3. Designar al funcionario que ejercerá la supervisión y el control de ejecución del contrato, quien estará en permanente contacto con el contratista.</w:t>
      </w:r>
    </w:p>
    <w:p>
      <w:pPr>
        <w:spacing w:after="120"/>
        <w:jc w:val="both"/>
      </w:pPr>
      <w:r>
        <w:rPr>
          <w:rFonts w:ascii="Arial" w:hAnsi="Arial"/>
          <w:b w:val="0"/>
          <w:sz w:val="22"/>
        </w:rPr>
        <w:t>4. Suscribir, a través del supervisor, los documentos y actas que sean necesarias durante el desarrollo del contrato.</w:t>
      </w:r>
    </w:p>
    <w:p>
      <w:pPr>
        <w:spacing w:after="120"/>
        <w:jc w:val="both"/>
      </w:pPr>
      <w:r>
        <w:rPr>
          <w:rFonts w:ascii="Arial" w:hAnsi="Arial"/>
          <w:b w:val="0"/>
          <w:sz w:val="22"/>
        </w:rPr>
        <w:t>5. Suministrar la información necesaria sobre los aspectos requeridos para el logro de los objetivos propuestos, siempre que no sea obligación del contratista suministrarla.</w:t>
      </w:r>
    </w:p>
    <w:p>
      <w:pPr>
        <w:spacing w:after="120"/>
        <w:jc w:val="both"/>
      </w:pPr>
      <w:r>
        <w:rPr>
          <w:rFonts w:ascii="Arial" w:hAnsi="Arial"/>
          <w:b w:val="0"/>
          <w:sz w:val="22"/>
        </w:rPr>
        <w:t>6. Informar de manera inmediata cualquier circunstancia que amenace con vulnerar los derechos del contratista, al igual que cualquier perturbación que afecte el desarrollo normal del contrato.</w:t>
      </w:r>
    </w:p>
    <w:p>
      <w:pPr>
        <w:spacing w:after="120"/>
        <w:jc w:val="both"/>
      </w:pPr>
      <w:r>
        <w:rPr>
          <w:rFonts w:ascii="Arial" w:hAnsi="Arial"/>
          <w:b w:val="0"/>
          <w:sz w:val="22"/>
        </w:rPr>
        <w:t>7. Aprobar la garantía única aportada por el contratista y sus modificaciones.</w:t>
      </w:r>
    </w:p>
    <w:p>
      <w:pPr>
        <w:spacing w:after="120"/>
        <w:jc w:val="both"/>
      </w:pPr>
      <w:r>
        <w:rPr>
          <w:rFonts w:ascii="Arial" w:hAnsi="Arial"/>
          <w:b w:val="0"/>
          <w:sz w:val="22"/>
        </w:rPr>
        <w:t>8. Guardar la confidencialidad y velar por la protección de los productos y servicios propuestos por el contratista, cuando a ello hubiere lugar.</w:t>
      </w:r>
    </w:p>
    <w:p>
      <w:pPr>
        <w:spacing w:after="120"/>
        <w:jc w:val="both"/>
      </w:pPr>
      <w:r>
        <w:rPr>
          <w:rFonts w:ascii="Arial" w:hAnsi="Arial"/>
          <w:b w:val="0"/>
          <w:sz w:val="22"/>
        </w:rPr>
        <w:t>9. Exigir que la calidad de los bienes y servicios contratados se ajuste a los requisitos mínimos previstos en el Anexo Técnico Ciberseguridad.</w:t>
      </w:r>
    </w:p>
    <w:p>
      <w:pPr>
        <w:spacing w:after="120"/>
        <w:jc w:val="both"/>
      </w:pPr>
      <w:r>
        <w:rPr>
          <w:rFonts w:ascii="Arial" w:hAnsi="Arial"/>
          <w:b w:val="0"/>
          <w:sz w:val="22"/>
        </w:rPr>
      </w:r>
    </w:p>
    <w:p>
      <w:pPr>
        <w:spacing w:after="120"/>
        <w:jc w:val="both"/>
      </w:pPr>
      <w:r>
        <w:rPr>
          <w:rFonts w:ascii="Arial" w:hAnsi="Arial"/>
          <w:b/>
          <w:sz w:val="22"/>
        </w:rPr>
        <w:t>DÉCIMA CUARTA – GARANTÍAS: El CONTRATISTA debe constituir a favor de la Unidad de Servicios Penitenciarios y Carcelarios – USPEC, NIT 900.523.392-1, dentro de los TRES (3) DÍAS HÁBILES siguientes a la suscripción del presente contrato, una garantía única de cumplimiento con los siguientes amparos, valores y vigencias:</w:t>
      </w:r>
    </w:p>
    <w:p>
      <w:pPr>
        <w:spacing w:after="120"/>
        <w:jc w:val="both"/>
      </w:pPr>
      <w:r>
        <w:rPr>
          <w:rFonts w:ascii="Arial" w:hAnsi="Arial"/>
          <w:b w:val="0"/>
          <w:sz w:val="22"/>
        </w:rPr>
        <w:t>· Cumplimiento del contrato: 20% del valor del contrato. Vigencia: Durante el plazo de ejecución del contrato y doce (12) meses más, o hasta la liquidación del contrato.</w:t>
      </w:r>
    </w:p>
    <w:p>
      <w:pPr>
        <w:spacing w:after="120"/>
        <w:jc w:val="both"/>
      </w:pPr>
      <w:r>
        <w:rPr>
          <w:rFonts w:ascii="Arial" w:hAnsi="Arial"/>
          <w:b w:val="0"/>
          <w:sz w:val="22"/>
        </w:rPr>
        <w:t>· Calidad del servicio y correcto funcionamiento de los bienes: 20% del valor del contrato. Vigencia: Durante el plazo de ejecución del contrato y doce (12) meses más.</w:t>
      </w:r>
    </w:p>
    <w:p>
      <w:pPr>
        <w:spacing w:after="120"/>
        <w:jc w:val="both"/>
      </w:pPr>
      <w:r>
        <w:rPr>
          <w:rFonts w:ascii="Arial" w:hAnsi="Arial"/>
          <w:b w:val="0"/>
          <w:sz w:val="22"/>
        </w:rPr>
        <w:t>· Pago de salarios, prestaciones sociales e indemnizaciones laborales: 5% del valor del contrato. Vigencia: Durante el término de duración del contrato y tres (3) años más, a partir de su perfeccionamiento.</w:t>
      </w:r>
    </w:p>
    <w:p>
      <w:pPr>
        <w:spacing w:after="120"/>
        <w:jc w:val="both"/>
      </w:pPr>
      <w:r>
        <w:rPr>
          <w:rFonts w:ascii="Arial" w:hAnsi="Arial"/>
          <w:b w:val="0"/>
          <w:sz w:val="22"/>
        </w:rPr>
        <w:t>La garantía única debe ser aprobada por la Entidad como requisito para la ejecución e iniciación del contrato y debe ser publicada por el CONTRATISTA en la plataforma SECOP II a más tardar al tercer día siguiente a la suscripción del contrato. En el cuerpo de la póliza debe indicarse el amparo de multas, cláusula penal pecuniaria y renuncia al beneficio de excusión. Tratándose de pólizas, estas no podrán contemplar que expiran por falta de pago de la prima ni por revocatoria unilateral.</w:t>
      </w:r>
    </w:p>
    <w:p>
      <w:pPr>
        <w:spacing w:after="120"/>
        <w:jc w:val="both"/>
      </w:pPr>
      <w:r>
        <w:rPr>
          <w:rFonts w:ascii="Arial" w:hAnsi="Arial"/>
          <w:b w:val="0"/>
          <w:sz w:val="22"/>
        </w:rPr>
        <w:t>GARANTÍA LEGAL: de conformidad con los artículos 7 y 11 de la Ley 1480 de 2011 y la circular única de la Superintendencia de Industria y Comercio, se entiende pactada la obligación del CONTRATISTA de garantizar plenamente las condiciones de calidad e idoneidad de los bienes y servicios entregados.</w:t>
      </w:r>
    </w:p>
    <w:p>
      <w:pPr>
        <w:spacing w:after="120"/>
        <w:jc w:val="both"/>
      </w:pPr>
      <w:r>
        <w:rPr>
          <w:rFonts w:ascii="Arial" w:hAnsi="Arial"/>
          <w:b w:val="0"/>
          <w:sz w:val="22"/>
        </w:rPr>
      </w:r>
    </w:p>
    <w:p>
      <w:pPr>
        <w:spacing w:after="120"/>
        <w:jc w:val="both"/>
      </w:pPr>
      <w:r>
        <w:rPr>
          <w:rFonts w:ascii="Arial" w:hAnsi="Arial"/>
          <w:b/>
          <w:sz w:val="22"/>
        </w:rPr>
        <w:t>DÉCIMA QUINTA – CLÁUSULA DE INCUMPLIMIENTO DEL CONTRATO, CLÁUSULA PENAL PECUNIARIA Y MULTAS</w:t>
      </w:r>
    </w:p>
    <w:p>
      <w:pPr>
        <w:spacing w:after="120"/>
        <w:jc w:val="both"/>
      </w:pPr>
      <w:r>
        <w:rPr>
          <w:rFonts w:ascii="Arial" w:hAnsi="Arial"/>
          <w:b w:val="0"/>
          <w:sz w:val="22"/>
        </w:rPr>
        <w:t>De conformidad con el artículo 17 de la ley 1150 de 2007 y el artículo 86 de la ley 1474 de 2011, la USPEC tendrá́ la facultad de imponer multas, declarar el incumplimiento, la caducidad y/o aplicar la cláusula penal mediante acto administrativo, garantizando el debido proceso y en desarrollo de la actuación administrativa correspondiente. Detectado un posible incumplimiento de las obligaciones a cargo del CONTRATISTA y/o un atraso con relación a la ejecución de las actividades contractuales, el supervisor y/o interventor deberá́ solicitar un plan de contingencia para aquellas actividades que dieron origen al atraso. Si el atraso persiste y supera el 5%, una vez vencido el plazo otorgado por la supervisión del contrato para subsanar la situación y ponerse al día, el supervisor y/o interventor deberá́ solicitar el inicio del correspondiente procedimiento sancionatorio administrativo. Si en aplicación del plan de contingencia los hechos que dieron origen al atraso son superados y/o subsanados, no habrá́ lugar al inicio de actuaciones para la imposición de las sanciones aquí́ previstas. Las multas a las que se refiere esta cláusula, son apremios al CONTRATISTA para conminar el cumplimiento de sus obligaciones y, por lo tanto, no tienen el carácter de estimación anticipada de perjuicios, en tal sentido, pueden acumularse con cualquier forma de indemnización, en los términos previstos en el artículo 1600 del Código Civil. La USPEC tendrá́ la facultad de imponer multas mediante acto administrativo, previa actuación desarrollada en el marco de lo dispuesto en la normatividad vigente, en caso de incumplimiento parcial o total de cualquiera de las obligaciones a cargo del CONTRATISTA, tasando su valor bajo las siguientes reglas: Si el contratista no dispone de los equipos, personal, materiales y demás insumos necesarios para la iniciación del contrato, en la forma y plazo establecido en el presente contrato, se causará una multa equivalente al 0.0015% del valor total del contrato suscrito, por cada día calendario de mora, transcurrido a partir de la fecha prevista para el cumplimiento de esta obligación, previo requerimiento del supervisor. Por no cumplir cualquiera de los plazos programados establecidos en el Cronograma, y no haber atendido las contingencias formuladas, y aprobados por la supervisión, se causará una multa equivalente al 0.006% del valor total del contrato suscrito, por cada día calendario transcurrido a partir de la fecha prevista para el cumplimiento de esta obligación (programación previo al plan de contingencia), previo requerimiento del Interventor Por incumplimiento en los términos pactados como requisitos de ejecución y demás requeridos para el inicio del contrato, entre otros, si el CONTRATISTA no allega, en los términos establecidos en el contrato, los documentos necesarios para su legalización, se causará una multa equivalente al 0.0015% del valor total del contrato suscrito, por cada día calendario de mora, transcurrido a partir de la fecha prevista para el cumplimiento de esta obligación, y hasta su cumplimiento. Por no mantener en vigor, renovar, prorrogar o adicionar las garantías, en los plazos y por los montos establecidos en el presente contrato, se causará una multa equivalente al 0.001% del valor total del contrato suscrito, por cada día calendario de mora, transcurrido a partir de la fecha prevista para el cumplimiento de esta obligación, y hasta su cumplimiento. Si el CONTRATISTA incumple cualquiera de las obligaciones relacionadas con la vinculación del personal puesto a disposición para la ejecución del presente contrato, se causará una multa equivalente al 0.001 % del valor total del contrato suscrito, por cada día calendario de mora, transcurrido a partir de la fecha prevista para el cumplimiento de esta obligación, y hasta su cumplimiento. Por incumplimiento de cualquiera de las obligaciones contenidas en el contrato o en los documentos que lo integran, o cumplirlas deficientemente o por fuera del tiempo estipulado, se causará una multa equivalente al 0.006% del valor total del contrato, por cada día calendario que transcurra desde la fecha prevista para el cumplimiento de dichas obligaciones y hasta cuando estas efectivamente se cumplan. Por la utilización de software no licenciado, se causará una multa equivalente al 0.001% del valor total del contrato, por cada día calendario que transcurra desde haberse evidenciado la utilización de software no licenciado, y hasta que tal situación sea regulada. La imposición de la multa atenderá́ criterios de oportunidad, razonabilidad, proporcionalidad y gravedad de la obligación incumplida, el valor máximo de las multas señaladas anteriormente, no podrá́ superar el veinte por ciento (20%) del valor del contrato, así́ mismo, el pago o deducción de las multas no exonerará al CONTRATISTA del cumplimiento de sus obligaciones emanadas del contrato, y ante el incumplimiento reiterado de obligaciones, podrán imponer las multas sucesivas que sea procedentes, sin materializarse cosa juzgada. En caso de proceder la imposición de multas, el CONTRATISTA autoriza expresamente a la Entidad con la firma del contrato que se llegare a celebrar, a realizar los descuentos correspondientes de los saldos a su favor, previo a efectuar las retenciones de tributos a que haya lugar, sobre dichos saldos a favor. En caso de incumplimiento parcial o total del contrato o sus obligaciones, en la ejecución y liquidación según corresponda, por mora o retardo en el cumplimiento de sus obligaciones, el CONTRATISTA pagará a la USPEC, a título de pena pecuniaria, una suma equivalente hasta por el veinte por ciento (20%) del valor total del contrato. La tasación de la cláusula penal atenderá́ criterios de oportunidad, razonabilidad, proporcionalidad y gravedad del incumplimiento. Para la imposición de la cláusula penal se aplicará el procedimiento previsto en la normatividad vigente. La imposición de esta pena pecuniaria se considerará como una estimación anticipada de perjuicios que el CONTRATISTA cause a la USPEC. El valor pagado como clausula penal no es óbice para demandar, ante el juez del Contrato, la indemnización integral de perjuicios causados si estos superan el valor de la cláusula penal. El pago o deducción de la cláusula penal no exonerará al CONTRATISTA, del cumplimiento de sus obligaciones emanadas del Contrato. En caso de proceder a la aplicación de la cláusula penal, el CONTRATISTA, autoriza expresamente a la Entidad con la firma del contrato que se llegare a celebrar, para hacer el descuento correspondiente de los saldos adeudados por la Entidad, previo a practicar las retenciones por tributos a que haya lugar, o en su defecto se hará́ efectivo el amparo de cumplimiento de la Garantía Única.</w:t>
      </w:r>
    </w:p>
    <w:p>
      <w:pPr>
        <w:spacing w:after="120"/>
        <w:jc w:val="both"/>
      </w:pPr>
      <w:r>
        <w:rPr>
          <w:rFonts w:ascii="Arial" w:hAnsi="Arial"/>
          <w:b w:val="0"/>
          <w:sz w:val="22"/>
        </w:rPr>
      </w:r>
    </w:p>
    <w:p>
      <w:pPr>
        <w:spacing w:after="120"/>
        <w:jc w:val="both"/>
      </w:pPr>
      <w:r>
        <w:rPr>
          <w:rFonts w:ascii="Arial" w:hAnsi="Arial"/>
          <w:b/>
          <w:sz w:val="22"/>
        </w:rPr>
        <w:t>DÉCIMA SEXTA – CLÁUSULA DE INTERPRETACIÓN, MODIFICACIÓN, TERMINACIÓN UNILATERAL Y CADUCIDAD</w:t>
      </w:r>
    </w:p>
    <w:p>
      <w:pPr>
        <w:spacing w:after="120"/>
        <w:jc w:val="both"/>
      </w:pPr>
      <w:r>
        <w:rPr>
          <w:rFonts w:ascii="Arial" w:hAnsi="Arial"/>
          <w:b w:val="0"/>
          <w:sz w:val="22"/>
        </w:rPr>
        <w:t>Son aplicables al presente contrato el sometimiento a las leyes nacionales, la terminación, modificación, interpretación unilaterales y caducidad, en los términos establecidos en la normatividad vigente, en especial en los artículos 14, 15, 16, 17 y 18 de la ley 80 de 1993 o en las normas que lo modifique o sustituyan.</w:t>
      </w:r>
    </w:p>
    <w:p>
      <w:pPr>
        <w:spacing w:after="120"/>
        <w:jc w:val="both"/>
      </w:pPr>
      <w:r>
        <w:rPr>
          <w:rFonts w:ascii="Arial" w:hAnsi="Arial"/>
          <w:b w:val="0"/>
          <w:sz w:val="22"/>
        </w:rPr>
      </w:r>
    </w:p>
    <w:p>
      <w:pPr>
        <w:spacing w:after="120"/>
        <w:jc w:val="both"/>
      </w:pPr>
      <w:r>
        <w:rPr>
          <w:rFonts w:ascii="Arial" w:hAnsi="Arial"/>
          <w:b/>
          <w:sz w:val="22"/>
        </w:rPr>
        <w:t>DÉCIMA SÉPTIMA - CLÁUSULA DE PROTECCIÓN DE DATOS PERSONALES: Cuando para la debida ejecución del contrato, el contratista deba acceder, consultar, almacenar y/o administrar bases de datos de la entidad que contengan información personal de personas, proveedores, trabajadores, contratistas, entre otros, previos los permisos concedidos para el efecto, el contratista se obliga a disponer los medios necesarios para observar, cumplir e instruir al personal que ocupe para la ejecución del contrato, independientemente de la forma de vinculación del mismo sobre los principios de administración de datos de terceros, tales como: veracidad, finalidad, acceso y circulación restringida, temporalidad, seguridad, confidencialidad, libertad y transparencia, conforme con lo establecido en la Ley 1266 de 2008, ley 1581 de 2012, Decreto 1377 de 2013 y demás normas que las modifiquen, adicionen o sustituyan. Para los mismos efectos, con la presentación de la oferta se entiende dada la aceptación del proponente, en caso de resultar adjudicatario, de adherirse a la política de seguridad que tiene adoptada la entidad para el manejo de su información y la de manejo de datos de terceros, la cual se obliga a conocer y cumplir, así como a instruir al personal que ocupe para la ejecución del contrato, independientemente de la forma de vinculación del mismo, sobre la obligatoriedad de su cumplimiento. Dicha política debe ser consultada en la página web de la entidad. En consecuencia, el contratista debe entender y aceptar que a partir del momento en que la entidad le suministre cualquier base en donde reposen datos personales de sus usuarios, personas, proveedores, trabajadores, contratistas, entre otros, asume la calidad de encargado de su tratamiento y en consecuencia solo hará uso de los datos para las finalidades establecidas al momento de su entrega. En tal sentido, se obliga a cumplir con las disposiciones que en relación con la protección de datos personales se encuentran consagradas en la Ley 1266 de 2008, ley 1581 de 2012, Decreto 1377 de 2013 y demás normas que las modifiquen, adicionen o sustituyan</w:t>
      </w:r>
    </w:p>
    <w:p>
      <w:pPr>
        <w:spacing w:after="120"/>
        <w:jc w:val="both"/>
      </w:pPr>
      <w:r>
        <w:rPr>
          <w:rFonts w:ascii="Arial" w:hAnsi="Arial"/>
          <w:b w:val="0"/>
          <w:sz w:val="22"/>
        </w:rPr>
      </w:r>
    </w:p>
    <w:p>
      <w:pPr>
        <w:spacing w:after="120"/>
        <w:jc w:val="both"/>
      </w:pPr>
      <w:r>
        <w:rPr>
          <w:rFonts w:ascii="Arial" w:hAnsi="Arial"/>
          <w:b/>
          <w:sz w:val="22"/>
        </w:rPr>
        <w:t>DÉCIMA OCTAVA – CLÁUSULA DE AUSENCIA DE RELACIÓN LABORAL: Dada su naturaleza jurídica del contrato que se llegue a firmar, este no constituye subordinación alguna con EL CONTRATISTA, por lo cual este no adquiere vínculo laboral alguno con la USPEC y es el único responsable con la ejecución del objeto que se llegue a contratar. En consecuencia, no tendrá derecho a reconocimiento de ningún otro valor distinto al pago del determinado en el contrato que se llegue a suscribir.</w:t>
      </w:r>
    </w:p>
    <w:p>
      <w:pPr>
        <w:spacing w:after="120"/>
        <w:jc w:val="both"/>
      </w:pPr>
      <w:r>
        <w:rPr>
          <w:rFonts w:ascii="Arial" w:hAnsi="Arial"/>
          <w:b w:val="0"/>
          <w:sz w:val="22"/>
        </w:rPr>
      </w:r>
    </w:p>
    <w:p>
      <w:pPr>
        <w:spacing w:after="120"/>
        <w:jc w:val="both"/>
      </w:pPr>
      <w:r>
        <w:rPr>
          <w:rFonts w:ascii="Arial" w:hAnsi="Arial"/>
          <w:b/>
          <w:sz w:val="22"/>
        </w:rPr>
        <w:t>DÉCIMA NOVENA – CLÁUSULA DE RESPONSABILIDAD DEL CONTRATISTA: EL CONTRATISTA será responsable ante las autoridades de los actos u omisiones en ejercicio de las actividades que desarrolle en virtud del presente contrato, cuando con ellos se cause perjuicio a la administración o a terceros, en los términos del Artículo 52 de la Ley 80 de 1993. Así mismo el personal que emplee EL CONTRATISTA para la ejecución del presente contrato y la USPEC, no existirá ningún vínculo jurídico laboral o contractual, por lo tanto, el pago de los salarios, e indemnizaciones a que haya lugar serán de responsabilidad y a cargo del CONTRATISTA. PARÁGRAFO: EL CONTRATISTA obtendrá la autorización para la captación, uso, manejo y rectificación de los datos personales de los titulares de la información, a los que tenga acceso con ocasión del cumplimiento de las obligaciones que hacen parte del presente contrato.</w:t>
      </w:r>
    </w:p>
    <w:p>
      <w:pPr>
        <w:spacing w:after="120"/>
        <w:jc w:val="both"/>
      </w:pPr>
      <w:r>
        <w:rPr>
          <w:rFonts w:ascii="Arial" w:hAnsi="Arial"/>
          <w:b w:val="0"/>
          <w:sz w:val="22"/>
        </w:rPr>
        <w:t>PARÁGRAFO: El contratista obtendrá la autorización para la captación, uso, manejo y rectificación de los datos personales de los titulares de la información, a los que tenga acceso con ocasión del cumplimiento de las obligaciones que hacen parte del presente contrato.</w:t>
      </w:r>
    </w:p>
    <w:p>
      <w:pPr>
        <w:spacing w:after="120"/>
        <w:jc w:val="both"/>
      </w:pPr>
      <w:r>
        <w:rPr>
          <w:rFonts w:ascii="Arial" w:hAnsi="Arial"/>
          <w:b w:val="0"/>
          <w:sz w:val="22"/>
        </w:rPr>
      </w:r>
    </w:p>
    <w:p>
      <w:pPr>
        <w:spacing w:after="120"/>
        <w:jc w:val="both"/>
      </w:pPr>
      <w:r>
        <w:rPr>
          <w:rFonts w:ascii="Arial" w:hAnsi="Arial"/>
          <w:b/>
          <w:sz w:val="22"/>
        </w:rPr>
        <w:t>VIGÉSIMA – CLÁUSULA DE RESOLUCIÓN DE CONFLICTOS PRESENTADOS EN LA EJECUCIÓN DEL OBJETO CONTRACTUAL</w:t>
      </w:r>
    </w:p>
    <w:p>
      <w:pPr>
        <w:spacing w:after="120"/>
        <w:jc w:val="both"/>
      </w:pPr>
      <w:r>
        <w:rPr>
          <w:rFonts w:ascii="Arial" w:hAnsi="Arial"/>
          <w:b w:val="0"/>
          <w:sz w:val="22"/>
        </w:rPr>
        <w:t>Cualquier diferencia que surja entre las partes por la ejecución, interpretación, terminación o liquidación del presente contrato y en general, sobre los derechos y obligaciones derivados del mismo, durante su etapa precontractual, contractual y post contractual se solucionará primero por las partes, mediante arreglo directo, la cual tendrá una duración de hasta treinta (30) días hábiles, que podrán ser prorrogables por acuerdo de las partes. En caso de no llegar a un acuerdo, las partes convienen hacer uso de los mecanismos de solución previstos en la Ley, tales como la conciliación y transacción.</w:t>
      </w:r>
    </w:p>
    <w:p>
      <w:pPr>
        <w:spacing w:after="120"/>
        <w:jc w:val="both"/>
      </w:pPr>
      <w:r>
        <w:rPr>
          <w:rFonts w:ascii="Arial" w:hAnsi="Arial"/>
          <w:b w:val="0"/>
          <w:sz w:val="22"/>
        </w:rPr>
      </w:r>
    </w:p>
    <w:p>
      <w:pPr>
        <w:spacing w:after="120"/>
        <w:jc w:val="both"/>
      </w:pPr>
      <w:r>
        <w:rPr>
          <w:rFonts w:ascii="Arial" w:hAnsi="Arial"/>
          <w:b/>
          <w:sz w:val="22"/>
        </w:rPr>
        <w:t>VIGÉSIMA PRIMERA – CLÁUSULA DE EXPEDIENTE CONTRACTUAL Y CARÁCTER VINCULANTE DE LOS DOCUMENTOS</w:t>
      </w:r>
    </w:p>
    <w:p>
      <w:pPr>
        <w:spacing w:after="120"/>
        <w:jc w:val="both"/>
      </w:pPr>
      <w:r>
        <w:rPr>
          <w:rFonts w:ascii="Arial" w:hAnsi="Arial"/>
          <w:b w:val="0"/>
          <w:sz w:val="22"/>
        </w:rPr>
        <w:t>Todas las actuaciones y documentos generados durante las fases precontractual, contractual y pos contractual, configuran el respectivo expediente como parte integral del presente contrato y tienen carácter vinculante en la relación jurídico negocial.</w:t>
      </w:r>
    </w:p>
    <w:p>
      <w:pPr>
        <w:spacing w:after="120"/>
        <w:jc w:val="both"/>
      </w:pPr>
      <w:r>
        <w:rPr>
          <w:rFonts w:ascii="Arial" w:hAnsi="Arial"/>
          <w:b w:val="0"/>
          <w:sz w:val="22"/>
        </w:rPr>
      </w:r>
    </w:p>
    <w:p>
      <w:pPr>
        <w:spacing w:after="120"/>
        <w:jc w:val="both"/>
      </w:pPr>
      <w:r>
        <w:rPr>
          <w:rFonts w:ascii="Arial" w:hAnsi="Arial"/>
          <w:b/>
          <w:sz w:val="22"/>
        </w:rPr>
        <w:t>VIGÉSIMA SEGUNDA – CLÁUSULA DE SEGURIDAD DE LA INFORMACIÓN: La información transferida desde y hacia EL CONTRATISTA debe hacerse de manera segura, utilizando para ello canales de comunicación dedicados con controles de seguridad implementados en los casos en que el servicio proveído así lo requiera.</w:t>
      </w:r>
    </w:p>
    <w:p>
      <w:pPr>
        <w:spacing w:after="120"/>
        <w:jc w:val="both"/>
      </w:pPr>
      <w:r>
        <w:rPr>
          <w:rFonts w:ascii="Arial" w:hAnsi="Arial"/>
          <w:b w:val="0"/>
          <w:sz w:val="22"/>
        </w:rPr>
        <w:t>PARÁGRAFO PRIMERO: Toda la información que gestione EL CONTRATISTA en el marco del contrato con la USPEC es de propiedad de la USPEC y debe solamente ser usada para el propósito establecido en el contrato. PARÁGRAFO SEGUNDO: EL CONTRATISTA debe realizar la entrega de toda la información manejada durante la ejecución del contrato y una vez terminado el mismo. PARÁGRAFO TERCERO: Cualquier incidente de seguridad de la información que afecte a LA USPEC o que involucre la información de la USPEC debe ser reportado inmediatamente al supervisor del contrato y a la mesa de ayuda de USPEC.</w:t>
      </w:r>
    </w:p>
    <w:p>
      <w:pPr>
        <w:spacing w:after="120"/>
        <w:jc w:val="both"/>
      </w:pPr>
      <w:r>
        <w:rPr>
          <w:rFonts w:ascii="Arial" w:hAnsi="Arial"/>
          <w:b w:val="0"/>
          <w:sz w:val="22"/>
        </w:rPr>
      </w:r>
    </w:p>
    <w:p>
      <w:pPr>
        <w:spacing w:after="120"/>
        <w:jc w:val="both"/>
      </w:pPr>
      <w:r>
        <w:rPr>
          <w:rFonts w:ascii="Arial" w:hAnsi="Arial"/>
          <w:b/>
          <w:sz w:val="22"/>
        </w:rPr>
        <w:t>VIGÉSIMA TERCERA – CLÁUSULA DE CIERRE DEL EXPEDIENTE: Después del trámite administrativo de liquidación del contrato, la unidad de servicios penitenciarios y carcelarios - USPEC, procederá a efectuar el cierre del proceso contractual de conformidad a lo señalado en el artículo 2.2.1.1.2.4.3 del decreto 1082 de 2015.</w:t>
      </w:r>
    </w:p>
    <w:p>
      <w:pPr>
        <w:spacing w:after="120"/>
        <w:jc w:val="both"/>
      </w:pPr>
      <w:r>
        <w:rPr>
          <w:rFonts w:ascii="Arial" w:hAnsi="Arial"/>
          <w:b w:val="0"/>
          <w:sz w:val="22"/>
        </w:rPr>
      </w:r>
    </w:p>
    <w:p>
      <w:pPr>
        <w:spacing w:after="120"/>
        <w:jc w:val="both"/>
      </w:pPr>
      <w:r>
        <w:rPr>
          <w:rFonts w:ascii="Arial" w:hAnsi="Arial"/>
          <w:b/>
          <w:sz w:val="22"/>
        </w:rPr>
        <w:t>VIGÉSIMA CUARTA – CLÁUSULA DE SUSPENSIÓN DEL CONTRATO: El plazo de ejecución del contrato podrá suspenderse en los siguientes eventos: a) por circunstancias de fuerza mayor o caso fortuito. b) por mutuo acuerdo, siempre que de ello no se deriven mayores costos para la USPEC, ni se causen otros perjuicios. La suspensión se hará constar en acta motivada, suscrita por las partes.</w:t>
      </w:r>
    </w:p>
    <w:p>
      <w:pPr>
        <w:spacing w:after="120"/>
        <w:jc w:val="both"/>
      </w:pPr>
      <w:r>
        <w:rPr>
          <w:rFonts w:ascii="Arial" w:hAnsi="Arial"/>
          <w:b w:val="0"/>
          <w:sz w:val="22"/>
        </w:rPr>
        <w:t>El término de la suspensión no se computará para efectos de los plazos del contrato.</w:t>
      </w:r>
    </w:p>
    <w:p>
      <w:pPr>
        <w:spacing w:after="120"/>
        <w:jc w:val="both"/>
      </w:pPr>
      <w:r>
        <w:rPr>
          <w:rFonts w:ascii="Arial" w:hAnsi="Arial"/>
          <w:b w:val="0"/>
          <w:sz w:val="22"/>
        </w:rPr>
      </w:r>
    </w:p>
    <w:p>
      <w:pPr>
        <w:spacing w:after="120"/>
        <w:jc w:val="both"/>
      </w:pPr>
      <w:r>
        <w:rPr>
          <w:rFonts w:ascii="Arial" w:hAnsi="Arial"/>
          <w:b/>
          <w:sz w:val="22"/>
        </w:rPr>
        <w:t>VIGÉSIMA QUINTA – CESIÓN DE LA POSICIÓN CONTRACTUAL: El CONTRATISTA no podrá ceder total ni parcialmente el presente contrato, ni su posición contractual, sin la autorización previa, expresa y escrita de la USPEC impartida por el ordenador del gasto. La supervisión del contrato no tiene competencia para autorizar la cesión.</w:t>
      </w:r>
    </w:p>
    <w:p>
      <w:pPr>
        <w:spacing w:after="120"/>
        <w:jc w:val="both"/>
      </w:pPr>
      <w:r>
        <w:rPr>
          <w:rFonts w:ascii="Arial" w:hAnsi="Arial"/>
          <w:b w:val="0"/>
          <w:sz w:val="22"/>
        </w:rPr>
      </w:r>
    </w:p>
    <w:p>
      <w:pPr>
        <w:spacing w:after="120"/>
        <w:jc w:val="both"/>
      </w:pPr>
      <w:r>
        <w:rPr>
          <w:rFonts w:ascii="Arial" w:hAnsi="Arial"/>
          <w:b/>
          <w:sz w:val="22"/>
        </w:rPr>
        <w:t>VIGÉSIMA SEXTA - CESIÓN DERECHOS ECONÓMICOS: El Contratista podrá ceder de manera parcial o total sus derechos económicos derivados del mismo previa autorización escrita por parte del Director Administrativo y Financiero de la USPEC.</w:t>
      </w:r>
    </w:p>
    <w:p>
      <w:pPr>
        <w:spacing w:after="120"/>
        <w:jc w:val="both"/>
      </w:pPr>
      <w:r>
        <w:rPr>
          <w:rFonts w:ascii="Arial" w:hAnsi="Arial"/>
          <w:b w:val="0"/>
          <w:sz w:val="22"/>
        </w:rPr>
      </w:r>
    </w:p>
    <w:p>
      <w:pPr>
        <w:spacing w:after="120"/>
        <w:jc w:val="both"/>
      </w:pPr>
      <w:r>
        <w:rPr>
          <w:rFonts w:ascii="Arial" w:hAnsi="Arial"/>
          <w:b/>
          <w:sz w:val="22"/>
        </w:rPr>
        <w:t>VIGÉSIMA SÉPTIMA – CLÁUSULA DE SUBCONTRATACIÓN: El contratista podrá subcontratar parcialmente la ejecución del presente contrato, caso en el cual seguirá siendo el único responsable ante la USPEC por el cumplimiento de las obligaciones acá contempladas. En ningún caso habrá relación contractual entre los subcontratistas y la USPEC.</w:t>
      </w:r>
    </w:p>
    <w:p>
      <w:pPr>
        <w:spacing w:after="120"/>
        <w:jc w:val="both"/>
      </w:pPr>
      <w:r>
        <w:rPr>
          <w:rFonts w:ascii="Arial" w:hAnsi="Arial"/>
          <w:b w:val="0"/>
          <w:sz w:val="22"/>
        </w:rPr>
      </w:r>
    </w:p>
    <w:p>
      <w:pPr>
        <w:spacing w:after="120"/>
        <w:jc w:val="both"/>
      </w:pPr>
      <w:r>
        <w:rPr>
          <w:rFonts w:ascii="Arial" w:hAnsi="Arial"/>
          <w:b/>
          <w:sz w:val="22"/>
        </w:rPr>
        <w:t>VIGÉSIMA OCTAVA – CLÁUSULA DE INHABILIDADES, INCOMPATIBILIDADES Y PROHIBICIONES – DECLARACIÓN ESPECIAL</w:t>
      </w:r>
    </w:p>
    <w:p>
      <w:pPr>
        <w:spacing w:after="120"/>
        <w:jc w:val="both"/>
      </w:pPr>
      <w:r>
        <w:rPr>
          <w:rFonts w:ascii="Arial" w:hAnsi="Arial"/>
          <w:b w:val="0"/>
          <w:sz w:val="22"/>
        </w:rPr>
        <w:t>EL CONTRATISTA, declarará que no se encuentra en ninguna causal de inhabilidad e incompatibilidad, contenidas en el artículo 8 de la Ley 80 de 1993, Ley 1474 de 2011, artículo 2.2.1.1.2.2.5 del decreto 1082 de 2015 y demás normas legales que disponen sobre la materia. De igual manera que no está inhabilitados para participar conforme las causales que se señalan en el artículo 4 del Acto Legislativo 01 de 2009, que modificó el artículo 122 de la Constitución Política de Colombia.</w:t>
      </w:r>
    </w:p>
    <w:p>
      <w:pPr>
        <w:spacing w:after="120"/>
        <w:jc w:val="both"/>
      </w:pPr>
      <w:r>
        <w:rPr>
          <w:rFonts w:ascii="Arial" w:hAnsi="Arial"/>
          <w:b w:val="0"/>
          <w:sz w:val="22"/>
        </w:rPr>
      </w:r>
    </w:p>
    <w:p>
      <w:pPr>
        <w:spacing w:after="120"/>
        <w:jc w:val="both"/>
      </w:pPr>
      <w:r>
        <w:rPr>
          <w:rFonts w:ascii="Arial" w:hAnsi="Arial"/>
          <w:b/>
          <w:sz w:val="22"/>
        </w:rPr>
        <w:t>VIGÉSIMA NOVENA – CLÁUSULA DE DECLARATORIA DE INCUMPLIMIENTO: De conformidad con el artículo 17 de la ley 1150 de 2007 y el artículo 86 de la ley 1474 de 2011 la USPEC tendrá la facultad de imponer multas, declarar el incumplimiento, la caducidad y/o aplicar la cláusula penal mediante acto administrativo, garantizando el debido proceso y en desarrollo de la actuación administrativa correspondiente.</w:t>
      </w:r>
    </w:p>
    <w:p>
      <w:pPr>
        <w:spacing w:after="120"/>
        <w:jc w:val="both"/>
      </w:pPr>
      <w:r>
        <w:rPr>
          <w:rFonts w:ascii="Arial" w:hAnsi="Arial"/>
          <w:b w:val="0"/>
          <w:sz w:val="22"/>
        </w:rPr>
      </w:r>
    </w:p>
    <w:p>
      <w:pPr>
        <w:spacing w:after="120"/>
        <w:jc w:val="both"/>
      </w:pPr>
      <w:r>
        <w:rPr>
          <w:rFonts w:ascii="Arial" w:hAnsi="Arial"/>
          <w:b/>
          <w:sz w:val="22"/>
        </w:rPr>
        <w:t>TRIGÉSIMA – CLÁUSULA DE PREVENCIÓN DE ACCIDENTES DE SEGURIDAD INDUSTRIAL: EL CONTRATISTA deberá tomar las precauciones necesarias para la seguridad del personal a su servicio y de terceros, de acuerdo con las reglamentaciones vigentes sobre la materia. Será responsable por todos los accidentes que pueda sufrir su persona o la comunidad como resultado de la negligencia o descuido en tomar las medidas de seguridad necesarias. Por consiguiente, todas las indemnizaciones correspondientes serán a cargo del CONTRATISTA. Dentro de los términos previstos en el Artículo 11 de la Ley 1150 de 2007 y demás normas que regulan la materia, se llevará a cabo la liquidación del contrato. EL CONTRATISTA se compromete y obliga a extender y ampliar la garantía, para los amparos que deban estar vigentes durante la etapa de liquidación y, en general, para avalar las obligaciones que deba cumplir con posterioridad a la extinción del contrato, en los términos del artículo 60 de la Ley 80 de 1993, subrogado por el artículo 217 del Decreto Ley 019 de 2012, o las normas que lo modifiquen o sustituyan.</w:t>
      </w:r>
    </w:p>
    <w:p>
      <w:pPr>
        <w:spacing w:after="120"/>
        <w:jc w:val="both"/>
      </w:pPr>
      <w:r>
        <w:rPr>
          <w:rFonts w:ascii="Arial" w:hAnsi="Arial"/>
          <w:b w:val="0"/>
          <w:sz w:val="22"/>
        </w:rPr>
      </w:r>
    </w:p>
    <w:p>
      <w:pPr>
        <w:spacing w:after="120"/>
        <w:jc w:val="both"/>
      </w:pPr>
      <w:r>
        <w:rPr>
          <w:rFonts w:ascii="Arial" w:hAnsi="Arial"/>
          <w:b/>
          <w:sz w:val="22"/>
        </w:rPr>
        <w:t>TRIGÉSIMA PRIMERA – CLÁUSULA DE MÉRITO EJECUTIVO: El contratista acepta y entiende que el presente contrato presta merito ejecutivo por el incumplimiento en cualquiera de sus cláusulas.</w:t>
      </w:r>
    </w:p>
    <w:p>
      <w:pPr>
        <w:spacing w:after="120"/>
        <w:jc w:val="both"/>
      </w:pPr>
      <w:r>
        <w:rPr>
          <w:rFonts w:ascii="Arial" w:hAnsi="Arial"/>
          <w:b w:val="0"/>
          <w:sz w:val="22"/>
        </w:rPr>
      </w:r>
    </w:p>
    <w:p>
      <w:pPr>
        <w:spacing w:after="120"/>
        <w:jc w:val="both"/>
      </w:pPr>
      <w:r>
        <w:rPr>
          <w:rFonts w:ascii="Arial" w:hAnsi="Arial"/>
          <w:b/>
          <w:sz w:val="22"/>
        </w:rPr>
        <w:t>TRIGÉSIMA SEGUNDA– CLÁUSULA DE PERFECCIONAMIENTO Y EJECUCIÓN: El presente acuerdo se perfecciona con la suscripción electrónica del mismo a través de la plataforma SECOP II. Para su ejecución se requiere la expedición del registro presupuestal, la aprobación de las garantías por parte de la USPEC, y la suscripción del Acta de Inicio.</w:t>
      </w:r>
    </w:p>
    <w:p>
      <w:pPr>
        <w:spacing w:after="120"/>
        <w:jc w:val="both"/>
      </w:pPr>
      <w:r>
        <w:rPr>
          <w:rFonts w:ascii="Arial" w:hAnsi="Arial"/>
          <w:b w:val="0"/>
          <w:sz w:val="22"/>
        </w:rPr>
      </w:r>
    </w:p>
    <w:p>
      <w:pPr>
        <w:spacing w:after="120"/>
        <w:jc w:val="both"/>
      </w:pPr>
      <w:r>
        <w:rPr>
          <w:rFonts w:ascii="Arial" w:hAnsi="Arial"/>
          <w:b/>
          <w:sz w:val="22"/>
        </w:rPr>
        <w:t>TRIGÉSIMA TERCERA - CLÁUSULA DE PREVENCIÓN DE LAVADO DE ACTIVOS Y FINANCIACIÓN DEL TERRORISMO: as partes se obligan a realizar todas las actividades encaminadas a asegurar que todo su personal a cargo, empleados, socios, accionistas, administradores, clientes, proveedores, etc., y los recursos de estos, no se encuentren relacionados o provengan, de actividades ilícitas; particularmente, de lavado de activos o financiación del terrorismo. En todo caso, si durante el plazo de vigencia del contrato se encontraren en alguna de las partes, dudas razonables sobre sus operaciones, así como el origen de sus activos y/o que alguna de ellas, llegare a resultar inmiscuido en una investigación de cualquier tipo (penal, administrativa, etc.) relacionada con actividades ilícitas, lavado de dinero o financiamiento del terrorismo, o fuese incluida en las listas internacionales vinculantes para Colombia, de conformidad con el derecho internacional (listas de naciones unidas- ONU), en listas de la OFAC o Clinton, etc., la parte libre de reclamo tendrá derecho de terminar unilateralmente el convenio sin que por este hecho, esté obligado a indemnizar ningún tipo de perjuicio a la parte que lo generó.</w:t>
      </w:r>
    </w:p>
    <w:p>
      <w:pPr>
        <w:spacing w:after="120"/>
        <w:jc w:val="both"/>
      </w:pPr>
      <w:r>
        <w:rPr>
          <w:rFonts w:ascii="Arial" w:hAnsi="Arial"/>
          <w:b w:val="0"/>
          <w:sz w:val="22"/>
        </w:rPr>
      </w:r>
    </w:p>
    <w:p>
      <w:pPr>
        <w:spacing w:after="120"/>
        <w:jc w:val="both"/>
      </w:pPr>
      <w:r>
        <w:rPr>
          <w:rFonts w:ascii="Arial" w:hAnsi="Arial"/>
          <w:b/>
          <w:sz w:val="22"/>
        </w:rPr>
        <w:t>TRIGÉSIMA CUARTA – CLÁUSULA DE LIQUIDACIÓN DEL CONTRATO: El presente contrato se liquidará en los precisos términos señalados en el artículo 60 de la ley 80 de 1993 modificado por el artículo 217 del decreto 019 de 2012. Dentro de los términos previstos en el artículo 11 de la ley 1150 de 2007 y demás normas que regulan la materia, se llevará a cabo la liquidación del contrato. El contratista se compromete y obliga a extender y ampliar la garantía, para los amparos que deban estar vigentes durante la etapa de liquidación y, en general, para avalar las obligaciones que deba cumplir con posterioridad a la extinción del contrato, en los términos del artículo 60 de la ley 80 de 1993, subrogado por el artículo 217 del decreto ley 019 de 2012, o las normas que lo modifiquen o sustituyan.</w:t>
      </w:r>
    </w:p>
    <w:p>
      <w:pPr>
        <w:spacing w:after="120"/>
        <w:jc w:val="both"/>
      </w:pPr>
      <w:r>
        <w:rPr>
          <w:rFonts w:ascii="Arial" w:hAnsi="Arial"/>
          <w:b w:val="0"/>
          <w:sz w:val="22"/>
        </w:rPr>
        <w:t>PÁRAGRAFO: El CONTRATISTA, deberá presentar informe final del contrato, un original impreso y el mismo documento completo digitalizado con el siguiente contenido mínimo:</w:t>
      </w:r>
    </w:p>
    <w:p>
      <w:pPr>
        <w:spacing w:after="120"/>
        <w:jc w:val="both"/>
      </w:pPr>
      <w:r>
        <w:rPr>
          <w:rFonts w:ascii="Arial" w:hAnsi="Arial"/>
          <w:b w:val="0"/>
          <w:sz w:val="22"/>
        </w:rPr>
        <w:t>1. Matriz con las actividades facturadas mes a mes, las modificaciones al contrato y el balance final. 2. Memoria completa de actividades con cada uno de los ítems liquidados, la cual debe estar aprobada por la supervisión 3. Informe final de gestión de calidad acorde con el plan aprobado por la supervisión. 4. Informe final de componentes entregables y proceso de ejecución del proyecto</w:t>
      </w:r>
    </w:p>
    <w:p>
      <w:pPr>
        <w:spacing w:after="120"/>
        <w:jc w:val="both"/>
      </w:pPr>
      <w:r>
        <w:rPr>
          <w:rFonts w:ascii="Arial" w:hAnsi="Arial"/>
          <w:b w:val="0"/>
          <w:sz w:val="22"/>
        </w:rPr>
      </w:r>
    </w:p>
    <w:p>
      <w:pPr>
        <w:spacing w:after="120"/>
        <w:jc w:val="both"/>
      </w:pPr>
      <w:r>
        <w:rPr>
          <w:rFonts w:ascii="Arial" w:hAnsi="Arial"/>
          <w:b/>
          <w:sz w:val="22"/>
        </w:rPr>
        <w:t>TRIGÉSIMA QUINTA – CONSIDERACIONES ESPECIALES</w:t>
      </w:r>
    </w:p>
    <w:p>
      <w:pPr>
        <w:spacing w:after="120"/>
        <w:jc w:val="both"/>
      </w:pPr>
      <w:r>
        <w:rPr>
          <w:rFonts w:ascii="Arial" w:hAnsi="Arial"/>
          <w:b w:val="0"/>
          <w:sz w:val="22"/>
        </w:rPr>
        <w:t>INDEMNIDAD: EL CONTRATISTA se obliga a mantener indemne a la USPEC de cualquier daño o perjuicio originado por reclamaciones de terceros que tengan como causa sus actuaciones hasta por el monto del daño o perjuicio causado y hasta por el valor del presente proceso. Así mismos, mantendrá indemne a la USPEC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w:t>
      </w:r>
    </w:p>
    <w:p>
      <w:pPr>
        <w:spacing w:after="120"/>
        <w:jc w:val="both"/>
      </w:pPr>
      <w:r>
        <w:rPr>
          <w:rFonts w:ascii="Arial" w:hAnsi="Arial"/>
          <w:b w:val="0"/>
          <w:sz w:val="22"/>
        </w:rPr>
        <w:t>CONFIDENCIALIDAD: EL CONTRATISTA se abstendrá de divulgar, publicar o comunicar, directa o indirectamente a terceros la información, documentos o fotografías, relacionados con los documentos que conozca en desarrollo y por virtud del presente proceso EL CONTRATISTA se compromete a realizar una apropiada custodia de la información suministrada por la USPEC, así como a hacer uso de la misma exclusivamente para el desarrollo del Objeto Contractual. Esta obligación será por el término de ejecución del contrato, y tres (3) años más con posterioridad a la terminación del contrato que se llegue a suscribir. Las partes se abstendrán de usar dicha información para su propio beneficio o en beneficio de un tercero, en cualquier tiempo y lugar, incluso con posterioridad a la terminación de lo convenido, salvo que medie expresa autorización escrita. Al respecto las partes están obligadas a: 1). Utilizar la información confidencial con el propósito exclusivo de que ésta sirva como herramienta para la ejecución del contrato. 2). No permitir el acceso a la información confidencial ni divulgar de manera parcial o total su contenido a ningún tercero, sin el consentimiento escrito y previo de la USPEC. 3). Mantener la información confidencial segura; usarla solamente para los propósitos relacionados en el contrato. 4). Abstenerse de publicar la información confidencial que desarrolle, conozca, reciba o intercambie. 5). Proteger la información confidencial, sea verbal, escrita o que por cualquier otro medio reciba o produzca, restringiendo totalmente su uso a terceros ajenos al contrato. 6). Responder civil y penalmente por el mal uso que llegare a darle a la información confidencial. 7). Custodiar la información confidencial con el cuidado y diligencia debido, respondiendo hasta por culpa leve en el manejo de la misma.</w:t>
      </w:r>
    </w:p>
    <w:p>
      <w:pPr>
        <w:spacing w:after="120"/>
        <w:jc w:val="both"/>
      </w:pPr>
      <w:r>
        <w:rPr>
          <w:rFonts w:ascii="Arial" w:hAnsi="Arial"/>
          <w:b w:val="0"/>
          <w:sz w:val="22"/>
        </w:rPr>
        <w:t>RECURSO HUMANO: EL CONTRATISTA se obliga a utilizar personal idóneo para el desarrollo del objeto a contratarse por su cuenta y riesgo bajo su exclusiva responsabilidad, quedando obligado al pago de salarios, prestaciones sociales y al cumplimiento de todas las obligaciones laborales a que haya lugar de acuerdo con las normas legales y convencionales vigentes. En consecuencia, no existirá ningún tipo de vínculo laboral entre la USPEC y el personal que disponga EL CONTRATISTA para el cabal cumplimiento del objeto y no tendrá derecho a reconocimiento de ningún otro valor distinto al indicado en el contrato.</w:t>
      </w:r>
    </w:p>
    <w:p>
      <w:pPr>
        <w:spacing w:after="120"/>
        <w:jc w:val="both"/>
      </w:pPr>
      <w:r>
        <w:rPr>
          <w:rFonts w:ascii="Arial" w:hAnsi="Arial"/>
          <w:b w:val="0"/>
          <w:sz w:val="22"/>
        </w:rPr>
      </w:r>
    </w:p>
    <w:p>
      <w:pPr>
        <w:spacing w:after="120"/>
        <w:jc w:val="both"/>
      </w:pPr>
      <w:r>
        <w:rPr>
          <w:rFonts w:ascii="Arial" w:hAnsi="Arial"/>
          <w:b/>
          <w:sz w:val="22"/>
        </w:rPr>
        <w:t>TRIGÉSIMA SEXTA – SUPERVISIÓN: La supervisión de la ejecución y del cumplimiento de las obligaciones del CONTRATISTA estará a cargo del JEFE DE LA OFICINA DE TECNOLOGÍA, o quien haga sus veces, o quien con posterioridad designe el ordenador del gasto, quien la ejercerá conforme a los artículos 83 y 84 de la Ley 1474 de 2011 y a los documentos de la USPEC sobre ejecución, supervisión y liquidación de los contratos. La supervisión no exime ni modifica ninguna de las obligaciones y responsabilidades del CONTRATISTA. El supervisor llevará el registro de los eventos de los Acuerdos de Niveles de Servicio, de sus tiempos de atención y resolución y de los descuentos causados.</w:t>
      </w:r>
    </w:p>
    <w:p>
      <w:pPr>
        <w:spacing w:after="120"/>
        <w:jc w:val="both"/>
      </w:pPr>
      <w:r>
        <w:rPr>
          <w:rFonts w:ascii="Arial" w:hAnsi="Arial"/>
          <w:b w:val="0"/>
          <w:sz w:val="22"/>
        </w:rPr>
      </w:r>
    </w:p>
    <w:p>
      <w:pPr>
        <w:spacing w:after="120"/>
        <w:jc w:val="both"/>
      </w:pPr>
      <w:r>
        <w:rPr>
          <w:rFonts w:ascii="Arial" w:hAnsi="Arial"/>
          <w:b/>
          <w:sz w:val="22"/>
        </w:rPr>
        <w:t>TRIGÉSIMA SÉPTIMA - NOTIFICACIONES: La ENTIDAD las recibirá en la Ciudad de Bogotá D.C, Colombia, en las oficinas de la UNIDAD DE SERVICIOS PENITENCIARIOS Y CARCELARIOS - USPEC, ubicadas en la Av. Calle 26 No. 69 - 76, Edificio Elemento, Torre 4 Agua, Pisos 12 y 13 en la ciudad de Bogotá D.C. y el CONTRATISTA en la Avenida 8 # 23 Norte - 89 en la ciudad de Cali, Valle del Cauca y al correo electrónico contabilidad@opengroupsa.com</w:t>
      </w:r>
    </w:p>
    <w:p>
      <w:pPr>
        <w:spacing w:after="120"/>
        <w:jc w:val="both"/>
      </w:pPr>
      <w:r>
        <w:rPr>
          <w:rFonts w:ascii="Arial" w:hAnsi="Arial"/>
          <w:b w:val="0"/>
          <w:sz w:val="22"/>
        </w:rPr>
        <w:t>Para todos los efectos, la fecha de suscripción del presente contrato será la de aprobación del mismo en la plataforma SECOP II.</w:t>
      </w:r>
    </w:p>
    <w:p>
      <w:pPr>
        <w:spacing w:after="120"/>
        <w:jc w:val="both"/>
      </w:pPr>
      <w:r>
        <w:rPr>
          <w:rFonts w:ascii="Arial" w:hAnsi="Arial"/>
          <w:b w:val="0"/>
          <w:sz w:val="22"/>
        </w:rPr>
      </w:r>
    </w:p>
    <w:p>
      <w:pPr>
        <w:spacing w:after="120"/>
        <w:jc w:val="both"/>
      </w:pPr>
      <w:r>
        <w:rPr>
          <w:rFonts w:ascii="Arial" w:hAnsi="Arial"/>
          <w:b w:val="0"/>
          <w:sz w:val="22"/>
        </w:rPr>
        <w:t>Para constancia se firma en Bogotá D.C., en la fecha de aprobación del presente contrato en la plataforma SECOP II.</w:t>
      </w:r>
    </w:p>
    <w:p>
      <w:pPr>
        <w:spacing w:after="120"/>
        <w:jc w:val="both"/>
      </w:pPr>
      <w:r>
        <w:rPr>
          <w:rFonts w:ascii="Arial" w:hAnsi="Arial"/>
          <w:b w:val="0"/>
          <w:sz w:val="22"/>
        </w:rPr>
      </w:r>
    </w:p>
    <w:p>
      <w:pPr>
        <w:spacing w:after="120"/>
        <w:jc w:val="both"/>
      </w:pPr>
      <w:r>
        <w:rPr>
          <w:rFonts w:ascii="Arial" w:hAnsi="Arial"/>
          <w:b w:val="0"/>
          <w:sz w:val="22"/>
        </w:rPr>
      </w:r>
    </w:p>
    <w:p>
      <w:pPr>
        <w:spacing w:after="120"/>
        <w:jc w:val="both"/>
      </w:pPr>
      <w:r>
        <w:rPr>
          <w:rFonts w:ascii="Arial" w:hAnsi="Arial"/>
          <w:b w:val="0"/>
          <w:sz w:val="22"/>
        </w:rPr>
        <w:t>___________________________________</w:t>
        <w:tab/>
        <w:tab/>
        <w:t>___________________________________</w:t>
      </w:r>
    </w:p>
    <w:p>
      <w:pPr>
        <w:spacing w:after="120"/>
        <w:jc w:val="both"/>
      </w:pPr>
      <w:r>
        <w:rPr>
          <w:rFonts w:ascii="Arial" w:hAnsi="Arial"/>
          <w:b w:val="0"/>
          <w:sz w:val="22"/>
        </w:rPr>
        <w:t>________________________________________</w:t>
        <w:tab/>
        <w:tab/>
        <w:t>________________________________________</w:t>
      </w:r>
    </w:p>
    <w:p>
      <w:pPr>
        <w:spacing w:after="120"/>
        <w:jc w:val="both"/>
      </w:pPr>
      <w:r>
        <w:rPr>
          <w:rFonts w:ascii="Arial" w:hAnsi="Arial"/>
          <w:b w:val="0"/>
          <w:sz w:val="22"/>
        </w:rPr>
        <w:t>UNIDAD DE SERVICIOS PENITENCIARIOS</w:t>
        <w:tab/>
        <w:tab/>
        <w:t>EL CONTRATISTA</w:t>
      </w:r>
    </w:p>
    <w:p>
      <w:pPr>
        <w:spacing w:after="120"/>
        <w:jc w:val="both"/>
      </w:pPr>
      <w:r>
        <w:rPr>
          <w:rFonts w:ascii="Arial" w:hAnsi="Arial"/>
          <w:b w:val="0"/>
          <w:sz w:val="22"/>
        </w:rPr>
        <w:t>Y CARCELARIOS – USPEC</w:t>
        <w:tab/>
        <w:tab/>
        <w:t>NIT __________</w:t>
      </w:r>
    </w:p>
    <w:p>
      <w:pPr>
        <w:spacing w:after="120"/>
        <w:jc w:val="both"/>
      </w:pPr>
      <w:r>
        <w:rPr>
          <w:rFonts w:ascii="Arial" w:hAnsi="Arial"/>
          <w:b w:val="0"/>
          <w:sz w:val="22"/>
        </w:rPr>
        <w:t>NIT 900.523.392-1</w:t>
      </w:r>
    </w:p>
    <w:p>
      <w:pPr>
        <w:spacing w:after="120"/>
        <w:jc w:val="both"/>
      </w:pPr>
      <w:r>
        <w:rPr>
          <w:rFonts w:ascii="Arial" w:hAnsi="Arial"/>
          <w:b w:val="0"/>
          <w:sz w:val="22"/>
        </w:rPr>
      </w:r>
    </w:p>
    <w:p>
      <w:pPr>
        <w:spacing w:after="120"/>
        <w:jc w:val="both"/>
      </w:pPr>
      <w:r>
        <w:rPr>
          <w:rFonts w:ascii="Arial" w:hAnsi="Arial"/>
          <w:b w:val="0"/>
          <w:sz w:val="22"/>
        </w:rPr>
        <w:t>Elaboró componente jurídico: __________</w:t>
      </w:r>
    </w:p>
    <w:p>
      <w:pPr>
        <w:spacing w:after="120"/>
        <w:jc w:val="both"/>
      </w:pPr>
      <w:r>
        <w:rPr>
          <w:rFonts w:ascii="Arial" w:hAnsi="Arial"/>
          <w:b w:val="0"/>
          <w:sz w:val="22"/>
        </w:rPr>
        <w:t>Revisó: __________</w:t>
      </w:r>
    </w:p>
    <w:sectPr w:rsidR="00DE58E4" w:rsidRPr="008F44A4" w:rsidSect="007863A2">
      <w:headerReference w:type="default" r:id="rId9"/>
      <w:footerReference w:type="default" r:id="rId10"/>
      <w:pgSz w:w="12240" w:h="15840"/>
      <w:pgMar w:top="1417" w:right="1183" w:bottom="1417" w:left="1701" w:header="708" w:footer="3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AA9FB" w14:textId="77777777" w:rsidR="006C7378" w:rsidRDefault="006C7378" w:rsidP="001D3D8A">
      <w:r>
        <w:separator/>
      </w:r>
    </w:p>
  </w:endnote>
  <w:endnote w:type="continuationSeparator" w:id="0">
    <w:p w14:paraId="49370114" w14:textId="77777777" w:rsidR="006C7378" w:rsidRDefault="006C7378" w:rsidP="001D3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Narrow,Bold">
    <w:altName w:val="Arial Narrow"/>
    <w:panose1 w:val="020B0604020202020204"/>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9E7AC" w14:textId="77777777" w:rsidR="007863A2" w:rsidRPr="007863A2" w:rsidRDefault="007863A2" w:rsidP="007863A2">
    <w:pPr>
      <w:pStyle w:val="Footer"/>
      <w:tabs>
        <w:tab w:val="clear" w:pos="8838"/>
        <w:tab w:val="right" w:pos="9295"/>
      </w:tabs>
      <w:rPr>
        <w:rFonts w:ascii="Arial Narrow" w:hAnsi="Arial Narrow" w:cs="Arial"/>
        <w:sz w:val="16"/>
        <w:szCs w:val="14"/>
      </w:rPr>
    </w:pPr>
    <w:r w:rsidRPr="007863A2">
      <w:rPr>
        <w:rFonts w:ascii="Arial Narrow" w:hAnsi="Arial Narrow"/>
        <w:sz w:val="16"/>
        <w:szCs w:val="14"/>
      </w:rPr>
      <w:t>Dirección: Avenida Calle 26 No. 69 - 76 Edificio Elemento,</w:t>
    </w:r>
    <w:r w:rsidRPr="007863A2">
      <w:rPr>
        <w:rFonts w:ascii="Arial Narrow" w:hAnsi="Arial Narrow"/>
        <w:sz w:val="16"/>
        <w:szCs w:val="14"/>
      </w:rPr>
      <w:tab/>
      <w:t xml:space="preserve">          </w:t>
    </w:r>
    <w:r w:rsidRPr="007863A2">
      <w:rPr>
        <w:rFonts w:ascii="Arial Narrow" w:hAnsi="Arial Narrow"/>
        <w:sz w:val="16"/>
        <w:szCs w:val="14"/>
      </w:rPr>
      <w:tab/>
      <w:t xml:space="preserve">   </w:t>
    </w:r>
    <w:r w:rsidRPr="007863A2">
      <w:rPr>
        <w:rFonts w:ascii="Arial Narrow" w:hAnsi="Arial Narrow" w:cs="Arial"/>
        <w:sz w:val="16"/>
        <w:szCs w:val="14"/>
      </w:rPr>
      <w:t xml:space="preserve">Página: </w:t>
    </w:r>
    <w:r w:rsidRPr="007863A2">
      <w:rPr>
        <w:rFonts w:ascii="Arial Narrow" w:hAnsi="Arial Narrow" w:cs="Arial"/>
        <w:sz w:val="16"/>
        <w:szCs w:val="14"/>
      </w:rPr>
      <w:fldChar w:fldCharType="begin"/>
    </w:r>
    <w:r w:rsidRPr="007863A2">
      <w:rPr>
        <w:rFonts w:ascii="Arial Narrow" w:hAnsi="Arial Narrow" w:cs="Arial"/>
        <w:sz w:val="16"/>
        <w:szCs w:val="14"/>
      </w:rPr>
      <w:instrText xml:space="preserve"> PAGE  \* Arabic  \* MERGEFORMAT </w:instrText>
    </w:r>
    <w:r w:rsidRPr="007863A2">
      <w:rPr>
        <w:rFonts w:ascii="Arial Narrow" w:hAnsi="Arial Narrow" w:cs="Arial"/>
        <w:sz w:val="16"/>
        <w:szCs w:val="14"/>
      </w:rPr>
      <w:fldChar w:fldCharType="separate"/>
    </w:r>
    <w:r w:rsidR="00F051E9" w:rsidRPr="00F051E9">
      <w:rPr>
        <w:rFonts w:ascii="Arial Narrow" w:hAnsi="Arial Narrow"/>
        <w:noProof/>
        <w:sz w:val="16"/>
        <w:szCs w:val="14"/>
      </w:rPr>
      <w:t>10</w:t>
    </w:r>
    <w:r w:rsidRPr="007863A2">
      <w:rPr>
        <w:rFonts w:ascii="Arial Narrow" w:hAnsi="Arial Narrow" w:cs="Arial"/>
        <w:sz w:val="16"/>
        <w:szCs w:val="14"/>
      </w:rPr>
      <w:fldChar w:fldCharType="end"/>
    </w:r>
    <w:r w:rsidRPr="007863A2">
      <w:rPr>
        <w:rFonts w:ascii="Arial Narrow" w:hAnsi="Arial Narrow" w:cs="Arial"/>
        <w:sz w:val="16"/>
        <w:szCs w:val="14"/>
      </w:rPr>
      <w:t xml:space="preserve"> de </w:t>
    </w:r>
    <w:r w:rsidRPr="007863A2">
      <w:rPr>
        <w:rFonts w:ascii="Arial Narrow" w:hAnsi="Arial Narrow" w:cs="Arial"/>
        <w:sz w:val="16"/>
        <w:szCs w:val="14"/>
      </w:rPr>
      <w:fldChar w:fldCharType="begin"/>
    </w:r>
    <w:r w:rsidRPr="007863A2">
      <w:rPr>
        <w:rFonts w:ascii="Arial Narrow" w:hAnsi="Arial Narrow" w:cs="Arial"/>
        <w:sz w:val="16"/>
        <w:szCs w:val="14"/>
      </w:rPr>
      <w:instrText xml:space="preserve"> NUMPAGES  \* Arabic  \* MERGEFORMAT </w:instrText>
    </w:r>
    <w:r w:rsidRPr="007863A2">
      <w:rPr>
        <w:rFonts w:ascii="Arial Narrow" w:hAnsi="Arial Narrow" w:cs="Arial"/>
        <w:sz w:val="16"/>
        <w:szCs w:val="14"/>
      </w:rPr>
      <w:fldChar w:fldCharType="separate"/>
    </w:r>
    <w:r w:rsidR="00F051E9" w:rsidRPr="00F051E9">
      <w:rPr>
        <w:rFonts w:ascii="Arial Narrow" w:hAnsi="Arial Narrow"/>
        <w:noProof/>
        <w:sz w:val="16"/>
        <w:szCs w:val="14"/>
      </w:rPr>
      <w:t>10</w:t>
    </w:r>
    <w:r w:rsidRPr="007863A2">
      <w:rPr>
        <w:rFonts w:ascii="Arial Narrow" w:hAnsi="Arial Narrow" w:cs="Arial"/>
        <w:sz w:val="16"/>
        <w:szCs w:val="14"/>
      </w:rPr>
      <w:fldChar w:fldCharType="end"/>
    </w:r>
  </w:p>
  <w:p w14:paraId="1D9963C4" w14:textId="77777777" w:rsidR="007863A2" w:rsidRPr="007863A2" w:rsidRDefault="007863A2" w:rsidP="007863A2">
    <w:pPr>
      <w:pStyle w:val="Footer"/>
      <w:rPr>
        <w:rFonts w:ascii="Arial Narrow" w:hAnsi="Arial Narrow"/>
        <w:sz w:val="16"/>
        <w:szCs w:val="14"/>
      </w:rPr>
    </w:pPr>
    <w:r w:rsidRPr="007863A2">
      <w:rPr>
        <w:rFonts w:ascii="Arial Narrow" w:hAnsi="Arial Narrow"/>
        <w:sz w:val="16"/>
        <w:szCs w:val="14"/>
      </w:rPr>
      <w:t>pisos 12 y 13 Torre 4 Agua, piso 2 Torre 2 Fuego.</w:t>
    </w:r>
  </w:p>
  <w:p w14:paraId="2095051C" w14:textId="77777777" w:rsidR="007863A2" w:rsidRPr="007863A2" w:rsidRDefault="007863A2" w:rsidP="007863A2">
    <w:pPr>
      <w:pStyle w:val="Footer"/>
      <w:tabs>
        <w:tab w:val="clear" w:pos="4419"/>
      </w:tabs>
      <w:rPr>
        <w:rFonts w:ascii="Arial Narrow" w:hAnsi="Arial Narrow"/>
        <w:sz w:val="16"/>
        <w:szCs w:val="14"/>
      </w:rPr>
    </w:pPr>
    <w:r w:rsidRPr="007863A2">
      <w:rPr>
        <w:rFonts w:ascii="Arial Narrow" w:hAnsi="Arial Narrow"/>
        <w:sz w:val="16"/>
        <w:szCs w:val="14"/>
      </w:rPr>
      <w:t>Conmutador: +57 60(1) 6664426</w:t>
    </w:r>
  </w:p>
  <w:p w14:paraId="67E6DD25" w14:textId="77777777" w:rsidR="007863A2" w:rsidRDefault="007863A2" w:rsidP="00903E14">
    <w:pPr>
      <w:pStyle w:val="Footer"/>
      <w:tabs>
        <w:tab w:val="clear" w:pos="8838"/>
      </w:tabs>
      <w:jc w:val="both"/>
      <w:rPr>
        <w:rFonts w:ascii="Arial Narrow" w:hAnsi="Arial Narrow" w:cs="Arial"/>
        <w:color w:val="00B050"/>
        <w:sz w:val="16"/>
        <w:szCs w:val="16"/>
      </w:rPr>
    </w:pPr>
  </w:p>
  <w:p w14:paraId="37F690AB" w14:textId="50DAB9C9" w:rsidR="00903E14" w:rsidRPr="00B70659" w:rsidRDefault="00903E14" w:rsidP="007863A2">
    <w:pPr>
      <w:pStyle w:val="Footer"/>
      <w:tabs>
        <w:tab w:val="clear" w:pos="8838"/>
      </w:tabs>
      <w:jc w:val="both"/>
      <w:rPr>
        <w:rFonts w:ascii="Arial Narrow" w:hAnsi="Arial Narrow"/>
        <w:sz w:val="16"/>
        <w:szCs w:val="16"/>
      </w:rPr>
    </w:pPr>
    <w:r w:rsidRPr="00B70659">
      <w:rPr>
        <w:rFonts w:ascii="Arial Narrow" w:hAnsi="Arial Narrow" w:cs="Arial"/>
        <w:sz w:val="16"/>
        <w:szCs w:val="16"/>
      </w:rPr>
      <w:t>Código: CO-FO-016                    Vigencia: 30/08/2024                    Versión: 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C7CC8" w14:textId="77777777" w:rsidR="006C7378" w:rsidRDefault="006C7378" w:rsidP="001D3D8A">
      <w:r>
        <w:separator/>
      </w:r>
    </w:p>
  </w:footnote>
  <w:footnote w:type="continuationSeparator" w:id="0">
    <w:p w14:paraId="131A69F9" w14:textId="77777777" w:rsidR="006C7378" w:rsidRDefault="006C7378" w:rsidP="001D3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3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3"/>
      <w:gridCol w:w="7508"/>
    </w:tblGrid>
    <w:tr w:rsidR="005A3640" w:rsidRPr="00EE1C2C" w14:paraId="05D5A3CA" w14:textId="77777777" w:rsidTr="005A3640">
      <w:trPr>
        <w:cantSplit/>
        <w:trHeight w:val="275"/>
      </w:trPr>
      <w:tc>
        <w:tcPr>
          <w:tcW w:w="1843" w:type="dxa"/>
          <w:vMerge w:val="restart"/>
          <w:vAlign w:val="center"/>
        </w:tcPr>
        <w:p w14:paraId="2BC0CA3E" w14:textId="0579BBE5" w:rsidR="005A3640" w:rsidRPr="00EE1C2C" w:rsidRDefault="005A3640" w:rsidP="001D3D8A">
          <w:pPr>
            <w:pStyle w:val="Header"/>
            <w:rPr>
              <w:rFonts w:ascii="Arial Narrow" w:hAnsi="Arial Narrow"/>
            </w:rPr>
          </w:pPr>
          <w:r w:rsidRPr="00EE1C2C">
            <w:rPr>
              <w:rFonts w:ascii="Arial Narrow" w:hAnsi="Arial Narrow"/>
              <w:noProof/>
              <w:lang w:val="es-CO" w:eastAsia="es-CO"/>
            </w:rPr>
            <w:drawing>
              <wp:anchor distT="0" distB="0" distL="114300" distR="114300" simplePos="0" relativeHeight="251661312" behindDoc="1" locked="0" layoutInCell="1" allowOverlap="1" wp14:anchorId="1BF84B90" wp14:editId="18E21F27">
                <wp:simplePos x="0" y="0"/>
                <wp:positionH relativeFrom="margin">
                  <wp:posOffset>123190</wp:posOffset>
                </wp:positionH>
                <wp:positionV relativeFrom="paragraph">
                  <wp:posOffset>-10795</wp:posOffset>
                </wp:positionV>
                <wp:extent cx="781050" cy="619125"/>
                <wp:effectExtent l="0" t="0" r="0" b="0"/>
                <wp:wrapNone/>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uspec-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1050" cy="619125"/>
                        </a:xfrm>
                        <a:prstGeom prst="rect">
                          <a:avLst/>
                        </a:prstGeom>
                      </pic:spPr>
                    </pic:pic>
                  </a:graphicData>
                </a:graphic>
                <wp14:sizeRelH relativeFrom="margin">
                  <wp14:pctWidth>0</wp14:pctWidth>
                </wp14:sizeRelH>
                <wp14:sizeRelV relativeFrom="margin">
                  <wp14:pctHeight>0</wp14:pctHeight>
                </wp14:sizeRelV>
              </wp:anchor>
            </w:drawing>
          </w:r>
        </w:p>
      </w:tc>
      <w:tc>
        <w:tcPr>
          <w:tcW w:w="7508" w:type="dxa"/>
          <w:vMerge w:val="restart"/>
          <w:vAlign w:val="center"/>
        </w:tcPr>
        <w:p w14:paraId="0AAC8D49" w14:textId="433351DB" w:rsidR="00D37D90" w:rsidRDefault="005A3640" w:rsidP="005A3640">
          <w:pPr>
            <w:jc w:val="center"/>
            <w:rPr>
              <w:rFonts w:ascii="Arial Narrow" w:hAnsi="Arial Narrow"/>
              <w:b/>
              <w:lang w:eastAsia="es-MX"/>
            </w:rPr>
          </w:pPr>
          <w:r w:rsidRPr="00EE1C2C">
            <w:rPr>
              <w:vertAlign w:val="superscript"/>
              <w:lang w:eastAsia="es-MX"/>
            </w:rPr>
            <w:t xml:space="preserve"/>
          </w:r>
          <w:r w:rsidRPr="00EE1C2C">
            <w:rPr>
              <w:rFonts w:ascii="Arial Narrow" w:hAnsi="Arial Narrow"/>
              <w:b/>
              <w:lang w:eastAsia="es-MX"/>
            </w:rPr>
            <w:t xml:space="preserve">CONTRATO No. USPEC-CTO-____-2026</w:t>
          </w:r>
          <w:r w:rsidR="00491DBE">
            <w:rPr>
              <w:rFonts w:ascii="Arial Narrow" w:hAnsi="Arial Narrow"/>
              <w:b/>
              <w:lang w:eastAsia="es-MX"/>
            </w:rPr>
            <w:t/>
          </w:r>
          <w:r w:rsidR="00D37D90">
            <w:rPr>
              <w:rFonts w:ascii="Arial Narrow" w:hAnsi="Arial Narrow"/>
              <w:b/>
              <w:lang w:eastAsia="es-MX"/>
            </w:rPr>
            <w:t xml:space="preserve"> </w:t>
          </w:r>
        </w:p>
        <w:p w14:paraId="0E9B7FA2" w14:textId="235B2948" w:rsidR="005A3640" w:rsidRDefault="00D37D90" w:rsidP="005A3640">
          <w:pPr>
            <w:jc w:val="center"/>
            <w:rPr>
              <w:rFonts w:ascii="Arial Narrow" w:hAnsi="Arial Narrow"/>
              <w:b/>
              <w:lang w:eastAsia="es-MX"/>
            </w:rPr>
          </w:pPr>
          <w:r>
            <w:rPr>
              <w:rFonts w:ascii="Arial Narrow" w:hAnsi="Arial Narrow"/>
              <w:b/>
              <w:lang w:eastAsia="es-MX"/>
            </w:rPr>
            <w:t/>
          </w:r>
          <w:r w:rsidR="007C3E3E">
            <w:rPr>
              <w:rFonts w:ascii="Arial Narrow" w:hAnsi="Arial Narrow"/>
              <w:b/>
              <w:lang w:eastAsia="es-MX"/>
            </w:rPr>
            <w:t/>
          </w:r>
          <w:r>
            <w:rPr>
              <w:rFonts w:ascii="Arial Narrow" w:hAnsi="Arial Narrow"/>
              <w:b/>
              <w:lang w:eastAsia="es-MX"/>
            </w:rPr>
            <w:t/>
          </w:r>
          <w:r w:rsidR="007C3E3E">
            <w:rPr>
              <w:rFonts w:ascii="Arial Narrow" w:hAnsi="Arial Narrow"/>
              <w:b/>
              <w:lang w:eastAsia="es-MX"/>
            </w:rPr>
            <w:t/>
          </w:r>
        </w:p>
        <w:p w14:paraId="1F3E03A2" w14:textId="7CAE77F7" w:rsidR="00D37D90" w:rsidRPr="00EE1C2C" w:rsidRDefault="00D37D90" w:rsidP="005A3640">
          <w:pPr>
            <w:jc w:val="center"/>
            <w:rPr>
              <w:b/>
              <w:bCs/>
            </w:rPr>
          </w:pPr>
        </w:p>
      </w:tc>
    </w:tr>
    <w:tr w:rsidR="005A3640" w:rsidRPr="00EE1C2C" w14:paraId="26A145C6" w14:textId="77777777" w:rsidTr="005A3640">
      <w:trPr>
        <w:cantSplit/>
        <w:trHeight w:val="275"/>
      </w:trPr>
      <w:tc>
        <w:tcPr>
          <w:tcW w:w="1843" w:type="dxa"/>
          <w:vMerge/>
          <w:vAlign w:val="center"/>
        </w:tcPr>
        <w:p w14:paraId="6FF92E0F" w14:textId="77777777" w:rsidR="005A3640" w:rsidRPr="00EE1C2C" w:rsidRDefault="005A3640" w:rsidP="001D3D8A">
          <w:pPr>
            <w:pStyle w:val="Header"/>
            <w:rPr>
              <w:rFonts w:ascii="Arial Narrow" w:hAnsi="Arial Narrow"/>
            </w:rPr>
          </w:pPr>
        </w:p>
      </w:tc>
      <w:tc>
        <w:tcPr>
          <w:tcW w:w="7508" w:type="dxa"/>
          <w:vMerge/>
          <w:vAlign w:val="center"/>
        </w:tcPr>
        <w:p w14:paraId="4568DFB3" w14:textId="77777777" w:rsidR="005A3640" w:rsidRPr="00EE1C2C" w:rsidRDefault="005A3640" w:rsidP="001D3D8A">
          <w:pPr>
            <w:pStyle w:val="Header"/>
            <w:jc w:val="center"/>
            <w:rPr>
              <w:rFonts w:ascii="Arial Narrow" w:hAnsi="Arial Narrow"/>
              <w:b/>
            </w:rPr>
          </w:pPr>
        </w:p>
      </w:tc>
    </w:tr>
    <w:tr w:rsidR="005A3640" w:rsidRPr="00EE1C2C" w14:paraId="207A4E1D" w14:textId="77777777" w:rsidTr="005A3640">
      <w:trPr>
        <w:cantSplit/>
        <w:trHeight w:val="418"/>
      </w:trPr>
      <w:tc>
        <w:tcPr>
          <w:tcW w:w="1843" w:type="dxa"/>
          <w:vMerge/>
          <w:vAlign w:val="center"/>
        </w:tcPr>
        <w:p w14:paraId="13FE883C" w14:textId="77777777" w:rsidR="005A3640" w:rsidRPr="00EE1C2C" w:rsidRDefault="005A3640" w:rsidP="001D3D8A">
          <w:pPr>
            <w:pStyle w:val="Header"/>
            <w:rPr>
              <w:rFonts w:ascii="Arial Narrow" w:hAnsi="Arial Narrow"/>
            </w:rPr>
          </w:pPr>
        </w:p>
      </w:tc>
      <w:tc>
        <w:tcPr>
          <w:tcW w:w="7508" w:type="dxa"/>
          <w:vMerge/>
          <w:vAlign w:val="center"/>
        </w:tcPr>
        <w:p w14:paraId="26BD2E54" w14:textId="77777777" w:rsidR="005A3640" w:rsidRPr="00EE1C2C" w:rsidRDefault="005A3640" w:rsidP="001D3D8A">
          <w:pPr>
            <w:pStyle w:val="Header"/>
            <w:jc w:val="center"/>
            <w:rPr>
              <w:rFonts w:ascii="Arial Narrow" w:hAnsi="Arial Narrow"/>
              <w:b/>
            </w:rPr>
          </w:pPr>
        </w:p>
      </w:tc>
    </w:tr>
  </w:tbl>
  <w:p w14:paraId="0F1372F3" w14:textId="32A8816B" w:rsidR="001D3D8A" w:rsidRDefault="001D3D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02212"/>
    <w:multiLevelType w:val="multilevel"/>
    <w:tmpl w:val="849A85D8"/>
    <w:lvl w:ilvl="0">
      <w:start w:val="1"/>
      <w:numFmt w:val="decimal"/>
      <w:lvlText w:val="%1."/>
      <w:lvlJc w:val="left"/>
      <w:pPr>
        <w:ind w:left="992" w:hanging="360"/>
      </w:pPr>
      <w:rPr>
        <w:rFonts w:hint="default"/>
      </w:rPr>
    </w:lvl>
    <w:lvl w:ilvl="1">
      <w:start w:val="1"/>
      <w:numFmt w:val="decimal"/>
      <w:lvlText w:val="%1.%2."/>
      <w:lvlJc w:val="left"/>
      <w:pPr>
        <w:ind w:left="1352" w:hanging="720"/>
      </w:pPr>
      <w:rPr>
        <w:rFonts w:hint="default"/>
      </w:rPr>
    </w:lvl>
    <w:lvl w:ilvl="2">
      <w:start w:val="1"/>
      <w:numFmt w:val="decimalZero"/>
      <w:lvlText w:val="%1.%2.%3."/>
      <w:lvlJc w:val="left"/>
      <w:pPr>
        <w:ind w:left="1352" w:hanging="720"/>
      </w:pPr>
      <w:rPr>
        <w:rFonts w:hint="default"/>
      </w:rPr>
    </w:lvl>
    <w:lvl w:ilvl="3">
      <w:start w:val="1"/>
      <w:numFmt w:val="decimal"/>
      <w:lvlText w:val="%1.%2.%3.%4."/>
      <w:lvlJc w:val="left"/>
      <w:pPr>
        <w:ind w:left="1712" w:hanging="1080"/>
      </w:pPr>
      <w:rPr>
        <w:rFonts w:hint="default"/>
      </w:rPr>
    </w:lvl>
    <w:lvl w:ilvl="4">
      <w:start w:val="1"/>
      <w:numFmt w:val="decimal"/>
      <w:lvlText w:val="%1.%2.%3.%4.%5."/>
      <w:lvlJc w:val="left"/>
      <w:pPr>
        <w:ind w:left="1712" w:hanging="1080"/>
      </w:pPr>
      <w:rPr>
        <w:rFonts w:hint="default"/>
      </w:rPr>
    </w:lvl>
    <w:lvl w:ilvl="5">
      <w:start w:val="1"/>
      <w:numFmt w:val="decimal"/>
      <w:lvlText w:val="%1.%2.%3.%4.%5.%6."/>
      <w:lvlJc w:val="left"/>
      <w:pPr>
        <w:ind w:left="2072" w:hanging="1440"/>
      </w:pPr>
      <w:rPr>
        <w:rFonts w:hint="default"/>
      </w:rPr>
    </w:lvl>
    <w:lvl w:ilvl="6">
      <w:start w:val="1"/>
      <w:numFmt w:val="decimal"/>
      <w:lvlText w:val="%1.%2.%3.%4.%5.%6.%7."/>
      <w:lvlJc w:val="left"/>
      <w:pPr>
        <w:ind w:left="2072" w:hanging="1440"/>
      </w:pPr>
      <w:rPr>
        <w:rFonts w:hint="default"/>
      </w:rPr>
    </w:lvl>
    <w:lvl w:ilvl="7">
      <w:start w:val="1"/>
      <w:numFmt w:val="decimal"/>
      <w:lvlText w:val="%1.%2.%3.%4.%5.%6.%7.%8."/>
      <w:lvlJc w:val="left"/>
      <w:pPr>
        <w:ind w:left="2432" w:hanging="1800"/>
      </w:pPr>
      <w:rPr>
        <w:rFonts w:hint="default"/>
      </w:rPr>
    </w:lvl>
    <w:lvl w:ilvl="8">
      <w:start w:val="1"/>
      <w:numFmt w:val="decimal"/>
      <w:lvlText w:val="%1.%2.%3.%4.%5.%6.%7.%8.%9."/>
      <w:lvlJc w:val="left"/>
      <w:pPr>
        <w:ind w:left="2432" w:hanging="1800"/>
      </w:pPr>
      <w:rPr>
        <w:rFonts w:hint="default"/>
      </w:rPr>
    </w:lvl>
  </w:abstractNum>
  <w:abstractNum w:abstractNumId="1" w15:restartNumberingAfterBreak="0">
    <w:nsid w:val="131F4633"/>
    <w:multiLevelType w:val="multilevel"/>
    <w:tmpl w:val="B8342B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DBD0F3F"/>
    <w:multiLevelType w:val="multilevel"/>
    <w:tmpl w:val="849A85D8"/>
    <w:lvl w:ilvl="0">
      <w:start w:val="1"/>
      <w:numFmt w:val="decimal"/>
      <w:lvlText w:val="%1."/>
      <w:lvlJc w:val="left"/>
      <w:pPr>
        <w:ind w:left="992" w:hanging="360"/>
      </w:pPr>
      <w:rPr>
        <w:rFonts w:hint="default"/>
      </w:rPr>
    </w:lvl>
    <w:lvl w:ilvl="1">
      <w:start w:val="1"/>
      <w:numFmt w:val="decimal"/>
      <w:lvlText w:val="%1.%2."/>
      <w:lvlJc w:val="left"/>
      <w:pPr>
        <w:ind w:left="1352" w:hanging="720"/>
      </w:pPr>
      <w:rPr>
        <w:rFonts w:hint="default"/>
      </w:rPr>
    </w:lvl>
    <w:lvl w:ilvl="2">
      <w:start w:val="1"/>
      <w:numFmt w:val="decimalZero"/>
      <w:lvlText w:val="%1.%2.%3."/>
      <w:lvlJc w:val="left"/>
      <w:pPr>
        <w:ind w:left="1352" w:hanging="720"/>
      </w:pPr>
      <w:rPr>
        <w:rFonts w:hint="default"/>
      </w:rPr>
    </w:lvl>
    <w:lvl w:ilvl="3">
      <w:start w:val="1"/>
      <w:numFmt w:val="decimal"/>
      <w:lvlText w:val="%1.%2.%3.%4."/>
      <w:lvlJc w:val="left"/>
      <w:pPr>
        <w:ind w:left="1712" w:hanging="1080"/>
      </w:pPr>
      <w:rPr>
        <w:rFonts w:hint="default"/>
      </w:rPr>
    </w:lvl>
    <w:lvl w:ilvl="4">
      <w:start w:val="1"/>
      <w:numFmt w:val="decimal"/>
      <w:lvlText w:val="%1.%2.%3.%4.%5."/>
      <w:lvlJc w:val="left"/>
      <w:pPr>
        <w:ind w:left="1712" w:hanging="1080"/>
      </w:pPr>
      <w:rPr>
        <w:rFonts w:hint="default"/>
      </w:rPr>
    </w:lvl>
    <w:lvl w:ilvl="5">
      <w:start w:val="1"/>
      <w:numFmt w:val="decimal"/>
      <w:lvlText w:val="%1.%2.%3.%4.%5.%6."/>
      <w:lvlJc w:val="left"/>
      <w:pPr>
        <w:ind w:left="2072" w:hanging="1440"/>
      </w:pPr>
      <w:rPr>
        <w:rFonts w:hint="default"/>
      </w:rPr>
    </w:lvl>
    <w:lvl w:ilvl="6">
      <w:start w:val="1"/>
      <w:numFmt w:val="decimal"/>
      <w:lvlText w:val="%1.%2.%3.%4.%5.%6.%7."/>
      <w:lvlJc w:val="left"/>
      <w:pPr>
        <w:ind w:left="2072" w:hanging="1440"/>
      </w:pPr>
      <w:rPr>
        <w:rFonts w:hint="default"/>
      </w:rPr>
    </w:lvl>
    <w:lvl w:ilvl="7">
      <w:start w:val="1"/>
      <w:numFmt w:val="decimal"/>
      <w:lvlText w:val="%1.%2.%3.%4.%5.%6.%7.%8."/>
      <w:lvlJc w:val="left"/>
      <w:pPr>
        <w:ind w:left="2432" w:hanging="1800"/>
      </w:pPr>
      <w:rPr>
        <w:rFonts w:hint="default"/>
      </w:rPr>
    </w:lvl>
    <w:lvl w:ilvl="8">
      <w:start w:val="1"/>
      <w:numFmt w:val="decimal"/>
      <w:lvlText w:val="%1.%2.%3.%4.%5.%6.%7.%8.%9."/>
      <w:lvlJc w:val="left"/>
      <w:pPr>
        <w:ind w:left="2432" w:hanging="1800"/>
      </w:pPr>
      <w:rPr>
        <w:rFonts w:hint="default"/>
      </w:rPr>
    </w:lvl>
  </w:abstractNum>
  <w:abstractNum w:abstractNumId="3" w15:restartNumberingAfterBreak="0">
    <w:nsid w:val="22FA0389"/>
    <w:multiLevelType w:val="multilevel"/>
    <w:tmpl w:val="9E0E0F7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2A9F6262"/>
    <w:multiLevelType w:val="hybridMultilevel"/>
    <w:tmpl w:val="32066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FC382F"/>
    <w:multiLevelType w:val="hybridMultilevel"/>
    <w:tmpl w:val="C5CEED42"/>
    <w:lvl w:ilvl="0" w:tplc="ACE0B770">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4B7C34"/>
    <w:multiLevelType w:val="multilevel"/>
    <w:tmpl w:val="4E3CCB7C"/>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0774D81"/>
    <w:multiLevelType w:val="hybridMultilevel"/>
    <w:tmpl w:val="EDCA02D6"/>
    <w:lvl w:ilvl="0" w:tplc="67FCB3F2">
      <w:start w:val="2"/>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117A7A"/>
    <w:multiLevelType w:val="hybridMultilevel"/>
    <w:tmpl w:val="C7FCB5A6"/>
    <w:lvl w:ilvl="0" w:tplc="98E862C0">
      <w:start w:val="4"/>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F17C04"/>
    <w:multiLevelType w:val="multilevel"/>
    <w:tmpl w:val="0350907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C5B4D4E"/>
    <w:multiLevelType w:val="multilevel"/>
    <w:tmpl w:val="FEE07F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CF7309"/>
    <w:multiLevelType w:val="hybridMultilevel"/>
    <w:tmpl w:val="480206A0"/>
    <w:lvl w:ilvl="0" w:tplc="64AECEFE">
      <w:start w:val="1"/>
      <w:numFmt w:val="decimal"/>
      <w:lvlText w:val="%1."/>
      <w:lvlJc w:val="left"/>
      <w:pPr>
        <w:ind w:left="360" w:hanging="360"/>
      </w:pPr>
      <w:rPr>
        <w:rFonts w:ascii="Arial Narrow" w:eastAsia="Calibri" w:hAnsi="Arial Narrow" w:cs="Arial"/>
        <w:b w:val="0"/>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12" w15:restartNumberingAfterBreak="0">
    <w:nsid w:val="77A12795"/>
    <w:multiLevelType w:val="multilevel"/>
    <w:tmpl w:val="62CCC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28157987">
    <w:abstractNumId w:val="11"/>
  </w:num>
  <w:num w:numId="2" w16cid:durableId="1955282996">
    <w:abstractNumId w:val="3"/>
  </w:num>
  <w:num w:numId="3" w16cid:durableId="742988563">
    <w:abstractNumId w:val="4"/>
  </w:num>
  <w:num w:numId="4" w16cid:durableId="1426876703">
    <w:abstractNumId w:val="7"/>
  </w:num>
  <w:num w:numId="5" w16cid:durableId="1645621960">
    <w:abstractNumId w:val="5"/>
  </w:num>
  <w:num w:numId="6" w16cid:durableId="1306474254">
    <w:abstractNumId w:val="8"/>
  </w:num>
  <w:num w:numId="7" w16cid:durableId="66464253">
    <w:abstractNumId w:val="1"/>
  </w:num>
  <w:num w:numId="8" w16cid:durableId="1794863022">
    <w:abstractNumId w:val="6"/>
  </w:num>
  <w:num w:numId="9" w16cid:durableId="1248729596">
    <w:abstractNumId w:val="0"/>
  </w:num>
  <w:num w:numId="10" w16cid:durableId="1865710976">
    <w:abstractNumId w:val="9"/>
  </w:num>
  <w:num w:numId="11" w16cid:durableId="1526139690">
    <w:abstractNumId w:val="12"/>
  </w:num>
  <w:num w:numId="12" w16cid:durableId="834414189">
    <w:abstractNumId w:val="10"/>
  </w:num>
  <w:num w:numId="13" w16cid:durableId="5125777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D8A"/>
    <w:rsid w:val="00002D8B"/>
    <w:rsid w:val="000336E4"/>
    <w:rsid w:val="00044626"/>
    <w:rsid w:val="0006076E"/>
    <w:rsid w:val="00061740"/>
    <w:rsid w:val="00070D43"/>
    <w:rsid w:val="0007639C"/>
    <w:rsid w:val="0007662A"/>
    <w:rsid w:val="000915D6"/>
    <w:rsid w:val="00094744"/>
    <w:rsid w:val="000C260A"/>
    <w:rsid w:val="000C586C"/>
    <w:rsid w:val="000E296C"/>
    <w:rsid w:val="000E658B"/>
    <w:rsid w:val="000F4ADE"/>
    <w:rsid w:val="00102CE4"/>
    <w:rsid w:val="00112804"/>
    <w:rsid w:val="001225FD"/>
    <w:rsid w:val="00124F7B"/>
    <w:rsid w:val="00133CE0"/>
    <w:rsid w:val="00135705"/>
    <w:rsid w:val="001568D5"/>
    <w:rsid w:val="00163D7B"/>
    <w:rsid w:val="00166648"/>
    <w:rsid w:val="00182134"/>
    <w:rsid w:val="001A3952"/>
    <w:rsid w:val="001C0191"/>
    <w:rsid w:val="001C14A1"/>
    <w:rsid w:val="001D3D8A"/>
    <w:rsid w:val="001D54FF"/>
    <w:rsid w:val="001E1E1E"/>
    <w:rsid w:val="00205D5A"/>
    <w:rsid w:val="00206FC8"/>
    <w:rsid w:val="00263A79"/>
    <w:rsid w:val="002702A0"/>
    <w:rsid w:val="002908DA"/>
    <w:rsid w:val="00291CFC"/>
    <w:rsid w:val="002934BC"/>
    <w:rsid w:val="002971D3"/>
    <w:rsid w:val="002C253A"/>
    <w:rsid w:val="002C5E9E"/>
    <w:rsid w:val="002F14C0"/>
    <w:rsid w:val="00306A51"/>
    <w:rsid w:val="003278DA"/>
    <w:rsid w:val="00333242"/>
    <w:rsid w:val="0034205B"/>
    <w:rsid w:val="00347682"/>
    <w:rsid w:val="003478C0"/>
    <w:rsid w:val="00366968"/>
    <w:rsid w:val="003B5617"/>
    <w:rsid w:val="003B5A42"/>
    <w:rsid w:val="003E084C"/>
    <w:rsid w:val="003F0115"/>
    <w:rsid w:val="0042534F"/>
    <w:rsid w:val="0043274F"/>
    <w:rsid w:val="0044399A"/>
    <w:rsid w:val="00443DF0"/>
    <w:rsid w:val="00455F7E"/>
    <w:rsid w:val="00456349"/>
    <w:rsid w:val="004745E7"/>
    <w:rsid w:val="00491DBE"/>
    <w:rsid w:val="004D4D4B"/>
    <w:rsid w:val="004E1B5F"/>
    <w:rsid w:val="004F5B4A"/>
    <w:rsid w:val="00500465"/>
    <w:rsid w:val="00516D62"/>
    <w:rsid w:val="005230F5"/>
    <w:rsid w:val="005307F2"/>
    <w:rsid w:val="00535223"/>
    <w:rsid w:val="0053578B"/>
    <w:rsid w:val="00547BE1"/>
    <w:rsid w:val="00547C16"/>
    <w:rsid w:val="00553A03"/>
    <w:rsid w:val="00583B99"/>
    <w:rsid w:val="005A3640"/>
    <w:rsid w:val="005A6C68"/>
    <w:rsid w:val="005B4510"/>
    <w:rsid w:val="005C7815"/>
    <w:rsid w:val="005D2D88"/>
    <w:rsid w:val="0061468A"/>
    <w:rsid w:val="006A11F0"/>
    <w:rsid w:val="006B262A"/>
    <w:rsid w:val="006B36A7"/>
    <w:rsid w:val="006B3F36"/>
    <w:rsid w:val="006C7378"/>
    <w:rsid w:val="006E6DF8"/>
    <w:rsid w:val="00706867"/>
    <w:rsid w:val="0072382A"/>
    <w:rsid w:val="007512F9"/>
    <w:rsid w:val="00755AF6"/>
    <w:rsid w:val="007863A2"/>
    <w:rsid w:val="007A425A"/>
    <w:rsid w:val="007C3E3E"/>
    <w:rsid w:val="007D7448"/>
    <w:rsid w:val="00806366"/>
    <w:rsid w:val="00822F59"/>
    <w:rsid w:val="00825BD6"/>
    <w:rsid w:val="00827006"/>
    <w:rsid w:val="008376BD"/>
    <w:rsid w:val="00847084"/>
    <w:rsid w:val="008554DA"/>
    <w:rsid w:val="00855DB4"/>
    <w:rsid w:val="008643D7"/>
    <w:rsid w:val="0087104D"/>
    <w:rsid w:val="0089100D"/>
    <w:rsid w:val="008A5772"/>
    <w:rsid w:val="008A75A8"/>
    <w:rsid w:val="008B26C8"/>
    <w:rsid w:val="008B6B49"/>
    <w:rsid w:val="008C0AC9"/>
    <w:rsid w:val="008C61D9"/>
    <w:rsid w:val="008C6C04"/>
    <w:rsid w:val="008E694E"/>
    <w:rsid w:val="008F44A4"/>
    <w:rsid w:val="00903E14"/>
    <w:rsid w:val="00912D4D"/>
    <w:rsid w:val="00926EEE"/>
    <w:rsid w:val="00947877"/>
    <w:rsid w:val="00987EC1"/>
    <w:rsid w:val="00991C96"/>
    <w:rsid w:val="009A344D"/>
    <w:rsid w:val="009E1DFB"/>
    <w:rsid w:val="00A2069E"/>
    <w:rsid w:val="00A7753F"/>
    <w:rsid w:val="00A80CE0"/>
    <w:rsid w:val="00A852BF"/>
    <w:rsid w:val="00A86127"/>
    <w:rsid w:val="00A87B71"/>
    <w:rsid w:val="00A95D8D"/>
    <w:rsid w:val="00AC0E36"/>
    <w:rsid w:val="00AC3B48"/>
    <w:rsid w:val="00AD3F0D"/>
    <w:rsid w:val="00B319C7"/>
    <w:rsid w:val="00B37072"/>
    <w:rsid w:val="00B43112"/>
    <w:rsid w:val="00B70659"/>
    <w:rsid w:val="00B81B7F"/>
    <w:rsid w:val="00BA2301"/>
    <w:rsid w:val="00BC1B10"/>
    <w:rsid w:val="00BC5C70"/>
    <w:rsid w:val="00C0066C"/>
    <w:rsid w:val="00C143FF"/>
    <w:rsid w:val="00CA128E"/>
    <w:rsid w:val="00CB2299"/>
    <w:rsid w:val="00CB6DC0"/>
    <w:rsid w:val="00CC115E"/>
    <w:rsid w:val="00CE3E74"/>
    <w:rsid w:val="00CF7EAE"/>
    <w:rsid w:val="00D33F76"/>
    <w:rsid w:val="00D37D90"/>
    <w:rsid w:val="00D959E5"/>
    <w:rsid w:val="00DC600A"/>
    <w:rsid w:val="00DE1305"/>
    <w:rsid w:val="00DE5516"/>
    <w:rsid w:val="00DE58E4"/>
    <w:rsid w:val="00DF2270"/>
    <w:rsid w:val="00DF37A6"/>
    <w:rsid w:val="00E1182B"/>
    <w:rsid w:val="00E20832"/>
    <w:rsid w:val="00E33C66"/>
    <w:rsid w:val="00E351CA"/>
    <w:rsid w:val="00E366C0"/>
    <w:rsid w:val="00E53A67"/>
    <w:rsid w:val="00E5793B"/>
    <w:rsid w:val="00E57EFE"/>
    <w:rsid w:val="00E60720"/>
    <w:rsid w:val="00EA0C1E"/>
    <w:rsid w:val="00EB3CBD"/>
    <w:rsid w:val="00EB552B"/>
    <w:rsid w:val="00EC2F3A"/>
    <w:rsid w:val="00EC5519"/>
    <w:rsid w:val="00EE1C2C"/>
    <w:rsid w:val="00EF0113"/>
    <w:rsid w:val="00F051E9"/>
    <w:rsid w:val="00F170F8"/>
    <w:rsid w:val="00F55DEC"/>
    <w:rsid w:val="00F60D36"/>
    <w:rsid w:val="00F65A00"/>
    <w:rsid w:val="00F7071F"/>
    <w:rsid w:val="00FA10F2"/>
    <w:rsid w:val="00FB2A88"/>
    <w:rsid w:val="00FE16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86FDA6"/>
  <w15:chartTrackingRefBased/>
  <w15:docId w15:val="{63019157-D79C-46A3-9B7C-61AD9E8AA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3D8A"/>
    <w:pPr>
      <w:spacing w:after="0" w:line="240" w:lineRule="auto"/>
    </w:pPr>
    <w:rPr>
      <w:rFonts w:ascii="Times New Roman" w:eastAsia="Times New Roman" w:hAnsi="Times New Roman" w:cs="Times New Roman"/>
      <w:sz w:val="24"/>
      <w:szCs w:val="24"/>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3D8A"/>
    <w:pPr>
      <w:tabs>
        <w:tab w:val="center" w:pos="4419"/>
        <w:tab w:val="right" w:pos="8838"/>
      </w:tabs>
    </w:pPr>
  </w:style>
  <w:style w:type="character" w:customStyle="1" w:styleId="HeaderChar">
    <w:name w:val="Header Char"/>
    <w:basedOn w:val="DefaultParagraphFont"/>
    <w:link w:val="Header"/>
    <w:uiPriority w:val="99"/>
    <w:rsid w:val="001D3D8A"/>
  </w:style>
  <w:style w:type="paragraph" w:styleId="Footer">
    <w:name w:val="footer"/>
    <w:basedOn w:val="Normal"/>
    <w:link w:val="FooterChar"/>
    <w:uiPriority w:val="99"/>
    <w:unhideWhenUsed/>
    <w:rsid w:val="001D3D8A"/>
    <w:pPr>
      <w:tabs>
        <w:tab w:val="center" w:pos="4419"/>
        <w:tab w:val="right" w:pos="8838"/>
      </w:tabs>
    </w:pPr>
  </w:style>
  <w:style w:type="character" w:customStyle="1" w:styleId="FooterChar">
    <w:name w:val="Footer Char"/>
    <w:basedOn w:val="DefaultParagraphFont"/>
    <w:link w:val="Footer"/>
    <w:uiPriority w:val="99"/>
    <w:rsid w:val="001D3D8A"/>
  </w:style>
  <w:style w:type="paragraph" w:styleId="ListParagraph">
    <w:name w:val="List Paragraph"/>
    <w:aliases w:val="Ha,NORMAL,Bullet List,FooterText,numbered,Paragraphe de liste1,lp1,Párrafo de lista4,Párrafo de lista2,Bullets,HOJA,Bolita,BOLADEF,Párrafo de lista3,Párrafo de lista21,BOLA,Nivel 1 OS,Colorful List Accent 1,EITI list,lp"/>
    <w:basedOn w:val="Normal"/>
    <w:link w:val="ListParagraphChar"/>
    <w:uiPriority w:val="34"/>
    <w:qFormat/>
    <w:rsid w:val="001D3D8A"/>
    <w:pPr>
      <w:ind w:left="720"/>
      <w:contextualSpacing/>
    </w:pPr>
  </w:style>
  <w:style w:type="character" w:customStyle="1" w:styleId="ListParagraphChar">
    <w:name w:val="List Paragraph Char"/>
    <w:aliases w:val="Ha Char,NORMAL Char,Bullet List Char,FooterText Char,numbered Char,Paragraphe de liste1 Char,lp1 Char,Párrafo de lista4 Char,Párrafo de lista2 Char,Bullets Char,HOJA Char,Bolita Char,BOLADEF Char,Párrafo de lista3 Char,BOLA Char"/>
    <w:link w:val="ListParagraph"/>
    <w:uiPriority w:val="34"/>
    <w:qFormat/>
    <w:locked/>
    <w:rsid w:val="001D3D8A"/>
    <w:rPr>
      <w:rFonts w:ascii="Times New Roman" w:eastAsia="Times New Roman" w:hAnsi="Times New Roman" w:cs="Times New Roman"/>
      <w:sz w:val="24"/>
      <w:szCs w:val="24"/>
      <w:lang w:val="es-ES" w:eastAsia="es-ES"/>
    </w:rPr>
  </w:style>
  <w:style w:type="paragraph" w:customStyle="1" w:styleId="Default">
    <w:name w:val="Default"/>
    <w:link w:val="DefaultCar"/>
    <w:rsid w:val="001D3D8A"/>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1D3D8A"/>
    <w:rPr>
      <w:rFonts w:ascii="Arial" w:hAnsi="Arial" w:cs="Arial"/>
      <w:color w:val="000000"/>
      <w:sz w:val="24"/>
      <w:szCs w:val="24"/>
    </w:rPr>
  </w:style>
  <w:style w:type="character" w:styleId="CommentReference">
    <w:name w:val="annotation reference"/>
    <w:uiPriority w:val="99"/>
    <w:unhideWhenUsed/>
    <w:rsid w:val="001D3D8A"/>
    <w:rPr>
      <w:sz w:val="16"/>
      <w:szCs w:val="16"/>
    </w:rPr>
  </w:style>
  <w:style w:type="table" w:styleId="TableGrid">
    <w:name w:val="Table Grid"/>
    <w:basedOn w:val="TableNormal"/>
    <w:uiPriority w:val="39"/>
    <w:rsid w:val="001D3D8A"/>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230F5"/>
    <w:rPr>
      <w:color w:val="0563C1" w:themeColor="hyperlink"/>
      <w:u w:val="single"/>
    </w:rPr>
  </w:style>
  <w:style w:type="character" w:styleId="UnresolvedMention">
    <w:name w:val="Unresolved Mention"/>
    <w:basedOn w:val="DefaultParagraphFont"/>
    <w:uiPriority w:val="99"/>
    <w:semiHidden/>
    <w:unhideWhenUsed/>
    <w:rsid w:val="005230F5"/>
    <w:rPr>
      <w:color w:val="605E5C"/>
      <w:shd w:val="clear" w:color="auto" w:fill="E1DFDD"/>
    </w:rPr>
  </w:style>
  <w:style w:type="character" w:customStyle="1" w:styleId="il">
    <w:name w:val="il"/>
    <w:basedOn w:val="DefaultParagraphFont"/>
    <w:rsid w:val="006B262A"/>
  </w:style>
  <w:style w:type="paragraph" w:styleId="NormalWeb">
    <w:name w:val="Normal (Web)"/>
    <w:basedOn w:val="Normal"/>
    <w:uiPriority w:val="99"/>
    <w:semiHidden/>
    <w:unhideWhenUsed/>
    <w:rsid w:val="006B262A"/>
    <w:pPr>
      <w:spacing w:before="100" w:beforeAutospacing="1" w:after="100" w:afterAutospacing="1"/>
    </w:pPr>
    <w:rPr>
      <w:lang w:eastAsia="en-US"/>
    </w:rPr>
  </w:style>
  <w:style w:type="paragraph" w:styleId="BodyText">
    <w:name w:val="Body Text"/>
    <w:basedOn w:val="Normal"/>
    <w:link w:val="BodyTextChar"/>
    <w:uiPriority w:val="1"/>
    <w:qFormat/>
    <w:rsid w:val="00B37072"/>
    <w:pPr>
      <w:widowControl w:val="0"/>
      <w:autoSpaceDE w:val="0"/>
      <w:autoSpaceDN w:val="0"/>
    </w:pPr>
    <w:rPr>
      <w:rFonts w:ascii="Arial" w:eastAsia="Arial" w:hAnsi="Arial" w:cs="Arial"/>
      <w:sz w:val="22"/>
      <w:szCs w:val="22"/>
      <w:lang w:val="es-ES_tradnl" w:bidi="es-ES"/>
    </w:rPr>
  </w:style>
  <w:style w:type="character" w:customStyle="1" w:styleId="BodyTextChar">
    <w:name w:val="Body Text Char"/>
    <w:basedOn w:val="DefaultParagraphFont"/>
    <w:link w:val="BodyText"/>
    <w:uiPriority w:val="1"/>
    <w:rsid w:val="00B37072"/>
    <w:rPr>
      <w:rFonts w:ascii="Arial" w:eastAsia="Arial" w:hAnsi="Arial" w:cs="Arial"/>
      <w:lang w:val="es-ES_tradnl" w:eastAsia="es-ES" w:bidi="es-ES"/>
    </w:rPr>
  </w:style>
  <w:style w:type="paragraph" w:styleId="BalloonText">
    <w:name w:val="Balloon Text"/>
    <w:basedOn w:val="Normal"/>
    <w:link w:val="BalloonTextChar"/>
    <w:uiPriority w:val="99"/>
    <w:semiHidden/>
    <w:unhideWhenUsed/>
    <w:rsid w:val="00D37D90"/>
    <w:rPr>
      <w:sz w:val="18"/>
      <w:szCs w:val="18"/>
    </w:rPr>
  </w:style>
  <w:style w:type="character" w:customStyle="1" w:styleId="BalloonTextChar">
    <w:name w:val="Balloon Text Char"/>
    <w:basedOn w:val="DefaultParagraphFont"/>
    <w:link w:val="BalloonText"/>
    <w:uiPriority w:val="99"/>
    <w:semiHidden/>
    <w:rsid w:val="00D37D90"/>
    <w:rPr>
      <w:rFonts w:ascii="Times New Roman" w:eastAsia="Times New Roman" w:hAnsi="Times New Roman" w:cs="Times New Roman"/>
      <w:sz w:val="18"/>
      <w:szCs w:val="18"/>
      <w:lang w:val="es-ES" w:eastAsia="es-ES"/>
    </w:rPr>
  </w:style>
  <w:style w:type="paragraph" w:styleId="Revision">
    <w:name w:val="Revision"/>
    <w:hidden/>
    <w:uiPriority w:val="99"/>
    <w:semiHidden/>
    <w:rsid w:val="00AD3F0D"/>
    <w:pPr>
      <w:spacing w:after="0" w:line="240" w:lineRule="auto"/>
    </w:pPr>
    <w:rPr>
      <w:rFonts w:ascii="Times New Roman" w:eastAsia="Times New Roman" w:hAnsi="Times New Roman" w:cs="Times New Roman"/>
      <w:sz w:val="24"/>
      <w:szCs w:val="24"/>
      <w:lang w:val="es-ES" w:eastAsia="es-ES"/>
    </w:rPr>
  </w:style>
  <w:style w:type="paragraph" w:customStyle="1" w:styleId="p1">
    <w:name w:val="p1"/>
    <w:basedOn w:val="Normal"/>
    <w:rsid w:val="00AD3F0D"/>
    <w:rPr>
      <w:rFonts w:ascii="Helvetica" w:hAnsi="Helvetica"/>
      <w:color w:val="000000"/>
      <w:sz w:val="15"/>
      <w:szCs w:val="15"/>
      <w:lang w:eastAsia="en-US"/>
    </w:rPr>
  </w:style>
  <w:style w:type="character" w:customStyle="1" w:styleId="apple-converted-space">
    <w:name w:val="apple-converted-space"/>
    <w:basedOn w:val="DefaultParagraphFont"/>
    <w:rsid w:val="005A6C68"/>
  </w:style>
  <w:style w:type="paragraph" w:customStyle="1" w:styleId="m-8002624026031025114msolistparagraph">
    <w:name w:val="m_-8002624026031025114msolistparagraph"/>
    <w:basedOn w:val="Normal"/>
    <w:rsid w:val="00535223"/>
    <w:pPr>
      <w:spacing w:before="100" w:beforeAutospacing="1" w:after="100" w:afterAutospacing="1"/>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146346">
      <w:bodyDiv w:val="1"/>
      <w:marLeft w:val="0"/>
      <w:marRight w:val="0"/>
      <w:marTop w:val="0"/>
      <w:marBottom w:val="0"/>
      <w:divBdr>
        <w:top w:val="none" w:sz="0" w:space="0" w:color="auto"/>
        <w:left w:val="none" w:sz="0" w:space="0" w:color="auto"/>
        <w:bottom w:val="none" w:sz="0" w:space="0" w:color="auto"/>
        <w:right w:val="none" w:sz="0" w:space="0" w:color="auto"/>
      </w:divBdr>
    </w:div>
    <w:div w:id="413011389">
      <w:bodyDiv w:val="1"/>
      <w:marLeft w:val="0"/>
      <w:marRight w:val="0"/>
      <w:marTop w:val="0"/>
      <w:marBottom w:val="0"/>
      <w:divBdr>
        <w:top w:val="none" w:sz="0" w:space="0" w:color="auto"/>
        <w:left w:val="none" w:sz="0" w:space="0" w:color="auto"/>
        <w:bottom w:val="none" w:sz="0" w:space="0" w:color="auto"/>
        <w:right w:val="none" w:sz="0" w:space="0" w:color="auto"/>
      </w:divBdr>
    </w:div>
    <w:div w:id="439104430">
      <w:bodyDiv w:val="1"/>
      <w:marLeft w:val="0"/>
      <w:marRight w:val="0"/>
      <w:marTop w:val="0"/>
      <w:marBottom w:val="0"/>
      <w:divBdr>
        <w:top w:val="none" w:sz="0" w:space="0" w:color="auto"/>
        <w:left w:val="none" w:sz="0" w:space="0" w:color="auto"/>
        <w:bottom w:val="none" w:sz="0" w:space="0" w:color="auto"/>
        <w:right w:val="none" w:sz="0" w:space="0" w:color="auto"/>
      </w:divBdr>
    </w:div>
    <w:div w:id="584538730">
      <w:bodyDiv w:val="1"/>
      <w:marLeft w:val="0"/>
      <w:marRight w:val="0"/>
      <w:marTop w:val="0"/>
      <w:marBottom w:val="0"/>
      <w:divBdr>
        <w:top w:val="none" w:sz="0" w:space="0" w:color="auto"/>
        <w:left w:val="none" w:sz="0" w:space="0" w:color="auto"/>
        <w:bottom w:val="none" w:sz="0" w:space="0" w:color="auto"/>
        <w:right w:val="none" w:sz="0" w:space="0" w:color="auto"/>
      </w:divBdr>
    </w:div>
    <w:div w:id="629361457">
      <w:bodyDiv w:val="1"/>
      <w:marLeft w:val="0"/>
      <w:marRight w:val="0"/>
      <w:marTop w:val="0"/>
      <w:marBottom w:val="0"/>
      <w:divBdr>
        <w:top w:val="none" w:sz="0" w:space="0" w:color="auto"/>
        <w:left w:val="none" w:sz="0" w:space="0" w:color="auto"/>
        <w:bottom w:val="none" w:sz="0" w:space="0" w:color="auto"/>
        <w:right w:val="none" w:sz="0" w:space="0" w:color="auto"/>
      </w:divBdr>
    </w:div>
    <w:div w:id="815685202">
      <w:bodyDiv w:val="1"/>
      <w:marLeft w:val="0"/>
      <w:marRight w:val="0"/>
      <w:marTop w:val="0"/>
      <w:marBottom w:val="0"/>
      <w:divBdr>
        <w:top w:val="none" w:sz="0" w:space="0" w:color="auto"/>
        <w:left w:val="none" w:sz="0" w:space="0" w:color="auto"/>
        <w:bottom w:val="none" w:sz="0" w:space="0" w:color="auto"/>
        <w:right w:val="none" w:sz="0" w:space="0" w:color="auto"/>
      </w:divBdr>
    </w:div>
    <w:div w:id="838345954">
      <w:bodyDiv w:val="1"/>
      <w:marLeft w:val="0"/>
      <w:marRight w:val="0"/>
      <w:marTop w:val="0"/>
      <w:marBottom w:val="0"/>
      <w:divBdr>
        <w:top w:val="none" w:sz="0" w:space="0" w:color="auto"/>
        <w:left w:val="none" w:sz="0" w:space="0" w:color="auto"/>
        <w:bottom w:val="none" w:sz="0" w:space="0" w:color="auto"/>
        <w:right w:val="none" w:sz="0" w:space="0" w:color="auto"/>
      </w:divBdr>
    </w:div>
    <w:div w:id="864515486">
      <w:bodyDiv w:val="1"/>
      <w:marLeft w:val="0"/>
      <w:marRight w:val="0"/>
      <w:marTop w:val="0"/>
      <w:marBottom w:val="0"/>
      <w:divBdr>
        <w:top w:val="none" w:sz="0" w:space="0" w:color="auto"/>
        <w:left w:val="none" w:sz="0" w:space="0" w:color="auto"/>
        <w:bottom w:val="none" w:sz="0" w:space="0" w:color="auto"/>
        <w:right w:val="none" w:sz="0" w:space="0" w:color="auto"/>
      </w:divBdr>
    </w:div>
    <w:div w:id="1432823389">
      <w:bodyDiv w:val="1"/>
      <w:marLeft w:val="0"/>
      <w:marRight w:val="0"/>
      <w:marTop w:val="0"/>
      <w:marBottom w:val="0"/>
      <w:divBdr>
        <w:top w:val="none" w:sz="0" w:space="0" w:color="auto"/>
        <w:left w:val="none" w:sz="0" w:space="0" w:color="auto"/>
        <w:bottom w:val="none" w:sz="0" w:space="0" w:color="auto"/>
        <w:right w:val="none" w:sz="0" w:space="0" w:color="auto"/>
      </w:divBdr>
    </w:div>
    <w:div w:id="1715541920">
      <w:bodyDiv w:val="1"/>
      <w:marLeft w:val="0"/>
      <w:marRight w:val="0"/>
      <w:marTop w:val="0"/>
      <w:marBottom w:val="0"/>
      <w:divBdr>
        <w:top w:val="none" w:sz="0" w:space="0" w:color="auto"/>
        <w:left w:val="none" w:sz="0" w:space="0" w:color="auto"/>
        <w:bottom w:val="none" w:sz="0" w:space="0" w:color="auto"/>
        <w:right w:val="none" w:sz="0" w:space="0" w:color="auto"/>
      </w:divBdr>
    </w:div>
    <w:div w:id="1720744005">
      <w:bodyDiv w:val="1"/>
      <w:marLeft w:val="0"/>
      <w:marRight w:val="0"/>
      <w:marTop w:val="0"/>
      <w:marBottom w:val="0"/>
      <w:divBdr>
        <w:top w:val="none" w:sz="0" w:space="0" w:color="auto"/>
        <w:left w:val="none" w:sz="0" w:space="0" w:color="auto"/>
        <w:bottom w:val="none" w:sz="0" w:space="0" w:color="auto"/>
        <w:right w:val="none" w:sz="0" w:space="0" w:color="auto"/>
      </w:divBdr>
    </w:div>
    <w:div w:id="1875926083">
      <w:bodyDiv w:val="1"/>
      <w:marLeft w:val="0"/>
      <w:marRight w:val="0"/>
      <w:marTop w:val="0"/>
      <w:marBottom w:val="0"/>
      <w:divBdr>
        <w:top w:val="none" w:sz="0" w:space="0" w:color="auto"/>
        <w:left w:val="none" w:sz="0" w:space="0" w:color="auto"/>
        <w:bottom w:val="none" w:sz="0" w:space="0" w:color="auto"/>
        <w:right w:val="none" w:sz="0" w:space="0" w:color="auto"/>
      </w:divBdr>
    </w:div>
    <w:div w:id="1929579178">
      <w:bodyDiv w:val="1"/>
      <w:marLeft w:val="0"/>
      <w:marRight w:val="0"/>
      <w:marTop w:val="0"/>
      <w:marBottom w:val="0"/>
      <w:divBdr>
        <w:top w:val="none" w:sz="0" w:space="0" w:color="auto"/>
        <w:left w:val="none" w:sz="0" w:space="0" w:color="auto"/>
        <w:bottom w:val="none" w:sz="0" w:space="0" w:color="auto"/>
        <w:right w:val="none" w:sz="0" w:space="0" w:color="auto"/>
      </w:divBdr>
    </w:div>
    <w:div w:id="214303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0672E1-FCE9-0146-B29D-12F51B79E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TotalTime>
  <Pages>16</Pages>
  <Words>7189</Words>
  <Characters>39832</Characters>
  <Application>Microsoft Office Word</Application>
  <DocSecurity>0</DocSecurity>
  <Lines>1731</Lines>
  <Paragraphs>364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USPEC</Company>
  <LinksUpToDate>false</LinksUpToDate>
  <CharactersWithSpaces>46657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Lorena Velasquez Ramirez</dc:creator>
  <cp:keywords/>
  <dc:description/>
  <cp:lastModifiedBy>_</cp:lastModifiedBy>
  <cp:revision>168</cp:revision>
  <cp:lastPrinted>2025-05-02T17:15:00Z</cp:lastPrinted>
  <dcterms:created xsi:type="dcterms:W3CDTF">2025-06-05T19:26:00Z</dcterms:created>
  <dcterms:modified xsi:type="dcterms:W3CDTF">2026-01-29T05:24:00Z</dcterms:modified>
</cp:coreProperties>
</file>