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Verdana" w:cs="Verdana" w:eastAsia="Verdana" w:hAnsi="Verdana"/>
          <w:b w:val="1"/>
          <w:bCs w:val="1"/>
          <w:sz w:val="22"/>
          <w:szCs w:val="22"/>
        </w:rPr>
      </w:pPr>
      <w:bookmarkStart w:colFirst="0" w:colLast="0" w:name="_heading=h.a7oz8znpc3e4" w:id="0"/>
      <w:bookmarkEnd w:id="0"/>
      <w:r w:rsidDel="00000000" w:rsidR="00000000" w:rsidRPr="00000000">
        <w:rPr>
          <w:rFonts w:ascii="Verdana" w:cs="Verdana" w:eastAsia="Verdana" w:hAnsi="Verdana"/>
          <w:b w:val="1"/>
          <w:bCs w:val="1"/>
          <w:sz w:val="22"/>
          <w:szCs w:val="22"/>
          <w:rtl w:val="0"/>
        </w:rPr>
        <w:t xml:space="preserve">ESTUDIO DEL SECTOR SELECCIÓN ABREVIADA SUBASTA INVERSA</w:t>
      </w:r>
    </w:p>
    <w:p w:rsidR="00000000" w:rsidDel="00000000" w:rsidP="00000000" w:rsidRDefault="00000000" w:rsidRPr="00000000" w14:paraId="00000002">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3">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OBJETO DEL PROCESO</w:t>
      </w:r>
    </w:p>
    <w:p w:rsidR="00000000" w:rsidDel="00000000" w:rsidP="00000000" w:rsidRDefault="00000000" w:rsidRPr="00000000" w14:paraId="00000004">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5">
      <w:pPr>
        <w:rPr>
          <w:rFonts w:ascii="Verdana" w:cs="Verdana" w:eastAsia="Verdana" w:hAnsi="Verdana"/>
          <w:i w:val="1"/>
          <w:iCs w:val="1"/>
          <w:sz w:val="22"/>
          <w:szCs w:val="22"/>
        </w:rPr>
      </w:pPr>
      <w:r w:rsidDel="00000000" w:rsidR="00000000" w:rsidRPr="00000000">
        <w:rPr>
          <w:rFonts w:ascii="Verdana" w:cs="Verdana" w:eastAsia="Verdana" w:hAnsi="Verdana"/>
          <w:sz w:val="22"/>
          <w:szCs w:val="22"/>
          <w:rtl w:val="0"/>
        </w:rPr>
        <w:t xml:space="preserve">La Institución Universitaria está interesada en contratar mediante la modalidad de </w:t>
      </w:r>
      <w:r w:rsidDel="00000000" w:rsidR="00000000" w:rsidRPr="00000000">
        <w:rPr>
          <w:rFonts w:ascii="Verdana" w:cs="Verdana" w:eastAsia="Verdana" w:hAnsi="Verdana"/>
          <w:sz w:val="22"/>
          <w:szCs w:val="22"/>
          <w:rtl w:val="0"/>
        </w:rPr>
        <w:t xml:space="preserve">Subasta Inversa</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i w:val="1"/>
          <w:iCs w:val="1"/>
          <w:sz w:val="22"/>
          <w:szCs w:val="22"/>
          <w:rtl w:val="0"/>
        </w:rPr>
        <w:t xml:space="preserve">“Prestar el servicio de mantenimiento preventivo y correctivo a los equipos de los laboratorios de la Facultad de Ciencias de la Salud.”</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jc w:val="both"/>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jc w:val="both"/>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DESCRIPCIÓN DE LA NECESIDAD</w:t>
      </w:r>
    </w:p>
    <w:p w:rsidR="00000000" w:rsidDel="00000000" w:rsidP="00000000" w:rsidRDefault="00000000" w:rsidRPr="00000000" w14:paraId="00000009">
      <w:pPr>
        <w:spacing w:line="276" w:lineRule="auto"/>
        <w:ind w:right="18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A">
      <w:pPr>
        <w:spacing w:line="276" w:lineRule="auto"/>
        <w:ind w:right="18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Institución Universitaria Colegio Mayor de Antioquia requiere realizar el mantenimiento preventivo y/o correctivo a los equipos de los Laboratorios de la Facultad de Ciencias de la salud, con el fin de detectar fallas y asegurar el correcto funcionamiento de los bienes, brindando confiabilidad en las condiciones de funcionamiento y vida útil. Lo anterior permite que los servicios académicos y productos de investigación cumplan con las especificaciones requeridas, garantizando mantener y verificar el buen funcionamiento de los equipos, responder a los requisitos establecidos en las normas y garantizar la fiabilidad y trazabilidad de las medidas.</w:t>
      </w:r>
    </w:p>
    <w:p w:rsidR="00000000" w:rsidDel="00000000" w:rsidP="00000000" w:rsidRDefault="00000000" w:rsidRPr="00000000" w14:paraId="0000000B">
      <w:pPr>
        <w:spacing w:line="276" w:lineRule="auto"/>
        <w:ind w:right="18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C">
      <w:pPr>
        <w:spacing w:line="276" w:lineRule="auto"/>
        <w:ind w:right="18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laboratorios de la Facultad de Ciencias de la Salud de la Institución Universitaria Colegio Mayor de Antioquia, desde hace varios años cuentan con equipos especializados, los cuales, por el constante uso en las diferentes actividades prácticas y experimentales por parte de los docentes y los estudiantes, requieren un mantenimiento preventivo y/o correctivo.</w:t>
      </w:r>
    </w:p>
    <w:p w:rsidR="00000000" w:rsidDel="00000000" w:rsidP="00000000" w:rsidRDefault="00000000" w:rsidRPr="00000000" w14:paraId="0000000D">
      <w:pPr>
        <w:spacing w:line="276" w:lineRule="auto"/>
        <w:ind w:right="18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E">
      <w:pPr>
        <w:spacing w:line="276" w:lineRule="auto"/>
        <w:ind w:right="18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Por lo anterior, se han identificado piezas importantes de dichos equipos especializados, que presentan anomalías en cuanto a su funcionamiento. Por ende, a la fecha no todos los equipos se encuentran en óptimas condiciones, requiriendo así de mantenimientos preventivos y/o correctivos. Es de resaltar, que por el servicio que estos prestan a la academia, estos equipos son muy importantes y de gran demanda en el desarrollo de las diferentes actividades práctico-experimentales.</w:t>
      </w:r>
    </w:p>
    <w:p w:rsidR="00000000" w:rsidDel="00000000" w:rsidP="00000000" w:rsidRDefault="00000000" w:rsidRPr="00000000" w14:paraId="0000000F">
      <w:pPr>
        <w:spacing w:line="276" w:lineRule="auto"/>
        <w:ind w:right="18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0">
      <w:pPr>
        <w:spacing w:line="276" w:lineRule="auto"/>
        <w:ind w:right="18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mantenimiento preventivo y correctivo de los equipos busca responder a los requisitos establecidos en las normas de calidad, garantizar la fiabilidad y trazabilidad de las medidas y tener en condiciones óptimas los equipos con el fin de prestar un servicio adecuado en los laboratorios de la Facultad de ciencias de la salud y LACMA.</w:t>
      </w:r>
    </w:p>
    <w:p w:rsidR="00000000" w:rsidDel="00000000" w:rsidP="00000000" w:rsidRDefault="00000000" w:rsidRPr="00000000" w14:paraId="00000011">
      <w:pPr>
        <w:spacing w:line="276" w:lineRule="auto"/>
        <w:ind w:right="182"/>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mantenimiento preventivo de los equipos busca responder a los requisitos establecidos en las normas de calidad (NTC - ISO 9001:2015 y la NTC – ISO/IEC 17025:2005) y garantizar la fiabilidad y trazabilidad de las medidas.</w:t>
      </w:r>
    </w:p>
    <w:p w:rsidR="00000000" w:rsidDel="00000000" w:rsidP="00000000" w:rsidRDefault="00000000" w:rsidRPr="00000000" w14:paraId="00000012">
      <w:pPr>
        <w:spacing w:line="276" w:lineRule="auto"/>
        <w:ind w:right="18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3">
      <w:pPr>
        <w:spacing w:line="276" w:lineRule="auto"/>
        <w:ind w:right="182"/>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4">
      <w:pPr>
        <w:spacing w:line="276" w:lineRule="auto"/>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CLASIFICACIÓN UNSPSC</w:t>
      </w:r>
    </w:p>
    <w:p w:rsidR="00000000" w:rsidDel="00000000" w:rsidP="00000000" w:rsidRDefault="00000000" w:rsidRPr="00000000" w14:paraId="00000015">
      <w:pPr>
        <w:spacing w:line="276" w:lineRule="auto"/>
        <w:rPr>
          <w:rFonts w:ascii="Verdana" w:cs="Verdana" w:eastAsia="Verdana" w:hAnsi="Verdana"/>
          <w:b w:val="1"/>
          <w:bCs w:val="1"/>
          <w:sz w:val="22"/>
          <w:szCs w:val="22"/>
        </w:rPr>
      </w:pPr>
      <w:r w:rsidDel="00000000" w:rsidR="00000000" w:rsidRPr="00000000">
        <w:rPr>
          <w:rtl w:val="0"/>
        </w:rPr>
      </w:r>
    </w:p>
    <w:tbl>
      <w:tblPr>
        <w:tblStyle w:val="Table1"/>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94"/>
        <w:gridCol w:w="2297"/>
        <w:gridCol w:w="2198"/>
        <w:gridCol w:w="1939"/>
        <w:tblGridChange w:id="0">
          <w:tblGrid>
            <w:gridCol w:w="2394"/>
            <w:gridCol w:w="2297"/>
            <w:gridCol w:w="2198"/>
            <w:gridCol w:w="1939"/>
          </w:tblGrid>
        </w:tblGridChange>
      </w:tblGrid>
      <w:tr>
        <w:trPr>
          <w:cantSplit w:val="0"/>
          <w:tblHeader w:val="0"/>
        </w:trPr>
        <w:tc>
          <w:tcPr>
            <w:shd w:fill="d9d9d9" w:val="clear"/>
          </w:tcPr>
          <w:p w:rsidR="00000000" w:rsidDel="00000000" w:rsidP="00000000" w:rsidRDefault="00000000" w:rsidRPr="00000000" w14:paraId="00000016">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SEGMENTO</w:t>
            </w:r>
          </w:p>
        </w:tc>
        <w:tc>
          <w:tcPr>
            <w:shd w:fill="d9d9d9" w:val="clear"/>
          </w:tcPr>
          <w:p w:rsidR="00000000" w:rsidDel="00000000" w:rsidP="00000000" w:rsidRDefault="00000000" w:rsidRPr="00000000" w14:paraId="00000017">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FAMILIA</w:t>
            </w:r>
          </w:p>
        </w:tc>
        <w:tc>
          <w:tcPr>
            <w:shd w:fill="d9d9d9" w:val="clear"/>
          </w:tcPr>
          <w:p w:rsidR="00000000" w:rsidDel="00000000" w:rsidP="00000000" w:rsidRDefault="00000000" w:rsidRPr="00000000" w14:paraId="00000018">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CLASE</w:t>
            </w:r>
          </w:p>
        </w:tc>
        <w:tc>
          <w:tcPr>
            <w:shd w:fill="d9d9d9" w:val="clear"/>
          </w:tcPr>
          <w:p w:rsidR="00000000" w:rsidDel="00000000" w:rsidP="00000000" w:rsidRDefault="00000000" w:rsidRPr="00000000" w14:paraId="00000019">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PRODUCTO</w:t>
            </w:r>
          </w:p>
        </w:tc>
      </w:tr>
      <w:tr>
        <w:trPr>
          <w:cantSplit w:val="0"/>
          <w:tblHeader w:val="0"/>
        </w:trPr>
        <w:tc>
          <w:tcPr/>
          <w:p w:rsidR="00000000" w:rsidDel="00000000" w:rsidP="00000000" w:rsidRDefault="00000000" w:rsidRPr="00000000" w14:paraId="0000001A">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81</w:t>
            </w:r>
          </w:p>
        </w:tc>
        <w:tc>
          <w:tcPr/>
          <w:p w:rsidR="00000000" w:rsidDel="00000000" w:rsidP="00000000" w:rsidRDefault="00000000" w:rsidRPr="00000000" w14:paraId="0000001B">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10</w:t>
            </w:r>
          </w:p>
        </w:tc>
        <w:tc>
          <w:tcPr/>
          <w:p w:rsidR="00000000" w:rsidDel="00000000" w:rsidP="00000000" w:rsidRDefault="00000000" w:rsidRPr="00000000" w14:paraId="0000001C">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17</w:t>
            </w:r>
          </w:p>
        </w:tc>
        <w:tc>
          <w:tcPr/>
          <w:p w:rsidR="00000000" w:rsidDel="00000000" w:rsidP="00000000" w:rsidRDefault="00000000" w:rsidRPr="00000000" w14:paraId="0000001D">
            <w:pPr>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06</w:t>
            </w:r>
          </w:p>
        </w:tc>
      </w:tr>
      <w:tr>
        <w:trPr>
          <w:cantSplit w:val="0"/>
          <w:tblHeader w:val="0"/>
        </w:trPr>
        <w:tc>
          <w:tcPr/>
          <w:p w:rsidR="00000000" w:rsidDel="00000000" w:rsidP="00000000" w:rsidRDefault="00000000" w:rsidRPr="00000000" w14:paraId="0000001E">
            <w:pPr>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Servicios Basados en Ingeniería, Investigación y Tecnología</w:t>
            </w:r>
          </w:p>
        </w:tc>
        <w:tc>
          <w:tcPr/>
          <w:p w:rsidR="00000000" w:rsidDel="00000000" w:rsidP="00000000" w:rsidRDefault="00000000" w:rsidRPr="00000000" w14:paraId="0000001F">
            <w:pPr>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Servicios profesionales de ingeniería</w:t>
            </w:r>
          </w:p>
          <w:p w:rsidR="00000000" w:rsidDel="00000000" w:rsidP="00000000" w:rsidRDefault="00000000" w:rsidRPr="00000000" w14:paraId="00000020">
            <w:pPr>
              <w:spacing w:line="276" w:lineRule="auto"/>
              <w:jc w:val="center"/>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21">
            <w:pPr>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Ingeniería eléctrica y electrónica</w:t>
            </w:r>
          </w:p>
          <w:p w:rsidR="00000000" w:rsidDel="00000000" w:rsidP="00000000" w:rsidRDefault="00000000" w:rsidRPr="00000000" w14:paraId="00000022">
            <w:pPr>
              <w:spacing w:line="276" w:lineRule="auto"/>
              <w:rPr>
                <w:rFonts w:ascii="Verdana" w:cs="Verdana" w:eastAsia="Verdana" w:hAnsi="Verdana"/>
                <w:sz w:val="22"/>
                <w:szCs w:val="22"/>
              </w:rPr>
            </w:pPr>
            <w:r w:rsidDel="00000000" w:rsidR="00000000" w:rsidRPr="00000000">
              <w:rPr>
                <w:rtl w:val="0"/>
              </w:rPr>
            </w:r>
          </w:p>
        </w:tc>
        <w:tc>
          <w:tcPr/>
          <w:p w:rsidR="00000000" w:rsidDel="00000000" w:rsidP="00000000" w:rsidRDefault="00000000" w:rsidRPr="00000000" w14:paraId="00000023">
            <w:pPr>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Mantenimiento de equipos de laboratorio</w:t>
            </w:r>
          </w:p>
          <w:p w:rsidR="00000000" w:rsidDel="00000000" w:rsidP="00000000" w:rsidRDefault="00000000" w:rsidRPr="00000000" w14:paraId="00000024">
            <w:pPr>
              <w:spacing w:line="276" w:lineRule="auto"/>
              <w:jc w:val="center"/>
              <w:rPr>
                <w:rFonts w:ascii="Verdana" w:cs="Verdana" w:eastAsia="Verdana" w:hAnsi="Verdana"/>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25">
            <w:pPr>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85</w:t>
            </w:r>
          </w:p>
        </w:tc>
        <w:tc>
          <w:tcPr/>
          <w:p w:rsidR="00000000" w:rsidDel="00000000" w:rsidP="00000000" w:rsidRDefault="00000000" w:rsidRPr="00000000" w14:paraId="00000026">
            <w:pPr>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16</w:t>
            </w:r>
          </w:p>
        </w:tc>
        <w:tc>
          <w:tcPr/>
          <w:p w:rsidR="00000000" w:rsidDel="00000000" w:rsidP="00000000" w:rsidRDefault="00000000" w:rsidRPr="00000000" w14:paraId="00000027">
            <w:pPr>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15</w:t>
            </w:r>
          </w:p>
        </w:tc>
        <w:tc>
          <w:tcPr/>
          <w:p w:rsidR="00000000" w:rsidDel="00000000" w:rsidP="00000000" w:rsidRDefault="00000000" w:rsidRPr="00000000" w14:paraId="00000028">
            <w:pPr>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01</w:t>
            </w:r>
          </w:p>
        </w:tc>
      </w:tr>
      <w:tr>
        <w:trPr>
          <w:cantSplit w:val="0"/>
          <w:tblHeader w:val="0"/>
        </w:trPr>
        <w:tc>
          <w:tcPr/>
          <w:p w:rsidR="00000000" w:rsidDel="00000000" w:rsidP="00000000" w:rsidRDefault="00000000" w:rsidRPr="00000000" w14:paraId="00000029">
            <w:pPr>
              <w:tabs>
                <w:tab w:val="left" w:leader="none" w:pos="555"/>
              </w:tabs>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ab/>
            </w:r>
          </w:p>
          <w:p w:rsidR="00000000" w:rsidDel="00000000" w:rsidP="00000000" w:rsidRDefault="00000000" w:rsidRPr="00000000" w14:paraId="0000002A">
            <w:pP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Servicios de Salud</w:t>
            </w:r>
          </w:p>
          <w:p w:rsidR="00000000" w:rsidDel="00000000" w:rsidP="00000000" w:rsidRDefault="00000000" w:rsidRPr="00000000" w14:paraId="0000002B">
            <w:pPr>
              <w:tabs>
                <w:tab w:val="left" w:leader="none" w:pos="555"/>
              </w:tabs>
              <w:rPr>
                <w:rFonts w:ascii="Verdana" w:cs="Verdana" w:eastAsia="Verdana" w:hAnsi="Verdana"/>
                <w:color w:val="000000"/>
                <w:sz w:val="21"/>
                <w:szCs w:val="21"/>
              </w:rPr>
            </w:pPr>
            <w:r w:rsidDel="00000000" w:rsidR="00000000" w:rsidRPr="00000000">
              <w:rPr>
                <w:rtl w:val="0"/>
              </w:rPr>
            </w:r>
          </w:p>
        </w:tc>
        <w:tc>
          <w:tcPr/>
          <w:p w:rsidR="00000000" w:rsidDel="00000000" w:rsidP="00000000" w:rsidRDefault="00000000" w:rsidRPr="00000000" w14:paraId="0000002C">
            <w:pPr>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Servicios de mantenimiento, renovación y reparación de equipo médico quirúrgico</w:t>
            </w:r>
          </w:p>
          <w:p w:rsidR="00000000" w:rsidDel="00000000" w:rsidP="00000000" w:rsidRDefault="00000000" w:rsidRPr="00000000" w14:paraId="0000002D">
            <w:pPr>
              <w:jc w:val="center"/>
              <w:rPr>
                <w:rFonts w:ascii="Verdana" w:cs="Verdana" w:eastAsia="Verdana" w:hAnsi="Verdana"/>
                <w:color w:val="000000"/>
                <w:sz w:val="21"/>
                <w:szCs w:val="21"/>
              </w:rPr>
            </w:pPr>
            <w:r w:rsidDel="00000000" w:rsidR="00000000" w:rsidRPr="00000000">
              <w:rPr>
                <w:rtl w:val="0"/>
              </w:rPr>
            </w:r>
          </w:p>
        </w:tc>
        <w:tc>
          <w:tcPr/>
          <w:p w:rsidR="00000000" w:rsidDel="00000000" w:rsidP="00000000" w:rsidRDefault="00000000" w:rsidRPr="00000000" w14:paraId="0000002E">
            <w:pPr>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Reparación de equipo médico o quirúrgico</w:t>
            </w:r>
          </w:p>
          <w:p w:rsidR="00000000" w:rsidDel="00000000" w:rsidP="00000000" w:rsidRDefault="00000000" w:rsidRPr="00000000" w14:paraId="0000002F">
            <w:pPr>
              <w:jc w:val="center"/>
              <w:rPr>
                <w:rFonts w:ascii="Verdana" w:cs="Verdana" w:eastAsia="Verdana" w:hAnsi="Verdana"/>
                <w:color w:val="000000"/>
                <w:sz w:val="21"/>
                <w:szCs w:val="21"/>
              </w:rPr>
            </w:pPr>
            <w:r w:rsidDel="00000000" w:rsidR="00000000" w:rsidRPr="00000000">
              <w:rPr>
                <w:rtl w:val="0"/>
              </w:rPr>
            </w:r>
          </w:p>
        </w:tc>
        <w:tc>
          <w:tcPr/>
          <w:p w:rsidR="00000000" w:rsidDel="00000000" w:rsidP="00000000" w:rsidRDefault="00000000" w:rsidRPr="00000000" w14:paraId="00000030">
            <w:pPr>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Mantenimiento o reparación de equipo médico mayor (capital)</w:t>
            </w:r>
          </w:p>
          <w:p w:rsidR="00000000" w:rsidDel="00000000" w:rsidP="00000000" w:rsidRDefault="00000000" w:rsidRPr="00000000" w14:paraId="00000031">
            <w:pPr>
              <w:jc w:val="center"/>
              <w:rPr>
                <w:rFonts w:ascii="Verdana" w:cs="Verdana" w:eastAsia="Verdana" w:hAnsi="Verdana"/>
                <w:color w:val="000000"/>
                <w:sz w:val="21"/>
                <w:szCs w:val="21"/>
              </w:rPr>
            </w:pPr>
            <w:r w:rsidDel="00000000" w:rsidR="00000000" w:rsidRPr="00000000">
              <w:rPr>
                <w:rtl w:val="0"/>
              </w:rPr>
            </w:r>
          </w:p>
        </w:tc>
      </w:tr>
    </w:tbl>
    <w:p w:rsidR="00000000" w:rsidDel="00000000" w:rsidP="00000000" w:rsidRDefault="00000000" w:rsidRPr="00000000" w14:paraId="00000032">
      <w:pPr>
        <w:spacing w:line="276"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3">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4">
      <w:pPr>
        <w:numPr>
          <w:ilvl w:val="0"/>
          <w:numId w:val="3"/>
        </w:numPr>
        <w:pBdr>
          <w:top w:space="0" w:sz="0" w:val="nil"/>
          <w:left w:space="0" w:sz="0" w:val="nil"/>
          <w:bottom w:space="0" w:sz="0" w:val="nil"/>
          <w:right w:space="0" w:sz="0" w:val="nil"/>
          <w:between w:space="0" w:sz="0" w:val="nil"/>
        </w:pBdr>
        <w:ind w:left="720" w:hanging="36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ASPECTOS GENERALES DEL MERCADO</w:t>
      </w:r>
    </w:p>
    <w:p w:rsidR="00000000" w:rsidDel="00000000" w:rsidP="00000000" w:rsidRDefault="00000000" w:rsidRPr="00000000" w14:paraId="00000035">
      <w:pPr>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036">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mercado de servicios de mantenimiento preventivo y correctivo de equipos utilizados en laboratorios comprende las actividades técnicas orientadas a conservar, recuperar y garantizar el adecuado funcionamiento de los equipos empleados en procesos de análisis, investigación, diagnóstico y control.</w:t>
      </w:r>
    </w:p>
    <w:p w:rsidR="00000000" w:rsidDel="00000000" w:rsidP="00000000" w:rsidRDefault="00000000" w:rsidRPr="00000000" w14:paraId="00000037">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8">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Este mercado incluye servicios especializados de inspección, limpieza, calibración, ajuste, verificación, diagnóstico, reparación y reemplazo de componentes, de acuerdo con las características y condiciones de operación de cada equipo. Entre los equipos que pueden requerir estos servicios se encuentran incubadoras, autoclaves, cabinas de bioseguridad, microscopios, centrífugas, refrigeradores y congeladores de laboratorio, equipos de esterilización, baños serológicos, agitadores, balanzas y demás equipos asociados a las actividades del sector salud y microbiológicas.</w:t>
      </w:r>
    </w:p>
    <w:p w:rsidR="00000000" w:rsidDel="00000000" w:rsidP="00000000" w:rsidRDefault="00000000" w:rsidRPr="00000000" w14:paraId="00000039">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A">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prestación del servicio se desarrolla principalmente a través de empresas especializadas, fabricantes, representantes autorizados y proveedores con capacidad técnica para atender equipos de diferentes marcas y referencias. La oferta puede incluir contratos de mantenimiento periódico, servicios bajo demanda y atención de emergencias o fallas imprevistas.</w:t>
      </w:r>
    </w:p>
    <w:p w:rsidR="00000000" w:rsidDel="00000000" w:rsidP="00000000" w:rsidRDefault="00000000" w:rsidRPr="00000000" w14:paraId="0000003B">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C">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mantenimiento preventivo busca reducir la probabilidad de fallas, prolongar la vida útil de los equipos y mantener sus condiciones adecuadas de operación. Por su parte, el mantenimiento correctivo está orientado a identificar y solucionar fallas que afecten el funcionamiento de los equipos, incluyendo el suministro e instalación de repuestos cuando sea necesario.</w:t>
      </w:r>
    </w:p>
    <w:p w:rsidR="00000000" w:rsidDel="00000000" w:rsidP="00000000" w:rsidRDefault="00000000" w:rsidRPr="00000000" w14:paraId="0000003D">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E">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demanda de estos servicios está relacionada con las necesidades de laboratorios clínicos, instituciones de salud, universidades, centros de investigación, entidades públicas y privadas, industrias de alimentos, farmacéuticas y otros establecimientos que desarrollan actividades de análisis.</w:t>
      </w:r>
    </w:p>
    <w:p w:rsidR="00000000" w:rsidDel="00000000" w:rsidP="00000000" w:rsidRDefault="00000000" w:rsidRPr="00000000" w14:paraId="0000003F">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0">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trata de un mercado especializado en el que adquieren importancia la experiencia técnica del proveedor, disponibilidad de repuestos, tiempos de respuesta, cobertura geográfica, capacidad de atención, cumplimiento de protocolos de seguridad y calidad, y conocimiento de las especificaciones técnicas de los equipos. Por lo anterior, la selección del proveedor debe considerar tanto la capacidad técnica como la experiencia y condiciones necesarias para garantizar la continuidad y confiabilidad de las operaciones del laboratorio.</w:t>
      </w:r>
    </w:p>
    <w:p w:rsidR="00000000" w:rsidDel="00000000" w:rsidP="00000000" w:rsidRDefault="00000000" w:rsidRPr="00000000" w14:paraId="00000041">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2">
      <w:pPr>
        <w:jc w:val="both"/>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043">
      <w:pPr>
        <w:numPr>
          <w:ilvl w:val="1"/>
          <w:numId w:val="3"/>
        </w:numPr>
        <w:pBdr>
          <w:top w:space="0" w:sz="0" w:val="nil"/>
          <w:left w:space="0" w:sz="0" w:val="nil"/>
          <w:bottom w:space="0" w:sz="0" w:val="nil"/>
          <w:right w:space="0" w:sz="0" w:val="nil"/>
          <w:between w:space="0" w:sz="0" w:val="nil"/>
        </w:pBdr>
        <w:ind w:left="1145" w:hanging="720"/>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ANÁLISIS DEL MERCADO</w:t>
      </w:r>
    </w:p>
    <w:p w:rsidR="00000000" w:rsidDel="00000000" w:rsidP="00000000" w:rsidRDefault="00000000" w:rsidRPr="00000000" w14:paraId="00000044">
      <w:pPr>
        <w:rPr>
          <w:rFonts w:ascii="Verdana" w:cs="Verdana" w:eastAsia="Verdana" w:hAnsi="Verdana"/>
          <w:b w:val="1"/>
          <w:bCs w:val="1"/>
          <w:color w:val="000000"/>
          <w:sz w:val="21"/>
          <w:szCs w:val="21"/>
        </w:rPr>
      </w:pPr>
      <w:r w:rsidDel="00000000" w:rsidR="00000000" w:rsidRPr="00000000">
        <w:rPr>
          <w:rFonts w:ascii="Verdana" w:cs="Verdana" w:eastAsia="Verdana" w:hAnsi="Verdana"/>
          <w:sz w:val="21"/>
          <w:szCs w:val="21"/>
          <w:rtl w:val="0"/>
        </w:rPr>
        <w:t xml:space="preserve"> </w:t>
      </w:r>
      <w:r w:rsidDel="00000000" w:rsidR="00000000" w:rsidRPr="00000000">
        <w:rPr>
          <w:rtl w:val="0"/>
        </w:rPr>
      </w:r>
    </w:p>
    <w:p w:rsidR="00000000" w:rsidDel="00000000" w:rsidP="00000000" w:rsidRDefault="00000000" w:rsidRPr="00000000" w14:paraId="00000045">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Los sectores económicos del país, son los siguientes:</w:t>
      </w:r>
    </w:p>
    <w:p w:rsidR="00000000" w:rsidDel="00000000" w:rsidP="00000000" w:rsidRDefault="00000000" w:rsidRPr="00000000" w14:paraId="00000046">
      <w:pPr>
        <w:jc w:val="both"/>
        <w:rPr>
          <w:rFonts w:ascii="Verdana" w:cs="Verdana" w:eastAsia="Verdana" w:hAnsi="Verdana"/>
          <w:sz w:val="21"/>
          <w:szCs w:val="21"/>
        </w:rPr>
      </w:pPr>
      <w:r w:rsidDel="00000000" w:rsidR="00000000" w:rsidRPr="00000000">
        <w:rPr>
          <w:rtl w:val="0"/>
        </w:rPr>
      </w:r>
    </w:p>
    <w:tbl>
      <w:tblPr>
        <w:tblStyle w:val="Table2"/>
        <w:tblW w:w="94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5"/>
        <w:gridCol w:w="4536"/>
        <w:gridCol w:w="2552"/>
        <w:tblGridChange w:id="0">
          <w:tblGrid>
            <w:gridCol w:w="2405"/>
            <w:gridCol w:w="4536"/>
            <w:gridCol w:w="2552"/>
          </w:tblGrid>
        </w:tblGridChange>
      </w:tblGrid>
      <w:tr>
        <w:trPr>
          <w:cantSplit w:val="0"/>
          <w:tblHeader w:val="0"/>
        </w:trPr>
        <w:tc>
          <w:tcPr/>
          <w:p w:rsidR="00000000" w:rsidDel="00000000" w:rsidP="00000000" w:rsidRDefault="00000000" w:rsidRPr="00000000" w14:paraId="00000047">
            <w:pPr>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SECTOR ECONÓMICO</w:t>
            </w:r>
          </w:p>
        </w:tc>
        <w:tc>
          <w:tcPr/>
          <w:p w:rsidR="00000000" w:rsidDel="00000000" w:rsidP="00000000" w:rsidRDefault="00000000" w:rsidRPr="00000000" w14:paraId="00000048">
            <w:pPr>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DEFINICIÓN</w:t>
            </w:r>
          </w:p>
        </w:tc>
        <w:tc>
          <w:tcPr/>
          <w:p w:rsidR="00000000" w:rsidDel="00000000" w:rsidP="00000000" w:rsidRDefault="00000000" w:rsidRPr="00000000" w14:paraId="00000049">
            <w:pPr>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ACTIVIDADES DEL SECTOR</w:t>
            </w:r>
          </w:p>
        </w:tc>
      </w:tr>
      <w:tr>
        <w:trPr>
          <w:cantSplit w:val="0"/>
          <w:tblHeader w:val="0"/>
        </w:trPr>
        <w:tc>
          <w:tcPr/>
          <w:p w:rsidR="00000000" w:rsidDel="00000000" w:rsidP="00000000" w:rsidRDefault="00000000" w:rsidRPr="00000000" w14:paraId="0000004A">
            <w:pPr>
              <w:jc w:val="center"/>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SECTOR PRIMARIO O AGROPECUARIO</w:t>
            </w:r>
          </w:p>
        </w:tc>
        <w:tc>
          <w:tcPr/>
          <w:p w:rsidR="00000000" w:rsidDel="00000000" w:rsidP="00000000" w:rsidRDefault="00000000" w:rsidRPr="00000000" w14:paraId="0000004B">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 </w:t>
            </w:r>
          </w:p>
        </w:tc>
        <w:tc>
          <w:tcPr/>
          <w:p w:rsidR="00000000" w:rsidDel="00000000" w:rsidP="00000000" w:rsidRDefault="00000000" w:rsidRPr="00000000" w14:paraId="0000004C">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Agropecuario, caza o pesca </w:t>
            </w:r>
          </w:p>
          <w:p w:rsidR="00000000" w:rsidDel="00000000" w:rsidP="00000000" w:rsidRDefault="00000000" w:rsidRPr="00000000" w14:paraId="0000004D">
            <w:pPr>
              <w:jc w:val="both"/>
              <w:rPr>
                <w:rFonts w:ascii="Verdana" w:cs="Verdana" w:eastAsia="Verdana" w:hAnsi="Verdana"/>
                <w:sz w:val="21"/>
                <w:szCs w:val="21"/>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04E">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SECTOR SECUNDARIO O INDUSTRIAL </w:t>
            </w:r>
          </w:p>
          <w:p w:rsidR="00000000" w:rsidDel="00000000" w:rsidP="00000000" w:rsidRDefault="00000000" w:rsidRPr="00000000" w14:paraId="0000004F">
            <w:pPr>
              <w:jc w:val="both"/>
              <w:rPr>
                <w:rFonts w:ascii="Verdana" w:cs="Verdana" w:eastAsia="Verdana" w:hAnsi="Verdana"/>
                <w:sz w:val="21"/>
                <w:szCs w:val="21"/>
              </w:rPr>
            </w:pPr>
            <w:r w:rsidDel="00000000" w:rsidR="00000000" w:rsidRPr="00000000">
              <w:rPr>
                <w:rtl w:val="0"/>
              </w:rPr>
            </w:r>
          </w:p>
        </w:tc>
        <w:tc>
          <w:tcPr>
            <w:vMerge w:val="restart"/>
          </w:tcPr>
          <w:p w:rsidR="00000000" w:rsidDel="00000000" w:rsidP="00000000" w:rsidRDefault="00000000" w:rsidRPr="00000000" w14:paraId="00000050">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Comprende todas las actividades económicas de un país relacionadas con la transformación industrial de los alimentos y otros tipos de bienes o mercancías, los cuales se utilizan como base para la fabricación de nuevos productos. Se divide en dos sub-sectores: industrial extractivo e industrial de transformación: INDUSTRIAL EXTRACTIVO: extracción minera y de petróleo. INDUSTRIAL DE TRANSFORMACION: Envasado de legumbres y frutas, embotellado de refrescos, fabricación y abonos y fertilizantes, vehículos, aparatos electrodomésticos, etc. </w:t>
            </w:r>
          </w:p>
        </w:tc>
        <w:tc>
          <w:tcPr/>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Sector Minería </w:t>
            </w:r>
          </w:p>
          <w:p w:rsidR="00000000" w:rsidDel="00000000" w:rsidP="00000000" w:rsidRDefault="00000000" w:rsidRPr="00000000" w14:paraId="00000052">
            <w:pPr>
              <w:jc w:val="both"/>
              <w:rPr>
                <w:rFonts w:ascii="Verdana" w:cs="Verdana" w:eastAsia="Verdana" w:hAnsi="Verdana"/>
                <w:sz w:val="21"/>
                <w:szCs w:val="21"/>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1"/>
                <w:szCs w:val="21"/>
              </w:rPr>
            </w:pPr>
            <w:r w:rsidDel="00000000" w:rsidR="00000000" w:rsidRPr="00000000">
              <w:rPr>
                <w:rtl w:val="0"/>
              </w:rPr>
            </w:r>
          </w:p>
        </w:tc>
        <w:tc>
          <w:tcPr>
            <w:vMerge w:val="continue"/>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1"/>
                <w:szCs w:val="21"/>
              </w:rPr>
            </w:pPr>
            <w:r w:rsidDel="00000000" w:rsidR="00000000" w:rsidRPr="00000000">
              <w:rPr>
                <w:rtl w:val="0"/>
              </w:rPr>
            </w:r>
          </w:p>
        </w:tc>
        <w:tc>
          <w:tcPr/>
          <w:p w:rsidR="00000000" w:rsidDel="00000000" w:rsidP="00000000" w:rsidRDefault="00000000" w:rsidRPr="00000000" w14:paraId="00000055">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Sector Construcción </w:t>
            </w:r>
          </w:p>
          <w:p w:rsidR="00000000" w:rsidDel="00000000" w:rsidP="00000000" w:rsidRDefault="00000000" w:rsidRPr="00000000" w14:paraId="00000056">
            <w:pPr>
              <w:jc w:val="both"/>
              <w:rPr>
                <w:rFonts w:ascii="Verdana" w:cs="Verdana" w:eastAsia="Verdana" w:hAnsi="Verdana"/>
                <w:sz w:val="21"/>
                <w:szCs w:val="21"/>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1"/>
                <w:szCs w:val="21"/>
              </w:rPr>
            </w:pPr>
            <w:r w:rsidDel="00000000" w:rsidR="00000000" w:rsidRPr="00000000">
              <w:rPr>
                <w:rtl w:val="0"/>
              </w:rPr>
            </w:r>
          </w:p>
        </w:tc>
        <w:tc>
          <w:tcPr>
            <w:vMerge w:val="continue"/>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1"/>
                <w:szCs w:val="21"/>
              </w:rPr>
            </w:pPr>
            <w:r w:rsidDel="00000000" w:rsidR="00000000" w:rsidRPr="00000000">
              <w:rPr>
                <w:rtl w:val="0"/>
              </w:rPr>
            </w:r>
          </w:p>
        </w:tc>
        <w:tc>
          <w:tcPr/>
          <w:p w:rsidR="00000000" w:rsidDel="00000000" w:rsidP="00000000" w:rsidRDefault="00000000" w:rsidRPr="00000000" w14:paraId="00000059">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Sector industria manufacturera </w:t>
            </w:r>
          </w:p>
          <w:p w:rsidR="00000000" w:rsidDel="00000000" w:rsidP="00000000" w:rsidRDefault="00000000" w:rsidRPr="00000000" w14:paraId="0000005A">
            <w:pPr>
              <w:jc w:val="both"/>
              <w:rPr>
                <w:rFonts w:ascii="Verdana" w:cs="Verdana" w:eastAsia="Verdana" w:hAnsi="Verdana"/>
                <w:sz w:val="21"/>
                <w:szCs w:val="21"/>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1"/>
                <w:szCs w:val="21"/>
              </w:rPr>
            </w:pPr>
            <w:r w:rsidDel="00000000" w:rsidR="00000000" w:rsidRPr="00000000">
              <w:rPr>
                <w:rtl w:val="0"/>
              </w:rPr>
            </w:r>
          </w:p>
        </w:tc>
        <w:tc>
          <w:tcPr>
            <w:vMerge w:val="continue"/>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1"/>
                <w:szCs w:val="21"/>
              </w:rPr>
            </w:pPr>
            <w:r w:rsidDel="00000000" w:rsidR="00000000" w:rsidRPr="00000000">
              <w:rPr>
                <w:rtl w:val="0"/>
              </w:rPr>
            </w:r>
          </w:p>
        </w:tc>
        <w:tc>
          <w:tcPr/>
          <w:p w:rsidR="00000000" w:rsidDel="00000000" w:rsidP="00000000" w:rsidRDefault="00000000" w:rsidRPr="00000000" w14:paraId="0000005D">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Sector eléctrico, gas y vapor </w:t>
            </w:r>
          </w:p>
          <w:p w:rsidR="00000000" w:rsidDel="00000000" w:rsidP="00000000" w:rsidRDefault="00000000" w:rsidRPr="00000000" w14:paraId="0000005E">
            <w:pPr>
              <w:jc w:val="both"/>
              <w:rPr>
                <w:rFonts w:ascii="Verdana" w:cs="Verdana" w:eastAsia="Verdana" w:hAnsi="Verdana"/>
                <w:sz w:val="21"/>
                <w:szCs w:val="21"/>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05F">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SECTOR TERCIARIO O DE SERVICIOS </w:t>
            </w:r>
          </w:p>
          <w:p w:rsidR="00000000" w:rsidDel="00000000" w:rsidP="00000000" w:rsidRDefault="00000000" w:rsidRPr="00000000" w14:paraId="00000060">
            <w:pPr>
              <w:jc w:val="both"/>
              <w:rPr>
                <w:rFonts w:ascii="Verdana" w:cs="Verdana" w:eastAsia="Verdana" w:hAnsi="Verdana"/>
                <w:sz w:val="21"/>
                <w:szCs w:val="21"/>
              </w:rPr>
            </w:pPr>
            <w:r w:rsidDel="00000000" w:rsidR="00000000" w:rsidRPr="00000000">
              <w:rPr>
                <w:rtl w:val="0"/>
              </w:rPr>
            </w:r>
          </w:p>
        </w:tc>
        <w:tc>
          <w:tcPr>
            <w:vMerge w:val="restart"/>
          </w:tcPr>
          <w:p w:rsidR="00000000" w:rsidDel="00000000" w:rsidP="00000000" w:rsidRDefault="00000000" w:rsidRPr="00000000" w14:paraId="00000061">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Incluye todas aquellas actividades que no producen una mercancía en sí, pero que son necesarias para el funcionamiento de la economía. Como por ejemplo de ellos tenemos el comercio, los restaurantes, los hoteles, el transporte, los servicios financieros, las comunicaciones, los servicios de educación, los servicios profesionales, el gobierno, etc. </w:t>
            </w:r>
          </w:p>
        </w:tc>
        <w:tc>
          <w:tcPr/>
          <w:p w:rsidR="00000000" w:rsidDel="00000000" w:rsidP="00000000" w:rsidRDefault="00000000" w:rsidRPr="00000000" w14:paraId="00000062">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Sector transportes </w:t>
            </w:r>
          </w:p>
        </w:tc>
      </w:tr>
      <w:tr>
        <w:trPr>
          <w:cantSplit w:val="0"/>
          <w:tblHeader w:val="0"/>
        </w:trPr>
        <w:tc>
          <w:tcPr>
            <w:vMerge w:val="continue"/>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1"/>
                <w:szCs w:val="21"/>
              </w:rPr>
            </w:pPr>
            <w:r w:rsidDel="00000000" w:rsidR="00000000" w:rsidRPr="00000000">
              <w:rPr>
                <w:rtl w:val="0"/>
              </w:rPr>
            </w:r>
          </w:p>
        </w:tc>
        <w:tc>
          <w:tcPr>
            <w:vMerge w:val="continue"/>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1"/>
                <w:szCs w:val="21"/>
              </w:rPr>
            </w:pPr>
            <w:r w:rsidDel="00000000" w:rsidR="00000000" w:rsidRPr="00000000">
              <w:rPr>
                <w:rtl w:val="0"/>
              </w:rPr>
            </w:r>
          </w:p>
        </w:tc>
        <w:tc>
          <w:tcPr/>
          <w:p w:rsidR="00000000" w:rsidDel="00000000" w:rsidP="00000000" w:rsidRDefault="00000000" w:rsidRPr="00000000" w14:paraId="00000065">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Sector comunicaciones</w:t>
            </w:r>
          </w:p>
          <w:p w:rsidR="00000000" w:rsidDel="00000000" w:rsidP="00000000" w:rsidRDefault="00000000" w:rsidRPr="00000000" w14:paraId="00000066">
            <w:pPr>
              <w:jc w:val="both"/>
              <w:rPr>
                <w:rFonts w:ascii="Verdana" w:cs="Verdana" w:eastAsia="Verdana" w:hAnsi="Verdana"/>
                <w:sz w:val="21"/>
                <w:szCs w:val="21"/>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1"/>
                <w:szCs w:val="21"/>
              </w:rPr>
            </w:pPr>
            <w:r w:rsidDel="00000000" w:rsidR="00000000" w:rsidRPr="00000000">
              <w:rPr>
                <w:rtl w:val="0"/>
              </w:rPr>
            </w:r>
          </w:p>
        </w:tc>
        <w:tc>
          <w:tcPr>
            <w:vMerge w:val="continue"/>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1"/>
                <w:szCs w:val="21"/>
              </w:rPr>
            </w:pPr>
            <w:r w:rsidDel="00000000" w:rsidR="00000000" w:rsidRPr="00000000">
              <w:rPr>
                <w:rtl w:val="0"/>
              </w:rPr>
            </w:r>
          </w:p>
        </w:tc>
        <w:tc>
          <w:tcPr/>
          <w:p w:rsidR="00000000" w:rsidDel="00000000" w:rsidP="00000000" w:rsidRDefault="00000000" w:rsidRPr="00000000" w14:paraId="00000069">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Sector comercio, restaurante y hoteles </w:t>
            </w:r>
          </w:p>
        </w:tc>
      </w:tr>
      <w:tr>
        <w:trPr>
          <w:cantSplit w:val="0"/>
          <w:tblHeader w:val="0"/>
        </w:trPr>
        <w:tc>
          <w:tcPr>
            <w:vMerge w:val="continue"/>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1"/>
                <w:szCs w:val="21"/>
              </w:rPr>
            </w:pPr>
            <w:r w:rsidDel="00000000" w:rsidR="00000000" w:rsidRPr="00000000">
              <w:rPr>
                <w:rtl w:val="0"/>
              </w:rPr>
            </w:r>
          </w:p>
        </w:tc>
        <w:tc>
          <w:tcPr>
            <w:vMerge w:val="continue"/>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000000"/>
                <w:sz w:val="21"/>
                <w:szCs w:val="21"/>
              </w:rPr>
            </w:pPr>
            <w:r w:rsidDel="00000000" w:rsidR="00000000" w:rsidRPr="00000000">
              <w:rPr>
                <w:rtl w:val="0"/>
              </w:rPr>
            </w:r>
          </w:p>
        </w:tc>
        <w:tc>
          <w:tcPr/>
          <w:p w:rsidR="00000000" w:rsidDel="00000000" w:rsidP="00000000" w:rsidRDefault="00000000" w:rsidRPr="00000000" w14:paraId="0000006C">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Sector financiero </w:t>
            </w:r>
          </w:p>
          <w:p w:rsidR="00000000" w:rsidDel="00000000" w:rsidP="00000000" w:rsidRDefault="00000000" w:rsidRPr="00000000" w14:paraId="0000006D">
            <w:pPr>
              <w:jc w:val="both"/>
              <w:rPr>
                <w:rFonts w:ascii="Verdana" w:cs="Verdana" w:eastAsia="Verdana" w:hAnsi="Verdana"/>
                <w:sz w:val="21"/>
                <w:szCs w:val="21"/>
              </w:rPr>
            </w:pPr>
            <w:r w:rsidDel="00000000" w:rsidR="00000000" w:rsidRPr="00000000">
              <w:rPr>
                <w:rtl w:val="0"/>
              </w:rPr>
            </w:r>
          </w:p>
        </w:tc>
      </w:tr>
    </w:tbl>
    <w:p w:rsidR="00000000" w:rsidDel="00000000" w:rsidP="00000000" w:rsidRDefault="00000000" w:rsidRPr="00000000" w14:paraId="0000006E">
      <w:pPr>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6F">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El presente estudio contempla el análisis principalmente de las condiciones generales del sector terciario</w:t>
      </w:r>
      <w:r w:rsidDel="00000000" w:rsidR="00000000" w:rsidRPr="00000000">
        <w:rPr>
          <w:rFonts w:ascii="Verdana" w:cs="Verdana" w:eastAsia="Verdana" w:hAnsi="Verdana"/>
          <w:sz w:val="21"/>
          <w:szCs w:val="21"/>
          <w:rtl w:val="0"/>
        </w:rPr>
        <w:t xml:space="preserve">.</w:t>
      </w:r>
      <w:r w:rsidDel="00000000" w:rsidR="00000000" w:rsidRPr="00000000">
        <w:rPr>
          <w:rtl w:val="0"/>
        </w:rPr>
      </w:r>
    </w:p>
    <w:p w:rsidR="00000000" w:rsidDel="00000000" w:rsidP="00000000" w:rsidRDefault="00000000" w:rsidRPr="00000000" w14:paraId="00000070">
      <w:pPr>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71">
      <w:pPr>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72">
      <w:pPr>
        <w:numPr>
          <w:ilvl w:val="1"/>
          <w:numId w:val="3"/>
        </w:numPr>
        <w:pBdr>
          <w:top w:space="0" w:sz="0" w:val="nil"/>
          <w:left w:space="0" w:sz="0" w:val="nil"/>
          <w:bottom w:space="0" w:sz="0" w:val="nil"/>
          <w:right w:space="0" w:sz="0" w:val="nil"/>
          <w:between w:space="0" w:sz="0" w:val="nil"/>
        </w:pBdr>
        <w:ind w:left="1145" w:hanging="72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ASPECTO ECONÓMICO</w:t>
      </w:r>
    </w:p>
    <w:p w:rsidR="00000000" w:rsidDel="00000000" w:rsidP="00000000" w:rsidRDefault="00000000" w:rsidRPr="00000000" w14:paraId="00000073">
      <w:pPr>
        <w:pBdr>
          <w:top w:space="0" w:sz="0" w:val="nil"/>
          <w:left w:space="0" w:sz="0" w:val="nil"/>
          <w:bottom w:space="0" w:sz="0" w:val="nil"/>
          <w:right w:space="0" w:sz="0" w:val="nil"/>
          <w:between w:space="0" w:sz="0" w:val="nil"/>
        </w:pBdr>
        <w:ind w:left="1080" w:firstLine="0"/>
        <w:jc w:val="both"/>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El mercado de mantenimiento preventivo y correctivo de equipos de laboratorios presenta una oferta especializada, cuyos precios dependen principalmente del tipo de equipo, marca, referencia, complejidad técnica, frecuencia del mantenimiento, disponibilidad de repuestos y alcance del servicio requerido.</w:t>
      </w:r>
    </w:p>
    <w:p w:rsidR="00000000" w:rsidDel="00000000" w:rsidP="00000000" w:rsidRDefault="00000000" w:rsidRPr="00000000" w14:paraId="00000075">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Los costos asociados comprenden, entre otros, mano de obra especializada, desplazamiento del personal técnico, herramientas e instrumentos de diagnóstico, repuestos, consumibles, calibraciones, pruebas de funcionamiento y demás actividades necesarias para garantizar la correcta operación de los equipos.</w:t>
      </w:r>
    </w:p>
    <w:p w:rsidR="00000000" w:rsidDel="00000000" w:rsidP="00000000" w:rsidRDefault="00000000" w:rsidRPr="00000000" w14:paraId="00000077">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El comportamiento de los precios puede estar influenciado por la variación en los costos de repuestos y componentes, especialmente aquellos de origen importado, así como por la tasa de cambio, costos de transporte, disponibilidad de proveedores y condiciones del mercado. Asimismo, los servicios especializados o aquellos que requieren intervención de técnicos certificados pueden presentar mayores costos.</w:t>
      </w:r>
    </w:p>
    <w:p w:rsidR="00000000" w:rsidDel="00000000" w:rsidP="00000000" w:rsidRDefault="00000000" w:rsidRPr="00000000" w14:paraId="00000079">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La contratación puede realizarse mediante servicios individuales, órdenes de servicio o contratos de mantenimiento preventivo y correctivo, de acuerdo con las necesidades y presupuesto de cada entidad. En términos económicos, resulta conveniente considerar el costo integral del servicio y no únicamente el valor de la mano de obra, teniendo en cuenta la oportunidad de atención, disponibilidad de repuestos, garantía y continuidad operativa de los equipos.</w:t>
      </w:r>
    </w:p>
    <w:p w:rsidR="00000000" w:rsidDel="00000000" w:rsidP="00000000" w:rsidRDefault="00000000" w:rsidRPr="00000000" w14:paraId="0000007B">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En consecuencia, para la determinación del presupuesto del proceso de contratación se recomienda considerar las condiciones técnicas requeridas, el número y tipo de equipos, la periodicidad del mantenimiento y los precios de mercado, procurando obtener una relación adecuada entre costo, calidad, oportunidad y confiabilidad del servicio.</w:t>
      </w:r>
    </w:p>
    <w:p w:rsidR="00000000" w:rsidDel="00000000" w:rsidP="00000000" w:rsidRDefault="00000000" w:rsidRPr="00000000" w14:paraId="0000007D">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ind w:left="1440" w:firstLine="0"/>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7F">
      <w:pPr>
        <w:numPr>
          <w:ilvl w:val="2"/>
          <w:numId w:val="3"/>
        </w:numPr>
        <w:pBdr>
          <w:top w:space="0" w:sz="0" w:val="nil"/>
          <w:left w:space="0" w:sz="0" w:val="nil"/>
          <w:bottom w:space="0" w:sz="0" w:val="nil"/>
          <w:right w:space="0" w:sz="0" w:val="nil"/>
          <w:between w:space="0" w:sz="0" w:val="nil"/>
        </w:pBdr>
        <w:ind w:left="1440" w:hanging="108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Comportamiento de la cadena de suministro</w:t>
      </w:r>
    </w:p>
    <w:p w:rsidR="00000000" w:rsidDel="00000000" w:rsidP="00000000" w:rsidRDefault="00000000" w:rsidRPr="00000000" w14:paraId="00000080">
      <w:pPr>
        <w:pBdr>
          <w:top w:space="0" w:sz="0" w:val="nil"/>
          <w:left w:space="0" w:sz="0" w:val="nil"/>
          <w:bottom w:space="0" w:sz="0" w:val="nil"/>
          <w:right w:space="0" w:sz="0" w:val="nil"/>
          <w:between w:space="0" w:sz="0" w:val="nil"/>
        </w:pBdr>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La cadena de suministro está conformada principalmente por fabricantes, distribuidores de equipos y repuestos, proveedores especializados, técnicos y empresas prestadoras de servicios de mantenimiento, quienes intervienen en las diferentes etapas requeridas para garantizar la disponibilidad y correcto funcionamiento de los equipos.</w:t>
      </w:r>
    </w:p>
    <w:p w:rsidR="00000000" w:rsidDel="00000000" w:rsidP="00000000" w:rsidRDefault="00000000" w:rsidRPr="00000000" w14:paraId="00000082">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El proceso inicia con la identificación de las necesidades de mantenimiento y diagnóstico de los equipos, continúa con la programación y ejecución de las actividades técnicas y, cuando se requiere, con la adquisición y suministro de repuestos y consumibles. Finalmente, se realizan las pruebas de funcionamiento y verificación del equipo intervenido.</w:t>
      </w:r>
    </w:p>
    <w:p w:rsidR="00000000" w:rsidDel="00000000" w:rsidP="00000000" w:rsidRDefault="00000000" w:rsidRPr="00000000" w14:paraId="00000084">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La disponibilidad de repuestos y componentes puede depender de fabricantes nacionales o internacionales, por lo que los tiempos y costos de suministro pueden verse afectados por importaciones, tasa de cambio, transporte, disponibilidad de inventarios y tiempos de entrega. En equipos especializados o de determinadas marcas, puede ser necesario acudir a proveedores autorizados.</w:t>
      </w:r>
    </w:p>
    <w:p w:rsidR="00000000" w:rsidDel="00000000" w:rsidP="00000000" w:rsidRDefault="00000000" w:rsidRPr="00000000" w14:paraId="00000086">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La cadena de suministro requiere una adecuada coordinación entre el contratante y el proveedor del servicio, especialmente para garantizar la oportunidad de atención, disponibilidad de repuestos, continuidad de las operaciones del laboratorio y cumplimiento de las condiciones técnicas y de seguridad requeridas.</w:t>
      </w:r>
    </w:p>
    <w:p w:rsidR="00000000" w:rsidDel="00000000" w:rsidP="00000000" w:rsidRDefault="00000000" w:rsidRPr="00000000" w14:paraId="00000088">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8A">
      <w:pPr>
        <w:numPr>
          <w:ilvl w:val="2"/>
          <w:numId w:val="3"/>
        </w:numPr>
        <w:pBdr>
          <w:top w:space="0" w:sz="0" w:val="nil"/>
          <w:left w:space="0" w:sz="0" w:val="nil"/>
          <w:bottom w:space="0" w:sz="0" w:val="nil"/>
          <w:right w:space="0" w:sz="0" w:val="nil"/>
          <w:between w:space="0" w:sz="0" w:val="nil"/>
        </w:pBdr>
        <w:ind w:left="1440" w:hanging="108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Gremios y asociaciones que participan en el sector</w:t>
      </w:r>
    </w:p>
    <w:p w:rsidR="00000000" w:rsidDel="00000000" w:rsidP="00000000" w:rsidRDefault="00000000" w:rsidRPr="00000000" w14:paraId="0000008B">
      <w:pPr>
        <w:pBdr>
          <w:top w:space="0" w:sz="0" w:val="nil"/>
          <w:left w:space="0" w:sz="0" w:val="nil"/>
          <w:bottom w:space="0" w:sz="0" w:val="nil"/>
          <w:right w:space="0" w:sz="0" w:val="nil"/>
          <w:between w:space="0" w:sz="0" w:val="nil"/>
        </w:pBdr>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Entre los principales gremios y asociaciones que pueden tener relación con este mercado se encuentran:</w:t>
      </w:r>
    </w:p>
    <w:p w:rsidR="00000000" w:rsidDel="00000000" w:rsidP="00000000" w:rsidRDefault="00000000" w:rsidRPr="00000000" w14:paraId="0000008D">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1"/>
          <w:szCs w:val="21"/>
          <w:shd w:fill="auto" w:val="clear"/>
          <w:vertAlign w:val="baseline"/>
        </w:rPr>
      </w:pPr>
      <w:r w:rsidDel="00000000" w:rsidR="00000000" w:rsidRPr="00000000">
        <w:rPr>
          <w:rFonts w:ascii="Verdana" w:cs="Verdana" w:eastAsia="Verdana" w:hAnsi="Verdana"/>
          <w:b w:val="0"/>
          <w:bCs w:val="0"/>
          <w:i w:val="0"/>
          <w:iCs w:val="0"/>
          <w:smallCaps w:val="0"/>
          <w:strike w:val="0"/>
          <w:color w:val="000000"/>
          <w:sz w:val="21"/>
          <w:szCs w:val="21"/>
          <w:u w:val="none"/>
          <w:shd w:fill="auto" w:val="clear"/>
          <w:vertAlign w:val="baseline"/>
          <w:rtl w:val="0"/>
        </w:rPr>
        <w:t xml:space="preserve">ICONTEC</w:t>
      </w:r>
    </w:p>
    <w:p w:rsidR="00000000" w:rsidDel="00000000" w:rsidP="00000000" w:rsidRDefault="00000000" w:rsidRPr="00000000" w14:paraId="0000008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1"/>
          <w:szCs w:val="21"/>
          <w:shd w:fill="auto" w:val="clear"/>
          <w:vertAlign w:val="baseline"/>
        </w:rPr>
      </w:pPr>
      <w:r w:rsidDel="00000000" w:rsidR="00000000" w:rsidRPr="00000000">
        <w:rPr>
          <w:rFonts w:ascii="Verdana" w:cs="Verdana" w:eastAsia="Verdana" w:hAnsi="Verdana"/>
          <w:b w:val="0"/>
          <w:bCs w:val="0"/>
          <w:i w:val="0"/>
          <w:iCs w:val="0"/>
          <w:smallCaps w:val="0"/>
          <w:strike w:val="0"/>
          <w:color w:val="000000"/>
          <w:sz w:val="21"/>
          <w:szCs w:val="21"/>
          <w:u w:val="none"/>
          <w:shd w:fill="auto" w:val="clear"/>
          <w:vertAlign w:val="baseline"/>
          <w:rtl w:val="0"/>
        </w:rPr>
        <w:t xml:space="preserve">ONAC - Organismo Nacional de Acreditación de Colombia</w:t>
      </w:r>
    </w:p>
    <w:p w:rsidR="00000000" w:rsidDel="00000000" w:rsidP="00000000" w:rsidRDefault="00000000" w:rsidRPr="00000000" w14:paraId="0000009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1"/>
          <w:szCs w:val="21"/>
          <w:shd w:fill="auto" w:val="clear"/>
          <w:vertAlign w:val="baseline"/>
        </w:rPr>
      </w:pPr>
      <w:r w:rsidDel="00000000" w:rsidR="00000000" w:rsidRPr="00000000">
        <w:rPr>
          <w:rFonts w:ascii="Verdana" w:cs="Verdana" w:eastAsia="Verdana" w:hAnsi="Verdana"/>
          <w:b w:val="0"/>
          <w:bCs w:val="0"/>
          <w:i w:val="0"/>
          <w:iCs w:val="0"/>
          <w:smallCaps w:val="0"/>
          <w:strike w:val="0"/>
          <w:color w:val="000000"/>
          <w:sz w:val="21"/>
          <w:szCs w:val="21"/>
          <w:u w:val="none"/>
          <w:shd w:fill="auto" w:val="clear"/>
          <w:vertAlign w:val="baseline"/>
          <w:rtl w:val="0"/>
        </w:rPr>
        <w:t xml:space="preserve">ANDELAP – Asociación Nacional de Laboratorios Clínicos Privados</w:t>
      </w:r>
    </w:p>
    <w:p w:rsidR="00000000" w:rsidDel="00000000" w:rsidP="00000000" w:rsidRDefault="00000000" w:rsidRPr="00000000" w14:paraId="0000009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1"/>
          <w:szCs w:val="21"/>
          <w:shd w:fill="auto" w:val="clear"/>
          <w:vertAlign w:val="baseline"/>
        </w:rPr>
      </w:pPr>
      <w:r w:rsidDel="00000000" w:rsidR="00000000" w:rsidRPr="00000000">
        <w:rPr>
          <w:rFonts w:ascii="Verdana" w:cs="Verdana" w:eastAsia="Verdana" w:hAnsi="Verdana"/>
          <w:b w:val="0"/>
          <w:bCs w:val="0"/>
          <w:i w:val="0"/>
          <w:iCs w:val="0"/>
          <w:smallCaps w:val="0"/>
          <w:strike w:val="0"/>
          <w:color w:val="000000"/>
          <w:sz w:val="21"/>
          <w:szCs w:val="21"/>
          <w:u w:val="none"/>
          <w:shd w:fill="auto" w:val="clear"/>
          <w:vertAlign w:val="baseline"/>
          <w:rtl w:val="0"/>
        </w:rPr>
        <w:t xml:space="preserve">CNB – Colegio Nacional de Bacteriología</w:t>
      </w:r>
    </w:p>
    <w:p w:rsidR="00000000" w:rsidDel="00000000" w:rsidP="00000000" w:rsidRDefault="00000000" w:rsidRPr="00000000" w14:paraId="0000009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1"/>
          <w:szCs w:val="21"/>
          <w:shd w:fill="auto" w:val="clear"/>
          <w:vertAlign w:val="baseline"/>
        </w:rPr>
      </w:pPr>
      <w:r w:rsidDel="00000000" w:rsidR="00000000" w:rsidRPr="00000000">
        <w:rPr>
          <w:rFonts w:ascii="Verdana" w:cs="Verdana" w:eastAsia="Verdana" w:hAnsi="Verdana"/>
          <w:b w:val="0"/>
          <w:bCs w:val="0"/>
          <w:i w:val="0"/>
          <w:iCs w:val="0"/>
          <w:smallCaps w:val="0"/>
          <w:strike w:val="0"/>
          <w:color w:val="000000"/>
          <w:sz w:val="21"/>
          <w:szCs w:val="21"/>
          <w:u w:val="none"/>
          <w:shd w:fill="auto" w:val="clear"/>
          <w:vertAlign w:val="baseline"/>
          <w:rtl w:val="0"/>
        </w:rPr>
        <w:t xml:space="preserve">Federación Colombiana de Especialistas en Laboratorio Clínico</w:t>
      </w:r>
    </w:p>
    <w:p w:rsidR="00000000" w:rsidDel="00000000" w:rsidP="00000000" w:rsidRDefault="00000000" w:rsidRPr="00000000" w14:paraId="00000093">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95">
      <w:pPr>
        <w:numPr>
          <w:ilvl w:val="2"/>
          <w:numId w:val="3"/>
        </w:numPr>
        <w:pBdr>
          <w:top w:space="0" w:sz="0" w:val="nil"/>
          <w:left w:space="0" w:sz="0" w:val="nil"/>
          <w:bottom w:space="0" w:sz="0" w:val="nil"/>
          <w:right w:space="0" w:sz="0" w:val="nil"/>
          <w:between w:space="0" w:sz="0" w:val="nil"/>
        </w:pBdr>
        <w:ind w:left="1440" w:hanging="108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Contexto macroeconómico de Colombia</w:t>
      </w:r>
    </w:p>
    <w:p w:rsidR="00000000" w:rsidDel="00000000" w:rsidP="00000000" w:rsidRDefault="00000000" w:rsidRPr="00000000" w14:paraId="00000096">
      <w:pPr>
        <w:pBdr>
          <w:top w:space="0" w:sz="0" w:val="nil"/>
          <w:left w:space="0" w:sz="0" w:val="nil"/>
          <w:bottom w:space="0" w:sz="0" w:val="nil"/>
          <w:right w:space="0" w:sz="0" w:val="nil"/>
          <w:between w:space="0" w:sz="0" w:val="nil"/>
        </w:pBdr>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La economía colombiana presenta en 2026 un escenario de crecimiento moderado, acompañado de presiones inflacionarias y condiciones financieras relativamente restrictivas. En 2025 el Producto Interno Bruto (PIB) registró un crecimiento de 2,6 %, superior al observado en 2024, mientras que en el primer trimestre de 2026 la economía presentó un crecimiento de 2,2 % frente al mismo periodo del año anterior.</w:t>
      </w:r>
    </w:p>
    <w:p w:rsidR="00000000" w:rsidDel="00000000" w:rsidP="00000000" w:rsidRDefault="00000000" w:rsidRPr="00000000" w14:paraId="00000098">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La inflación continúa siendo un factor relevante para el comportamiento de los costos de bienes y servicios. El Banco de la República señala que durante 2026 la inflación se mantiene por encima de la meta del 3 %, situación que puede generar incrementos en los costos operativos, mano de obra, transporte, insumos, repuestos y servicios especializados.</w:t>
      </w:r>
    </w:p>
    <w:p w:rsidR="00000000" w:rsidDel="00000000" w:rsidP="00000000" w:rsidRDefault="00000000" w:rsidRPr="00000000" w14:paraId="0000009A">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En materia de política monetaria, el Banco de la República mantiene una tasa de interés de política de 12 % desde julio de 2026, como parte de las medidas orientadas a controlar las presiones inflacionarias. Este nivel de tasas puede incidir en los costos de financiación de las empresas y en las decisiones de inversión y contratación.</w:t>
      </w:r>
    </w:p>
    <w:p w:rsidR="00000000" w:rsidDel="00000000" w:rsidP="00000000" w:rsidRDefault="00000000" w:rsidRPr="00000000" w14:paraId="0000009C">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Para el mercado objeto del presente estudio, las condiciones macroeconómicas pueden tener incidencia principalmente en el precio de los repuestos, componentes electrónicos, equipos especializados y demás elementos de origen importado, debido a su exposición a las condiciones del comercio internacional y de la tasa de cambio. Igualmente, los incrementos en costos laborales, transporte y operación pueden reflejarse en el valor de los servicios de mantenimiento.</w:t>
      </w:r>
    </w:p>
    <w:p w:rsidR="00000000" w:rsidDel="00000000" w:rsidP="00000000" w:rsidRDefault="00000000" w:rsidRPr="00000000" w14:paraId="0000009E">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0A0">
      <w:pPr>
        <w:numPr>
          <w:ilvl w:val="2"/>
          <w:numId w:val="3"/>
        </w:numPr>
        <w:pBdr>
          <w:top w:space="0" w:sz="0" w:val="nil"/>
          <w:left w:space="0" w:sz="0" w:val="nil"/>
          <w:bottom w:space="0" w:sz="0" w:val="nil"/>
          <w:right w:space="0" w:sz="0" w:val="nil"/>
          <w:between w:space="0" w:sz="0" w:val="nil"/>
        </w:pBdr>
        <w:ind w:left="1440" w:hanging="108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Variables económicas del sector</w:t>
      </w:r>
    </w:p>
    <w:p w:rsidR="00000000" w:rsidDel="00000000" w:rsidP="00000000" w:rsidRDefault="00000000" w:rsidRPr="00000000" w14:paraId="000000A1">
      <w:pPr>
        <w:pBdr>
          <w:top w:space="0" w:sz="0" w:val="nil"/>
          <w:left w:space="0" w:sz="0" w:val="nil"/>
          <w:bottom w:space="0" w:sz="0" w:val="nil"/>
          <w:right w:space="0" w:sz="0" w:val="nil"/>
          <w:between w:space="0" w:sz="0" w:val="nil"/>
        </w:pBdr>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A continuación, se presentan las variables económicas que permiten comprender el comportamiento del mercado. Las variables a analizar en el presente estudio del sector son: </w:t>
      </w:r>
    </w:p>
    <w:p w:rsidR="00000000" w:rsidDel="00000000" w:rsidP="00000000" w:rsidRDefault="00000000" w:rsidRPr="00000000" w14:paraId="000000A3">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276" w:lineRule="auto"/>
        <w:ind w:right="-286"/>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Variaciones del salario mínimo legal vigente (SMMLV):  </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76" w:lineRule="auto"/>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line="276" w:lineRule="auto"/>
        <w:ind w:right="-286"/>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El poder adquisitivo que sustenta la demanda de bienes y servicios en la economía depende en buena medida de los incrementos anuales del salario mínimo legal vigente; por ello, resulta pertinente considerarlo como una variable macroeconómica relevante.</w:t>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276" w:lineRule="auto"/>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276" w:lineRule="auto"/>
        <w:ind w:right="-286"/>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Para el año 2026, el salario mínimo legal se estableció en $1.750.905 mensuales a partir del 1 de enero de 2026, lo que equivale a un incremento del 23 % frente al año anterior.</w:t>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276" w:lineRule="auto"/>
        <w:ind w:right="-286"/>
        <w:jc w:val="both"/>
        <w:rPr>
          <w:rFonts w:ascii="Verdana" w:cs="Verdana" w:eastAsia="Verdana" w:hAnsi="Verdana"/>
          <w:color w:val="000000"/>
          <w:sz w:val="21"/>
          <w:szCs w:val="21"/>
        </w:rPr>
      </w:pPr>
      <w:bookmarkStart w:colFirst="0" w:colLast="0" w:name="_heading=h.i0g22edzufyn" w:id="1"/>
      <w:bookmarkEnd w:id="1"/>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line="276" w:lineRule="auto"/>
        <w:ind w:right="-286"/>
        <w:jc w:val="center"/>
        <w:rPr>
          <w:rFonts w:ascii="Verdana" w:cs="Verdana" w:eastAsia="Verdana" w:hAnsi="Verdana"/>
          <w:color w:val="000000"/>
          <w:sz w:val="21"/>
          <w:szCs w:val="21"/>
        </w:rPr>
      </w:pPr>
      <w:r w:rsidDel="00000000" w:rsidR="00000000" w:rsidRPr="00000000">
        <w:rPr>
          <w:rFonts w:ascii="Verdana" w:cs="Verdana" w:eastAsia="Verdana" w:hAnsi="Verdana"/>
          <w:sz w:val="21"/>
          <w:szCs w:val="21"/>
        </w:rPr>
        <w:drawing>
          <wp:inline distB="0" distT="0" distL="0" distR="0">
            <wp:extent cx="4876800" cy="2952778"/>
            <wp:effectExtent b="0" l="0" r="0" t="0"/>
            <wp:docPr id="28" name="image19.png"/>
            <a:graphic>
              <a:graphicData uri="http://schemas.openxmlformats.org/drawingml/2006/picture">
                <pic:pic>
                  <pic:nvPicPr>
                    <pic:cNvPr id="0" name="image19.png"/>
                    <pic:cNvPicPr preferRelativeResize="0"/>
                  </pic:nvPicPr>
                  <pic:blipFill>
                    <a:blip r:embed="rId8"/>
                    <a:srcRect b="0" l="0" r="0" t="0"/>
                    <a:stretch>
                      <a:fillRect/>
                    </a:stretch>
                  </pic:blipFill>
                  <pic:spPr>
                    <a:xfrm>
                      <a:off x="0" y="0"/>
                      <a:ext cx="4876800" cy="2952778"/>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ind w:right="-286"/>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after="200" w:lineRule="auto"/>
        <w:ind w:right="-286"/>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TASA DE CRECIMIENTO E INVERSIÓN</w:t>
      </w:r>
      <w:r w:rsidDel="00000000" w:rsidR="00000000" w:rsidRPr="00000000">
        <w:rPr>
          <w:rFonts w:ascii="Verdana" w:cs="Verdana" w:eastAsia="Verdana" w:hAnsi="Verdana"/>
          <w:b w:val="1"/>
          <w:bCs w:val="1"/>
          <w:color w:val="000000"/>
          <w:sz w:val="21"/>
          <w:szCs w:val="21"/>
          <w:vertAlign w:val="superscript"/>
        </w:rPr>
        <w:footnoteReference w:customMarkFollows="0" w:id="0"/>
      </w:r>
      <w:r w:rsidDel="00000000" w:rsidR="00000000" w:rsidRPr="00000000">
        <w:rPr>
          <w:rtl w:val="0"/>
        </w:rPr>
      </w:r>
    </w:p>
    <w:p w:rsidR="00000000" w:rsidDel="00000000" w:rsidP="00000000" w:rsidRDefault="00000000" w:rsidRPr="00000000" w14:paraId="000000AD">
      <w:pPr>
        <w:ind w:right="-286"/>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Entre 2025 y 2027, el PIB se expandirá impulsado por la demanda interna: consumo privado resiliente, gasto público que acompaña e inversión que repunta gracias a un mejor balance de la construcción. Inflación aún elevada, política monetaria cauta y un amplio déficit fiscal tensionan el panorama macroeconómico.</w:t>
      </w:r>
    </w:p>
    <w:p w:rsidR="00000000" w:rsidDel="00000000" w:rsidP="00000000" w:rsidRDefault="00000000" w:rsidRPr="00000000" w14:paraId="000000AE">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AF">
      <w:pPr>
        <w:numPr>
          <w:ilvl w:val="0"/>
          <w:numId w:val="2"/>
        </w:numPr>
        <w:pBdr>
          <w:top w:space="0" w:sz="0" w:val="nil"/>
          <w:left w:space="0" w:sz="0" w:val="nil"/>
          <w:bottom w:space="0" w:sz="0" w:val="nil"/>
          <w:right w:space="0" w:sz="0" w:val="nil"/>
          <w:between w:space="0" w:sz="0" w:val="nil"/>
        </w:pBdr>
        <w:ind w:left="720" w:right="-286" w:hanging="360"/>
        <w:jc w:val="both"/>
        <w:rPr>
          <w:color w:val="000000"/>
          <w:sz w:val="21"/>
          <w:szCs w:val="21"/>
        </w:rPr>
      </w:pPr>
      <w:r w:rsidDel="00000000" w:rsidR="00000000" w:rsidRPr="00000000">
        <w:rPr>
          <w:rFonts w:ascii="Verdana" w:cs="Verdana" w:eastAsia="Verdana" w:hAnsi="Verdana"/>
          <w:color w:val="000000"/>
          <w:sz w:val="21"/>
          <w:szCs w:val="21"/>
          <w:rtl w:val="0"/>
        </w:rPr>
        <w:t xml:space="preserve">La economía mundial transita hacia 2025–2027 con crecimiento moderado y estable, apoyado en digitalización, IA, transición energética y política monetaria menos restrictiva. En América Latina, la desinflación y el giro gradual de bancos centrales hacia recortes de tasas configuran un entorno menos adverso, aunque expuesto a riesgos geopolíticos y fiscales.</w:t>
      </w:r>
    </w:p>
    <w:p w:rsidR="00000000" w:rsidDel="00000000" w:rsidP="00000000" w:rsidRDefault="00000000" w:rsidRPr="00000000" w14:paraId="000000B0">
      <w:pPr>
        <w:pBdr>
          <w:top w:space="0" w:sz="0" w:val="nil"/>
          <w:left w:space="0" w:sz="0" w:val="nil"/>
          <w:bottom w:space="0" w:sz="0" w:val="nil"/>
          <w:right w:space="0" w:sz="0" w:val="nil"/>
          <w:between w:space="0" w:sz="0" w:val="nil"/>
        </w:pBdr>
        <w:ind w:left="720" w:right="-286" w:firstLine="0"/>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B1">
      <w:pPr>
        <w:numPr>
          <w:ilvl w:val="0"/>
          <w:numId w:val="2"/>
        </w:numPr>
        <w:pBdr>
          <w:top w:space="0" w:sz="0" w:val="nil"/>
          <w:left w:space="0" w:sz="0" w:val="nil"/>
          <w:bottom w:space="0" w:sz="0" w:val="nil"/>
          <w:right w:space="0" w:sz="0" w:val="nil"/>
          <w:between w:space="0" w:sz="0" w:val="nil"/>
        </w:pBdr>
        <w:ind w:left="720" w:right="-286" w:hanging="360"/>
        <w:jc w:val="both"/>
        <w:rPr>
          <w:color w:val="000000"/>
          <w:sz w:val="21"/>
          <w:szCs w:val="21"/>
        </w:rPr>
      </w:pPr>
      <w:r w:rsidDel="00000000" w:rsidR="00000000" w:rsidRPr="00000000">
        <w:rPr>
          <w:rFonts w:ascii="Verdana" w:cs="Verdana" w:eastAsia="Verdana" w:hAnsi="Verdana"/>
          <w:color w:val="000000"/>
          <w:sz w:val="21"/>
          <w:szCs w:val="21"/>
          <w:rtl w:val="0"/>
        </w:rPr>
        <w:t xml:space="preserve">En Colombia, se </w:t>
      </w:r>
      <w:r w:rsidDel="00000000" w:rsidR="00000000" w:rsidRPr="00000000">
        <w:rPr>
          <w:rFonts w:ascii="Verdana" w:cs="Verdana" w:eastAsia="Verdana" w:hAnsi="Verdana"/>
          <w:sz w:val="21"/>
          <w:szCs w:val="21"/>
          <w:rtl w:val="0"/>
        </w:rPr>
        <w:t xml:space="preserve">proyecta un crecimiento</w:t>
      </w:r>
      <w:r w:rsidDel="00000000" w:rsidR="00000000" w:rsidRPr="00000000">
        <w:rPr>
          <w:rFonts w:ascii="Verdana" w:cs="Verdana" w:eastAsia="Verdana" w:hAnsi="Verdana"/>
          <w:color w:val="000000"/>
          <w:sz w:val="21"/>
          <w:szCs w:val="21"/>
          <w:rtl w:val="0"/>
        </w:rPr>
        <w:t xml:space="preserve"> del PIB de 2,7% en 2025 y 2,8% en 2026 y 2027. La demanda interna seguirá siendo el motor: el consumo privado se mantendrá sostenido por el avance del empleo y del ingreso real, mientras el gasto público en educación y salud continuará apoyando la actividad. Al final, la contribución negativa de la demanda externa neta tenderá a moderarse.</w:t>
      </w:r>
    </w:p>
    <w:p w:rsidR="00000000" w:rsidDel="00000000" w:rsidP="00000000" w:rsidRDefault="00000000" w:rsidRPr="00000000" w14:paraId="000000B2">
      <w:pPr>
        <w:pBdr>
          <w:top w:space="0" w:sz="0" w:val="nil"/>
          <w:left w:space="0" w:sz="0" w:val="nil"/>
          <w:bottom w:space="0" w:sz="0" w:val="nil"/>
          <w:right w:space="0" w:sz="0" w:val="nil"/>
          <w:between w:space="0" w:sz="0" w:val="nil"/>
        </w:pBdr>
        <w:ind w:left="720" w:right="-286" w:firstLine="0"/>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B3">
      <w:pPr>
        <w:numPr>
          <w:ilvl w:val="0"/>
          <w:numId w:val="2"/>
        </w:numPr>
        <w:pBdr>
          <w:top w:space="0" w:sz="0" w:val="nil"/>
          <w:left w:space="0" w:sz="0" w:val="nil"/>
          <w:bottom w:space="0" w:sz="0" w:val="nil"/>
          <w:right w:space="0" w:sz="0" w:val="nil"/>
          <w:between w:space="0" w:sz="0" w:val="nil"/>
        </w:pBdr>
        <w:ind w:left="720" w:right="-286" w:hanging="360"/>
        <w:jc w:val="both"/>
        <w:rPr>
          <w:color w:val="000000"/>
          <w:sz w:val="21"/>
          <w:szCs w:val="21"/>
        </w:rPr>
      </w:pPr>
      <w:r w:rsidDel="00000000" w:rsidR="00000000" w:rsidRPr="00000000">
        <w:rPr>
          <w:rFonts w:ascii="Verdana" w:cs="Verdana" w:eastAsia="Verdana" w:hAnsi="Verdana"/>
          <w:color w:val="000000"/>
          <w:sz w:val="21"/>
          <w:szCs w:val="21"/>
          <w:rtl w:val="0"/>
        </w:rPr>
        <w:t xml:space="preserve">El desempeño de la inversión será clave en 2026–2027. Tras un periodo de fortaleza en maquinaria y equipo y rezago en la construcción, se espera recomposición: las obras civiles de infraestructura consolidarán su aporte y las edificaciones, incluida la vivienda, irán saliendo de niveles bajos, permitiendo que la inversión gane peso dentro del crecimiento.</w:t>
      </w:r>
    </w:p>
    <w:p w:rsidR="00000000" w:rsidDel="00000000" w:rsidP="00000000" w:rsidRDefault="00000000" w:rsidRPr="00000000" w14:paraId="000000B4">
      <w:pPr>
        <w:pBdr>
          <w:top w:space="0" w:sz="0" w:val="nil"/>
          <w:left w:space="0" w:sz="0" w:val="nil"/>
          <w:bottom w:space="0" w:sz="0" w:val="nil"/>
          <w:right w:space="0" w:sz="0" w:val="nil"/>
          <w:between w:space="0" w:sz="0" w:val="nil"/>
        </w:pBdr>
        <w:ind w:left="720" w:right="-286" w:firstLine="0"/>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B5">
      <w:pPr>
        <w:numPr>
          <w:ilvl w:val="0"/>
          <w:numId w:val="2"/>
        </w:numPr>
        <w:pBdr>
          <w:top w:space="0" w:sz="0" w:val="nil"/>
          <w:left w:space="0" w:sz="0" w:val="nil"/>
          <w:bottom w:space="0" w:sz="0" w:val="nil"/>
          <w:right w:space="0" w:sz="0" w:val="nil"/>
          <w:between w:space="0" w:sz="0" w:val="nil"/>
        </w:pBdr>
        <w:ind w:left="720" w:right="-286" w:hanging="360"/>
        <w:jc w:val="both"/>
        <w:rPr>
          <w:color w:val="000000"/>
          <w:sz w:val="21"/>
          <w:szCs w:val="21"/>
        </w:rPr>
      </w:pPr>
      <w:r w:rsidDel="00000000" w:rsidR="00000000" w:rsidRPr="00000000">
        <w:rPr>
          <w:rFonts w:ascii="Verdana" w:cs="Verdana" w:eastAsia="Verdana" w:hAnsi="Verdana"/>
          <w:color w:val="000000"/>
          <w:sz w:val="21"/>
          <w:szCs w:val="21"/>
          <w:rtl w:val="0"/>
        </w:rPr>
        <w:t xml:space="preserve">Los precios seguirán marcados por presiones en alimentos, bienes y servicios regulados, manteniendo la inflación por encima de la meta y exigiendo política monetaria prudente. La tasa de referencia se mantendría en pausa en 2025 y 2026, con recortes sólo en 2027.</w:t>
      </w:r>
    </w:p>
    <w:p w:rsidR="00000000" w:rsidDel="00000000" w:rsidP="00000000" w:rsidRDefault="00000000" w:rsidRPr="00000000" w14:paraId="000000B6">
      <w:pPr>
        <w:pBdr>
          <w:top w:space="0" w:sz="0" w:val="nil"/>
          <w:left w:space="0" w:sz="0" w:val="nil"/>
          <w:bottom w:space="0" w:sz="0" w:val="nil"/>
          <w:right w:space="0" w:sz="0" w:val="nil"/>
          <w:between w:space="0" w:sz="0" w:val="nil"/>
        </w:pBdr>
        <w:ind w:left="720" w:right="-286" w:firstLine="0"/>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B7">
      <w:pPr>
        <w:numPr>
          <w:ilvl w:val="0"/>
          <w:numId w:val="2"/>
        </w:numPr>
        <w:pBdr>
          <w:top w:space="0" w:sz="0" w:val="nil"/>
          <w:left w:space="0" w:sz="0" w:val="nil"/>
          <w:bottom w:space="0" w:sz="0" w:val="nil"/>
          <w:right w:space="0" w:sz="0" w:val="nil"/>
          <w:between w:space="0" w:sz="0" w:val="nil"/>
        </w:pBdr>
        <w:ind w:left="720" w:right="-286" w:hanging="360"/>
        <w:jc w:val="both"/>
        <w:rPr>
          <w:color w:val="000000"/>
          <w:sz w:val="21"/>
          <w:szCs w:val="21"/>
        </w:rPr>
      </w:pPr>
      <w:r w:rsidDel="00000000" w:rsidR="00000000" w:rsidRPr="00000000">
        <w:rPr>
          <w:rFonts w:ascii="Verdana" w:cs="Verdana" w:eastAsia="Verdana" w:hAnsi="Verdana"/>
          <w:color w:val="000000"/>
          <w:sz w:val="21"/>
          <w:szCs w:val="21"/>
          <w:rtl w:val="0"/>
        </w:rPr>
        <w:t xml:space="preserve">Un elevado déficit fiscal, necesidades de financiamiento y rendimientos soberanos altos completan los retos. Para sostener el crecimiento previsto y reducir vulnerabilidades será fundamental disminuir el “costo Colombia”: simplificar regulación y trámites, mejorar diseño tributario y laboral, reforzar logística, seguridad y justicia, profundizar mercado de capitales y acelerar adopción de IA en empresas y sector público.</w:t>
      </w:r>
    </w:p>
    <w:p w:rsidR="00000000" w:rsidDel="00000000" w:rsidP="00000000" w:rsidRDefault="00000000" w:rsidRPr="00000000" w14:paraId="000000B8">
      <w:pPr>
        <w:ind w:left="360" w:right="-286" w:firstLine="0"/>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B9">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ind w:right="-286"/>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PRODUCTO INTERNO BRUTO – PIB</w:t>
      </w:r>
      <w:r w:rsidDel="00000000" w:rsidR="00000000" w:rsidRPr="00000000">
        <w:rPr>
          <w:rFonts w:ascii="Verdana" w:cs="Verdana" w:eastAsia="Verdana" w:hAnsi="Verdana"/>
          <w:b w:val="1"/>
          <w:bCs w:val="1"/>
          <w:color w:val="000000"/>
          <w:sz w:val="21"/>
          <w:szCs w:val="21"/>
          <w:vertAlign w:val="superscript"/>
        </w:rPr>
        <w:footnoteReference w:customMarkFollows="0" w:id="1"/>
      </w:r>
      <w:r w:rsidDel="00000000" w:rsidR="00000000" w:rsidRPr="00000000">
        <w:rPr>
          <w:rtl w:val="0"/>
        </w:rPr>
      </w:r>
    </w:p>
    <w:p w:rsidR="00000000" w:rsidDel="00000000" w:rsidP="00000000" w:rsidRDefault="00000000" w:rsidRPr="00000000" w14:paraId="000000BB">
      <w:pPr>
        <w:ind w:right="-286"/>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0BC">
      <w:pPr>
        <w:ind w:right="-286"/>
        <w:jc w:val="both"/>
        <w:rPr>
          <w:rFonts w:ascii="Verdana" w:cs="Verdana" w:eastAsia="Verdana" w:hAnsi="Verdana"/>
          <w:color w:val="000000"/>
          <w:sz w:val="21"/>
          <w:szCs w:val="21"/>
        </w:rPr>
      </w:pPr>
      <w:r w:rsidDel="00000000" w:rsidR="00000000" w:rsidRPr="00000000">
        <w:rPr>
          <w:rFonts w:ascii="Verdana" w:cs="Verdana" w:eastAsia="Verdana" w:hAnsi="Verdana"/>
          <w:sz w:val="21"/>
          <w:szCs w:val="21"/>
          <w:rtl w:val="0"/>
        </w:rPr>
        <w:t xml:space="preserve">En el primer trimestre de 2026pr, el Producto Interno Bruto en su serie original, crece 2,2% respecto al mismo periodo de 2025pr</w:t>
      </w:r>
      <w:r w:rsidDel="00000000" w:rsidR="00000000" w:rsidRPr="00000000">
        <w:rPr>
          <w:rtl w:val="0"/>
        </w:rPr>
      </w:r>
    </w:p>
    <w:p w:rsidR="00000000" w:rsidDel="00000000" w:rsidP="00000000" w:rsidRDefault="00000000" w:rsidRPr="00000000" w14:paraId="000000BD">
      <w:pP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BE">
      <w:pPr>
        <w:ind w:right="-286"/>
        <w:jc w:val="center"/>
        <w:rPr>
          <w:rFonts w:ascii="Verdana" w:cs="Verdana" w:eastAsia="Verdana" w:hAnsi="Verdana"/>
          <w:color w:val="000000"/>
          <w:sz w:val="21"/>
          <w:szCs w:val="21"/>
        </w:rPr>
      </w:pPr>
      <w:r w:rsidDel="00000000" w:rsidR="00000000" w:rsidRPr="00000000">
        <w:rPr>
          <w:rFonts w:ascii="Verdana" w:cs="Verdana" w:eastAsia="Verdana" w:hAnsi="Verdana"/>
          <w:sz w:val="21"/>
          <w:szCs w:val="21"/>
        </w:rPr>
        <w:drawing>
          <wp:inline distB="114300" distT="114300" distL="114300" distR="114300">
            <wp:extent cx="5510530" cy="2638425"/>
            <wp:effectExtent b="0" l="0" r="0" t="0"/>
            <wp:docPr id="30" name="image10.png"/>
            <a:graphic>
              <a:graphicData uri="http://schemas.openxmlformats.org/drawingml/2006/picture">
                <pic:pic>
                  <pic:nvPicPr>
                    <pic:cNvPr id="0" name="image10.png"/>
                    <pic:cNvPicPr preferRelativeResize="0"/>
                  </pic:nvPicPr>
                  <pic:blipFill>
                    <a:blip r:embed="rId9"/>
                    <a:srcRect b="10302" l="16708" r="19568" t="18618"/>
                    <a:stretch>
                      <a:fillRect/>
                    </a:stretch>
                  </pic:blipFill>
                  <pic:spPr>
                    <a:xfrm>
                      <a:off x="0" y="0"/>
                      <a:ext cx="5510530" cy="2638425"/>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ind w:right="-286"/>
        <w:jc w:val="center"/>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ind w:right="-286"/>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Las actividades económicas que más contribuyen a la dinámica del valor agregado son:</w:t>
      </w:r>
    </w:p>
    <w:p w:rsidR="00000000" w:rsidDel="00000000" w:rsidP="00000000" w:rsidRDefault="00000000" w:rsidRPr="00000000" w14:paraId="000000C1">
      <w:pPr>
        <w:pBdr>
          <w:top w:space="0" w:sz="0" w:val="nil"/>
          <w:left w:space="0" w:sz="0" w:val="nil"/>
          <w:bottom w:space="0" w:sz="0" w:val="nil"/>
          <w:right w:space="0" w:sz="0" w:val="nil"/>
          <w:between w:space="0" w:sz="0" w:val="nil"/>
        </w:pBd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C2">
      <w:pPr>
        <w:numPr>
          <w:ilvl w:val="0"/>
          <w:numId w:val="5"/>
        </w:numPr>
        <w:pBdr>
          <w:top w:space="0" w:sz="0" w:val="nil"/>
          <w:left w:space="0" w:sz="0" w:val="nil"/>
          <w:bottom w:space="0" w:sz="0" w:val="nil"/>
          <w:right w:space="0" w:sz="0" w:val="nil"/>
          <w:between w:space="0" w:sz="0" w:val="nil"/>
        </w:pBdr>
        <w:ind w:left="720" w:right="-286" w:hanging="360"/>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Administración pública y defensa; planes de seguridad social de afiliación obligatoria; Educación; Actividades de atención de la salud humana y de servicios sociales crece 5,7% (contribuye 0,9 puntos porcentuales a la variación anual).</w:t>
      </w:r>
    </w:p>
    <w:p w:rsidR="00000000" w:rsidDel="00000000" w:rsidP="00000000" w:rsidRDefault="00000000" w:rsidRPr="00000000" w14:paraId="000000C3">
      <w:pPr>
        <w:numPr>
          <w:ilvl w:val="0"/>
          <w:numId w:val="5"/>
        </w:numPr>
        <w:pBdr>
          <w:top w:space="0" w:sz="0" w:val="nil"/>
          <w:left w:space="0" w:sz="0" w:val="nil"/>
          <w:bottom w:space="0" w:sz="0" w:val="nil"/>
          <w:right w:space="0" w:sz="0" w:val="nil"/>
          <w:between w:space="0" w:sz="0" w:val="nil"/>
        </w:pBdr>
        <w:ind w:left="720" w:right="-286" w:hanging="360"/>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Comercio al por mayor y al por menor; reparación de vehículos automotores y motocicletas; Transporte y almacenamiento; Alojamiento y servicios de comida crece 2,9% (contribuye 0,6 puntos porcentuales a la variación anual).</w:t>
      </w:r>
    </w:p>
    <w:p w:rsidR="00000000" w:rsidDel="00000000" w:rsidP="00000000" w:rsidRDefault="00000000" w:rsidRPr="00000000" w14:paraId="000000C4">
      <w:pPr>
        <w:numPr>
          <w:ilvl w:val="0"/>
          <w:numId w:val="5"/>
        </w:numPr>
        <w:pBdr>
          <w:top w:space="0" w:sz="0" w:val="nil"/>
          <w:left w:space="0" w:sz="0" w:val="nil"/>
          <w:bottom w:space="0" w:sz="0" w:val="nil"/>
          <w:right w:space="0" w:sz="0" w:val="nil"/>
          <w:between w:space="0" w:sz="0" w:val="nil"/>
        </w:pBdr>
        <w:ind w:left="720" w:right="-286" w:hanging="360"/>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Industrias manufactureras crece 2,9% (contribuye 0,3 puntos porcentuales a la variación anual).</w:t>
      </w:r>
    </w:p>
    <w:p w:rsidR="00000000" w:rsidDel="00000000" w:rsidP="00000000" w:rsidRDefault="00000000" w:rsidRPr="00000000" w14:paraId="000000C5">
      <w:pPr>
        <w:pBdr>
          <w:top w:space="0" w:sz="0" w:val="nil"/>
          <w:left w:space="0" w:sz="0" w:val="nil"/>
          <w:bottom w:space="0" w:sz="0" w:val="nil"/>
          <w:right w:space="0" w:sz="0" w:val="nil"/>
          <w:between w:space="0" w:sz="0" w:val="nil"/>
        </w:pBdr>
        <w:ind w:right="-286"/>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 </w:t>
      </w:r>
    </w:p>
    <w:p w:rsidR="00000000" w:rsidDel="00000000" w:rsidP="00000000" w:rsidRDefault="00000000" w:rsidRPr="00000000" w14:paraId="000000C6">
      <w:pPr>
        <w:pBdr>
          <w:top w:space="0" w:sz="0" w:val="nil"/>
          <w:left w:space="0" w:sz="0" w:val="nil"/>
          <w:bottom w:space="0" w:sz="0" w:val="nil"/>
          <w:right w:space="0" w:sz="0" w:val="nil"/>
          <w:between w:space="0" w:sz="0" w:val="nil"/>
        </w:pBd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ind w:right="-286"/>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Respecto al trimestre inmediatamente anterior, el Producto Interno Bruto en su serie ajustada por efecto estacional y calendario crece 0,6%. Cuando se observa el comportamiento de las actividades económicas relacionadas:</w:t>
      </w:r>
    </w:p>
    <w:p w:rsidR="00000000" w:rsidDel="00000000" w:rsidP="00000000" w:rsidRDefault="00000000" w:rsidRPr="00000000" w14:paraId="000000C8">
      <w:pPr>
        <w:pBdr>
          <w:top w:space="0" w:sz="0" w:val="nil"/>
          <w:left w:space="0" w:sz="0" w:val="nil"/>
          <w:bottom w:space="0" w:sz="0" w:val="nil"/>
          <w:right w:space="0" w:sz="0" w:val="nil"/>
          <w:between w:space="0" w:sz="0" w:val="nil"/>
        </w:pBd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C9">
      <w:pPr>
        <w:numPr>
          <w:ilvl w:val="0"/>
          <w:numId w:val="1"/>
        </w:numPr>
        <w:pBdr>
          <w:top w:space="0" w:sz="0" w:val="nil"/>
          <w:left w:space="0" w:sz="0" w:val="nil"/>
          <w:bottom w:space="0" w:sz="0" w:val="nil"/>
          <w:right w:space="0" w:sz="0" w:val="nil"/>
          <w:between w:space="0" w:sz="0" w:val="nil"/>
        </w:pBdr>
        <w:ind w:left="720" w:right="-286" w:hanging="360"/>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Industrias manufactureras crece 2,3%.</w:t>
      </w:r>
    </w:p>
    <w:p w:rsidR="00000000" w:rsidDel="00000000" w:rsidP="00000000" w:rsidRDefault="00000000" w:rsidRPr="00000000" w14:paraId="000000CA">
      <w:pPr>
        <w:numPr>
          <w:ilvl w:val="0"/>
          <w:numId w:val="1"/>
        </w:numPr>
        <w:pBdr>
          <w:top w:space="0" w:sz="0" w:val="nil"/>
          <w:left w:space="0" w:sz="0" w:val="nil"/>
          <w:bottom w:space="0" w:sz="0" w:val="nil"/>
          <w:right w:space="0" w:sz="0" w:val="nil"/>
          <w:between w:space="0" w:sz="0" w:val="nil"/>
        </w:pBdr>
        <w:ind w:left="720" w:right="-286" w:hanging="360"/>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Actividades financieras y de seguros crece 2,2%.</w:t>
      </w:r>
    </w:p>
    <w:p w:rsidR="00000000" w:rsidDel="00000000" w:rsidP="00000000" w:rsidRDefault="00000000" w:rsidRPr="00000000" w14:paraId="000000CB">
      <w:pPr>
        <w:numPr>
          <w:ilvl w:val="0"/>
          <w:numId w:val="1"/>
        </w:numPr>
        <w:pBdr>
          <w:top w:space="0" w:sz="0" w:val="nil"/>
          <w:left w:space="0" w:sz="0" w:val="nil"/>
          <w:bottom w:space="0" w:sz="0" w:val="nil"/>
          <w:right w:space="0" w:sz="0" w:val="nil"/>
          <w:between w:space="0" w:sz="0" w:val="nil"/>
        </w:pBdr>
        <w:ind w:left="720" w:right="-286" w:hanging="360"/>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1,4%.</w:t>
      </w:r>
    </w:p>
    <w:p w:rsidR="00000000" w:rsidDel="00000000" w:rsidP="00000000" w:rsidRDefault="00000000" w:rsidRPr="00000000" w14:paraId="000000CC">
      <w:pPr>
        <w:pBdr>
          <w:top w:space="0" w:sz="0" w:val="nil"/>
          <w:left w:space="0" w:sz="0" w:val="nil"/>
          <w:bottom w:space="0" w:sz="0" w:val="nil"/>
          <w:right w:space="0" w:sz="0" w:val="nil"/>
          <w:between w:space="0" w:sz="0" w:val="nil"/>
        </w:pBdr>
        <w:ind w:left="720" w:right="-286" w:firstLine="0"/>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ind w:left="720" w:right="-286" w:firstLine="0"/>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ind w:right="-286"/>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MERCADO LABORAL</w:t>
      </w:r>
      <w:r w:rsidDel="00000000" w:rsidR="00000000" w:rsidRPr="00000000">
        <w:rPr>
          <w:rFonts w:ascii="Verdana" w:cs="Verdana" w:eastAsia="Verdana" w:hAnsi="Verdana"/>
          <w:color w:val="000000"/>
          <w:sz w:val="21"/>
          <w:szCs w:val="21"/>
          <w:vertAlign w:val="superscript"/>
        </w:rPr>
        <w:footnoteReference w:customMarkFollows="0" w:id="2"/>
      </w:r>
      <w:r w:rsidDel="00000000" w:rsidR="00000000" w:rsidRPr="00000000">
        <w:rPr>
          <w:rFonts w:ascii="Verdana" w:cs="Verdana" w:eastAsia="Verdana" w:hAnsi="Verdana"/>
          <w:b w:val="1"/>
          <w:bCs w:val="1"/>
          <w:color w:val="000000"/>
          <w:sz w:val="21"/>
          <w:szCs w:val="21"/>
          <w:rtl w:val="0"/>
        </w:rPr>
        <w:t xml:space="preserve"> </w:t>
      </w:r>
    </w:p>
    <w:p w:rsidR="00000000" w:rsidDel="00000000" w:rsidP="00000000" w:rsidRDefault="00000000" w:rsidRPr="00000000" w14:paraId="000000CF">
      <w:pPr>
        <w:ind w:right="-286"/>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D0">
      <w:pPr>
        <w:ind w:right="-286"/>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Para junio de 2026, la tasa de desocupación del total nacional fue 8,0%, mientras que en el mismo mes de 2025 fue 8,6%. La tasa global de participación se ubicó en 64,5%, en contraste con junio de 2025 donde fue 63,9%. Finalmente, la tasa de ocupación fue 59,4%, lo que representó un aumento de 0,9 puntos porcentuales respecto al mismo mes del año anterior (58,4%).</w:t>
      </w:r>
    </w:p>
    <w:p w:rsidR="00000000" w:rsidDel="00000000" w:rsidP="00000000" w:rsidRDefault="00000000" w:rsidRPr="00000000" w14:paraId="000000D1">
      <w:pPr>
        <w:ind w:right="-286"/>
        <w:jc w:val="both"/>
        <w:rPr>
          <w:rFonts w:ascii="Verdana" w:cs="Verdana" w:eastAsia="Verdana" w:hAnsi="Verdana"/>
          <w:sz w:val="20"/>
          <w:szCs w:val="20"/>
        </w:rPr>
      </w:pPr>
      <w:r w:rsidDel="00000000" w:rsidR="00000000" w:rsidRPr="00000000">
        <w:rPr>
          <w:rtl w:val="0"/>
        </w:rPr>
      </w:r>
    </w:p>
    <w:p w:rsidR="00000000" w:rsidDel="00000000" w:rsidP="00000000" w:rsidRDefault="00000000" w:rsidRPr="00000000" w14:paraId="000000D2">
      <w:pPr>
        <w:ind w:right="-286"/>
        <w:jc w:val="both"/>
        <w:rPr>
          <w:rFonts w:ascii="Verdana" w:cs="Verdana" w:eastAsia="Verdana" w:hAnsi="Verdana"/>
          <w:sz w:val="20"/>
          <w:szCs w:val="20"/>
        </w:rPr>
      </w:pPr>
      <w:r w:rsidDel="00000000" w:rsidR="00000000" w:rsidRPr="00000000">
        <w:rPr>
          <w:rFonts w:ascii="Verdana" w:cs="Verdana" w:eastAsia="Verdana" w:hAnsi="Verdana"/>
          <w:sz w:val="20"/>
          <w:szCs w:val="20"/>
        </w:rPr>
        <w:drawing>
          <wp:inline distB="114300" distT="114300" distL="114300" distR="114300">
            <wp:extent cx="6209665" cy="2120900"/>
            <wp:effectExtent b="0" l="0" r="0" t="0"/>
            <wp:docPr id="29" name="image22.png"/>
            <a:graphic>
              <a:graphicData uri="http://schemas.openxmlformats.org/drawingml/2006/picture">
                <pic:pic>
                  <pic:nvPicPr>
                    <pic:cNvPr id="0" name="image22.png"/>
                    <pic:cNvPicPr preferRelativeResize="0"/>
                  </pic:nvPicPr>
                  <pic:blipFill>
                    <a:blip r:embed="rId10"/>
                    <a:srcRect b="0" l="0" r="0" t="0"/>
                    <a:stretch>
                      <a:fillRect/>
                    </a:stretch>
                  </pic:blipFill>
                  <pic:spPr>
                    <a:xfrm>
                      <a:off x="0" y="0"/>
                      <a:ext cx="6209665" cy="2120900"/>
                    </a:xfrm>
                    <a:prstGeom prst="rect"/>
                    <a:ln/>
                  </pic:spPr>
                </pic:pic>
              </a:graphicData>
            </a:graphic>
          </wp:inline>
        </w:drawing>
      </w:r>
      <w:r w:rsidDel="00000000" w:rsidR="00000000" w:rsidRPr="00000000">
        <w:rPr>
          <w:rtl w:val="0"/>
        </w:rPr>
      </w:r>
    </w:p>
    <w:p w:rsidR="00000000" w:rsidDel="00000000" w:rsidP="00000000" w:rsidRDefault="00000000" w:rsidRPr="00000000" w14:paraId="000000D3">
      <w:pPr>
        <w:ind w:right="-286"/>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D4">
      <w:pPr>
        <w:ind w:right="-286"/>
        <w:jc w:val="both"/>
        <w:rPr>
          <w:rFonts w:ascii="Verdana" w:cs="Verdana" w:eastAsia="Verdana" w:hAnsi="Verdana"/>
          <w:color w:val="000000"/>
          <w:sz w:val="20"/>
          <w:szCs w:val="20"/>
        </w:rPr>
      </w:pPr>
      <w:r w:rsidDel="00000000" w:rsidR="00000000" w:rsidRPr="00000000">
        <w:rPr>
          <w:rtl w:val="0"/>
        </w:rPr>
      </w:r>
    </w:p>
    <w:p w:rsidR="00000000" w:rsidDel="00000000" w:rsidP="00000000" w:rsidRDefault="00000000" w:rsidRPr="00000000" w14:paraId="000000D5">
      <w:pPr>
        <w:ind w:right="-286"/>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En junio de 2026, la tasa de desocupación en el total de las 13 ciudades y áreas metropolitanas fue 8,0%, mientras que en el mismo mes de 2025 fue 8,3%. La tasa global de participación se ubicó en 65,9%, en tanto que en junio de 2025 fue 66,4%. Finalmente, la tasa de ocupación fue 60,6%, en contraste con el mismo mes del año anterior donde fue 60,9%.</w:t>
      </w:r>
    </w:p>
    <w:p w:rsidR="00000000" w:rsidDel="00000000" w:rsidP="00000000" w:rsidRDefault="00000000" w:rsidRPr="00000000" w14:paraId="000000D6">
      <w:pPr>
        <w:ind w:right="-286"/>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 </w:t>
      </w:r>
    </w:p>
    <w:p w:rsidR="00000000" w:rsidDel="00000000" w:rsidP="00000000" w:rsidRDefault="00000000" w:rsidRPr="00000000" w14:paraId="000000D7">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ind w:right="-286"/>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IPC</w:t>
      </w:r>
      <w:r w:rsidDel="00000000" w:rsidR="00000000" w:rsidRPr="00000000">
        <w:rPr>
          <w:rFonts w:ascii="Verdana" w:cs="Verdana" w:eastAsia="Verdana" w:hAnsi="Verdana"/>
          <w:b w:val="1"/>
          <w:bCs w:val="1"/>
          <w:color w:val="000000"/>
          <w:sz w:val="21"/>
          <w:szCs w:val="21"/>
          <w:vertAlign w:val="superscript"/>
        </w:rPr>
        <w:footnoteReference w:customMarkFollows="0" w:id="3"/>
      </w: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ind w:right="-286"/>
        <w:jc w:val="both"/>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0DA">
      <w:pPr>
        <w:ind w:right="-286"/>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En julio de 2026 la variación mensual del IPC fue 0,17%, la variación año corrido fue 4,94% y la anual 6,03%.</w:t>
      </w:r>
    </w:p>
    <w:p w:rsidR="00000000" w:rsidDel="00000000" w:rsidP="00000000" w:rsidRDefault="00000000" w:rsidRPr="00000000" w14:paraId="000000DB">
      <w:pP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DC">
      <w:pPr>
        <w:ind w:right="-286"/>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En julio de 2026 la variación anual del IPC fue 6,03%, es decir, 1,13 puntos porcentuales mayor que la reportada en el mismo periodo del año anterior, cuando fue de 4,90%.</w:t>
      </w:r>
    </w:p>
    <w:p w:rsidR="00000000" w:rsidDel="00000000" w:rsidP="00000000" w:rsidRDefault="00000000" w:rsidRPr="00000000" w14:paraId="000000DD">
      <w:pP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DE">
      <w:pPr>
        <w:ind w:right="-286"/>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El comportamiento mensual del IPC total en julio de 2026 (0,17%) se explicó principalmente por la variación mensual de las divisiones Alojamiento, agua, electricidad, gas y otros combustibles y Restaurantes y hoteles. Las mayores variaciones se presentaron en las divisiones Alojamiento, agua, electricidad, gas y otros combustibles (0,55%) y Salud (0,38%).</w:t>
      </w:r>
    </w:p>
    <w:p w:rsidR="00000000" w:rsidDel="00000000" w:rsidP="00000000" w:rsidRDefault="00000000" w:rsidRPr="00000000" w14:paraId="000000DF">
      <w:pP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E0">
      <w:pPr>
        <w:ind w:right="-286"/>
        <w:jc w:val="both"/>
        <w:rPr>
          <w:rFonts w:ascii="Verdana" w:cs="Verdana" w:eastAsia="Verdana" w:hAnsi="Verdana"/>
          <w:sz w:val="21"/>
          <w:szCs w:val="21"/>
        </w:rPr>
      </w:pPr>
      <w:r w:rsidDel="00000000" w:rsidR="00000000" w:rsidRPr="00000000">
        <w:rPr>
          <w:rFonts w:ascii="Verdana" w:cs="Verdana" w:eastAsia="Verdana" w:hAnsi="Verdana"/>
          <w:b w:val="1"/>
          <w:bCs w:val="1"/>
          <w:sz w:val="21"/>
          <w:szCs w:val="21"/>
        </w:rPr>
        <w:drawing>
          <wp:inline distB="114300" distT="114300" distL="114300" distR="114300">
            <wp:extent cx="6209665" cy="1905000"/>
            <wp:effectExtent b="0" l="0" r="0" t="0"/>
            <wp:docPr id="32" name="image17.png"/>
            <a:graphic>
              <a:graphicData uri="http://schemas.openxmlformats.org/drawingml/2006/picture">
                <pic:pic>
                  <pic:nvPicPr>
                    <pic:cNvPr id="0" name="image17.png"/>
                    <pic:cNvPicPr preferRelativeResize="0"/>
                  </pic:nvPicPr>
                  <pic:blipFill>
                    <a:blip r:embed="rId11"/>
                    <a:srcRect b="0" l="0" r="0" t="0"/>
                    <a:stretch>
                      <a:fillRect/>
                    </a:stretch>
                  </pic:blipFill>
                  <pic:spPr>
                    <a:xfrm>
                      <a:off x="0" y="0"/>
                      <a:ext cx="6209665" cy="1905000"/>
                    </a:xfrm>
                    <a:prstGeom prst="rect"/>
                    <a:ln/>
                  </pic:spPr>
                </pic:pic>
              </a:graphicData>
            </a:graphic>
          </wp:inline>
        </w:drawing>
      </w:r>
      <w:r w:rsidDel="00000000" w:rsidR="00000000" w:rsidRPr="00000000">
        <w:rPr>
          <w:rtl w:val="0"/>
        </w:rPr>
      </w:r>
    </w:p>
    <w:p w:rsidR="00000000" w:rsidDel="00000000" w:rsidP="00000000" w:rsidRDefault="00000000" w:rsidRPr="00000000" w14:paraId="000000E1">
      <w:pP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ind w:right="-286"/>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Índice de Precios del Productor (IPP)</w:t>
      </w:r>
      <w:r w:rsidDel="00000000" w:rsidR="00000000" w:rsidRPr="00000000">
        <w:rPr>
          <w:rFonts w:ascii="Verdana" w:cs="Verdana" w:eastAsia="Verdana" w:hAnsi="Verdana"/>
          <w:b w:val="1"/>
          <w:bCs w:val="1"/>
          <w:color w:val="000000"/>
          <w:sz w:val="21"/>
          <w:szCs w:val="21"/>
          <w:vertAlign w:val="superscript"/>
        </w:rPr>
        <w:footnoteReference w:customMarkFollows="0" w:id="4"/>
      </w:r>
      <w:r w:rsidDel="00000000" w:rsidR="00000000" w:rsidRPr="00000000">
        <w:rPr>
          <w:rtl w:val="0"/>
        </w:rPr>
      </w:r>
    </w:p>
    <w:p w:rsidR="00000000" w:rsidDel="00000000" w:rsidP="00000000" w:rsidRDefault="00000000" w:rsidRPr="00000000" w14:paraId="000000E3">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E4">
      <w:pPr>
        <w:ind w:right="-286"/>
        <w:jc w:val="both"/>
        <w:rPr>
          <w:rFonts w:ascii="Verdana" w:cs="Verdana" w:eastAsia="Verdana" w:hAnsi="Verdana"/>
          <w:color w:val="000000"/>
          <w:sz w:val="21"/>
          <w:szCs w:val="21"/>
        </w:rPr>
      </w:pPr>
      <w:r w:rsidDel="00000000" w:rsidR="00000000" w:rsidRPr="00000000">
        <w:rPr>
          <w:rFonts w:ascii="Verdana" w:cs="Verdana" w:eastAsia="Verdana" w:hAnsi="Verdana"/>
          <w:sz w:val="21"/>
          <w:szCs w:val="21"/>
          <w:rtl w:val="0"/>
        </w:rPr>
        <w:t xml:space="preserve">El IPP de la producción nacional, en julio de 2026 presentó una variación de -1,42% respecto a junio de 2026.</w:t>
      </w:r>
      <w:r w:rsidDel="00000000" w:rsidR="00000000" w:rsidRPr="00000000">
        <w:rPr>
          <w:rtl w:val="0"/>
        </w:rPr>
      </w:r>
    </w:p>
    <w:p w:rsidR="00000000" w:rsidDel="00000000" w:rsidP="00000000" w:rsidRDefault="00000000" w:rsidRPr="00000000" w14:paraId="000000E5">
      <w:pPr>
        <w:ind w:right="-286"/>
        <w:jc w:val="center"/>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E6">
      <w:pPr>
        <w:ind w:right="-286"/>
        <w:jc w:val="center"/>
        <w:rPr>
          <w:rFonts w:ascii="Verdana" w:cs="Verdana" w:eastAsia="Verdana" w:hAnsi="Verdana"/>
          <w:sz w:val="21"/>
          <w:szCs w:val="21"/>
        </w:rPr>
      </w:pPr>
      <w:r w:rsidDel="00000000" w:rsidR="00000000" w:rsidRPr="00000000">
        <w:rPr>
          <w:rFonts w:ascii="Verdana" w:cs="Verdana" w:eastAsia="Verdana" w:hAnsi="Verdana"/>
          <w:sz w:val="21"/>
          <w:szCs w:val="21"/>
        </w:rPr>
        <w:drawing>
          <wp:inline distB="114300" distT="114300" distL="114300" distR="114300">
            <wp:extent cx="6209665" cy="1981200"/>
            <wp:effectExtent b="0" l="0" r="0" t="0"/>
            <wp:docPr id="31" name="image16.png"/>
            <a:graphic>
              <a:graphicData uri="http://schemas.openxmlformats.org/drawingml/2006/picture">
                <pic:pic>
                  <pic:nvPicPr>
                    <pic:cNvPr id="0" name="image16.png"/>
                    <pic:cNvPicPr preferRelativeResize="0"/>
                  </pic:nvPicPr>
                  <pic:blipFill>
                    <a:blip r:embed="rId12"/>
                    <a:srcRect b="0" l="0" r="0" t="0"/>
                    <a:stretch>
                      <a:fillRect/>
                    </a:stretch>
                  </pic:blipFill>
                  <pic:spPr>
                    <a:xfrm>
                      <a:off x="0" y="0"/>
                      <a:ext cx="6209665" cy="198120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E8">
      <w:pPr>
        <w:ind w:right="-286"/>
        <w:jc w:val="both"/>
        <w:rPr>
          <w:rFonts w:ascii="Verdana" w:cs="Verdana" w:eastAsia="Verdana" w:hAnsi="Verdana"/>
          <w:color w:val="000000"/>
          <w:sz w:val="21"/>
          <w:szCs w:val="21"/>
        </w:rPr>
      </w:pPr>
      <w:r w:rsidDel="00000000" w:rsidR="00000000" w:rsidRPr="00000000">
        <w:rPr>
          <w:rFonts w:ascii="Verdana" w:cs="Verdana" w:eastAsia="Verdana" w:hAnsi="Verdana"/>
          <w:sz w:val="21"/>
          <w:szCs w:val="21"/>
          <w:rtl w:val="0"/>
        </w:rPr>
        <w:t xml:space="preserve">En julio de 2026, los sectores de Explotación de minas y canteras (-8,76%) e Industrias manufactureras (-1,65%) presentaron variaciones inferiores a la media (-1,42%) mientras que el sector de Agricultura, ganadería, silvicultura, caza y pesca (3,89%) fue el único que registró una variación positiva.</w:t>
      </w:r>
      <w:r w:rsidDel="00000000" w:rsidR="00000000" w:rsidRPr="00000000">
        <w:rPr>
          <w:rtl w:val="0"/>
        </w:rPr>
      </w:r>
    </w:p>
    <w:p w:rsidR="00000000" w:rsidDel="00000000" w:rsidP="00000000" w:rsidRDefault="00000000" w:rsidRPr="00000000" w14:paraId="000000E9">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EA">
      <w:pPr>
        <w:ind w:right="-286"/>
        <w:jc w:val="both"/>
        <w:rPr>
          <w:rFonts w:ascii="Verdana" w:cs="Verdana" w:eastAsia="Verdana" w:hAnsi="Verdana"/>
          <w:i w:val="1"/>
          <w:iCs w:val="1"/>
          <w:color w:val="000000"/>
          <w:sz w:val="21"/>
          <w:szCs w:val="21"/>
        </w:rPr>
      </w:pPr>
      <w:r w:rsidDel="00000000" w:rsidR="00000000" w:rsidRPr="00000000">
        <w:rPr>
          <w:rFonts w:ascii="Verdana" w:cs="Verdana" w:eastAsia="Verdana" w:hAnsi="Verdana"/>
          <w:i w:val="1"/>
          <w:iCs w:val="1"/>
          <w:color w:val="000000"/>
          <w:sz w:val="21"/>
          <w:szCs w:val="21"/>
          <w:rtl w:val="0"/>
        </w:rPr>
        <w:t xml:space="preserve">(pr): Cifra provisional</w:t>
      </w:r>
    </w:p>
    <w:p w:rsidR="00000000" w:rsidDel="00000000" w:rsidP="00000000" w:rsidRDefault="00000000" w:rsidRPr="00000000" w14:paraId="000000EB">
      <w:pPr>
        <w:ind w:right="-286"/>
        <w:jc w:val="both"/>
        <w:rPr>
          <w:rFonts w:ascii="Verdana" w:cs="Verdana" w:eastAsia="Verdana" w:hAnsi="Verdana"/>
          <w:i w:val="1"/>
          <w:iCs w:val="1"/>
          <w:color w:val="000000"/>
          <w:sz w:val="21"/>
          <w:szCs w:val="21"/>
        </w:rPr>
      </w:pPr>
      <w:r w:rsidDel="00000000" w:rsidR="00000000" w:rsidRPr="00000000">
        <w:rPr>
          <w:rFonts w:ascii="Verdana" w:cs="Verdana" w:eastAsia="Verdana" w:hAnsi="Verdana"/>
          <w:i w:val="1"/>
          <w:iCs w:val="1"/>
          <w:color w:val="000000"/>
          <w:sz w:val="21"/>
          <w:szCs w:val="21"/>
          <w:rtl w:val="0"/>
        </w:rPr>
        <w:t xml:space="preserve">*Teniendo en cuenta los ajustes de la información reportada por algunas de las fuentes después de la ejecución del proceso estadístico que permite el cálculo del IPP, los resultados presentados son generados con carácter provisional, por lo que son susceptibles de ajustes hasta un mes posterior de la difusión.</w:t>
      </w:r>
    </w:p>
    <w:p w:rsidR="00000000" w:rsidDel="00000000" w:rsidP="00000000" w:rsidRDefault="00000000" w:rsidRPr="00000000" w14:paraId="000000EC">
      <w:pPr>
        <w:ind w:right="-286"/>
        <w:jc w:val="both"/>
        <w:rPr>
          <w:rFonts w:ascii="Verdana" w:cs="Verdana" w:eastAsia="Verdana" w:hAnsi="Verdana"/>
          <w:i w:val="1"/>
          <w:iCs w:val="1"/>
          <w:color w:val="000000"/>
          <w:sz w:val="21"/>
          <w:szCs w:val="21"/>
        </w:rPr>
      </w:pPr>
      <w:r w:rsidDel="00000000" w:rsidR="00000000" w:rsidRPr="00000000">
        <w:rPr>
          <w:rtl w:val="0"/>
        </w:rPr>
      </w:r>
    </w:p>
    <w:p w:rsidR="00000000" w:rsidDel="00000000" w:rsidP="00000000" w:rsidRDefault="00000000" w:rsidRPr="00000000" w14:paraId="000000ED">
      <w:pPr>
        <w:ind w:right="-286"/>
        <w:jc w:val="both"/>
        <w:rPr>
          <w:rFonts w:ascii="Verdana" w:cs="Verdana" w:eastAsia="Verdana" w:hAnsi="Verdana"/>
          <w:color w:val="000000"/>
          <w:sz w:val="21"/>
          <w:szCs w:val="21"/>
        </w:rPr>
      </w:pPr>
      <w:r w:rsidDel="00000000" w:rsidR="00000000" w:rsidRPr="00000000">
        <w:rPr>
          <w:rFonts w:ascii="Verdana" w:cs="Verdana" w:eastAsia="Verdana" w:hAnsi="Verdana"/>
          <w:b w:val="1"/>
          <w:bCs w:val="1"/>
          <w:color w:val="000000"/>
          <w:sz w:val="21"/>
          <w:szCs w:val="21"/>
          <w:rtl w:val="0"/>
        </w:rPr>
        <w:t xml:space="preserve">Importaciones</w:t>
      </w:r>
      <w:r w:rsidDel="00000000" w:rsidR="00000000" w:rsidRPr="00000000">
        <w:rPr>
          <w:rFonts w:ascii="Verdana" w:cs="Verdana" w:eastAsia="Verdana" w:hAnsi="Verdana"/>
          <w:color w:val="000000"/>
          <w:sz w:val="21"/>
          <w:szCs w:val="21"/>
          <w:vertAlign w:val="superscript"/>
        </w:rPr>
        <w:footnoteReference w:customMarkFollows="0" w:id="5"/>
      </w:r>
      <w:r w:rsidDel="00000000" w:rsidR="00000000" w:rsidRPr="00000000">
        <w:rPr>
          <w:rtl w:val="0"/>
        </w:rPr>
      </w:r>
    </w:p>
    <w:p w:rsidR="00000000" w:rsidDel="00000000" w:rsidP="00000000" w:rsidRDefault="00000000" w:rsidRPr="00000000" w14:paraId="000000EE">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EF">
      <w:pPr>
        <w:ind w:right="-286"/>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De acuerdo con las declaraciones de importación registradas ante la DIAN en mayo de 2026, las importaciones fueron US$6.785,3 millones CIF y presentaron un crecimiento de 10,6% con relación al mismo mes de 2025. Este comportamiento obedeció principalmente al aumento de 8,2% en el grupo de Manufacturas.</w:t>
      </w:r>
    </w:p>
    <w:p w:rsidR="00000000" w:rsidDel="00000000" w:rsidP="00000000" w:rsidRDefault="00000000" w:rsidRPr="00000000" w14:paraId="000000F0">
      <w:pP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F1">
      <w:pPr>
        <w:ind w:right="-286"/>
        <w:jc w:val="both"/>
        <w:rPr>
          <w:rFonts w:ascii="Verdana" w:cs="Verdana" w:eastAsia="Verdana" w:hAnsi="Verdana"/>
          <w:color w:val="000000"/>
          <w:sz w:val="21"/>
          <w:szCs w:val="21"/>
        </w:rPr>
      </w:pPr>
      <w:r w:rsidDel="00000000" w:rsidR="00000000" w:rsidRPr="00000000">
        <w:rPr/>
        <w:drawing>
          <wp:inline distB="114300" distT="114300" distL="114300" distR="114300">
            <wp:extent cx="6210300" cy="3557282"/>
            <wp:effectExtent b="0" l="0" r="0" t="0"/>
            <wp:docPr id="34" name="image15.png"/>
            <a:graphic>
              <a:graphicData uri="http://schemas.openxmlformats.org/drawingml/2006/picture">
                <pic:pic>
                  <pic:nvPicPr>
                    <pic:cNvPr id="0" name="image15.png"/>
                    <pic:cNvPicPr preferRelativeResize="0"/>
                  </pic:nvPicPr>
                  <pic:blipFill>
                    <a:blip r:embed="rId13"/>
                    <a:srcRect b="0" l="0" r="0" t="0"/>
                    <a:stretch>
                      <a:fillRect/>
                    </a:stretch>
                  </pic:blipFill>
                  <pic:spPr>
                    <a:xfrm>
                      <a:off x="0" y="0"/>
                      <a:ext cx="6210300" cy="3557282"/>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F3">
      <w:pPr>
        <w:ind w:right="-286"/>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En mayo de 2026, las importaciones de Manufacturas participaron con 72,5% del valor CIF total de las importaciones, seguido por Agropecuarios, alimentos y bebidas con 13,6%, Combustibles y productos de las industrias extractivas con 13,6% y Otros sectores con 0,3%.</w:t>
      </w:r>
    </w:p>
    <w:p w:rsidR="00000000" w:rsidDel="00000000" w:rsidP="00000000" w:rsidRDefault="00000000" w:rsidRPr="00000000" w14:paraId="000000F4">
      <w:pP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F5">
      <w:pP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F6">
      <w:pPr>
        <w:ind w:right="-286"/>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Encuesta Mensual de Comercio (EMC)</w:t>
      </w:r>
      <w:r w:rsidDel="00000000" w:rsidR="00000000" w:rsidRPr="00000000">
        <w:rPr>
          <w:rFonts w:ascii="Verdana" w:cs="Verdana" w:eastAsia="Verdana" w:hAnsi="Verdana"/>
          <w:b w:val="1"/>
          <w:bCs w:val="1"/>
          <w:color w:val="000000"/>
          <w:sz w:val="21"/>
          <w:szCs w:val="21"/>
          <w:vertAlign w:val="superscript"/>
        </w:rPr>
        <w:footnoteReference w:customMarkFollows="0" w:id="6"/>
      </w:r>
      <w:r w:rsidDel="00000000" w:rsidR="00000000" w:rsidRPr="00000000">
        <w:rPr>
          <w:rtl w:val="0"/>
        </w:rPr>
      </w:r>
    </w:p>
    <w:p w:rsidR="00000000" w:rsidDel="00000000" w:rsidP="00000000" w:rsidRDefault="00000000" w:rsidRPr="00000000" w14:paraId="000000F7">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F8">
      <w:pPr>
        <w:ind w:right="-286"/>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La Encuesta Mensual de Comercio (EMC) proporciona los principales indicadores sobre la evolución de la actividad comercial del país, por medio de resultados del comercio al por menor, comercio al por mayor y de vehículos, al generar información sobre variables como ventas, personal ocupado y sueldos y salarios. También presenta resultados sobre Grandes Almacenes e Hipermercados y ventas realizadas por las ensambladoras e importadoras de vehículos.</w:t>
      </w:r>
    </w:p>
    <w:p w:rsidR="00000000" w:rsidDel="00000000" w:rsidP="00000000" w:rsidRDefault="00000000" w:rsidRPr="00000000" w14:paraId="000000F9">
      <w:pP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FA">
      <w:pPr>
        <w:ind w:right="-286"/>
        <w:jc w:val="center"/>
        <w:rPr>
          <w:rFonts w:ascii="Verdana" w:cs="Verdana" w:eastAsia="Verdana" w:hAnsi="Verdana"/>
          <w:color w:val="000000"/>
          <w:sz w:val="21"/>
          <w:szCs w:val="21"/>
        </w:rPr>
      </w:pPr>
      <w:r w:rsidDel="00000000" w:rsidR="00000000" w:rsidRPr="00000000">
        <w:rPr>
          <w:rFonts w:ascii="Verdana" w:cs="Verdana" w:eastAsia="Verdana" w:hAnsi="Verdana"/>
          <w:sz w:val="21"/>
          <w:szCs w:val="21"/>
        </w:rPr>
        <w:drawing>
          <wp:inline distB="114300" distT="114300" distL="114300" distR="114300">
            <wp:extent cx="6209665" cy="2997200"/>
            <wp:effectExtent b="0" l="0" r="0" t="0"/>
            <wp:docPr id="33" name="image14.png"/>
            <a:graphic>
              <a:graphicData uri="http://schemas.openxmlformats.org/drawingml/2006/picture">
                <pic:pic>
                  <pic:nvPicPr>
                    <pic:cNvPr id="0" name="image14.png"/>
                    <pic:cNvPicPr preferRelativeResize="0"/>
                  </pic:nvPicPr>
                  <pic:blipFill>
                    <a:blip r:embed="rId14"/>
                    <a:srcRect b="0" l="0" r="0" t="0"/>
                    <a:stretch>
                      <a:fillRect/>
                    </a:stretch>
                  </pic:blipFill>
                  <pic:spPr>
                    <a:xfrm>
                      <a:off x="0" y="0"/>
                      <a:ext cx="6209665"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FC">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FD">
      <w:pPr>
        <w:ind w:right="-286"/>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En mayo de 2026, las ventas reales del comercio minorista aumentaron 11,7% y el personal ocupado creció 1,6% en relación con el mismo mes de 2025. Excluyendo el comercio de combustibles, la variación de las ventas reales del sector fue de 14,7%.</w:t>
      </w:r>
    </w:p>
    <w:p w:rsidR="00000000" w:rsidDel="00000000" w:rsidP="00000000" w:rsidRDefault="00000000" w:rsidRPr="00000000" w14:paraId="000000FE">
      <w:pP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FF">
      <w:pPr>
        <w:ind w:right="-286"/>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100">
      <w:pPr>
        <w:ind w:right="-286"/>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Encuesta Anual de Comercio (EAC)</w:t>
      </w:r>
      <w:r w:rsidDel="00000000" w:rsidR="00000000" w:rsidRPr="00000000">
        <w:rPr>
          <w:rFonts w:ascii="Verdana" w:cs="Verdana" w:eastAsia="Verdana" w:hAnsi="Verdana"/>
          <w:b w:val="1"/>
          <w:bCs w:val="1"/>
          <w:color w:val="000000"/>
          <w:sz w:val="21"/>
          <w:szCs w:val="21"/>
          <w:vertAlign w:val="superscript"/>
        </w:rPr>
        <w:footnoteReference w:customMarkFollows="0" w:id="7"/>
      </w:r>
      <w:r w:rsidDel="00000000" w:rsidR="00000000" w:rsidRPr="00000000">
        <w:rPr>
          <w:rtl w:val="0"/>
        </w:rPr>
      </w:r>
    </w:p>
    <w:p w:rsidR="00000000" w:rsidDel="00000000" w:rsidP="00000000" w:rsidRDefault="00000000" w:rsidRPr="00000000" w14:paraId="00000101">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102">
      <w:pPr>
        <w:ind w:right="-286"/>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Información 2024</w:t>
      </w:r>
    </w:p>
    <w:p w:rsidR="00000000" w:rsidDel="00000000" w:rsidP="00000000" w:rsidRDefault="00000000" w:rsidRPr="00000000" w14:paraId="00000103">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104">
      <w:pPr>
        <w:ind w:right="-286"/>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Del monto total de 569,9 billones de pesos de ventas en el sector comercio realizadas por las empresas objeto de estudio en 2024, el comercio al por mayor participó con el 57,8% de las ventas ($329,6 billones), seguido por el comercio al por menor con 31,8% ($181,3 billones) y el comercio de vehículos automotores, motocicletas, sus partes y piezas con 10,3% ($59,0 billones).</w:t>
      </w:r>
    </w:p>
    <w:p w:rsidR="00000000" w:rsidDel="00000000" w:rsidP="00000000" w:rsidRDefault="00000000" w:rsidRPr="00000000" w14:paraId="00000105">
      <w:pPr>
        <w:ind w:right="-286"/>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106">
      <w:pPr>
        <w:ind w:right="-286"/>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Pr>
        <w:drawing>
          <wp:inline distB="0" distT="0" distL="0" distR="0">
            <wp:extent cx="5220429" cy="3467584"/>
            <wp:effectExtent b="0" l="0" r="0" t="0"/>
            <wp:docPr id="36" name="image18.png"/>
            <a:graphic>
              <a:graphicData uri="http://schemas.openxmlformats.org/drawingml/2006/picture">
                <pic:pic>
                  <pic:nvPicPr>
                    <pic:cNvPr id="0" name="image18.png"/>
                    <pic:cNvPicPr preferRelativeResize="0"/>
                  </pic:nvPicPr>
                  <pic:blipFill>
                    <a:blip r:embed="rId15"/>
                    <a:srcRect b="0" l="0" r="0" t="0"/>
                    <a:stretch>
                      <a:fillRect/>
                    </a:stretch>
                  </pic:blipFill>
                  <pic:spPr>
                    <a:xfrm>
                      <a:off x="0" y="0"/>
                      <a:ext cx="5220429" cy="3467584"/>
                    </a:xfrm>
                    <a:prstGeom prst="rect"/>
                    <a:ln/>
                  </pic:spPr>
                </pic:pic>
              </a:graphicData>
            </a:graphic>
          </wp:inline>
        </w:drawing>
      </w:r>
      <w:r w:rsidDel="00000000" w:rsidR="00000000" w:rsidRPr="00000000">
        <w:rPr>
          <w:rtl w:val="0"/>
        </w:rPr>
      </w:r>
    </w:p>
    <w:p w:rsidR="00000000" w:rsidDel="00000000" w:rsidP="00000000" w:rsidRDefault="00000000" w:rsidRPr="00000000" w14:paraId="00000107">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108">
      <w:pPr>
        <w:ind w:right="-286"/>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Encuesta Anual Manufacturera (EAM)</w:t>
      </w:r>
      <w:r w:rsidDel="00000000" w:rsidR="00000000" w:rsidRPr="00000000">
        <w:rPr>
          <w:rFonts w:ascii="Verdana" w:cs="Verdana" w:eastAsia="Verdana" w:hAnsi="Verdana"/>
          <w:b w:val="1"/>
          <w:bCs w:val="1"/>
          <w:color w:val="000000"/>
          <w:sz w:val="21"/>
          <w:szCs w:val="21"/>
          <w:vertAlign w:val="superscript"/>
        </w:rPr>
        <w:footnoteReference w:customMarkFollows="0" w:id="8"/>
      </w:r>
      <w:r w:rsidDel="00000000" w:rsidR="00000000" w:rsidRPr="00000000">
        <w:rPr>
          <w:rtl w:val="0"/>
        </w:rPr>
      </w:r>
    </w:p>
    <w:p w:rsidR="00000000" w:rsidDel="00000000" w:rsidP="00000000" w:rsidRDefault="00000000" w:rsidRPr="00000000" w14:paraId="00000109">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10A">
      <w:pPr>
        <w:ind w:right="-286"/>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Información 2024</w:t>
      </w:r>
    </w:p>
    <w:p w:rsidR="00000000" w:rsidDel="00000000" w:rsidP="00000000" w:rsidRDefault="00000000" w:rsidRPr="00000000" w14:paraId="0000010B">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10C">
      <w:pPr>
        <w:ind w:right="-286"/>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Los 6.583 establecimientos industriales de los que se obtuvo información ocuparon un total de 730.844 personas,  de las cuales 612.418 fueron  contratadas  directamente  por las industrias (440.898 permanentes y 171.520  temporales directos), 98.093 a través de agencias especializadas  en  servicios  de  suministro de personal; 19.960 aprendices y 373 propietarios, socios  y  familiares. Por otra parte, estos establecimientos registraron una producción bruta de $ 443,9 billones, un   consumo   intermedio  de   $295,6 billones   y  un  valor agregado de $148,3 billones.</w:t>
      </w:r>
    </w:p>
    <w:p w:rsidR="00000000" w:rsidDel="00000000" w:rsidP="00000000" w:rsidRDefault="00000000" w:rsidRPr="00000000" w14:paraId="0000010D">
      <w:pPr>
        <w:ind w:right="-286"/>
        <w:jc w:val="cente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Pr>
        <w:drawing>
          <wp:inline distB="0" distT="0" distL="0" distR="0">
            <wp:extent cx="5144218" cy="3686689"/>
            <wp:effectExtent b="0" l="0" r="0" t="0"/>
            <wp:docPr id="35" name="image13.png"/>
            <a:graphic>
              <a:graphicData uri="http://schemas.openxmlformats.org/drawingml/2006/picture">
                <pic:pic>
                  <pic:nvPicPr>
                    <pic:cNvPr id="0" name="image13.png"/>
                    <pic:cNvPicPr preferRelativeResize="0"/>
                  </pic:nvPicPr>
                  <pic:blipFill>
                    <a:blip r:embed="rId16"/>
                    <a:srcRect b="0" l="0" r="0" t="0"/>
                    <a:stretch>
                      <a:fillRect/>
                    </a:stretch>
                  </pic:blipFill>
                  <pic:spPr>
                    <a:xfrm>
                      <a:off x="0" y="0"/>
                      <a:ext cx="5144218" cy="3686689"/>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10F">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110">
      <w:pPr>
        <w:ind w:right="-286"/>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Tasa representativa del mercado (TRM)</w:t>
      </w:r>
      <w:r w:rsidDel="00000000" w:rsidR="00000000" w:rsidRPr="00000000">
        <w:rPr>
          <w:rFonts w:ascii="Verdana" w:cs="Verdana" w:eastAsia="Verdana" w:hAnsi="Verdana"/>
          <w:b w:val="1"/>
          <w:bCs w:val="1"/>
          <w:color w:val="000000"/>
          <w:sz w:val="21"/>
          <w:szCs w:val="21"/>
          <w:vertAlign w:val="superscript"/>
        </w:rPr>
        <w:footnoteReference w:customMarkFollows="0" w:id="9"/>
      </w:r>
      <w:r w:rsidDel="00000000" w:rsidR="00000000" w:rsidRPr="00000000">
        <w:rPr>
          <w:rtl w:val="0"/>
        </w:rPr>
      </w:r>
    </w:p>
    <w:p w:rsidR="00000000" w:rsidDel="00000000" w:rsidP="00000000" w:rsidRDefault="00000000" w:rsidRPr="00000000" w14:paraId="00000111">
      <w:pPr>
        <w:ind w:right="-286"/>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112">
      <w:pPr>
        <w:ind w:right="-286"/>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La tasa de cambio representativa del mercado (TRM) corresponde al promedio aritmético simple de las tasas ponderadas de las operaciones de compra y de venta de dólares estadounidenses a cambio de moneda legal colombiana, efectuadas por bancos comerciales, corporaciones financieras, sociedades comisionistas de bolsa, compañías de financiamiento, la Financiera de Desarrollo Nacional (FDN) y el Banco de Comercio Exterior de Colombia (Bancoldex), pactadas para cumplimiento en ambas monedas el mismo día de su negociación. Esta tasa se expresa en moneda legal por un dólar de los Estados Unidos de América. La TRM vigente para cada día es calculada y certificada por la Superintendencia Financiera de Colombia con las operaciones del día anterior.</w:t>
      </w:r>
    </w:p>
    <w:p w:rsidR="00000000" w:rsidDel="00000000" w:rsidP="00000000" w:rsidRDefault="00000000" w:rsidRPr="00000000" w14:paraId="00000113">
      <w:pPr>
        <w:ind w:right="-286"/>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114">
      <w:pPr>
        <w:ind w:right="-286"/>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A continuación, el comportamiento de la TRM del 12 de </w:t>
      </w:r>
      <w:r w:rsidDel="00000000" w:rsidR="00000000" w:rsidRPr="00000000">
        <w:rPr>
          <w:rFonts w:ascii="Verdana" w:cs="Verdana" w:eastAsia="Verdana" w:hAnsi="Verdana"/>
          <w:sz w:val="21"/>
          <w:szCs w:val="21"/>
          <w:rtl w:val="0"/>
        </w:rPr>
        <w:t xml:space="preserve">agosto</w:t>
      </w:r>
      <w:r w:rsidDel="00000000" w:rsidR="00000000" w:rsidRPr="00000000">
        <w:rPr>
          <w:rFonts w:ascii="Verdana" w:cs="Verdana" w:eastAsia="Verdana" w:hAnsi="Verdana"/>
          <w:color w:val="000000"/>
          <w:sz w:val="21"/>
          <w:szCs w:val="21"/>
          <w:rtl w:val="0"/>
        </w:rPr>
        <w:t xml:space="preserve"> de 2025 al 12 de </w:t>
      </w:r>
      <w:r w:rsidDel="00000000" w:rsidR="00000000" w:rsidRPr="00000000">
        <w:rPr>
          <w:rFonts w:ascii="Verdana" w:cs="Verdana" w:eastAsia="Verdana" w:hAnsi="Verdana"/>
          <w:sz w:val="21"/>
          <w:szCs w:val="21"/>
          <w:rtl w:val="0"/>
        </w:rPr>
        <w:t xml:space="preserve">agosto</w:t>
      </w:r>
      <w:r w:rsidDel="00000000" w:rsidR="00000000" w:rsidRPr="00000000">
        <w:rPr>
          <w:rFonts w:ascii="Verdana" w:cs="Verdana" w:eastAsia="Verdana" w:hAnsi="Verdana"/>
          <w:color w:val="000000"/>
          <w:sz w:val="21"/>
          <w:szCs w:val="21"/>
          <w:rtl w:val="0"/>
        </w:rPr>
        <w:t xml:space="preserve"> de 2026</w:t>
      </w:r>
    </w:p>
    <w:p w:rsidR="00000000" w:rsidDel="00000000" w:rsidP="00000000" w:rsidRDefault="00000000" w:rsidRPr="00000000" w14:paraId="00000115">
      <w:pPr>
        <w:pBdr>
          <w:top w:space="0" w:sz="0" w:val="nil"/>
          <w:left w:space="0" w:sz="0" w:val="nil"/>
          <w:bottom w:space="0" w:sz="0" w:val="nil"/>
          <w:right w:space="0" w:sz="0" w:val="nil"/>
          <w:between w:space="0" w:sz="0" w:val="nil"/>
        </w:pBdr>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ind w:right="-286"/>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Pr>
        <w:drawing>
          <wp:inline distB="0" distT="0" distL="0" distR="0">
            <wp:extent cx="6209665" cy="3618230"/>
            <wp:effectExtent b="0" l="0" r="0" t="0"/>
            <wp:docPr id="39"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6209665" cy="3618230"/>
                    </a:xfrm>
                    <a:prstGeom prst="rect"/>
                    <a:ln/>
                  </pic:spPr>
                </pic:pic>
              </a:graphicData>
            </a:graphic>
          </wp:inline>
        </w:drawing>
      </w: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119">
      <w:pPr>
        <w:numPr>
          <w:ilvl w:val="1"/>
          <w:numId w:val="3"/>
        </w:numPr>
        <w:pBdr>
          <w:top w:space="0" w:sz="0" w:val="nil"/>
          <w:left w:space="0" w:sz="0" w:val="nil"/>
          <w:bottom w:space="0" w:sz="0" w:val="nil"/>
          <w:right w:space="0" w:sz="0" w:val="nil"/>
          <w:between w:space="0" w:sz="0" w:val="nil"/>
        </w:pBdr>
        <w:ind w:left="1145" w:hanging="72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ASPECTOS TÉCNICOS</w:t>
      </w:r>
    </w:p>
    <w:p w:rsidR="00000000" w:rsidDel="00000000" w:rsidP="00000000" w:rsidRDefault="00000000" w:rsidRPr="00000000" w14:paraId="0000011A">
      <w:pPr>
        <w:pBdr>
          <w:top w:space="0" w:sz="0" w:val="nil"/>
          <w:left w:space="0" w:sz="0" w:val="nil"/>
          <w:bottom w:space="0" w:sz="0" w:val="nil"/>
          <w:right w:space="0" w:sz="0" w:val="nil"/>
          <w:between w:space="0" w:sz="0" w:val="nil"/>
        </w:pBdr>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A continuación, los aspectos técnicos requeridos para el proceso de contratación:</w:t>
      </w:r>
    </w:p>
    <w:p w:rsidR="00000000" w:rsidDel="00000000" w:rsidP="00000000" w:rsidRDefault="00000000" w:rsidRPr="00000000" w14:paraId="0000011C">
      <w:pPr>
        <w:pBdr>
          <w:top w:space="0" w:sz="0" w:val="nil"/>
          <w:left w:space="0" w:sz="0" w:val="nil"/>
          <w:bottom w:space="0" w:sz="0" w:val="nil"/>
          <w:right w:space="0" w:sz="0" w:val="nil"/>
          <w:between w:space="0" w:sz="0" w:val="nil"/>
        </w:pBdr>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11D">
      <w:pPr>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LOTE UNO: LABORATORIOS FACULTAD DE CIENCIAS DE LA SALUD</w:t>
      </w:r>
    </w:p>
    <w:p w:rsidR="00000000" w:rsidDel="00000000" w:rsidP="00000000" w:rsidRDefault="00000000" w:rsidRPr="00000000" w14:paraId="0000011E">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Se deberá realizar el mantenimiento a los siguientes equipos:</w:t>
      </w:r>
    </w:p>
    <w:p w:rsidR="00000000" w:rsidDel="00000000" w:rsidP="00000000" w:rsidRDefault="00000000" w:rsidRPr="00000000" w14:paraId="0000011F">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120">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tbl>
      <w:tblPr>
        <w:tblStyle w:val="Table3"/>
        <w:tblW w:w="97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789"/>
        <w:gridCol w:w="958"/>
        <w:gridCol w:w="928"/>
        <w:gridCol w:w="1233"/>
        <w:gridCol w:w="1392"/>
        <w:gridCol w:w="1480"/>
        <w:tblGridChange w:id="0">
          <w:tblGrid>
            <w:gridCol w:w="3789"/>
            <w:gridCol w:w="958"/>
            <w:gridCol w:w="928"/>
            <w:gridCol w:w="1233"/>
            <w:gridCol w:w="1392"/>
            <w:gridCol w:w="1480"/>
          </w:tblGrid>
        </w:tblGridChange>
      </w:tblGrid>
      <w:tr>
        <w:trPr>
          <w:cantSplit w:val="0"/>
          <w:trHeight w:val="825" w:hRule="atLeast"/>
          <w:tblHeader w:val="0"/>
        </w:trPr>
        <w:tc>
          <w:tcPr>
            <w:tcBorders>
              <w:top w:color="000000" w:space="0" w:sz="6" w:val="single"/>
              <w:left w:color="000000" w:space="0" w:sz="6" w:val="single"/>
              <w:bottom w:color="000000" w:space="0" w:sz="0" w:val="nil"/>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21">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DESCRIPCIÓN</w:t>
            </w:r>
          </w:p>
        </w:tc>
        <w:tc>
          <w:tcPr>
            <w:tcBorders>
              <w:top w:color="000000" w:space="0" w:sz="6" w:val="single"/>
              <w:left w:color="000000" w:space="0" w:sz="0" w:val="nil"/>
              <w:bottom w:color="000000" w:space="0" w:sz="0" w:val="nil"/>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22">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UNIDAD DE MEDIDA</w:t>
            </w:r>
          </w:p>
        </w:tc>
        <w:tc>
          <w:tcPr>
            <w:tcBorders>
              <w:top w:color="000000" w:space="0" w:sz="6" w:val="single"/>
              <w:left w:color="000000" w:space="0" w:sz="0" w:val="nil"/>
              <w:bottom w:color="000000" w:space="0" w:sz="0" w:val="nil"/>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23">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CANTIDAD</w:t>
            </w:r>
          </w:p>
        </w:tc>
        <w:tc>
          <w:tcPr>
            <w:tcBorders>
              <w:top w:color="000000" w:space="0" w:sz="6" w:val="single"/>
              <w:left w:color="000000" w:space="0" w:sz="0" w:val="nil"/>
              <w:bottom w:color="000000" w:space="0" w:sz="0" w:val="nil"/>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24">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VALOR UNITARIO</w:t>
            </w:r>
          </w:p>
        </w:tc>
        <w:tc>
          <w:tcPr>
            <w:tcBorders>
              <w:top w:color="000000" w:space="0" w:sz="6" w:val="single"/>
              <w:left w:color="000000" w:space="0" w:sz="0" w:val="nil"/>
              <w:bottom w:color="000000" w:space="0" w:sz="0" w:val="nil"/>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25">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VALOR TOTAL </w:t>
            </w:r>
          </w:p>
        </w:tc>
        <w:tc>
          <w:tcPr>
            <w:tcBorders>
              <w:top w:color="000000" w:space="0" w:sz="6" w:val="single"/>
              <w:left w:color="000000" w:space="0" w:sz="0" w:val="nil"/>
              <w:bottom w:color="000000" w:space="0" w:sz="0" w:val="nil"/>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26">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CÓDIGO UNSPSC</w:t>
            </w:r>
          </w:p>
        </w:tc>
      </w:tr>
      <w:tr>
        <w:trPr>
          <w:cantSplit w:val="0"/>
          <w:trHeight w:val="78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2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 Mantenimiento preventivo del Equipo: AGITADOR MAGNÉTICO CON CALENTAMIENTO, Ubicación: 129A, Código: 30872</w:t>
            </w:r>
          </w:p>
        </w:tc>
        <w:tc>
          <w:tcPr>
            <w:tcBorders>
              <w:top w:color="000000" w:space="0" w:sz="6" w:val="single"/>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6" w:val="single"/>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2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6" w:val="single"/>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6" w:val="single"/>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2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6" w:val="single"/>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2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 Mantenimiento preventivo del Equipo: AGITADOR MAGNÉTICO CON CALENTAMIENTO, Ubicación: 129A,  Código: 31000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2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3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3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 Mantenimiento preventivo del Equipo: AGITADOR ORBITAL 110V(DONACIÓN), Ubicación: 129A, Código: 14601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3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3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3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 Mantenimiento preventivo del Equipo: VORTEX, Ubicación: 129A, Código: 14700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3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3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3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 Mantenimiento preventivo del Equipo: BALANZA BASCULA COLGANTE DIGITAL PORTATIL, Ubicación: 129A, Código: 32413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4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95,200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4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95,200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4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 Mantenimiento preventivo del Equipo: BAÑO DE MARIA, Ubicación: 129A, Código: 01784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4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158,270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4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158,270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4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 Mantenimiento preventivo del Equipo: DIGESTOR KENHDAL, Ubicación: 129A, Código: 32542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4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630,700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4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630,700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5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 Mantenimiento preventivo del Equipo: DESTILADOR KENHDAL, Ubicación: 129A, Código: 34388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5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833,000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5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833,000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5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5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 Mantenimiento preventivo del Equipo: HORNO, Ubicación: 129A, Código: 02313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5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261,800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5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261,800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5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5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 Mantenimiento preventivo del Equipo: INCUBADORA MICROPROCESADOR 115 L, Ubicación: 129A, Código: 13767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5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6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6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6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 Mantenimiento preventivo del Equipo: PLANCHA DE CALENTAMIENTO CON AGITACIÓN, Ubicación: 129A, Código: 3344 (33628)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6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6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6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6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12. Mantenimiento preventivo del Equipo: REFRIGERADOR MELING, Ubicación: 129A, Código: 40625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6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6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6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 Mantenimiento preventivo del Equipo: VORTEX, Ubicación: 129A, Código: 14389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7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7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7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14. Mantenimiento preventivo del Equipo: ANALIZADOR DE GASES, Ubicación: 129B, Código: 37324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7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7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7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 Mantenimiento preventivo del Equipo: AGITADOR MAGNÉTICO CON CALENTAMIENTO, Ubicación: 129B, Código: 15587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7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7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8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16. Mantenimiento preventivo del Equipo: PLANCHA DE CALENTAMIENTO CON AGITACIÓN HEIDOLPH, Ubicación: 129B, Código: 39582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8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8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8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17. Mantenimiento preventivo del Equipo: PLANCHA DE CALENTAMIENTO CON AGITACIÓN HEIDOLPH, Ubicación: 129B, Código: 39583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8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8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8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 Mantenimiento preventivo del Equipo: BALANZA  DIGITAL PRECISA, Ubicación: 129B, Código: 39569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8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9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9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19. Mantenimiento preventivo del Equipo: BALANZA  DIGITAL PRECISA, Ubicación: 129B, Código: 39573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9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9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9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 Mantenimiento preventivo del Equipo: BALANZA  DIGITAL PRECISA, Ubicación: 129B, Código: 39575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9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9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9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21. Mantenimiento preventivo del Equipo: BALANZA ANALÍTICA RADWAG,  Ubicación: 129B, Código: 40799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A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A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A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22. Mantenimiento preventivo del Equipo: BASCULA DIGITAL DE PISO  REF 349 KL, Ubicación: 129B, Código: 29709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A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83,300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A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83,300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A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23. Mantenimiento preventivo del Equipo: COMPRESOR TC, Ubicación: 129B, Código: 14414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A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618,800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A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618,800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B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 Mantenimiento preventivo del Equipo: CAMARA DE ELECTROFORESIS HORIZONTAL , Ubicación: 129B, Código: 30967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B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142,800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B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142,800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B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25. Mantenimiento preventivo del Equipo: CAMARA DE ELECTROFORESIS HORIZONTAL , Ubicación: 129B, Código: 30968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B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142,800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B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142,800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B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26. Mantenimiento preventivo del Equipo: CENTRIFUGA,  Ubicación: 129B, Código: 02305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B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C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C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C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27. Mantenimiento preventivo del Equipo: CENTRIFUGA ROTFIX 32 P.24 TUBOS HE, Ubicación: 129B, Código: 03360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C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C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C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C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28. Mantenimiento preventivo del Equipo: CENTRIFUGA ROTFIX 32 P.24 TUBOS HE, Ubicación: 129B, Código: 03361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C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C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C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C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29. Mantenimiento preventivo del Equipo: MICROPIPETA 10-100UL, Ubicación: 129B, Código: 30080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D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D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D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D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 Mantenimiento preventivo del Equipo: MICROPIPETA 10-100UL, Ubicación: 129B, Código: 30084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D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D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D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D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31. Mantenimiento preventivo del Equipo: MICROPIPETA 10-100UL, Ubicación: 129B, Código: 30085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D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D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D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E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 Mantenimiento preventivo del Equipo: MICROPIPETA 10-100UL, Ubicación: 129B, Código: 32168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E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E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E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E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33. Mantenimiento preventivo del Equipo: MICROPIPETA 10-100UL, Ubicación: 129B, Código: 32186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E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E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E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E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34. Mantenimiento preventivo del Equipo: MICROPIPETA 10-100UL, Ubicación: 129B, Código: 32188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E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F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F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F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35. Mantenimiento preventivo del Equipo: MICROPIPETA 100-1000,  Ubicación: 129B, Código: 30058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F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F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F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F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36. Mantenimiento preventivo del Equipo: MICROPIPETA 100-1000,  Ubicación: 129B, Código: 30059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F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1F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1F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1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1F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37. Mantenimiento preventivo del Equipo: MICROPIPETA 100-1000,  Ubicación: 129B, Código: 30064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0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0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0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0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38. Mantenimiento preventivo del Equipo: MICROPIPETA 2-20UL, Ubicación: 129B, Código: 30074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0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0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0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0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39. Mantenimiento preventivo del Equipo: MICROPIPETA 2-20UL, Ubicación: 129B, Código: 30075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0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0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0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1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40. Mantenimiento preventivo del Equipo: MICROPIPETA 2-20UL, Ubicación: 129B, Código: 30076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1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1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1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1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 Mantenimiento preventivo del Equipo: MICROPIPETA 2-20UL, Ubicación: 129B, Código: 30077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1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1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1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1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42. Mantenimiento preventivo del Equipo: MICROPIPETA 2-20UL, Ubicación: 129B, Código: 30078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1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2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2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2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43. Mantenimiento preventivo del Equipo: MICROPIPETA 2-20UL, Ubicación: 129B, Código: 30079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2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2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2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2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44. Mantenimiento preventivo del Equipo: MICROPIPETA 20-200, Ubicación: 129B, Código: 30068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2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2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2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45. Mantenimiento preventivo del Equipo: MICROPIPETA 20-200, Ubicación: 129B, Código: 30069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3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3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3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46. Mantenimiento preventivo del Equipo: MICROPIPETA 20-200, Ubicación: 129B, Código: 30071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3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3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3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47. Mantenimiento preventivo del Equipo: MICROPIPETA 20-200, Ubicación: 129B, Código: 30072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3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3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4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48. Mantenimiento preventivo del Equipo: MICROPIPETA 20-200, Ubicación: 129B, Código: 30073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4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4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4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49. Mantenimiento preventivo del Equipo: MICROPIPETA 20-200, Ubicación: 129B, Código: 30897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4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4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4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 Mantenimiento preventivo del Equipo: MICROPIPETA 20-200, Ubicación: 129B, Código: 30901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4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5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5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51. Mantenimiento preventivo del Equipo: MICROPIPETA AUTOCLAVE VARIABLE 0.5-10UL, Ubicación: 129B, Código: 30091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5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5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5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5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52. Mantenimiento preventivo del Equipo: MICROPIPETA AUTOCLAVE VARIABLE 0.5-10UL, Ubicación: 129B, Código: 30093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5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5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5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5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53. Mantenimiento preventivo del Equipo: MICROPIPETA AUTOCLAVE VARIABLE 0.5-10UL, Ubicación: 129B, Código: 30094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6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6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6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6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54. Mantenimiento preventivo del Equipo: MICROPIPETAS  100-1000 UL, Ubicación: 129B, Código: 32179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6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6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6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6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55. Mantenimiento preventivo del Equipo: MICROPIPETAS  100-1000 UL, Ubicación: 129B, Código: 32181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6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6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7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56. Mantenimiento preventivo del Equipo: MICROPIPETAS  100-1000 UL, Ubicación: 129B, Código: 32182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7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7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7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57. Mantenimiento preventivo del Equipo: MICROPIPETAS 0,5-2UL,  Ubicación: 129B, Código: 32171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7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7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7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58. Mantenimiento preventivo del Equipo: MICROPIPETAS 0,5-2UL,  Ubicación: 129B, Código: 32173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7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8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8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59. Mantenimiento preventivo del Equipo: MICROPIPETAS 0,5-2UL,  Ubicación: 129B, Código: 32174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8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8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8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60. Mantenimiento preventivo del Equipo: MICROPIPETAS 0,5-2UL,  Ubicación: 129B, Código: 32176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8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8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8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61. Mantenimiento preventivo del Equipo: MICROPIPETAS 0,5-2UL,  Ubicación: 129B, Código: 32176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9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9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9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62. Mantenimiento preventivo del Equipo: PIPETA, Ubicación: 129B, Código: 01197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9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9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9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63. Mantenimiento preventivo del Equipo: PIPETA, Ubicación: 129B, Código: 03291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9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9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A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64. Mantenimiento preventivo del Equipo: PIPETA, Ubicación: 129B, Código: 01794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A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A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A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65. Mantenimiento preventivo del Equipo: PIPETA, Ubicación: 129B, Código: 01795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A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A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A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66. Mantenimiento preventivo del Equipo: PIPETA, Ubicación: 129B, Código: 01800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A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B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B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67. Mantenimiento preventivo del Equipo: PIPETA, Ubicación: 129B, Código: 02108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B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B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B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68. Mantenimiento preventivo del Equipo: PIPETA, Ubicación: 129B, Código: 02146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B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B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B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69. Mantenimiento preventivo del Equipo: PIPETA, Ubicación: 129B, Código: 02161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C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C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C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C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70. Mantenimiento preventivo del Equipo: PIPETA, Ubicación: 129B, Código: 02301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C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C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C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C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71. Mantenimiento preventivo del Equipo: PIPETA, Ubicación: 129B, Código: 13769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C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C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C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D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72. Mantenimiento preventivo del Equipo: PIPETA, Ubicación: 129B, Código: 13771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D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D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D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D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73. Mantenimiento preventivo del Equipo: PIPETA, Ubicación: 129B, Código: 13773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D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D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D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D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74. Mantenimiento preventivo del Equipo: PIPETA, Ubicación: 129B, Código: 13776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D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D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E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E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75. Mantenimiento preventivo del Equipo: PIPETA, Ubicación: 129B, Código: 15624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E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E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E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E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76. Mantenimiento preventivo del Equipo: PIPETA, Ubicación: 129B, Código: 15630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E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E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E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E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77. Mantenimiento preventivo del Equipo: PIPETA, Ubicación: 129B, Código: 15634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F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F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F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F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78. Mantenimiento preventivo del Equipo: PIPETA, Ubicación: 129B, Código: 01198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F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F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F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2F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79. Mantenimiento preventivo del Equipo: PIPETA, Ubicación: 129B, Código: 01200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F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2F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2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2F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0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80. Mantenimiento preventivo del Equipo: PIPETA, Ubicación: 129B, Código: 01201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0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0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0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0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 Mantenimiento preventivo del Equipo: PIPETA, Ubicación: 129B, Código: 01203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0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0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0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0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82. Mantenimiento preventivo del Equipo: PIPETA, Ubicación: 129B, Código: 01204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0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0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1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1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83. Mantenimiento preventivo del Equipo: PIPETA, Ubicación: 129B, Código: 01207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1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1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1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1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84. Mantenimiento preventivo del Equipo: PIPETA, Ubicación: 129B, Código: 01211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1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1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1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1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85. Mantenimiento preventivo del Equipo: PIPETA, Ubicación: 129B, Código: 01212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2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2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2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2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86. Mantenimiento preventivo del Equipo: PIPETA, Ubicación: 129B, Código: 01219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2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2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2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2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87. Mantenimiento preventivo del Equipo: PIPETA, Ubicación: 129B, Código: 14658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2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2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3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88. Mantenimiento preventivo del Equipo: PIPETA AUTOMATICA MULTICANAL 8 PUNTAS, Ubicación: 129A, Código: 13765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3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3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3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89. Mantenimiento preventivo del Equipo: PIPETA DE 100UL S-H064785A, Ubicación: 129A, Código: 33597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3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3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3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90. Mantenimiento preventivo del Equipo: TRANSFERETTE 0,5-10UL , Ubicación: 129A, Código: 32405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3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4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4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91. Mantenimiento preventivo del Equipo: TRANSFERETTE 0,5-10UL , Ubicación: 129A, Código: 32406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4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4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4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92. Mantenimiento preventivo del Equipo: TRANSFERETTE 0,5-10UL , Ubicación: 129A, Código: 32407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4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4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4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93. Mantenimiento preventivo del Equipo: TRANSFERETTE 0,5-10UL , Ubicación: 129A, Código: 32408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5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5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5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94. Mantenimiento preventivo del Equipo: TRANSFERETTE 0,5-10UL , Ubicación: 129A, Código: 32460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5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5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5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5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95. Mantenimiento preventivo del Equipo: TRANSFERETTE 0,5-10UL , Ubicación: 129A, Código: 32462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5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5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5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6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96. Mantenimiento preventivo del Equipo: TRANSFERPETTE 500-5000UL , Ubicación: 129A, Código: 32457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6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6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6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6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97. Mantenimiento preventivo del Equipo: TRANSFERPETTE 500-5000UL , Ubicación: 129A, Código: 32463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6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6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6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6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98. Mantenimiento preventivo del Equipo: TRANSFERPETTE 500-5000UL , Ubicación: 129A, Código: 32466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6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7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7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99. Mantenimiento preventivo del Equipo: TRANSFERPIPETA S VOL VAR 100-1000 UL, Ubicación: 129A, Código: 32469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7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7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7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100. Mantenimiento preventivo del Equipo: TRANSFERPIPETA S VOL VAR 100-1000 UL, Ubicación: 129A, Código: 32470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7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7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7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101. Mantenimiento preventivo del Equipo: TRANSFERPIPETA S VOL VAR 100-1000 UL, Ubicación: 129A, Código: 39396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8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8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8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102. Mantenimiento preventivo del Equipo: TRANSFERPIPETA S VOL VAR 100-1000 UL, Ubicación: 129A, Código: 39397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8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8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8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103. Mantenimiento preventivo del Equipo: TRANSFERPIPETA S VOL VAR 100-1000 UL, Ubicación: 129A, Código: 39398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8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8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9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104. Mantenimiento preventivo del Equipo: TRANSFERPIPETA S VOL VAR 100-1000 UL, Ubicación: 129A, Código: 39399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9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9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9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105. Mantenimiento preventivo del Equipo: TRANSFERPIPETA S VOL VAR 100-1000 UL, Ubicación: 129A, Código: 39400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9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9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9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106. Mantenimiento preventivo del Equipo: TRANSFERPIPETA S VOL VAR 100-1000 UL, Ubicación: 129A, Código: 39401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9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A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A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107. Mantenimiento preventivo del Equipo: KIT 3 MICROPIPETAS (10-100µl-100-1000µl-1-10ML), Ubicación: 129A, Código: 34844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A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321,300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A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321,300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A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108. Mantenimiento preventivo del Equipo: KIT 3 MICROPIPETAS (10-100µl-100-1000µl-1-10ML), Ubicación: 129A, Código: 34845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A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321,300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A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321,300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A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109. Mantenimiento preventivo del Equipo: KIT 3 MICROPIPETAS (10-100µl-100-1000µl-1-10ML), Ubicación: 129A, Código: 34846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B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321,300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B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321,300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B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110. Mantenimiento preventivo del Equipo: KIT MICROPIPETAS F2 MARCA THERMO SCIENTIFIC, Ubicación: 129A, Código: 35451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B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321,300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B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321,300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B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111. Mantenimiento preventivo del Equipo: MICROPIPETA SARTORIUS 0,5 a 10 UL, Ubicación: 129A, Código: 37664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B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B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C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C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112. Mantenimiento preventivo del Equipo: MICROPIPETA SARTORIUS 0,5 a 10 UL, Ubicación: 129A, Código: 37669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C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C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C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C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113. Mantenimiento preventivo del Equipo: MICROPIPETA SARTORIUS 0,5 a 10 UL, Ubicación: 129A, Código: 37670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C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C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C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C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114. Mantenimiento preventivo del Equipo: MICROPIPETA SARTORIUS 0,5 a 10 UL, Ubicación: 129A, Código: 37671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C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D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D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D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115. Mantenimiento preventivo del Equipo: MICROPIPETA SARTORIUS 0,5 a 10 UL, Ubicación: 129A, Código: 37672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D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D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D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D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116. Mantenimiento preventivo del Equipo: MICROPIPETA SARTORIUS 0,5 a 10 UL, Ubicación: 129A, Código: 37673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D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D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D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D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117. Mantenimiento preventivo del Equipo: MICROPIPETA SARTORIUS 0,5 a 10 UL, Ubicación: 129A, Código: 37674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E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E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E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E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118. Mantenimiento preventivo del Equipo: MICROPIPETA SARTORIUS 0,5 a 10 UL, Ubicación: 129A, Código: 37675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E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E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E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E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119. Mantenimiento preventivo del Equipo: MICROPIPETA SARTORIUS 2 a 20 UL, Ubicación: 129A, Código: 37679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E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E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F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F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120. Mantenimiento preventivo del Equipo: MICROPIPETA SARTORIUS 2 a 20 UL, Ubicación: 129A, Código: 37680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F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F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F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F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121. Mantenimiento preventivo del Equipo: MICROPIPETA SARTORIUS 2 a 20 UL, Ubicación: 129A, Código: 37681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F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3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3F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F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3F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122. Mantenimiento preventivo del Equipo: MICROPIPETA SARTORIUS 2 a 20 UL, Ubicación: 129A, Código: 37685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3F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0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0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0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123. Mantenimiento preventivo del Equipo: MICROPIPETA SARTORIUS 2 a 20 UL, Ubicación: 129A, Código: 37686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0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0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0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0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124. Mantenimiento preventivo del Equipo: MICROPIPETA SARTORIUS 2 a 20 UL, Ubicación: 129A, Código: 37688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0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0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0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0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125. Mantenimiento preventivo del Equipo: MICROPIPETA SARTORIUS 10 a 100 UL, Ubicación: 129A, Código: 37698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1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1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1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1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126. Mantenimiento preventivo del Equipo: MICROPIPETA SARTORIUS 10 a 100 UL, Ubicación: 129A, Código: 37699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1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1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1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1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127. Mantenimiento preventivo del Equipo: MICROPIPETA SARTORIUS 10 a 100 UL, Ubicación: 129A, Código: 37700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1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1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2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2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128. Mantenimiento preventivo del Equipo: MICROPIPETA SARTORIUS 10 a 100 UL, Ubicación: 129A, Código: 37701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2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2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2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2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129. Mantenimiento preventivo del Equipo: MICROPIPETA SARTORIUS 10 a 100 UL, Ubicación: 129A, Código: 37702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2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2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2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130. Mantenimiento preventivo del Equipo: MICROPIPETA SARTORIUS 10 a 100 UL, Ubicación: 129A, Código: 37703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2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3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3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131. Mantenimiento preventivo del Equipo: MICROPIPETA SARTORIUS 10 a 100 UL, Ubicación: 129A, Código: 37704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3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3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3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132. Mantenimiento preventivo del Equipo: MICROPIPETA SARTORIUS 10 a 100 UL, Ubicación: 129A, Código: 37705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3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3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3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133. Mantenimiento preventivo del Equipo: MICROPIPETA SARTORIUS 10 a 100 UL, Ubicación: 129A, Código: 37706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4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4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4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134. Mantenimiento preventivo del Equipo: MICROPIPETA SARTORIUS 10 a 100 UL, Ubicación: 129A, Código: 37707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4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4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4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135. Mantenimiento preventivo del Equipo: MICROPIPETA SARTORIUS 10 a 100 UL, Ubicación: 129A, Código: 37708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4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4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5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136. Mantenimiento preventivo del Equipo: MICROPIPETA SARTORIUS 10 a 100 UL, Ubicación: 129A, Código: 37709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5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5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5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5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137. Mantenimiento preventivo del Equipo: MICROPIPETA SARTORIUS 10 a 100 UL, Ubicación: 129A, Código: 37710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5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5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5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5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138. Mantenimiento preventivo del Equipo: MICROPIPETA SARTORIUS 10 a 100 UL, Ubicación: 129A, Código: 37711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5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6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6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6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139. Mantenimiento preventivo del Equipo: MICROPIPETA SARTORIUS 10 a 100 UL, Ubicación: 129A, Código: 37714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6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6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6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6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140. Mantenimiento preventivo del Equipo: MICROPIPETA SARTORIUS 20 a 200 UL, Ubicación: 129A, Código: 37725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6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6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6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141. Mantenimiento preventivo del Equipo: MICROPIPETA SARTORIUS 20 a 200 UL, Ubicación: 129A, Código: 37726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7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7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7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142. Mantenimiento preventivo del Equipo: MICROPIPETA SARTORIUS 20 a 200 UL, Ubicación: 129A, Código: 37727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7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7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7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143. Mantenimiento preventivo del Equipo: MICROPIPETA SARTORIUS 20 a 200 UL, Ubicación: 129A, Código: 37728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7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7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8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144. Mantenimiento preventivo del Equipo: MICROPIPETA SARTORIUS 20 a 200 UL, Ubicación: 129A, Código: 37729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8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8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8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145. Mantenimiento preventivo del Equipo: MICROPIPETA SARTORIUS 20 a 200 UL, Ubicación: 129A, Código: 37730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8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8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8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146. Mantenimiento preventivo del Equipo: MICROPIPETA SARTORIUS 20 a 200 UL, Ubicación: 129A, Código: 37731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8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9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9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147. Mantenimiento preventivo del Equipo: MICROPIPETA SARTORIUS 20 a 200 UL, Ubicación: 129A, Código: 37732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9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9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9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148. Mantenimiento preventivo del Equipo: MICROPIPETA SARTORIUS 20 a 200 UL, Ubicación: 129A, Código: 37733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9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9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9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149. Mantenimiento preventivo del Equipo: MICROPIPETA SARTORIUS 20 a 200 UL, Ubicación: 129A, Código: 37734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A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A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A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150. Mantenimiento preventivo del Equipo: MICROPIPETA SARTORIUS 100 a 1000 UL, Ubicación: 129A, Código: 37742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A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A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A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151. Mantenimiento preventivo del Equipo: MICROPIPETA SARTORIUS 100 a 1000 UL, Ubicación: 129A, Código: 37743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A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A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B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152. Mantenimiento preventivo del Equipo: MICROPIPETA SARTORIUS 100 a 1000 UL, Ubicación: 129A, Código: 37747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B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B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B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153. Mantenimiento preventivo del Equipo: MICROPIPETA SARTORIUS 100 a 1000 UL, Ubicación: 129A, Código: 37751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B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B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B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154. Mantenimiento preventivo del Equipo: MICROPIPETA SARTORIUS 100 a 1000 UL, Ubicación: 129A, Código: 37753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B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C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C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C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155. Mantenimiento preventivo del Equipo: MICROPIPETA SARTORIUS 100 a 1000 UL, Ubicación: 129A, Código: 37755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C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C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C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C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156. Mantenimiento preventivo del Equipo: MICROPIPETA SARTORIUS 100 a 1000 UL, Ubicación: 129A, Código: 37759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C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C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C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C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157. Mantenimiento preventivo del Equipo: MICROPIPETA SARTORIUS 100 a 1000 UL, Ubicación: 129A, Código: 37760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D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D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D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D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158. Mantenimiento preventivo del Equipo: MICROPIPETA SARTORIUS 100 a 1000 UL, Ubicación: 129A, Código: 37761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D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D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D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D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159. Mantenimiento preventivo del Equipo: MICROPIPETA SARTORIUS 100 a 1000 UL, Ubicación: 129A, Código: 37762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D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D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D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E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160. Mantenimiento preventivo del Equipo: MICROPIPETA SARTORIUS 100 a 1000 UL, Ubicación: 129A, Código: 37763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E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E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E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E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161. Mantenimiento preventivo del Equipo: MICROPIPETA SARTORIUS 100 a 1000 UL, Ubicación: 129A, Código: 37764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E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E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E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E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162. Mantenimiento preventivo del Equipo: MICROPIPETA SARTORIUS 100 a 1000 UL, Ubicación: 129A, Código: 37765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E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F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F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F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163. Mantenimiento preventivo del Equipo: MICROPIPETA SARTORIUS 100 a 1000 UL, Ubicación: 129A, Código: 37766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F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F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F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F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164. Mantenimiento preventivo del Equipo: MICROPIPETA SARTORIUS 100 a 1000 UL, Ubicación: 129A, Código: 37767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F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4F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4F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4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4F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165. Mantenimiento preventivo del Equipo: MICROPIPETAS BRAND 100-1000 UL, Ubicación: 129A, Código: 39396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0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0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0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0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166. Mantenimiento preventivo del Equipo: MICROPIPETAS BRAND 100-1000 UL, Ubicación: 129A, Código: 39397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0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0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0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0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167. Mantenimiento preventivo del Equipo: MICROPIPETAS BRAND 100-1000 UL, Ubicación: 129A, Código: 39398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0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0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0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1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168. Mantenimiento preventivo del Equipo: MICROPIPETAS BRAND 100-1000 UL, Ubicación: 129A, Código: 39399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1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1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1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1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169. Mantenimiento preventivo del Equipo: MICROPIPETAS BRAND 100-1000 UL, Ubicación: 129A, Código: 39400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1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1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1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1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170. Mantenimiento preventivo del Equipo: MICROPIPETAS BRAND 100-1000 UL, Ubicación: 129A, Código: 39401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1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2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2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2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171. Mantenimiento preventivo del Equipo: MICROPIPETAS BRAND 10-100 UL, Ubicación: 129A, Código: 39406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2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2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2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2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172. Mantenimiento preventivo del Equipo: MICROPIPETAS BRAND 10-100 UL, Ubicación: 129A, Código: 39407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2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2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2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173. Mantenimiento preventivo del Equipo: MICROPIPETAS BRAND 10-100 UL, Ubicación: 129A, Código: 39408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3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3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3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174. Mantenimiento preventivo del Equipo: MICROSCOPIO OPTIKA 283, Ubicación: 129A, Código: 34083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3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3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3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175. Mantenimiento preventivo del Equipo: MICROSCOPIO OPTIKA 283, Ubicación: 129A, Código: 34084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3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3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4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176. Mantenimiento preventivo del Equipo: MICROSCOPIO OPTIKA 283, Ubicación: 129A, Código: 34085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4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4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4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177. Mantenimiento preventivo del Equipo: MICROSCOPIO OPTIKA 283, Ubicación: 129A, Código: 34086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4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4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4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178. Mantenimiento preventivo del Equipo: MICROSCOPIO OPTIKA 283, Ubicación: 129A, Código: 34087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4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5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5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179. Mantenimiento preventivo del Equipo: MICROSCOPIO OPTIKA 283, Ubicación: 129A, Código: 34088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5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5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5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5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180. Mantenimiento preventivo del Equipo: MICROSCOPIO OPTIKA 283, Ubicación: 129A, Código: 34089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5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5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5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5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181. Mantenimiento preventivo del Equipo: MICROSCOPIO OPTIKA 283, Ubicación: 129A, Código: 34090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6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6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6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6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182. Mantenimiento preventivo del Equipo: MICROSCOPIO OPTIKA 283, Ubicación: 129A, Código: 34091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6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6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6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6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183. Mantenimiento preventivo del Equipo: MICROSCOPIO OPTIKA 283, Ubicación: 129A, Código: 34092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6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6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7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184. Mantenimiento preventivo del Equipo: MICROSCOPIO OPTIKA 283, Ubicación: 129A, Código: 34093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7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7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185. Mantenimiento preventivo del Equipo: MICROSCOPIO OPTIKA 283, Ubicación: 129A, Código: 34094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7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7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186. Mantenimiento preventivo del Equipo: MICROSCOPIO OPTIKA 283, Ubicación: 129A, Código: 34095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7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8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8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187. Mantenimiento preventivo del Equipo: MICROSCOPIO OPTIKA 283, Ubicación: 129A, Código: 34096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8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8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8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188. Mantenimiento preventivo del Equipo: NEVERA HACEB: TAMANO 9 PIES REFRIGERACION Y CONGELACION, Ubicación: 129A, Código: 14575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8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8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8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189. Mantenimiento preventivo del Equipo: REFRIGERADOR SUPERNORDICO, Ubicación: 129A, Código: 40805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9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9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9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190. Mantenimiento preventivo del Equipo: REFRIGERADOR SUPERNORDICO, Ubicación: 129A, Código: 40806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9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9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9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191. Mantenimiento preventivo del Equipo: REFRIGERADOR - CONGELADOR SUPERDORNICO, Ubicación: 129A, Código: 40803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9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9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A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192. Mantenimiento preventivo del Equipo: PHMETRO PORTATIL OHAUS, Ubicación: 129A, Código: 40796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A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158,270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A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158,270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A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193. Mantenimiento preventivo del Equipo: PLANCHA DE CALENTAMIENTO CON AGITACION, Ubicación: 129A, Código: 14494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A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A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A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194. Mantenimiento preventivo del Equipo: PLANCHA DE CALENTAMIENTO CON AGITACION VELP, Ubicación: 129A, Código: 34860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A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B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B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195. Mantenimiento preventivo del Equipo: REFRIGERADOR VERTICAL, Ubicación: 129A, Código: 31585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B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B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B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196. Mantenimiento preventivo del Equipo: REFRIGERADOR VERTICAL RISS NUEVO, Ubicación: 129A, Código: 39588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B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B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B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197. Mantenimiento preventivo del Equipo: VORTEX   Ubicación: 129A, Código: 14352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C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C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C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C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198. Mantenimiento preventivo del Equipo: VORTEX   Ubicación: 129A, Código: 03299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C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C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C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C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199. Mantenimiento preventivo del Equipo: VORTEX   Ubicación: 129A, Código: 31588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C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C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C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D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200. Mantenimiento preventivo del Equipo: VORTEX VELOCIDAD AGITACION 0-2500 RPM, Ubicación: 129A, Código: 15536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D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D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D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D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201. Mantenimiento preventivo del Equipo: MEZCLADOR VORTEX  Ubicación: 129A, Código: 14559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D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D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D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D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202. Mantenimiento preventivo del Equipo: MEZCLADOR VORTEX  Ubicación: 129A, Código: 14561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D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D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E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E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203. Mantenimiento preventivo del Equipo: VORTEX Ubicación: 144A, Código: 02236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E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E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E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E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204. Mantenimiento preventivo del Equipo: AGITADOR MAGNETICO CON CALENTAMIENTO, Ubicación: 144A, Código: 31591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E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E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E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E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205. Mantenimiento preventivo del Equipo: AGITADOR MAGNETICO CON CALENTAMIENTO, Ubicación: 144A, Código: 31597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F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F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F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F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206. Mantenimiento preventivo del Equipo: VORTEX, Ubicación: 144A, Código: 14698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F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F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F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5F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207. Mantenimiento preventivo del Equipo: VORTEX, Ubicación: 144A, Código: 14702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F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5F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5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5F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0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208. Mantenimiento preventivo del Equipo: BALANZA DE PRECISION ELECTRONICA (kern), Ubicación: 144A, Código: 01814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0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0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0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0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209. Mantenimiento preventivo del Equipo: BALANZA DE PRECISION ELECTRONICA (kern), Ubicación: 144A, Código: 01816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0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0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0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0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210. Mantenimiento preventivo del Equipo: BALANZA GRAMERA, CAPACIDAD MAXIMA 2,200 G. LECTURA MINIMA 0.01G. Ubicación: 144A, Código: 31595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0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0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1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1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211. Mantenimiento preventivo del Equipo: BALANZA DE PRECISIÓN PRECISA, Ubicación: 144A, Código: 39574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1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1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1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1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212. Mantenimiento preventivo del Equipo: BALANZA DE PRECISIÓN PRECISA, Ubicación: 144A, Código: 39576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1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1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1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1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213. Mantenimiento preventivo del Equipo: BALANZA DE PRECISION ELECTRONICA (kern), Ubicación: 144A, Código: 03917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2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2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2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226,100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2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214. Mantenimiento preventivo del Equipo: CENTRIFUGA BOECO, Ubicación: 144A, Código: 34837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2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2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2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2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215. Mantenimiento preventivo del Equipo: CENTRIFUGA, Ubicación: 144A, Código: 02306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2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2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3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216. Mantenimiento preventivo del Equipo: CENTRIFUGA PARA MICROHEMATOCRITOS: CENTRIFUGA DE MESA COMPLE, Ubicación: 144A, Código: 14569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3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3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3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217. Mantenimiento preventivo del Equipo:  ESTEREOMICROSCOPIO, Ubicación: 144A, Código: 02173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3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3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3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218. Mantenimiento preventivo del Equipo:  ESTEREOMICROSCOPIO DOCENCIA, Ubicación: 144A, Código: 14653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3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4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4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219. Mantenimiento preventivo del Equipo:  ESTEREOMICROSCOPIO DOCENCIA, Ubicación: 144A, Código: 14654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4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4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4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220. Mantenimiento preventivo del Equipo: ESTEREOSCOPIO, Ubicación: 144A, Código: 02174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4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4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4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221. Mantenimiento preventivo del Equipo:  INCUBADORA BINDER 115 LITROS , Ubicación: 144A, Código: 35330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5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5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5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222. Mantenimiento preventivo del Equipo:  INCUBADORA BINDER 115 LITROS 2 BANDEJAS, Ubicación: 144A, Código: 13195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5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5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5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5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223. Mantenimiento preventivo del Equipo:  INCUBADORA MEMMERT, Ubicación: 144A, Código: 39586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5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5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5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6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224. Mantenimiento preventivo del Equipo: HORNO DE CONVECCION FORZADA 115 LITROS 2 BANDEJAS, Ubicación: 144A, Código: 13196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6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6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6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6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225. Mantenimiento preventivo del Equipo: INCUBADORA MICROPROCESADA DE 53 L APT LINE, Ubicación: 144A, Código: 15558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6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6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6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6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226. Mantenimiento preventivo del Equipo: MICROSCOPIO TRIOCULAR OPTIKA 283,  Ubicación: 144A, Código: 35334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6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7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7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227. Mantenimiento preventivo del Equipo: MICROSCOPIO TRIOCULAR OPTIKA 283,  Ubicación: 144A, Código: 35335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7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7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7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228. Mantenimiento preventivo del Equipo: MICROSCOPIO TRIOCULAR OPTIKA 283,  Ubicación: 144A, Código: 35336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7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7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7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229. Mantenimiento preventivo del Equipo: MICROSCOPIO TRIOCULAR OPTIKA 283,  Ubicación: 144A, Código: 35337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8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8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8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230. Mantenimiento preventivo del Equipo: MICROSCOPIO TRIOCULAR OPTIKA 283,  Ubicación: 144A, Código: 35338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8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8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8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231. Mantenimiento preventivo del Equipo: MICROSCOPIO TRIOCULAR OPTIKA 283,  Ubicación: 144A, Código: 35339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8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8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9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232. Mantenimiento preventivo del Equipo: MICROSCOPIO TRIOCULAR OPTIKA 283,  Ubicación: 144A, Código: 35340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9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9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9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233. Mantenimiento preventivo del Equipo: MICROSCOPIO TRIOCULAR OPTIKA 283,  Ubicación: 144A, Código: 35341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9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9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9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234. Mantenimiento preventivo del Equipo: MICROSCOPIO TRIOCULAR OPTIKA 283,  Ubicación: 144A, Código: 35342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9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A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A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235. Mantenimiento preventivo del Equipo: MICROSCOPIO TRIOCULAR OPTIKA 283,  Ubicación: 144A, Código: 35343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A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A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A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236. Mantenimiento preventivo del Equipo: MICROSCOPIO TRIOCULAR OPTIKA 283,  Ubicación: 144A, Código: 35344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A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A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A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237. Mantenimiento preventivo del Equipo: MICROSCOPIO TRIOCULAR OPTIKA 283,  Ubicación: 144A, Código: 35345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B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B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B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238. Mantenimiento preventivo del Equipo: MICROSCOPIO TRIOCULAR OPTIKA 283,  Ubicación: 144A, Código: 35346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B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B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B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239. Mantenimiento preventivo del Equipo: MICROSCOPIO TRIOCULAR OPTIKA 283,  Ubicación: 144A, Código: 35348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B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B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C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C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240. Mantenimiento preventivo del Equipo: PLANCHA DE CALENTAMIENTO CON AGITACION VELP, Ubicación: 144A, Código: 34862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C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C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C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C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241. Mantenimiento preventivo del Equipo: PLANCHA DE CALENTAMIENTO CON AGITACION HEIDOLPH, Ubicación: 144A, Código: 39581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C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C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C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C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242. Mantenimiento preventivo del Equipo: PLANCHA DE CALENTAMIENTO CON AGITACION HEIDOLPH, Ubicación: 144A, Código: 39580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C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D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D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D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243. Mantenimiento preventivo del Equipo: MICROPIPETA SARTORIUS 10 A 100 UL  Ubicación: 144A, Código: 37652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D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D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D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D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244. Mantenimiento preventivo del Equipo: MICROPIPETA SARTORIUS 10 A 100 UL  Ubicación: 144A, Código: 37692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D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D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D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D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245. Mantenimiento preventivo del Equipo: MICROPIPETA SARTORIUS 10 A 100 UL  Ubicación: 144A, Código: 37693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E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E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E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E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246. Mantenimiento preventivo del Equipo: MICROPIPETA SARTORIUS 10 A 100 UL  Ubicación: 144A, Código: 37695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E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E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E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E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247. Mantenimiento preventivo del Equipo: MICROPIPETA SARTORIUS 10 A 100 UL  Ubicación: 144A, Código: 37720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E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E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F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F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248. Mantenimiento preventivo del Equipo:  MICROPIPETA SARTORIUS 20 A 200 UL, Ubicación: 144A, Código: 37653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F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F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F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F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249. Mantenimiento preventivo del Equipo:  MICROPIPETA SARTORIUS 20 A 200 UL, Ubicación: 144A, Código: 37721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F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6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6F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F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6F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250. Mantenimiento preventivo del Equipo:  MICROPIPETA SARTORIUS 20 A 200 UL, Ubicación: 144A, Código: 37722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6F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0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0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0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251. Mantenimiento preventivo del Equipo:  MICROPIPETA SARTORIUS 20 A 200 UL, Ubicación: 144A, Código: 37723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0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0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0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0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252. Mantenimiento preventivo del Equipo:  MICROPIPETA SARTORIUS 20 A 200 UL, Ubicación: 144A, Código: 37724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0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0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0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0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253. Mantenimiento preventivo del Equipo: MICROPIPETA SARTORIUS 2 A 20 UL, Ubicación: 144A, Código: 37663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1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1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1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1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254. Mantenimiento preventivo del Equipo: MICROPIPETA SARTORIUS 2 A 20 UL, Ubicación: 144A, Código: 37668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1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1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1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1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255. Mantenimiento preventivo del Equipo: MICROPIPETA SARTORIUS 2 A 20 UL, Ubicación: 144A, Código: 37678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1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1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2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2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256. Mantenimiento preventivo del Equipo: MICROPIPETA SARTORIUS 2 A 20 UL, Ubicación: 144A, Código: 37682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2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2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2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2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257. Mantenimiento preventivo del Equipo: MICROPIPETA SARTORIUS 2 A 20 UL, Ubicación: 144A, Código: 37683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2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2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2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258. Mantenimiento preventivo del Equipo: MICROPIPETA SARTORIUS 2 A 20 UL, Ubicación: 144A, Código: 37684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2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3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3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259. Mantenimiento preventivo del Equipo: MICROPIPETA SARTORIUS 2 A 20 UL, Ubicación: 144A, Código: 37691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3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3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3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260. Mantenimiento preventivo del Equipo:  MICROPIPETA SARTORIUS 100 A 1000 UL, Ubicación: 144A, Código: 37741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3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3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3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261. Mantenimiento preventivo del Equipo:  MICROPIPETA SARTORIUS 100 A 1000 UL, Ubicación: 144A, Código: 37744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4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4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4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262. Mantenimiento preventivo del Equipo:  MICROPIPETA SARTORIUS 100 A 1000 UL, Ubicación: 144A, Código: 37746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4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4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4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263. Mantenimiento preventivo del Equipo:  MICROPIPETA SARTORIUS 100 A 1000 UL, Ubicación: 144A, Código: 37749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4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4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5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264. Mantenimiento preventivo del Equipo:  MICROPIPETA SARTORIUS 100 A 1000 UL, Ubicación: 144A, Código: 37752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5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5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5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5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265. Mantenimiento preventivo del Equipo: MICROPIPETAS BRAND 100-1000 UL, Ubicación: 144A, Código: 39402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5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5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5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5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266. Mantenimiento preventivo del Equipo: MICROPIPETAS BRAND 100-1000 UL, Ubicación: 144A, Código: 39403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5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6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6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6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267. Mantenimiento preventivo del Equipo:  MICROPIPETAS BRAND 10-100 UL, Ubicación: 144A, Código: 39409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6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6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6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6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268. Mantenimiento preventivo del Equipo:  MICROPIPETAS BRAND 10-100 UL, Ubicación: 144A, Código: 39410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6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6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6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269. Mantenimiento preventivo del Equipo: PIPETA, Ubicación: 144A, Código: 01194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7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7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7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270. Mantenimiento preventivo del Equipo: PIPETA, Ubicación: 144A, Código: 01797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7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7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7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271. Mantenimiento preventivo del Equipo: PIPETA, Ubicación: 144A, Código: 01798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7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7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8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272. Mantenimiento preventivo del Equipo: PIPETA, Ubicación: 144A, Código: 02159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8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8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8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273. Mantenimiento preventivo del Equipo: PIPETA, Ubicación: 144A, Código: 02160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8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8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8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274. Mantenimiento preventivo del Equipo: PIPETA, Ubicación: 144A, Código: 05487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8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9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9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275. Mantenimiento preventivo del Equipo: PIPETA, Ubicación: 144A, Código: 01226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9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9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9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276. Mantenimiento preventivo del Equipo: PIPETA, Ubicación: 144A, Código: 13092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9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9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9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277. Mantenimiento preventivo del Equipo: PIPETA, Ubicación: 144A, Código: 13093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A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A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A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278. Mantenimiento preventivo del Equipo: PIPETA, Ubicación: 144A, Código: 13783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A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A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A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279. Mantenimiento preventivo del Equipo: PIPETA, Ubicación: 144A, Código: 13786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A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A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B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280. Mantenimiento preventivo del Equipo: PIPETA, Ubicación: 144A, Código: 13789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B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B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B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281. Mantenimiento preventivo del Equipo: PIPETA, Ubicación: 144A, Código: 13791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B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B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B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282. Mantenimiento preventivo del Equipo: PIPETA, Ubicación: 144A, Código: 15636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B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C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C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C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283. Mantenimiento preventivo del Equipo: PIPETA, Ubicación: 144A, Código: 01192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C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C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C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C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284. Mantenimiento preventivo del Equipo: PIPETA, Ubicación: 144A, Código: 01193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C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C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C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C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285. Mantenimiento preventivo del Equipo:  PIPETA, Ubicación: 144A, Código: 01202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D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D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D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D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286. Mantenimiento preventivo del Equipo:  PIPETA, Ubicación: 144A, Código: 01208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D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D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D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D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287. Mantenimiento preventivo del Equipo:  PIPETA, Ubicación: 144A, Código: 01209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D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D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D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E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288. Mantenimiento preventivo del Equipo:  PIPETA, Ubicación: 144A, Código: 01215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E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E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E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E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289. Mantenimiento preventivo del Equipo:  PIPETA, Ubicación: 144A, Código: 01216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E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E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E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E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290. Mantenimiento preventivo del Equipo:  PIPETA, Ubicación: 144A, Código: 01217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E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F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F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F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291. Mantenimiento preventivo del Equipo:  PIPETA, Ubicación: 144A, Código: 01218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F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F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F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F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292. Mantenimiento preventivo del Equipo: TRANSFERPIPETA S VOL VAR 100-1000 UL Ubicación: 144A, Código: 32468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F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7F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7F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7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7F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293. Mantenimiento preventivo del Equipo: TRANSFERPIPETA S VOL VAR 100-1000 UL Ubicación: 144A, Código: 32473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0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0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0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0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294. Mantenimiento preventivo del Equipo: TRANSFERPIPETA S VOL VAR 100-1000 UL Ubicación: 144A, Código: 32475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0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0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0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0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295. Mantenimiento preventivo del Equipo: TRANSFERPIPETA S VOL VAR 100-1000 UL Ubicación: 144A, Código: 32476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0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0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0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1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296. Mantenimiento preventivo del Equipo: TRANSFERPIPETA S VOL VAR 100-1000 UL Ubicación: 144A, Código: 39402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1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1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1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1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297. Mantenimiento preventivo del Equipo: TRANSFERPIPETA S VOL VAR 100-1000 UL Ubicación: 144A, Código: 39403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1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1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1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1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298. Mantenimiento preventivo del Equipo: TRANSFERETTE 0,5-10UL , Ubicación: 144A, Código: 32461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1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2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2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2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299. Mantenimiento preventivo del Equipo:  TRANSFERPIPETA S VOL VAR 100-1000 UL, Ubicación: 144A, Código: 32468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2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2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2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2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300. Mantenimiento preventivo del Equipo:  TRANSFERPIPETA S VOL VAR 100-1000 UL, Ubicación: 144A, Código: 32473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2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2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2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301. Mantenimiento preventivo del Equipo:  TRANSFERPIPETA S VOL VAR 100-1000 UL, Ubicación: 144A, Código: 32475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3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3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3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302. Mantenimiento preventivo del Equipo:  TRANSFERPIPETA S VOL VAR 100-1000 UL, Ubicación: 144A, Código: 32476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3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3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3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303. Mantenimiento preventivo del Equipo:  TRANSFERPIPETA S VOL VAR 100-1000UL, Ubicación: 144A, Código: 39402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3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3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4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304. Mantenimiento preventivo del Equipo:  TRANSFERPIPETA S VOL VAR 100-1000UL, Ubicación: 144A, Código: 39403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4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4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4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305. Mantenimiento preventivo del Equipo: REFRIGERADOR VERTICAL VIDRIO RIZZ,  Ubicación: 144A, Código: 32642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4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4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4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306. Mantenimiento preventivo del Equipo:  REFRIGERADOR VERTICAL VIDRIO RIZZ, Ubicación: 144A, Código: 37421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4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5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5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307. Mantenimiento preventivo del Equipo: REFRIGERADOR VERTICAL VIDRIO RIZZ, Ubicación: 144A, Código: 39589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5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5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5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5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308. Mantenimiento preventivo del Equipo: REFRIGERADOR VERTICAL VIDRIO RIZZ, Ubicación: 144A, Código: 39590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5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5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5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5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309. Mantenimiento preventivo del Equipo: REFRIGERADOR VERTICAL VIDRIO RIZZ, Ubicación: 144A, Código: 39591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6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6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6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6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310. Mantenimiento preventivo del Equipo: REFRIGERADOR VERTICAL VIDRIO RIZZ, Ubicación: 144A, Código: 39592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6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6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6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6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311. Mantenimiento preventivo del Equipo: REFRIGERADOR VERTICAL , Ubicación: 144A, Código: 31584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6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6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7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312. Mantenimiento preventivo del Equipo: UPS ONLINE EQUIPOS HEMATO, Ubicación: 144A, Código: 35071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7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571,200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7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571,200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7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313. Mantenimiento preventivo del Equipo: VORTEX,  Ubicación: 144A, Código: 14573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7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7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7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314. Mantenimiento preventivo del Equipo: AUTOCLAVE TUTTNAUER,  Ubicación: 144B, Código: 34599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7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916,300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8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916,300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8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315. Mantenimiento preventivo del Equipo:  AUTOCLAVE VERTICAL DIGITAL DE 55 LITROS  (JP INGLOBAL), Ubicación: 144B, Código: 31004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8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725,900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8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725,900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8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316. Mantenimiento preventivo del Equipo: CABINA DE SEGURIDAD BIOLOGICA,  Ubicación: 144B, Código: 02251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8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512,295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8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512,295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8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317. Mantenimiento preventivo del Equipo: INCUBADORA MICROPROCESADA DE 53 L APT LINE, Ubicación: 144B, Código: 15557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9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9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9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318. Mantenimiento preventivo del Equipo: INCUBADORA MICROPROCESADOR 115 L, Ubicación: 144B, Código: 13768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9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9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9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319. Mantenimiento preventivo del Equipo: INCUBADORA MEMMERT, Ubicación: 144B, Código: 39587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9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9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A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320. Mantenimiento preventivo del Equipo:  REFRIGERADOR  RISS, Ubicación: 144B, Código: 34838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A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A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A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321. Mantenimiento preventivo del Equipo:  NEVERA INDUCOL 388 L  172X71X65 COLOR PLATA, Ubicación: 144B, Código: 13930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A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309,400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A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309,400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A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322. Mantenimiento preventivo del Equipo:  PIPETA , Ubicación: 144B, Código: 13792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A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B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B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323. Mantenimiento preventivo del Equipo: AGITADOR MAGNETICO CON CALENTAMIENTO ,  Ubicación: BIOTECNOLOGIA, Código: 30873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B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B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B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324. Mantenimiento preventivo del Equipo: AGITADOR ORBITAL 110V,  Ubicación: BIOTECNOLOGIA, Código: 14603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B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B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B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325. Mantenimiento preventivo del Equipo: AGITADOR ORBITAL , Ubicación: BIOTECNOLOGIA, Código: 14560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C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C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C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C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326. Mantenimiento preventivo del Equipo:  AGITADOR ORBITAL 110V(DONACION), Ubicación: BIOTECNOLOGIA, Código: 14562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C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C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C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C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327. Mantenimiento preventivo del Equipo:  AGITADOR ORBITAL 110V(DONACION), Ubicación: BIOTECNOLOGIA, Código: 14598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C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C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C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D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328. Mantenimiento preventivo del Equipo:  AGITADOR ORBITAL 110V(DONACION), Ubicación: BIOTECNOLOGIA, Código: 14599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D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D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D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D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329. Mantenimiento preventivo del Equipo:  AGITADOR ORBITAL 110V(DONACION), Ubicación: BIOTECNOLOGIA, Código: 14600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D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D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D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D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330. Mantenimiento preventivo del Equipo:  AGITADOR ORBITAL 110V(DONACION), Ubicación: BIOTECNOLOGIA, Código: 14597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D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D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E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E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331. Mantenimiento preventivo del Equipo:  AGITADOR ORBITAL 110V(DONACION), Ubicación: BIOTECNOLOGIA, Código: 14602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E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E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E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E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332. Mantenimiento preventivo del Equipo:  AGITADOR ORBITAL 110V(DONACION), Ubicación: BIOTECNOLOGIA, Código: 14604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E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E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E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154,700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E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333. Mantenimiento preventivo del Equipo: AGITADOR ORBITAL CON REFRIGERACION, Ubicación: BIOTECNOLOGIA, Código: 13075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F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F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F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F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334. Mantenimiento preventivo del Equipo: AGITADOR ORBITAL INCUBADO CON CLAMPS,  Ubicación: BIOTECNOLOGIA, Código: 30860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F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F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F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8F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335. Mantenimiento preventivo del Equipo: AGITADOR ORBITAL INCUBADO CON CLAMPS,  Ubicación: BIOTECNOLOGIA, Código: 30863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F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8F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8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8F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0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336. Mantenimiento preventivo del Equipo: AGITADOR ORBITAL INCUBADO CON CLAMPS,  Ubicación: BIOTECNOLOGIA, Código: 30864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0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0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0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0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337. Mantenimiento preventivo del Equipo: AGITADOR ORBITAL REFRIGERADO CON CLAMPS , Ubicación: BIOTECNOLOGIA, Código: 30859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0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0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0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0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338. Mantenimiento preventivo del Equipo: AGITADOR ORBITAL CON REGRIGERADOR - SHAKER, Ubicación: BIOTECNOLOGIA, Código: 41374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0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0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1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1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339. Mantenimiento preventivo del Equipo: AGITADOR ORBITAL Y RECIPROCO, Ubicación: BIOTECNOLOGIA, Código: 15627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1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1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1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1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340. Mantenimiento preventivo del Equipo: BAÑO PROPOSITO DE AGUA 5L , Ubicación: BIOTECNOLOGIA, Código: 31073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1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1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158,270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1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158,270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1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341. Mantenimiento preventivo del Equipo: BAÑO PROPOSITO DE AGUA 5L , Ubicación: BIOTECNOLOGIA, Código: 30994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2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2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158,270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2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158,270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2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342. Mantenimiento preventivo del Equipo: BOMBA DE VACIO RESISTENTE AQUIMICOS 650 MMHG 1/6 HP, Ubicación: BIOTECNOLOGIA, Código: 30991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2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2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148,750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2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148,750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2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343. Mantenimiento preventivo del Equipo: CABINA DE FLUJO LAMINAR VERTICAL TECNOLOGIA DE FILTROS ULPA, Ubicación: BIOTECNOLOGIA, Código: 13199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2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411,740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2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411,740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3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344. Mantenimiento preventivo del Equipo: CENTRIFUGA, Ubicación: BIOTECNOLOGIA, Código: 02255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3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3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3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345. Mantenimiento preventivo del Equipo:  COMPRESOR DE AIRE 2HP, Ubicación: BIOTECNOLOGIA, Código: 23327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3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3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3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346. Mantenimiento preventivo del Equipo:  COMPRESOR DE AIRE AUTOCLAVE, Ubicación: BIOTECNOLOGIA, Código: SIN PLACA</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3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4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4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347. Mantenimiento preventivo del Equipo: REFIGERADOR VERTICAL INDUCOL,  Ubicación: BIOTECNOLOGIA, Código: 13929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4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4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4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348. Mantenimiento preventivo del Equipo: REFRIGERADOR SUPERNORDICO, Ubicación: BIOTECNOLOGIA, Código: 40807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4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4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4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349. Mantenimiento preventivo del Equipo: CONGELADOR ABBA VERTICAL 411LT , Ubicación: BIOTECNOLOGIA, Código: 30915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5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5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5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350. Mantenimiento preventivo del Equipo:  ESTEREO MICROSCOPIO TRINOCULAR , Ubicación: BIOTECNOLOGIA, Código: 30916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5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5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5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5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351. Mantenimiento preventivo del Equipo:  ESTEREO MICROSCOPIO TRINOCULAR , Ubicación: BIOTECNOLOGIA, Código: 30917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5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5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5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404,600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6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352. Mantenimiento preventivo del Equipo: ESTUFA UNIVERSAL DE 110L CIRCULACION NATURAL, Ubicación: BIOTECNOLOGIA, Código: 30932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6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6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6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6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353. Mantenimiento preventivo del Equipo: ESTUFA UNIVERSAL DE 110L CIRCULACION NATURAL, Ubicación: BIOTECNOLOGIA, Código: 30933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6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6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6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6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354. Mantenimiento preventivo del Equipo: FOTODOCUMENTADOR Y TRANSILUMINADOR ,  Ubicación: BIOTECNOLOGIA, Código: 31163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6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2,142,000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7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2,142,000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7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355. Mantenimiento preventivo del Equipo:  FUENTE DE PODER DE 300 Y 90 W , Ubicación: BIOTECNOLOGIA, Código: 31161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7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357,000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7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357,000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7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356. Mantenimiento preventivo del Equipo: HOMOGENIZADOR ULTRASONICO 115V,  Ubicación: BIOTECNOLOGIA, Código: 31078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7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7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184,450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7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357. Mantenimiento preventivo del Equipo: HORNO DE CONVECCION FORZADA 115 LITROS 2 BANDEJAS, Ubicación: BIOTECNOLOGIA, Código: 13197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8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8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8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358. Mantenimiento preventivo del Equipo: INCUBADORA BINDER 115 LITROS (NUEVA),  Ubicación: BIOTECNOLOGIA, Código: 35329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8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8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8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359. Mantenimiento preventivo del Equipo:  INCUBADORA DIGITAL DE CONVECCION FORZADA 22L, Ubicación: BIOTECNOLOGIA, Código: 31077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8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8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9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360. Mantenimiento preventivo del Equipo:  INCUBADORA DIGITAL MICROPROCESADA, Ubicación: BIOTECNOLOGIA, Código: 31593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9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9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9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361. Mantenimiento preventivo del Equipo:  INCUBADORA MICROPROCESADA PARA CULTIVOS 240 L, Ubicación: BIOTECNOLOGIA, Código: 10851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9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9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9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362. Mantenimiento preventivo del Equipo: MICROPIPETA BIOPETTE DONACIÓN, Ubicación: BIOTECNOLOGIA, Código: 36521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9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A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A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363. Mantenimiento preventivo del Equipo: MICROPIPETA BIOPETTE DONACIÓN, Ubicación: BIOTECNOLOGIA, Código: 36522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A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A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A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364. Mantenimiento preventivo del Equipo: MICROPIPETA BIOPETTE DONACIÓN, Ubicación: BIOTECNOLOGIA, Código: 36523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A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A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A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365. Mantenimiento preventivo del Equipo: MICROPIPETA BIOPETTE DONACIÓN, Ubicación: BIOTECNOLOGIA, Código: 36524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B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B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B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366. Mantenimiento preventivo del Equipo: MICROPIPETA BIOPETTE DONACIÓN, Ubicación: BIOTECNOLOGIA, Código: 36525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B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B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B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367. Mantenimiento preventivo del Equipo: MICROPIPETA BIOPETTE DONACIÓN, Ubicación: BIOTECNOLOGIA, Código: 36526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B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B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C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C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368. Mantenimiento preventivo del Equipo: MICROPIPETA BIOPETTE DONACIÓN, Ubicación: BIOTECNOLOGIA, Código: 36527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C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C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C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C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369. Mantenimiento preventivo del Equipo: MICROPIPETA BIOPETTE DONACIÓN, Ubicación: BIOTECNOLOGIA, Código: 36528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C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C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C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C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370. Mantenimiento preventivo del Equipo: MICROPIPETA SARTORIUS 0.5 A 10 UL, Ubicación: BIOTECNOLOGIA, Código: 37650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C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D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D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D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371. Mantenimiento preventivo del Equipo: MICROPIPETA SARTORIUS 0.5 A 10 UL,  Ubicación: BIOTECNOLOGIA, Código: 37655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D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D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D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D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372. Mantenimiento preventivo del Equipo: MICROPIPETA SARTORIUS 0.5 A 10 UL,  Ubicación: BIOTECNOLOGIA, Código: 37656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D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D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D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D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373. Mantenimiento preventivo del Equipo: MICROPIPETA SARTORIUS 0.5 A 10 UL,  Ubicación: BIOTECNOLOGIA, Código: 37657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E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E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E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E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374. Mantenimiento preventivo del Equipo: MICROPIPETA SARTORIUS 0.5 A 10 UL,  Ubicación: BIOTECNOLOGIA, Código: 37658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E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E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E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E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375. Mantenimiento preventivo del Equipo: MICROPIPETA SARTORIUS 2 A 20 UL, Ubicación: BIOTECNOLOGIA, Código: 37665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E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E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F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F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376. Mantenimiento preventivo del Equipo: MICROPIPETA SARTORIUS 2 A 20 UL, Ubicación: BIOTECNOLOGIA, Código: 37666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F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F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F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F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377. Mantenimiento preventivo del Equipo: MICROPIPETA SARTORIUS 2 A 20 UL, Ubicación: BIOTECNOLOGIA, Código: 37667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F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9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9F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F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9F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378. Mantenimiento preventivo del Equipo:  MICROPIPETA SARTORIUS 2 A 20 UL, Ubicación: BIOTECNOLOGIA, Código: 37676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9F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0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0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0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379. Mantenimiento preventivo del Equipo:  MICROPIPETA SARTORIUS 2 A 20 UL, Ubicación: BIOTECNOLOGIA, Código: 37677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0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0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0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0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380. Mantenimiento preventivo del Equipo: MICROPIPETA SARTORIUS 2 A 20 UL,  Ubicación: BIOTECNOLOGIA, Código: 37687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0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0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0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0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381. Mantenimiento preventivo del Equipo: MICROPIPETA SARTORIUS 2 A 20 UL, Ubicación: BIOTECNOLOGIA, Código: 37689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1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1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1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1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382. Mantenimiento preventivo del Equipo: MICROPIPETA SARTORIUS 2 A 20 UL, Ubicación: BIOTECNOLOGIA, Código: 37690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1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1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1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1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383. Mantenimiento preventivo del Equipo:  MICROPIPETA SARTORIUS 10 A 100 UL, Ubicación: BIOTECNOLOGIA, Código: 37712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1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1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2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2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384. Mantenimiento preventivo del Equipo:  MICROPIPETA SARTORIUS 10 A 100 UL, Ubicación: BIOTECNOLOGIA, Código: 37713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2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2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2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2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385. Mantenimiento preventivo del Equipo: MICROPIPETA SARTORIUS 10 A 100 UL, Ubicación: BIOTECNOLOGIA, Código: 37715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2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2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2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386. Mantenimiento preventivo del Equipo: MICROPIPETA SARTORIUS 10 A 100 UL, Ubicación: BIOTECNOLOGÍA, Código: 37716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2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3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3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387. Mantenimiento preventivo del Equipo: MICROPIPETA SARTORIUS 10 A 100 UL, Ubicación: BIOTECNOLOGIA, Código: 37717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3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3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3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388. Mantenimiento preventivo del Equipo: MICROPIPETA SARTORIUS 10 A 100 UL, Ubicación: BIOTECNOLOGIA, Código: 37718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3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3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3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389. Mantenimiento preventivo del Equipo: MICROPIPETA SARTORIUS 10 A 100 UL, Ubicación: BIOTECNOLOGIA, Código: 37719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4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4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4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390. Mantenimiento preventivo del Equipo: MICROPIPETA SARTORIUS 20 A 200 UL, Ubicación: BIOTECNOLOGIA, Código: 37735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4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4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4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391. Mantenimiento preventivo del Equipo: MICROPIPETA SARTORIUS 20 A 200 UL, Ubicación: BIOTECNOLOGIA, Código: 37736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4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4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5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392. Mantenimiento preventivo del Equipo: MICROPIPETA SARTORIUS 20 A 200 UL, Ubicación: BIOTECNOLOGIA, Código: 37737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5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5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5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5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393. Mantenimiento preventivo del Equipo: MICROPIPETA SARTORIUS 20 A 200 UL, Ubicación: BIOTECNOLOGIA, Código: 37738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5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5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5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5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394. Mantenimiento preventivo del Equipo: MICROPIPETA SARTORIUS 20 A 200 UL, Ubicación: BIOTECNOLOGIA, Código: 37739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5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6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6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6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395. Mantenimiento preventivo del Equipo: MICROPIPETA SARTORIUS 100 A 1000 UL, Ubicación: BIOTECNOLOGIA, Código: 37654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6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6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6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6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396. Mantenimiento preventivo del Equipo: MICROPIPETA SARTORIUS 100 A 1000 UL, Ubicación: BIOTECNOLOGIA, Código: 37740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6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6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6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397. Mantenimiento preventivo del Equipo: MICROPIPETA SARTORIUS 100 A 1000 UL, Ubicación: BIOTECNOLOGIA, Código: 37745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7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7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7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398. Mantenimiento preventivo del Equipo: MICROPIPETA SARTORIUS 100 A 1000 UL, Ubicación: BIOTECNOLOGIA, Código: 37748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7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7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7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399. Mantenimiento preventivo del Equipo:  MICROPIPETA SARTORIUS 100 A 1000 UL, Ubicación: BIOTECNOLOGIA, Código: 37750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7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7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8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400. Mantenimiento preventivo del Equipo:  MICROPIPETA SARTORIUS 100 A 1000 UL, Ubicación: BIOTECNOLOGIA, Código: 37754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8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8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8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401. Mantenimiento preventivo del Equipo:  MICROPIPETA SARTORIUS 100 A 1000 UL, Ubicación: BIOTECNOLOGIA, Código: 37757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8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8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8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402. Mantenimiento preventivo del Equipo:  MICROPIPETAS BRAND 100-1000 UL, Ubicación: BIOTECNOLOGIA, Código: 39404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8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9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9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403. Mantenimiento preventivo del Equipo:  MICROPIPETAS BRAND 100-1000 UL, Ubicación: BIOTECNOLOGIA, Código: 39405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9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9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9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404. Mantenimiento preventivo del Equipo: MICROPIPETAS BRAND 10-100 UL, Ubicación: BIOTECNOLOGIA, Código: 39411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9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9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9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405. Mantenimiento preventivo del Equipo: MICROPIPETAS BRAND 10-100 UL, Ubicación: BIOTECNOLOGIA, Código: 39412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A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A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A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406. Mantenimiento preventivo del Equipo: PIPETA NICHYRO (Profesora), Ubicación: BIOTECNOLOGIA, Código: 13617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A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A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A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407. Mantenimiento preventivo del Equipo: PIPETA NICHYRO (Profesora), Ubicación: BIOTECNOLOGIA, Código: 13619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A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A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B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408. Mantenimiento preventivo del Equipo: PIPETA NICHYRO (Profesora), Ubicación: BIOTECNOLOGIA, Código: 13614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B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B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B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409. Mantenimiento preventivo del Equipo: PIPETA NICHYRO (Profesora), Ubicación: BIOTECNOLOGIA, Código: 20051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B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B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B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410. Mantenimiento preventivo del Equipo: PIPETA NICHYRO (Profesora), Ubicación: BIOTECNOLOGIA, Código: 20052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B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C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C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C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411. Mantenimiento preventivo del Equipo: PIPETA NICHYRO (Profesora), Ubicación: BIOTECNOLOGIA, Código: 20053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C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C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C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C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412. Mantenimiento preventivo del Equipo: PIPETA NICHYRO (Profesora), Ubicación: BIOTECNOLOGIA, Código: 20054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C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C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C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C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413. Mantenimiento preventivo del Equipo: PIPETA NICHYRO (Profesora), Ubicación: BIOTECNOLOGIA, Código: 20055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D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D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D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D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414. Mantenimiento preventivo del Equipo: PIPETA NICHYRO (Profesora), Ubicación: BIOTECNOLOGIA, Código: 20048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D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D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D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D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415. Mantenimiento preventivo del Equipo: PIPETA NICHYRO, Ubicación: BIOTECNOLOGIA, Código: 20050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D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D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D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E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416. Mantenimiento preventivo del Equipo: PIPETA NICHYRO, Ubicación: BIOTECNOLOGIA, Código: 13613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E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E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E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E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417. Mantenimiento preventivo del Equipo: PIPETA NICHYRO, Ubicación: BIOTECNOLOGIA, Código: 13616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E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E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E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E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418. Mantenimiento preventivo del Equipo: PIPETA NICHYRO, Ubicación: BIOTECNOLOGIA, Código: 15506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E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F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F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F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419. Mantenimiento preventivo del Equipo: PIPETA NICHYRO, Ubicación: BIOTECNOLOGIA, Código: 15585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F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F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F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F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420. Mantenimiento preventivo del Equipo: PIPETA NICHYRO, Ubicación: BIOTECNOLOGIA, Código: 15584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F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AF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AF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A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AF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421. Mantenimiento preventivo del Equipo: PIPETA, Ubicación: BIOTECNOLOGIA, Código: 03292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0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0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0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0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422. Mantenimiento preventivo del Equipo: MICROPIPETA 0.1-2.5,  Ubicación: BIOTECNOLOGIA, Código: 30878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0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0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0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0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423. Mantenimiento preventivo del Equipo: MICROPIPETA 0.1-2.5,  Ubicación: BIOTECNOLOGIA, Código: 30879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0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0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0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1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424. Mantenimiento preventivo del Equipo: MICROPIPETA 0.1-2.5,  Ubicación: BIOTECNOLOGIA, Código: 30880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1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1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1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1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425. Mantenimiento preventivo del Equipo: MICROPIPETA 0.1-2.5,  Ubicación: BIOTECNOLOGIA, Código: 30881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1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1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1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1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426. Mantenimiento preventivo del Equipo: MICROPIPETA 0.5-10,  Ubicación: BIOTECNOLOGIA, Código: 30884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1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2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2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2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427. Mantenimiento preventivo del Equipo: MICROPIPETA 0.5-10,  Ubicación: BIOTECNOLOGIA, Código: 30885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2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2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2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2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428. Mantenimiento preventivo del Equipo: MICROPIPETA 0.5-10,  Ubicación: BIOTECNOLOGIA, Código: 30886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2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2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2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429. Mantenimiento preventivo del Equipo:  MICROPIPETA 10-100, Ubicación: BIOTECNOLOGIA, Código: 30892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3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3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3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430. Mantenimiento preventivo del Equipo:  MICROPIPETA 10-100, Ubicación: BIOTECNOLOGIA, Código: 30893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3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3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3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431. Mantenimiento preventivo del Equipo:  MICROPIPETA 10-100, Ubicación: BIOTECNOLOGIA, Código: 30894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3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3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4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432. Mantenimiento preventivo del Equipo:  MICROPIPETA 10-100, Ubicación: BIOTECNOLOGIA, Código: 30895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4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4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4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433. Mantenimiento preventivo del Equipo:  MICROPIPETA 10-100, Ubicación: BIOTECNOLOGIA, Código: 30896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4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4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4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434. Mantenimiento preventivo del Equipo: MICROPIPETA 100-1000,  Ubicación: BIOTECNOLOGIA, Código: 30891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4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5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5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435. Mantenimiento preventivo del Equipo: MICROPIPETA 2-20, Ubicación: BIOTECNOLOGIA, Código: 30902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5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5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5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5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436. Mantenimiento preventivo del Equipo: MICROPIPETA 2-20, Ubicación: BIOTECNOLOGIA, Código: 30903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5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5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5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5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437. Mantenimiento preventivo del Equipo: MICROPIPETA 2-20, Ubicación: BIOTECNOLOGIA, Código: 30904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6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6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6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6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438. Mantenimiento preventivo del Equipo: MICROPIPETA 2-20, Ubicación: BIOTECNOLOGIA, Código: 30905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6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6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6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6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439. Mantenimiento preventivo del Equipo: MICROPIPETA 2-20, Ubicación: BIOTECNOLOGIA, Código: 30906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6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6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7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440. Mantenimiento preventivo del Equipo: MICROPIPETA 20-200,  Ubicación: BIOTECNOLOGIA, Código: 30900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7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7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7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441. Mantenimiento preventivo del Equipo: MICROSCOPIO INVERTIDO TRINOCULAR, Ubicación: BIOTECNOLOGIA, Código: 30918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7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7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476,000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7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442. Mantenimiento preventivo del Equipo: SISTEMA DE MICROFOTOGRAFIA, Ubicación: BIOTECNOLOGIA, Código: 04050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7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737,800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8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737,800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8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443. Mantenimiento preventivo del Equipo:  MINICAMARA DE ELECTROFORESIS VERTICAL , Ubicación: BIOTECNOLOGIA, Código: 30969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8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142,800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8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142,800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8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444. Mantenimiento preventivo del Equipo:  PHMETRO DE MESA + CE, Ubicación: BIOTECNOLOGIA, Código: 30998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8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1,785,000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8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1,785,000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8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445. Mantenimiento preventivo del Equipo: PLANCHA DE CALENTAMIENTO CON AGITACION VELP, Ubicación: BIOTECNOLOGIA, Código: 34861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9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9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9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446. Mantenimiento preventivo del Equipo: PLANCHA DE CALENTAMIENTO CON AGITACION VELP, Ubicación: BIOTECNOLOGIA, Código: 34863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9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9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9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447. Mantenimiento preventivo del Equipo: PLANCHA DE CALENTAMIENTO CON AGITACION HEIDOLPH, Ubicación: BIOTECNOLOGIA, Código: 39578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9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9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A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448. Mantenimiento preventivo del Equipo: PLANCHA DE CALENTAMIENTO CON AGITACION HEIDOLPH, Ubicación: BIOTECNOLOGIA, Código: 39579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A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A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A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449. Mantenimiento preventivo del Equipo: NEVERA CONVENCIONAL 219LT , Ubicación: BIOTECNOLOGIA, Código: 30914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A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142,800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A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142,800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A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450. Mantenimiento preventivo del Equipo: SHAKER,  Ubicación: BIOTECNOLOGIA, Código: 14595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A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152,320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B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152,320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B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451. Mantenimiento preventivo del Equipo: CAMARA DE ELECTROFORESIS MINI 10X 10CM ,  Ubicación: BIOTECNOLOGIA, Código: 31162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B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142,800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B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142,800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B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452. Mantenimiento preventivo del Equipo: MULTIPARÁMETRO HANNA - HI9814,  Ubicación: BIOTECNOLOGIA, Código: 40794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B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1,904,000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B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1,904,000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B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453. Mantenimiento preventivo del Equipo: MULTIPARÁMETRO HANNA - HI98494,  Ubicación: BIOTECNOLOGIA, Código: 41383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C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C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368,900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C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368,900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96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C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454. Mantenimiento preventivo del Equipo: MULTIPARAMETRO SESION+MM374 CON ACCESORIOS, ELECTRODO 5014 Y 5070  Ubicación: BIOTECNOLOGIA, Código: 30997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C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C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2,737,000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C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2,737,000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C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455. Mantenimiento preventivo del Equipo: TRANSILUMINADOR UV 2000 BIORAD, Ubicación: BIOTECNOLOGIA, Código: 02233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C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C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238,000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C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238,000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D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456. Mantenimiento preventivo del Equipo: VORTEX, Ubicación: BIOTECNOLOGIA, Código: 31589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D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D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D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D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457. Mantenimiento preventivo del Equipo: VORTEX, Ubicación: BIOTECNOLOGIA, Código: 14563 (2237)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D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D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D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D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458. Mantenimiento preventivo del Equipo: VORTEX LECTURA DIGITAL, Ubicación: BIOTECNOLOGIA, Código: 31075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D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D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E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E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459. Mantenimiento preventivo del Equipo: VORTEX CON CABEZAL PARA TUBO EPPENDORF, Ubicación: INVES-COVID, Código: 41392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E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E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E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E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460. Mantenimiento preventivo del Equipo:  VORTEX HEIDOLPH, Ubicación: INVES-COVID, Código: 03350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E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E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E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E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461. Mantenimiento preventivo del Equipo: BOMBA DE VACIO PARA FILTRACION, Ubicación: INVES-COVID, Código: 13766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F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F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147,560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F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147,560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F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462. Mantenimiento preventivo del Equipo: BANO MARIA CON AGITACION RECIPROCA,  Ubicación: INVES-COVID, Código: 03352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F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F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158,270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F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158,270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BF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463. Mantenimiento preventivo del Equipo: CABINA DE PCR, Ubicación: INVES-COVID, Código: 13198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F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BF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B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411,740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BF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411,740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0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464. Mantenimiento preventivo del Equipo: UPS DEL KING FISHER,  Ubicación: INVES-COVID, Código: NO TIENE PLACA</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0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0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571,200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0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571,200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0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465. Mantenimiento preventivo del Equipo:  UPS HPLC ON LINE, Ubicación: INVES-COVID, Código: NO TIENE PLACA</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0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0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571,200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0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571,200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0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466. Mantenimiento preventivo del Equipo: MINICAMARA DE ELECTROFORESIS VERTICAL GEL 2, Ubicación: INVES-COVID, Código: 02287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0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0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142,800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1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142,800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1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467. Mantenimiento preventivo del Equipo: MINICENTRIFUGA OHAUS, Ubicación: INVES-COVID, Código: 36751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1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1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1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1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468. Mantenimiento preventivo del Equipo: MINICENTRIFUGA OHAUS, Ubicación: INVES-COVID, Código: 36752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1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1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1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1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469. Mantenimiento preventivo del Equipo: PH METRO DE CAMPO, Ubicación: INVES-COVID, Código: 26260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2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2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158,270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2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158,270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2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470. Mantenimiento preventivo del Equipo: UPS DE RT PCR BIORAD, Ubicación: INVES-COVID, Código: NO TIENE PLACA</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2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2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571,200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2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571,200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2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471. Mantenimiento preventivo del Equipo: REFRIGERADOR-CONGELADOR SUPERNORDICO,  Ubicación: INVES-COVID, Código: 36747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2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2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3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472. Mantenimiento preventivo del Equipo: VORTEX MIXER,  Ubicación: INVES-COVID, Código: 14704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3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3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108,290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3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473. Mantenimiento preventivo del Equipo:  MICROPIPETA NUEVA BRAND, Ubicación: INVES-COVID, Código: 38647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3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3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3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474. Mantenimiento preventivo del Equipo: MICROPIPETA NUEVA BRAND, Ubicación: INVES-COVID, Código: 38651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3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4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4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475. Mantenimiento preventivo del Equipo: MICROPIPETA NUEVA BRAND, Ubicación: INVES-COVID, Código: 38658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4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4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4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476. Mantenimiento preventivo del Equipo: MICROPIPETA NUEVA BRAND, Ubicación: INVES-COVID, Código: 38653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4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4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4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477. Mantenimiento preventivo del Equipo: MICROPIPETA NUEVA BRAND, Ubicación: INVES-COVID, Código: 38652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5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5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5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478. Mantenimiento preventivo del Equipo: MICROPIPETA NUEVA BRAND, Ubicación: INVES-COVID, Código: 38650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5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5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5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5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479. Mantenimiento preventivo del Equipo: MICROPIPETA NUEVA BRAND, Ubicación: INVES-COVID, Código: 38660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5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5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5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6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480. Mantenimiento preventivo del Equipo: MICROPIPETA NUEVA BRAND, Ubicación: INVES-COVID, Código: 38646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6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6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6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6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481. Mantenimiento preventivo del Equipo: MICROPIPETA NUEVA BRAND, Ubicación: INVES-COVID, Código: 38656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6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6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6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6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482. Mantenimiento preventivo del Equipo: MICROPIPETA NUEVA BRAND, Ubicación: INVES-COVID, Código: 38655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6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7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7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483. Mantenimiento preventivo del Equipo: MICROPIPETA NUEVA BRAND, Ubicación: INVES-COVID, Código: 38657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7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7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7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484. Mantenimiento preventivo del Equipo: MICROPIPETA NUEVA BRAND, Ubicación: INVES-COVID, Código: 38659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7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7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7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485. Mantenimiento preventivo del Equipo: MICROPIPETA NUEVA BRAND, Ubicación: INVES-COVID, Código: 38649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8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8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8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486. Mantenimiento preventivo del Equipo: MICROPIPETA NUEVA BRAND, Ubicación: INVES-COVID, Código: 38654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8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8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8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487. Mantenimiento preventivo del Equipo:  MULTICANAL BRAND, Ubicación: INVES-COVID, Código: 38661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8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8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9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488. Mantenimiento preventivo del Equipo:  MULTICANAL BRAND, Ubicación: INVES-COVID, Código: 38662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9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9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9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489. Mantenimiento preventivo del Equipo:  MULTICANAL BRAND, Ubicación: INVES-COVID, Código: 38648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9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9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9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490. Mantenimiento preventivo del Equipo:  MULTICANAL BRAND, Ubicación: INVES-COVID, Código: 38663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9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A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135,660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A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491. Mantenimiento preventivo del Equipo:  MICROPIPETA 20-200, Ubicación: INVES-COVID, Código: 30899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A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A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A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492. Mantenimiento preventivo del Equipo:  MICROPIPETA 2- 20, Ubicación: INVES-COVID, Código: 32464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A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A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A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493. Mantenimiento preventivo del Equipo:  MICROPIPETA 20- 200, Ubicación: INVES-COVID, Código: 32465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B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B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B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494. Mantenimiento preventivo del Equipo: MICROPIPETA 2- 20, Ubicación: INVES-COVID, Código: 32477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B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B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B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495. Mantenimiento preventivo del Equipo: TRANSFERETTE 0,5-10UL, Ubicación: INVES-COVID, Código: 32403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B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B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C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C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496. Mantenimiento preventivo del Equipo: MICROPIPETA 100-1000, Ubicación: INVES-COVID, Código: 30887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C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C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C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C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497. Mantenimiento preventivo del Equipo: MICROPIPETA 20-200, Ubicación: INVES-COVID, Código: 30898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C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C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C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C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498. Mantenimiento preventivo del Equipo:  MICROPIPETA 2- 20, Ubicación: INVES-COVID, Código: 32467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C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D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D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D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499. Mantenimiento preventivo del Equipo: MICROPIPETA 0,5-10UL,  Ubicación: INVES-COVID, Código: 32404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D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D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D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D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500. Mantenimiento preventivo del Equipo: MICROPIPETA 20- 200, Ubicación: INVES-COVID, Código: 32471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D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D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D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D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501. Mantenimiento preventivo del Equipo: MICROPIPETA 2- 20,  Ubicación: INVES-COVID, Código: 32474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E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E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E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E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502. Mantenimiento preventivo del Equipo: MICROPIPETA 0.5-10, Ubicación: INVES-COVID, Código: 30882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E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E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E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E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503. Mantenimiento preventivo del Equipo: MICROPIPETA 0.5-10, Ubicación: INVES-COVID, Código: 30883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E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E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F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F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504. Mantenimiento preventivo del Equipo: TERMOHIGROMETRO, Ubicación: INVES-COVID, Código: 32184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F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35,700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F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35,700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F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F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505. Mantenimiento preventivo del Equipo: TERMOHIGROMETRO, Ubicación: INVES-COVID, Código: #2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F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C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35,700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CF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35,700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F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CF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506. Mantenimiento preventivo del Equipo: TERMOHIGROMETRO, Ubicación: INVES-COVID, Código: 30056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CF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35,700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0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35,700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0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0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507. Mantenimiento preventivo del Equipo: TERMOHIGROMETRO, Ubicación: INVES-COVID, Código: 30057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0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35,700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0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35,700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0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0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508. Mantenimiento preventivo del Equipo:  CONGELADOR RISS ACOPIO, Ubicación: ACOPIO, Código: 34839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0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571,200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0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571,200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0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0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509. Mantenimiento preventivo del Equipo: CABINA DE FLUJO LAMINAR STREAMLINE,  Ubicación: INVERNADERO, Código: 13633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1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411,740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1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411,740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1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1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510. Mantenimiento preventivo del Equipo: REFRIGERADOR SUPERNORDICO,  Ubicación: INVERNADERO, Código: 40800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1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1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297,500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1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1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511. Mantenimiento preventivo del Equipo: REFRIGERADOR VERTICAL RISS, Ubicación: CEPARIO Código: 39394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1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1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452,200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2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2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512. Mantenimiento preventivo del Equipo: INCUBADORA BINDER, Ubicación: CEPARIO Código: 40801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2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2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249,900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2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2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513. Mantenimiento preventivo del Equipo: MICROPIPETAS BRAND 100-1000 UL, Ubicación: CEPARIO Código: 39413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2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2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2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2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514. Mantenimiento preventivo del Equipo: MICROPIPETAS BRAND 100-1000 UL, Ubicación: CEPARIO Código: 39414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2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3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3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3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515. Mantenimiento preventivo del Equipo: MICROPIPETAS BRAND 100-1000 UL, Ubicación: CEPARIO Código: 39415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3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3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3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3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516. Mantenimiento preventivo del Equipo: MICROPIPETAS BRAND 100-1000 UL, Ubicación: CEPARIO Código: 39416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3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3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3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3F">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517. Mantenimiento preventivo del Equipo: MICROPIPETAS BRAND 100-1000 UL, Ubicación: CEPARIO Código: 39417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4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4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4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45">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518. Mantenimiento preventivo del Equipo: MICROPIPETAS BRAND 20-200 UL, Ubicación: CEPARIO Código: 39418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4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4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4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4B">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519. Mantenimiento preventivo del Equipo:MICROPIPETAS BRAND 10-100 UL, Ubicación: CEPARIO Código: 39419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4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shd w:fill="ffffff" w:val="clear"/>
            <w:tcMar>
              <w:top w:w="0.0" w:type="dxa"/>
              <w:left w:w="80.0" w:type="dxa"/>
              <w:bottom w:w="0.0" w:type="dxa"/>
              <w:right w:w="80.0" w:type="dxa"/>
            </w:tcMar>
            <w:vAlign w:val="bottom"/>
          </w:tcPr>
          <w:p w:rsidR="00000000" w:rsidDel="00000000" w:rsidP="00000000" w:rsidRDefault="00000000" w:rsidRPr="00000000" w14:paraId="00000D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4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107,100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5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285"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51">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SUBTOTAL</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52">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53">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519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54">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55">
            <w:pPr>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 $       99,109,745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56">
            <w:pPr>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 </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57">
            <w:pPr>
              <w:jc w:val="both"/>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BOLSA PARA SERVICIOS DE MANTENIMIENTO CORRECTIVO</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58">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59">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5A">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5B">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 $   </w:t>
              <w:tab/>
              <w:t xml:space="preserve">19,821,949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5C">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5D">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TOTAL</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5E">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5F">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520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D60">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61">
            <w:pPr>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 $     118,931,694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62">
            <w:pPr>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 </w:t>
            </w:r>
          </w:p>
        </w:tc>
      </w:tr>
    </w:tbl>
    <w:p w:rsidR="00000000" w:rsidDel="00000000" w:rsidP="00000000" w:rsidRDefault="00000000" w:rsidRPr="00000000" w14:paraId="00000D63">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p w:rsidR="00000000" w:rsidDel="00000000" w:rsidP="00000000" w:rsidRDefault="00000000" w:rsidRPr="00000000" w14:paraId="00000D64">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LOTE DOS: LABORATORIO LACMA:</w:t>
      </w:r>
    </w:p>
    <w:p w:rsidR="00000000" w:rsidDel="00000000" w:rsidP="00000000" w:rsidRDefault="00000000" w:rsidRPr="00000000" w14:paraId="00000D65">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tbl>
      <w:tblPr>
        <w:tblStyle w:val="Table4"/>
        <w:tblW w:w="978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18"/>
        <w:gridCol w:w="965"/>
        <w:gridCol w:w="936"/>
        <w:gridCol w:w="1253"/>
        <w:gridCol w:w="1296"/>
        <w:gridCol w:w="1512"/>
        <w:tblGridChange w:id="0">
          <w:tblGrid>
            <w:gridCol w:w="3818"/>
            <w:gridCol w:w="965"/>
            <w:gridCol w:w="936"/>
            <w:gridCol w:w="1253"/>
            <w:gridCol w:w="1296"/>
            <w:gridCol w:w="1512"/>
          </w:tblGrid>
        </w:tblGridChange>
      </w:tblGrid>
      <w:tr>
        <w:trPr>
          <w:cantSplit w:val="0"/>
          <w:trHeight w:val="795" w:hRule="atLeast"/>
          <w:tblHeader w:val="0"/>
        </w:trPr>
        <w:tc>
          <w:tcPr>
            <w:tcBorders>
              <w:top w:color="000000" w:space="0" w:sz="6" w:val="single"/>
              <w:left w:color="000000" w:space="0" w:sz="6" w:val="single"/>
              <w:bottom w:color="000000" w:space="0" w:sz="0" w:val="nil"/>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66">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DESCRIPCIÓN</w:t>
            </w:r>
          </w:p>
        </w:tc>
        <w:tc>
          <w:tcPr>
            <w:tcBorders>
              <w:top w:color="000000" w:space="0" w:sz="6" w:val="single"/>
              <w:left w:color="000000" w:space="0" w:sz="0" w:val="nil"/>
              <w:bottom w:color="000000" w:space="0" w:sz="0" w:val="nil"/>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67">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UNIDAD DE MEDIDA</w:t>
            </w:r>
          </w:p>
        </w:tc>
        <w:tc>
          <w:tcPr>
            <w:tcBorders>
              <w:top w:color="000000" w:space="0" w:sz="6" w:val="single"/>
              <w:left w:color="000000" w:space="0" w:sz="0" w:val="nil"/>
              <w:bottom w:color="000000" w:space="0" w:sz="0" w:val="nil"/>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68">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CANTIDAD</w:t>
            </w:r>
          </w:p>
        </w:tc>
        <w:tc>
          <w:tcPr>
            <w:tcBorders>
              <w:top w:color="000000" w:space="0" w:sz="6" w:val="single"/>
              <w:left w:color="000000" w:space="0" w:sz="0" w:val="nil"/>
              <w:bottom w:color="000000" w:space="0" w:sz="0" w:val="nil"/>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69">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VALOR UNITARIO</w:t>
            </w:r>
          </w:p>
        </w:tc>
        <w:tc>
          <w:tcPr>
            <w:tcBorders>
              <w:top w:color="000000" w:space="0" w:sz="6" w:val="single"/>
              <w:left w:color="000000" w:space="0" w:sz="0" w:val="nil"/>
              <w:bottom w:color="000000" w:space="0" w:sz="0" w:val="nil"/>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6A">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VALOR TOTAL </w:t>
            </w:r>
          </w:p>
        </w:tc>
        <w:tc>
          <w:tcPr>
            <w:tcBorders>
              <w:top w:color="000000" w:space="0" w:sz="6" w:val="single"/>
              <w:left w:color="000000" w:space="0" w:sz="0" w:val="nil"/>
              <w:bottom w:color="000000" w:space="0" w:sz="0" w:val="nil"/>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6B">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CÓDIGO UNSPSC</w:t>
            </w:r>
          </w:p>
        </w:tc>
      </w:tr>
      <w:tr>
        <w:trPr>
          <w:cantSplit w:val="0"/>
          <w:trHeight w:val="480"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6C">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 Mantenimiento preventivo del Agitador Magnetico HANNA - 28525</w:t>
            </w:r>
          </w:p>
        </w:tc>
        <w:tc>
          <w:tcPr>
            <w:tcBorders>
              <w:top w:color="000000" w:space="0" w:sz="6" w:val="single"/>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6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6" w:val="single"/>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6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6" w:val="single"/>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6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282,744</w:t>
            </w:r>
          </w:p>
        </w:tc>
        <w:tc>
          <w:tcPr>
            <w:tcBorders>
              <w:top w:color="000000" w:space="0" w:sz="6" w:val="single"/>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282,744</w:t>
            </w:r>
          </w:p>
        </w:tc>
        <w:tc>
          <w:tcPr>
            <w:tcBorders>
              <w:top w:color="000000" w:space="0" w:sz="6" w:val="single"/>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72">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 Mantenimiento preventivo del Agitador Vortex - 02527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282,744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282,744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78">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 Mantenimiento preventivo del Autoclave Tuttnauer - 31918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1,142,400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1,142,400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5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7E">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 Mantenimiento preventivo del Autoclave Tuttnauer - 13072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7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1,142,400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1,142,400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52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84">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 Mantenimiento preventivo del Bactoincinerador # 1 - 10830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385,917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385,917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63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8A">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6. Mantenimiento preventivo del Bactoincinerador # 2 - 13201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385,917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385,917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8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54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90">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7. Mantenimiento preventivo del Balanza analitica Radwag - 35438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609,756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609,756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96">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 Mantenimiento preventivo del Balanza Electrónica de Precisión - 31594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609,756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609,756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9C">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9. Mantenimiento preventivo del Balanza Electrónica de Precisión PRECISA - 39570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9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609,756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609,756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A2">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 Mantenimiento preventivo del Baño María - 05489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157,787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157,787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A8">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11. Mantenimiento preventivo del Bomba de Vacío (Equipo de filtración) - 39848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228,480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228,480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AE">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12. Mantenimiento preventivo del Cabina de Bioseguridad - 10807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A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919,632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919,632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B4">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13. Mantenimiento preventivo del Cabina de Bioseguridad II - 37467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919,632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919,632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BA">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14. Mantenimiento preventivo del Centrifuga Refrigerada - 10303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360,656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360,656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B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C0">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15. Mantenimiento preventivo del Dispensador Digital 5 - 50 ml - 30875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117,810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117,810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C6">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16. Mantenimiento preventivo del Dispensador Digital 5 - 50 ml - 30989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117,810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117,810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CC">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17. Mantenimiento preventivo del Homogenizador Biomerieux - 34840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C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307,020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307,020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D2">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18. Mantenimiento preventivo del Horno Convencional - 13074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401,982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401,982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D8">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19. Mantenimiento preventivo del Horno 3 - 02534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401,982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401,982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DE">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20. Mantenimiento preventivo del Incubadora Microprocesada # 2 - 05477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D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401,982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401,982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E4">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21. Mantenimiento preventivo del Incubadora Microprocesada # 4 - 13079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401,982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401,982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EA">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22. Mantenimiento preventivo del Incubadora Microprocesada # 5 - 13078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401,982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401,982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E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F0">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23. Mantenimiento preventivo del Incubadora Microprocesada # 6 MEMMERT- 39586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401,982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401,982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F6">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24. Mantenimiento preventivo del Lámpara Ultravioleta  - 24018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114,240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114,240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DFC">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25. Mantenimiento preventivo del Microscopio Binocular - 34097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DF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494,802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494,802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02">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26. Mantenimiento preventivo del Micropipeta P20 - 05481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08">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27. Mantenimiento preventivo del Micropipeta Brand 5000 ul - 42654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0E">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28. Mantenimiento preventivo del Micropipeta Brand 1000 ul - 42655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0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14">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29. Mantenimiento preventivo del Micropipeta Brand 100 ul - 42676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1A">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30. Mantenimiento preventivo del Micropipeta P10 - 05488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1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20">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31. Mantenimiento preventivo del Micropipeta NICHIPET PREMIUM - 25576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26">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32. Mantenimiento preventivo del Micropipeta HUAWEI 5 ml - 30087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2C">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33. Mantenimiento preventivo del Micropipeta BRAND 1000ul - 32409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2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32">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34. Mantenimiento preventivo del Micropipeta BRAND - 32472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38">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35. Mantenimiento preventivo del Micropipeta Sartorius - 37694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3E">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36. Mantenimiento preventivo del Micropipeta Sartorius - 37696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3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44">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37. Mantenimiento preventivo del Micropipeta Sartorius - 37758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4A">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38. Mantenimiento preventivo del Micropipeta Sartorius - 37756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4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50">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39. Mantenimiento preventivo del Micropipeta Finnipete Thermo S 10 ml - 34847-3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171,360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56">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40. Mantenimiento preventivo del Refrigerador RISS - 33685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514,080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514,080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5C">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41. Mantenimiento preventivo del Multiparámetro HANNA - 41160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5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368,852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368,852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62">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42. Mantenimiento preventivo del pH metro/Conductimetro - 30999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164,934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164,934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68">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43. Mantenimiento preventivo del Contador de Colonias digital - 02531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85,680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85,680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6E">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44. Mantenimiento preventivo del Refrigerador RISS AGUA - 18289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6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514,080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514,080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74">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45. Mantenimiento preventivo del Refrigerador RISS ALIMENTOS - 20861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514,080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514,080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7A">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46. Mantenimiento preventivo del Refrigerador RISS AMBIENTALES - 20859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514,080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514,080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7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80">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47. Mantenimiento preventivo del Refrigerador RISS CEPAS - 20862</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514,080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514,080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86">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48. Mantenimiento preventivo del Termocupla 1 - 28528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228,480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228,480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8C">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49. Mantenimiento preventivo del Termocupla 2 - 28529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8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228,480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228,480</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92">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50. Mantenimiento preventivo del Plancha de Calentamiento HEIDOLPH - 39585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267,036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267,036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98">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51. Mantenimiento preventivo del Plancha de Calentamiento HEIDOLPH - 39584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267,036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267,036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9E">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52. Mantenimiento preventivo del Plancha de Calentamiento VELP - 34864</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9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267,036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267,036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A4">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53. Mantenimiento preventivo del Plancha de Calentamiento VELP - 34865</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267,036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267,036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AA">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54. Mantenimiento preventivo del Refractometro - 10808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C">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D">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173,359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E">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173,359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A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B0">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55. Mantenimiento preventivo del Termometro Infrarrojo - 28641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B1">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B2">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B3">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162,078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B4">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162,078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B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B6">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56. Mantenimiento preventivo del ThermoMixer - 38883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B7">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B8">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B9">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w:t>
              <w:tab/>
              <w:t xml:space="preserve">162,078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B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 $          162,078</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B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81101700</w:t>
              <w:br w:type="textWrapping"/>
              <w:t xml:space="preserve"> 85161500</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EBC">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SUBTOTAL</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EBD">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EBE">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56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EBF">
            <w:pPr>
              <w:jc w:val="both"/>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C0">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 $    19,212,676</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EC1">
            <w:pPr>
              <w:jc w:val="both"/>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 </w:t>
            </w:r>
          </w:p>
        </w:tc>
      </w:tr>
      <w:tr>
        <w:trPr>
          <w:cantSplit w:val="0"/>
          <w:trHeight w:val="480"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0.0" w:type="dxa"/>
              <w:left w:w="80.0" w:type="dxa"/>
              <w:bottom w:w="0.0" w:type="dxa"/>
              <w:right w:w="80.0" w:type="dxa"/>
            </w:tcMar>
          </w:tcPr>
          <w:p w:rsidR="00000000" w:rsidDel="00000000" w:rsidP="00000000" w:rsidRDefault="00000000" w:rsidRPr="00000000" w14:paraId="00000EC2">
            <w:pPr>
              <w:jc w:val="both"/>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BOLSA PARA SERVICIOS DE MANTENIMIENTO CORRECTIVO</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C3">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C4">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1</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EC5">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EC6">
            <w:pPr>
              <w:jc w:val="both"/>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$5,763,803</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EC7">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tc>
      </w:tr>
      <w:tr>
        <w:trPr>
          <w:cantSplit w:val="0"/>
          <w:trHeight w:val="300" w:hRule="atLeast"/>
          <w:tblHeader w:val="0"/>
        </w:trPr>
        <w:tc>
          <w:tcPr>
            <w:tcBorders>
              <w:top w:color="000000" w:space="0" w:sz="0" w:val="nil"/>
              <w:left w:color="000000" w:space="0" w:sz="6" w:val="single"/>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C8">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TOTAL</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C9">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Unidad</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CA">
            <w:pPr>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57</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vAlign w:val="bottom"/>
          </w:tcPr>
          <w:p w:rsidR="00000000" w:rsidDel="00000000" w:rsidP="00000000" w:rsidRDefault="00000000" w:rsidRPr="00000000" w14:paraId="00000ECB">
            <w:pPr>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CC">
            <w:pP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$24,976,479</w:t>
            </w:r>
          </w:p>
        </w:tc>
        <w:tc>
          <w:tcPr>
            <w:tcBorders>
              <w:top w:color="000000" w:space="0" w:sz="0" w:val="nil"/>
              <w:left w:color="000000" w:space="0" w:sz="0" w:val="nil"/>
              <w:bottom w:color="000000" w:space="0" w:sz="6" w:val="single"/>
              <w:right w:color="000000" w:space="0" w:sz="6" w:val="single"/>
            </w:tcBorders>
            <w:tcMar>
              <w:top w:w="0.0" w:type="dxa"/>
              <w:left w:w="80.0" w:type="dxa"/>
              <w:bottom w:w="0.0" w:type="dxa"/>
              <w:right w:w="80.0" w:type="dxa"/>
            </w:tcMar>
          </w:tcPr>
          <w:p w:rsidR="00000000" w:rsidDel="00000000" w:rsidP="00000000" w:rsidRDefault="00000000" w:rsidRPr="00000000" w14:paraId="00000ECD">
            <w:pPr>
              <w:jc w:val="center"/>
              <w:rPr>
                <w:rFonts w:ascii="Verdana" w:cs="Verdana" w:eastAsia="Verdana" w:hAnsi="Verdana"/>
                <w:b w:val="1"/>
                <w:bCs w:val="1"/>
                <w:sz w:val="16"/>
                <w:szCs w:val="16"/>
              </w:rPr>
            </w:pPr>
            <w:r w:rsidDel="00000000" w:rsidR="00000000" w:rsidRPr="00000000">
              <w:rPr>
                <w:rFonts w:ascii="Verdana" w:cs="Verdana" w:eastAsia="Verdana" w:hAnsi="Verdana"/>
                <w:b w:val="1"/>
                <w:bCs w:val="1"/>
                <w:sz w:val="16"/>
                <w:szCs w:val="16"/>
                <w:rtl w:val="0"/>
              </w:rPr>
              <w:t xml:space="preserve"> </w:t>
            </w:r>
          </w:p>
        </w:tc>
      </w:tr>
    </w:tbl>
    <w:p w:rsidR="00000000" w:rsidDel="00000000" w:rsidP="00000000" w:rsidRDefault="00000000" w:rsidRPr="00000000" w14:paraId="00000ECE">
      <w:pPr>
        <w:pBdr>
          <w:top w:space="0" w:sz="0" w:val="nil"/>
          <w:left w:space="0" w:sz="0" w:val="nil"/>
          <w:bottom w:space="0" w:sz="0" w:val="nil"/>
          <w:right w:space="0" w:sz="0" w:val="nil"/>
          <w:between w:space="0" w:sz="0" w:val="nil"/>
        </w:pBdr>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ECF">
      <w:pPr>
        <w:pBdr>
          <w:top w:space="0" w:sz="0" w:val="nil"/>
          <w:left w:space="0" w:sz="0" w:val="nil"/>
          <w:bottom w:space="0" w:sz="0" w:val="nil"/>
          <w:right w:space="0" w:sz="0" w:val="nil"/>
          <w:between w:space="0" w:sz="0" w:val="nil"/>
        </w:pBdr>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ED0">
      <w:pPr>
        <w:numPr>
          <w:ilvl w:val="1"/>
          <w:numId w:val="3"/>
        </w:numPr>
        <w:pBdr>
          <w:top w:space="0" w:sz="0" w:val="nil"/>
          <w:left w:space="0" w:sz="0" w:val="nil"/>
          <w:bottom w:space="0" w:sz="0" w:val="nil"/>
          <w:right w:space="0" w:sz="0" w:val="nil"/>
          <w:between w:space="0" w:sz="0" w:val="nil"/>
        </w:pBdr>
        <w:ind w:left="1145" w:hanging="72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ASPECTOS REGULATORIOS</w:t>
      </w:r>
    </w:p>
    <w:p w:rsidR="00000000" w:rsidDel="00000000" w:rsidP="00000000" w:rsidRDefault="00000000" w:rsidRPr="00000000" w14:paraId="00000ED1">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ED2">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A continuación, se presenta los principales marcos normativos que rigen para este procedimiento de contratación:</w:t>
      </w:r>
    </w:p>
    <w:p w:rsidR="00000000" w:rsidDel="00000000" w:rsidP="00000000" w:rsidRDefault="00000000" w:rsidRPr="00000000" w14:paraId="00000ED3">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1. Normativa en contratación estatal</w:t>
      </w:r>
    </w:p>
    <w:p w:rsidR="00000000" w:rsidDel="00000000" w:rsidP="00000000" w:rsidRDefault="00000000" w:rsidRPr="00000000" w14:paraId="00000ED4">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 Ley 80 de 1993 – Estatuto General de Contratación de la Administración Pública: establece los principios fundamentales que rigen la contratación pública, tales como la transparencia, la economía, la responsabilidad y la selección objetiva.</w:t>
      </w:r>
    </w:p>
    <w:p w:rsidR="00000000" w:rsidDel="00000000" w:rsidP="00000000" w:rsidRDefault="00000000" w:rsidRPr="00000000" w14:paraId="00000ED5">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 Ley 1150 de 2007 – Esta ley introduce herramientas como la Subasta Inversa, que permite adquirir bienes estandarizados a un costo más bajo, fomentando así la competencia entre los proveedores.</w:t>
      </w:r>
    </w:p>
    <w:p w:rsidR="00000000" w:rsidDel="00000000" w:rsidP="00000000" w:rsidRDefault="00000000" w:rsidRPr="00000000" w14:paraId="00000ED6">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 Decreto 1082 de 2015 – Este decreto es el Reglamento Único del Sector Administrativo de Planeación Nacional: regular el desarrollo de los estudios previos, la estructuración del proceso, el uso de la modalidad de subasta inversa y la documentación necesaria para el proceso.</w:t>
      </w:r>
    </w:p>
    <w:p w:rsidR="00000000" w:rsidDel="00000000" w:rsidP="00000000" w:rsidRDefault="00000000" w:rsidRPr="00000000" w14:paraId="00000ED7">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 Colombia Compra Eficiente – CCE: A través del SECOP y los Acuerdos Marco de Precios, esta entidad promueve las buenas prácticas en las compras públicas y el uso adecuado de modalidades como la selección abreviada y la subasta inversa. Para el presente caso, no se evidencian acuerdos marco aplicables o relacionados con el presente procedimiento de contratación.</w:t>
      </w:r>
    </w:p>
    <w:p w:rsidR="00000000" w:rsidDel="00000000" w:rsidP="00000000" w:rsidRDefault="00000000" w:rsidRPr="00000000" w14:paraId="00000ED8">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ED9">
      <w:pPr>
        <w:numPr>
          <w:ilvl w:val="1"/>
          <w:numId w:val="3"/>
        </w:numPr>
        <w:pBdr>
          <w:top w:space="0" w:sz="0" w:val="nil"/>
          <w:left w:space="0" w:sz="0" w:val="nil"/>
          <w:bottom w:space="0" w:sz="0" w:val="nil"/>
          <w:right w:space="0" w:sz="0" w:val="nil"/>
          <w:between w:space="0" w:sz="0" w:val="nil"/>
        </w:pBdr>
        <w:shd w:fill="ffffff" w:val="clear"/>
        <w:spacing w:after="200" w:lineRule="auto"/>
        <w:ind w:left="1145" w:hanging="72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PERSPECTIVA LEGAL</w:t>
      </w:r>
    </w:p>
    <w:p w:rsidR="00000000" w:rsidDel="00000000" w:rsidP="00000000" w:rsidRDefault="00000000" w:rsidRPr="00000000" w14:paraId="00000EDA">
      <w:pPr>
        <w:pBdr>
          <w:top w:space="0" w:sz="0" w:val="nil"/>
          <w:left w:space="0" w:sz="0" w:val="nil"/>
          <w:bottom w:space="0" w:sz="0" w:val="nil"/>
          <w:right w:space="0" w:sz="0" w:val="nil"/>
          <w:between w:space="0" w:sz="0" w:val="nil"/>
        </w:pBdr>
        <w:shd w:fill="ffffff" w:val="clea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La presente contratación se adelantará bajo la modalidad de mínima cuantía, de conformidad con lo dispuesto en el artículo 94 de la Ley 1474 de 2011, que modificó el artículo 2 de la Ley 1150 de 2007, y en concordancia con el Decreto 1082 de 2015.</w:t>
      </w:r>
    </w:p>
    <w:p w:rsidR="00000000" w:rsidDel="00000000" w:rsidP="00000000" w:rsidRDefault="00000000" w:rsidRPr="00000000" w14:paraId="00000EDB">
      <w:pPr>
        <w:shd w:fill="ffffff" w:val="clea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La modalidad de mínima cuantía procede cuando el valor del contrato no excede el diez por ciento (10%) de la menor cuantía de la Entidad, independientemente de su objeto, y se efectuará de conformidad con las siguientes reglas:</w:t>
      </w:r>
    </w:p>
    <w:p w:rsidR="00000000" w:rsidDel="00000000" w:rsidP="00000000" w:rsidRDefault="00000000" w:rsidRPr="00000000" w14:paraId="00000EDC">
      <w:pPr>
        <w:shd w:fill="ffffff" w:val="clea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EDD">
      <w:pPr>
        <w:shd w:fill="ffffff" w:val="clea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a) Se publicará una invitación, por un término no inferior a un día hábil, en la cual se señalará el objeto a contratar, el presupuesto destinado para tal fin, así como las condiciones técnicas exigidas;</w:t>
      </w:r>
    </w:p>
    <w:p w:rsidR="00000000" w:rsidDel="00000000" w:rsidP="00000000" w:rsidRDefault="00000000" w:rsidRPr="00000000" w14:paraId="00000EDE">
      <w:pPr>
        <w:shd w:fill="ffffff" w:val="clea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EDF">
      <w:pPr>
        <w:shd w:fill="ffffff" w:val="clea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b) El término previsto en la invitación para presentar la oferta no podrá ser inferior a un día hábil;</w:t>
      </w:r>
    </w:p>
    <w:p w:rsidR="00000000" w:rsidDel="00000000" w:rsidP="00000000" w:rsidRDefault="00000000" w:rsidRPr="00000000" w14:paraId="00000EE0">
      <w:pPr>
        <w:shd w:fill="ffffff" w:val="clea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EE1">
      <w:pPr>
        <w:shd w:fill="ffffff" w:val="clea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 La entidad seleccionará, mediante comunicación de aceptación de la oferta, la propuesta con el menor precio, siempre y cuando cumpla con las condiciones exigidas;</w:t>
      </w:r>
    </w:p>
    <w:p w:rsidR="00000000" w:rsidDel="00000000" w:rsidP="00000000" w:rsidRDefault="00000000" w:rsidRPr="00000000" w14:paraId="00000EE2">
      <w:pPr>
        <w:shd w:fill="ffffff" w:val="clea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EE3">
      <w:pPr>
        <w:shd w:fill="ffffff" w:val="clea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d) La comunicación de aceptación junto con la oferta constituyen para todos los efectos el contrato celebrado, con base en lo cual se efectuará el respectivo registro presupuestal.</w:t>
      </w:r>
    </w:p>
    <w:p w:rsidR="00000000" w:rsidDel="00000000" w:rsidP="00000000" w:rsidRDefault="00000000" w:rsidRPr="00000000" w14:paraId="00000EE4">
      <w:pPr>
        <w:shd w:fill="ffffff" w:val="clea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EE5">
      <w:pPr>
        <w:shd w:fill="ffffff" w:val="clea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b w:val="1"/>
          <w:bCs w:val="1"/>
          <w:sz w:val="21"/>
          <w:szCs w:val="21"/>
          <w:rtl w:val="0"/>
        </w:rPr>
        <w:t xml:space="preserve">PARÁGRAFO 1</w:t>
      </w:r>
      <w:r w:rsidDel="00000000" w:rsidR="00000000" w:rsidRPr="00000000">
        <w:rPr>
          <w:rFonts w:ascii="Verdana" w:cs="Verdana" w:eastAsia="Verdana" w:hAnsi="Verdana"/>
          <w:sz w:val="21"/>
          <w:szCs w:val="21"/>
          <w:rtl w:val="0"/>
        </w:rPr>
        <w:t xml:space="preserve">. Las particularidades del procedimiento aquí previsto, así como la posibilidad que tengan las entidades de realizar estas adquisiciones a MiPymes o establecimientos que correspondan a la definición de "gran almacén" señalada por la Superintendencia de Industria y Comercio, se determinarán en el reglamento que para el efecto expida el Gobierno Nacional.</w:t>
      </w:r>
    </w:p>
    <w:p w:rsidR="00000000" w:rsidDel="00000000" w:rsidP="00000000" w:rsidRDefault="00000000" w:rsidRPr="00000000" w14:paraId="00000EE6">
      <w:pPr>
        <w:shd w:fill="ffffff" w:val="clea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EE7">
      <w:pPr>
        <w:shd w:fill="ffffff" w:val="clea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b w:val="1"/>
          <w:bCs w:val="1"/>
          <w:sz w:val="21"/>
          <w:szCs w:val="21"/>
          <w:rtl w:val="0"/>
        </w:rPr>
        <w:t xml:space="preserve">PARÁGRAFO 2.</w:t>
      </w:r>
      <w:r w:rsidDel="00000000" w:rsidR="00000000" w:rsidRPr="00000000">
        <w:rPr>
          <w:rFonts w:ascii="Verdana" w:cs="Verdana" w:eastAsia="Verdana" w:hAnsi="Verdana"/>
          <w:sz w:val="21"/>
          <w:szCs w:val="21"/>
          <w:rtl w:val="0"/>
        </w:rPr>
        <w:t xml:space="preserve"> La contratación a que se refiere el presente artículo se realizará exclusivamente con las reglas en él contempladas y en su reglamentación. En particular no se aplicará lo previsto en la Ley 816 de 2003.</w:t>
      </w:r>
    </w:p>
    <w:p w:rsidR="00000000" w:rsidDel="00000000" w:rsidP="00000000" w:rsidRDefault="00000000" w:rsidRPr="00000000" w14:paraId="00000EE8">
      <w:pPr>
        <w:shd w:fill="ffffff" w:val="clea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EE9">
      <w:pPr>
        <w:pBdr>
          <w:top w:space="0" w:sz="0" w:val="nil"/>
          <w:left w:space="0" w:sz="0" w:val="nil"/>
          <w:bottom w:space="0" w:sz="0" w:val="nil"/>
          <w:right w:space="0" w:sz="0" w:val="nil"/>
          <w:between w:space="0" w:sz="0" w:val="nil"/>
        </w:pBd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EEA">
      <w:pPr>
        <w:numPr>
          <w:ilvl w:val="0"/>
          <w:numId w:val="3"/>
        </w:numPr>
        <w:pBdr>
          <w:top w:space="0" w:sz="0" w:val="nil"/>
          <w:left w:space="0" w:sz="0" w:val="nil"/>
          <w:bottom w:space="0" w:sz="0" w:val="nil"/>
          <w:right w:space="0" w:sz="0" w:val="nil"/>
          <w:between w:space="0" w:sz="0" w:val="nil"/>
        </w:pBdr>
        <w:spacing w:after="200" w:lineRule="auto"/>
        <w:ind w:left="720" w:hanging="36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ANÁLISIS DE LA OFERTA</w:t>
      </w:r>
    </w:p>
    <w:p w:rsidR="00000000" w:rsidDel="00000000" w:rsidP="00000000" w:rsidRDefault="00000000" w:rsidRPr="00000000" w14:paraId="00000EEB">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Realizando un rastreo en la página de Colombia Compra Eficiente, a continuación, se enuncian algunas empresas que pueden llegar a ser proveedoras de los bienes o servicios requeridos por la institución:</w:t>
      </w:r>
    </w:p>
    <w:tbl>
      <w:tblPr>
        <w:tblStyle w:val="Table5"/>
        <w:tblW w:w="976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56"/>
        <w:gridCol w:w="4813"/>
        <w:tblGridChange w:id="0">
          <w:tblGrid>
            <w:gridCol w:w="4956"/>
            <w:gridCol w:w="4813"/>
          </w:tblGrid>
        </w:tblGridChange>
      </w:tblGrid>
      <w:tr>
        <w:trPr>
          <w:cantSplit w:val="0"/>
          <w:tblHeader w:val="0"/>
        </w:trPr>
        <w:tc>
          <w:tcPr/>
          <w:p w:rsidR="00000000" w:rsidDel="00000000" w:rsidP="00000000" w:rsidRDefault="00000000" w:rsidRPr="00000000" w14:paraId="00000EEC">
            <w:pPr>
              <w:spacing w:after="200" w:lineRule="auto"/>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Razón social</w:t>
            </w:r>
          </w:p>
        </w:tc>
        <w:tc>
          <w:tcPr/>
          <w:p w:rsidR="00000000" w:rsidDel="00000000" w:rsidP="00000000" w:rsidRDefault="00000000" w:rsidRPr="00000000" w14:paraId="00000EED">
            <w:pPr>
              <w:spacing w:after="200" w:lineRule="auto"/>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NIT</w:t>
            </w:r>
            <w:r w:rsidDel="00000000" w:rsidR="00000000" w:rsidRPr="00000000">
              <w:rPr>
                <w:rtl w:val="0"/>
              </w:rPr>
            </w:r>
          </w:p>
        </w:tc>
      </w:tr>
      <w:tr>
        <w:trPr>
          <w:cantSplit w:val="0"/>
          <w:tblHeader w:val="0"/>
        </w:trPr>
        <w:tc>
          <w:tcPr/>
          <w:p w:rsidR="00000000" w:rsidDel="00000000" w:rsidP="00000000" w:rsidRDefault="00000000" w:rsidRPr="00000000" w14:paraId="00000EEE">
            <w:pPr>
              <w:spacing w:after="200" w:lineRule="auto"/>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CODEVELT</w:t>
            </w:r>
          </w:p>
        </w:tc>
        <w:tc>
          <w:tcPr/>
          <w:p w:rsidR="00000000" w:rsidDel="00000000" w:rsidP="00000000" w:rsidRDefault="00000000" w:rsidRPr="00000000" w14:paraId="00000EEF">
            <w:pPr>
              <w:spacing w:after="200" w:lineRule="auto"/>
              <w:jc w:val="center"/>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901717045</w:t>
            </w:r>
          </w:p>
        </w:tc>
      </w:tr>
      <w:tr>
        <w:trPr>
          <w:cantSplit w:val="0"/>
          <w:tblHeader w:val="0"/>
        </w:trPr>
        <w:tc>
          <w:tcPr/>
          <w:p w:rsidR="00000000" w:rsidDel="00000000" w:rsidP="00000000" w:rsidRDefault="00000000" w:rsidRPr="00000000" w14:paraId="00000EF0">
            <w:pPr>
              <w:spacing w:after="200" w:lineRule="auto"/>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ORANGE SOLUCIONES TECNICAS S.A.S</w:t>
            </w:r>
          </w:p>
        </w:tc>
        <w:tc>
          <w:tcPr/>
          <w:p w:rsidR="00000000" w:rsidDel="00000000" w:rsidP="00000000" w:rsidRDefault="00000000" w:rsidRPr="00000000" w14:paraId="00000EF1">
            <w:pPr>
              <w:spacing w:after="200" w:lineRule="auto"/>
              <w:jc w:val="center"/>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901616960</w:t>
            </w:r>
          </w:p>
        </w:tc>
      </w:tr>
      <w:tr>
        <w:trPr>
          <w:cantSplit w:val="0"/>
          <w:tblHeader w:val="0"/>
        </w:trPr>
        <w:tc>
          <w:tcPr/>
          <w:p w:rsidR="00000000" w:rsidDel="00000000" w:rsidP="00000000" w:rsidRDefault="00000000" w:rsidRPr="00000000" w14:paraId="00000EF2">
            <w:pPr>
              <w:spacing w:after="200" w:lineRule="auto"/>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SERVINGTECH S.A.S.</w:t>
            </w:r>
          </w:p>
        </w:tc>
        <w:tc>
          <w:tcPr/>
          <w:p w:rsidR="00000000" w:rsidDel="00000000" w:rsidP="00000000" w:rsidRDefault="00000000" w:rsidRPr="00000000" w14:paraId="00000EF3">
            <w:pPr>
              <w:spacing w:after="200" w:lineRule="auto"/>
              <w:jc w:val="center"/>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900591185</w:t>
            </w:r>
          </w:p>
        </w:tc>
      </w:tr>
      <w:tr>
        <w:trPr>
          <w:cantSplit w:val="0"/>
          <w:tblHeader w:val="0"/>
        </w:trPr>
        <w:tc>
          <w:tcPr/>
          <w:p w:rsidR="00000000" w:rsidDel="00000000" w:rsidP="00000000" w:rsidRDefault="00000000" w:rsidRPr="00000000" w14:paraId="00000EF4">
            <w:pPr>
              <w:spacing w:after="200" w:lineRule="auto"/>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LANZETTA RENGIFO Y CIA SAS</w:t>
            </w:r>
          </w:p>
        </w:tc>
        <w:tc>
          <w:tcPr/>
          <w:p w:rsidR="00000000" w:rsidDel="00000000" w:rsidP="00000000" w:rsidRDefault="00000000" w:rsidRPr="00000000" w14:paraId="00000EF5">
            <w:pPr>
              <w:spacing w:after="200" w:lineRule="auto"/>
              <w:jc w:val="center"/>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860351784</w:t>
            </w:r>
          </w:p>
        </w:tc>
      </w:tr>
      <w:tr>
        <w:trPr>
          <w:cantSplit w:val="0"/>
          <w:tblHeader w:val="0"/>
        </w:trPr>
        <w:tc>
          <w:tcPr/>
          <w:p w:rsidR="00000000" w:rsidDel="00000000" w:rsidP="00000000" w:rsidRDefault="00000000" w:rsidRPr="00000000" w14:paraId="00000EF6">
            <w:pPr>
              <w:spacing w:after="200" w:lineRule="auto"/>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INTEK GROUP S.A.S.</w:t>
            </w:r>
          </w:p>
        </w:tc>
        <w:tc>
          <w:tcPr/>
          <w:p w:rsidR="00000000" w:rsidDel="00000000" w:rsidP="00000000" w:rsidRDefault="00000000" w:rsidRPr="00000000" w14:paraId="00000EF7">
            <w:pPr>
              <w:spacing w:after="200" w:lineRule="auto"/>
              <w:jc w:val="center"/>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900804368</w:t>
            </w:r>
          </w:p>
        </w:tc>
      </w:tr>
      <w:tr>
        <w:trPr>
          <w:cantSplit w:val="0"/>
          <w:tblHeader w:val="0"/>
        </w:trPr>
        <w:tc>
          <w:tcPr/>
          <w:p w:rsidR="00000000" w:rsidDel="00000000" w:rsidP="00000000" w:rsidRDefault="00000000" w:rsidRPr="00000000" w14:paraId="00000EF8">
            <w:pPr>
              <w:spacing w:after="200" w:lineRule="auto"/>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DIRIMPEX SAS</w:t>
            </w:r>
          </w:p>
        </w:tc>
        <w:tc>
          <w:tcPr/>
          <w:p w:rsidR="00000000" w:rsidDel="00000000" w:rsidP="00000000" w:rsidRDefault="00000000" w:rsidRPr="00000000" w14:paraId="00000EF9">
            <w:pPr>
              <w:spacing w:after="200" w:lineRule="auto"/>
              <w:jc w:val="center"/>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860516281</w:t>
            </w:r>
          </w:p>
        </w:tc>
      </w:tr>
      <w:tr>
        <w:trPr>
          <w:cantSplit w:val="0"/>
          <w:tblHeader w:val="0"/>
        </w:trPr>
        <w:tc>
          <w:tcPr/>
          <w:p w:rsidR="00000000" w:rsidDel="00000000" w:rsidP="00000000" w:rsidRDefault="00000000" w:rsidRPr="00000000" w14:paraId="00000EFA">
            <w:pPr>
              <w:spacing w:after="200" w:lineRule="auto"/>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BIOSYSTEMS S.A.S</w:t>
            </w:r>
          </w:p>
        </w:tc>
        <w:tc>
          <w:tcPr/>
          <w:p w:rsidR="00000000" w:rsidDel="00000000" w:rsidP="00000000" w:rsidRDefault="00000000" w:rsidRPr="00000000" w14:paraId="00000EFB">
            <w:pPr>
              <w:spacing w:after="200" w:lineRule="auto"/>
              <w:jc w:val="center"/>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811003513</w:t>
            </w:r>
          </w:p>
        </w:tc>
      </w:tr>
      <w:tr>
        <w:trPr>
          <w:cantSplit w:val="0"/>
          <w:tblHeader w:val="0"/>
        </w:trPr>
        <w:tc>
          <w:tcPr/>
          <w:p w:rsidR="00000000" w:rsidDel="00000000" w:rsidP="00000000" w:rsidRDefault="00000000" w:rsidRPr="00000000" w14:paraId="00000EFC">
            <w:pPr>
              <w:spacing w:after="200" w:lineRule="auto"/>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CM Y CIA LTDA</w:t>
            </w:r>
          </w:p>
        </w:tc>
        <w:tc>
          <w:tcPr/>
          <w:p w:rsidR="00000000" w:rsidDel="00000000" w:rsidP="00000000" w:rsidRDefault="00000000" w:rsidRPr="00000000" w14:paraId="00000EFD">
            <w:pPr>
              <w:spacing w:after="200" w:lineRule="auto"/>
              <w:jc w:val="center"/>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830037210</w:t>
            </w:r>
          </w:p>
        </w:tc>
      </w:tr>
      <w:tr>
        <w:trPr>
          <w:cantSplit w:val="0"/>
          <w:tblHeader w:val="0"/>
        </w:trPr>
        <w:tc>
          <w:tcPr/>
          <w:p w:rsidR="00000000" w:rsidDel="00000000" w:rsidP="00000000" w:rsidRDefault="00000000" w:rsidRPr="00000000" w14:paraId="00000EFE">
            <w:pPr>
              <w:spacing w:after="200" w:lineRule="auto"/>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CESAR TABARES L Y CIA SAS</w:t>
            </w:r>
          </w:p>
        </w:tc>
        <w:tc>
          <w:tcPr/>
          <w:p w:rsidR="00000000" w:rsidDel="00000000" w:rsidP="00000000" w:rsidRDefault="00000000" w:rsidRPr="00000000" w14:paraId="00000EFF">
            <w:pPr>
              <w:spacing w:after="200" w:lineRule="auto"/>
              <w:jc w:val="center"/>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900026709</w:t>
            </w:r>
          </w:p>
        </w:tc>
      </w:tr>
      <w:tr>
        <w:trPr>
          <w:cantSplit w:val="0"/>
          <w:tblHeader w:val="0"/>
        </w:trPr>
        <w:tc>
          <w:tcPr/>
          <w:p w:rsidR="00000000" w:rsidDel="00000000" w:rsidP="00000000" w:rsidRDefault="00000000" w:rsidRPr="00000000" w14:paraId="00000F00">
            <w:pPr>
              <w:spacing w:after="200" w:lineRule="auto"/>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CONAMET S.A.S</w:t>
            </w:r>
          </w:p>
        </w:tc>
        <w:tc>
          <w:tcPr/>
          <w:p w:rsidR="00000000" w:rsidDel="00000000" w:rsidP="00000000" w:rsidRDefault="00000000" w:rsidRPr="00000000" w14:paraId="00000F01">
            <w:pPr>
              <w:spacing w:after="200" w:lineRule="auto"/>
              <w:jc w:val="center"/>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900186088</w:t>
            </w:r>
          </w:p>
        </w:tc>
      </w:tr>
    </w:tbl>
    <w:p w:rsidR="00000000" w:rsidDel="00000000" w:rsidP="00000000" w:rsidRDefault="00000000" w:rsidRPr="00000000" w14:paraId="00000F02">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F03">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Realizando un rastreo en la página de Colombia Compra Eficiente, y consultando en el modelo de abastecimiento estratégico MAE, a continuación, se muestra el análisis realizado para el departamento de Antioquia entre los años 2020 al 2026, sobre la oferta del servicio con el Código UNSPSC 81101700:</w:t>
      </w:r>
    </w:p>
    <w:p w:rsidR="00000000" w:rsidDel="00000000" w:rsidP="00000000" w:rsidRDefault="00000000" w:rsidRPr="00000000" w14:paraId="00000F04">
      <w:pPr>
        <w:pBdr>
          <w:top w:space="0" w:sz="0" w:val="nil"/>
          <w:left w:space="0" w:sz="0" w:val="nil"/>
          <w:bottom w:space="0" w:sz="0" w:val="nil"/>
          <w:right w:space="0" w:sz="0" w:val="nil"/>
          <w:between w:space="0" w:sz="0" w:val="nil"/>
        </w:pBdr>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F05">
      <w:pPr>
        <w:pBdr>
          <w:top w:space="0" w:sz="0" w:val="nil"/>
          <w:left w:space="0" w:sz="0" w:val="nil"/>
          <w:bottom w:space="0" w:sz="0" w:val="nil"/>
          <w:right w:space="0" w:sz="0" w:val="nil"/>
          <w:between w:space="0" w:sz="0" w:val="nil"/>
        </w:pBdr>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Pr>
        <w:drawing>
          <wp:inline distB="0" distT="0" distL="0" distR="0">
            <wp:extent cx="6209665" cy="2914650"/>
            <wp:effectExtent b="0" l="0" r="0" t="0"/>
            <wp:docPr id="37" name="image6.png"/>
            <a:graphic>
              <a:graphicData uri="http://schemas.openxmlformats.org/drawingml/2006/picture">
                <pic:pic>
                  <pic:nvPicPr>
                    <pic:cNvPr id="0" name="image6.png"/>
                    <pic:cNvPicPr preferRelativeResize="0"/>
                  </pic:nvPicPr>
                  <pic:blipFill>
                    <a:blip r:embed="rId18"/>
                    <a:srcRect b="0" l="0" r="0" t="0"/>
                    <a:stretch>
                      <a:fillRect/>
                    </a:stretch>
                  </pic:blipFill>
                  <pic:spPr>
                    <a:xfrm>
                      <a:off x="0" y="0"/>
                      <a:ext cx="6209665" cy="2914650"/>
                    </a:xfrm>
                    <a:prstGeom prst="rect"/>
                    <a:ln/>
                  </pic:spPr>
                </pic:pic>
              </a:graphicData>
            </a:graphic>
          </wp:inline>
        </w:drawing>
      </w:r>
      <w:r w:rsidDel="00000000" w:rsidR="00000000" w:rsidRPr="00000000">
        <w:rPr>
          <w:rtl w:val="0"/>
        </w:rPr>
      </w:r>
    </w:p>
    <w:p w:rsidR="00000000" w:rsidDel="00000000" w:rsidP="00000000" w:rsidRDefault="00000000" w:rsidRPr="00000000" w14:paraId="00000F06">
      <w:pPr>
        <w:pBdr>
          <w:top w:space="0" w:sz="0" w:val="nil"/>
          <w:left w:space="0" w:sz="0" w:val="nil"/>
          <w:bottom w:space="0" w:sz="0" w:val="nil"/>
          <w:right w:space="0" w:sz="0" w:val="nil"/>
          <w:between w:space="0" w:sz="0" w:val="nil"/>
        </w:pBdr>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F07">
      <w:pPr>
        <w:pBdr>
          <w:top w:space="0" w:sz="0" w:val="nil"/>
          <w:left w:space="0" w:sz="0" w:val="nil"/>
          <w:bottom w:space="0" w:sz="0" w:val="nil"/>
          <w:right w:space="0" w:sz="0" w:val="nil"/>
          <w:between w:space="0" w:sz="0" w:val="nil"/>
        </w:pBdr>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Pr>
        <w:drawing>
          <wp:inline distB="0" distT="0" distL="0" distR="0">
            <wp:extent cx="6209665" cy="3381375"/>
            <wp:effectExtent b="0" l="0" r="0" t="0"/>
            <wp:docPr id="38"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6209665" cy="3381375"/>
                    </a:xfrm>
                    <a:prstGeom prst="rect"/>
                    <a:ln/>
                  </pic:spPr>
                </pic:pic>
              </a:graphicData>
            </a:graphic>
          </wp:inline>
        </w:drawing>
      </w:r>
      <w:r w:rsidDel="00000000" w:rsidR="00000000" w:rsidRPr="00000000">
        <w:rPr>
          <w:rtl w:val="0"/>
        </w:rPr>
      </w:r>
    </w:p>
    <w:p w:rsidR="00000000" w:rsidDel="00000000" w:rsidP="00000000" w:rsidRDefault="00000000" w:rsidRPr="00000000" w14:paraId="00000F08">
      <w:pPr>
        <w:pBdr>
          <w:top w:space="0" w:sz="0" w:val="nil"/>
          <w:left w:space="0" w:sz="0" w:val="nil"/>
          <w:bottom w:space="0" w:sz="0" w:val="nil"/>
          <w:right w:space="0" w:sz="0" w:val="nil"/>
          <w:between w:space="0" w:sz="0" w:val="nil"/>
        </w:pBdr>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F09">
      <w:pPr>
        <w:pBdr>
          <w:top w:space="0" w:sz="0" w:val="nil"/>
          <w:left w:space="0" w:sz="0" w:val="nil"/>
          <w:bottom w:space="0" w:sz="0" w:val="nil"/>
          <w:right w:space="0" w:sz="0" w:val="nil"/>
          <w:between w:space="0" w:sz="0" w:val="nil"/>
        </w:pBdr>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Pr>
        <w:drawing>
          <wp:inline distB="0" distT="0" distL="0" distR="0">
            <wp:extent cx="6209665" cy="3419475"/>
            <wp:effectExtent b="0" l="0" r="0" t="0"/>
            <wp:docPr id="40" name="image9.png"/>
            <a:graphic>
              <a:graphicData uri="http://schemas.openxmlformats.org/drawingml/2006/picture">
                <pic:pic>
                  <pic:nvPicPr>
                    <pic:cNvPr id="0" name="image9.png"/>
                    <pic:cNvPicPr preferRelativeResize="0"/>
                  </pic:nvPicPr>
                  <pic:blipFill>
                    <a:blip r:embed="rId20"/>
                    <a:srcRect b="0" l="0" r="0" t="0"/>
                    <a:stretch>
                      <a:fillRect/>
                    </a:stretch>
                  </pic:blipFill>
                  <pic:spPr>
                    <a:xfrm>
                      <a:off x="0" y="0"/>
                      <a:ext cx="6209665" cy="3419475"/>
                    </a:xfrm>
                    <a:prstGeom prst="rect"/>
                    <a:ln/>
                  </pic:spPr>
                </pic:pic>
              </a:graphicData>
            </a:graphic>
          </wp:inline>
        </w:drawing>
      </w:r>
      <w:r w:rsidDel="00000000" w:rsidR="00000000" w:rsidRPr="00000000">
        <w:rPr>
          <w:rtl w:val="0"/>
        </w:rPr>
      </w:r>
    </w:p>
    <w:p w:rsidR="00000000" w:rsidDel="00000000" w:rsidP="00000000" w:rsidRDefault="00000000" w:rsidRPr="00000000" w14:paraId="00000F0A">
      <w:pPr>
        <w:pBdr>
          <w:top w:space="0" w:sz="0" w:val="nil"/>
          <w:left w:space="0" w:sz="0" w:val="nil"/>
          <w:bottom w:space="0" w:sz="0" w:val="nil"/>
          <w:right w:space="0" w:sz="0" w:val="nil"/>
          <w:between w:space="0" w:sz="0" w:val="nil"/>
        </w:pBdr>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F0B">
      <w:pPr>
        <w:pBdr>
          <w:top w:space="0" w:sz="0" w:val="nil"/>
          <w:left w:space="0" w:sz="0" w:val="nil"/>
          <w:bottom w:space="0" w:sz="0" w:val="nil"/>
          <w:right w:space="0" w:sz="0" w:val="nil"/>
          <w:between w:space="0" w:sz="0" w:val="nil"/>
        </w:pBdr>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Pr>
        <w:drawing>
          <wp:inline distB="0" distT="0" distL="0" distR="0">
            <wp:extent cx="6209665" cy="3571875"/>
            <wp:effectExtent b="0" l="0" r="0" t="0"/>
            <wp:docPr id="41" name="image20.png"/>
            <a:graphic>
              <a:graphicData uri="http://schemas.openxmlformats.org/drawingml/2006/picture">
                <pic:pic>
                  <pic:nvPicPr>
                    <pic:cNvPr id="0" name="image20.png"/>
                    <pic:cNvPicPr preferRelativeResize="0"/>
                  </pic:nvPicPr>
                  <pic:blipFill>
                    <a:blip r:embed="rId21"/>
                    <a:srcRect b="0" l="0" r="0" t="0"/>
                    <a:stretch>
                      <a:fillRect/>
                    </a:stretch>
                  </pic:blipFill>
                  <pic:spPr>
                    <a:xfrm>
                      <a:off x="0" y="0"/>
                      <a:ext cx="6209665" cy="3571875"/>
                    </a:xfrm>
                    <a:prstGeom prst="rect"/>
                    <a:ln/>
                  </pic:spPr>
                </pic:pic>
              </a:graphicData>
            </a:graphic>
          </wp:inline>
        </w:drawing>
      </w:r>
      <w:r w:rsidDel="00000000" w:rsidR="00000000" w:rsidRPr="00000000">
        <w:rPr>
          <w:rtl w:val="0"/>
        </w:rPr>
      </w:r>
    </w:p>
    <w:p w:rsidR="00000000" w:rsidDel="00000000" w:rsidP="00000000" w:rsidRDefault="00000000" w:rsidRPr="00000000" w14:paraId="00000F0C">
      <w:pPr>
        <w:pBdr>
          <w:top w:space="0" w:sz="0" w:val="nil"/>
          <w:left w:space="0" w:sz="0" w:val="nil"/>
          <w:bottom w:space="0" w:sz="0" w:val="nil"/>
          <w:right w:space="0" w:sz="0" w:val="nil"/>
          <w:between w:space="0" w:sz="0" w:val="nil"/>
        </w:pBdr>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F0D">
      <w:pPr>
        <w:pBdr>
          <w:top w:space="0" w:sz="0" w:val="nil"/>
          <w:left w:space="0" w:sz="0" w:val="nil"/>
          <w:bottom w:space="0" w:sz="0" w:val="nil"/>
          <w:right w:space="0" w:sz="0" w:val="nil"/>
          <w:between w:space="0" w:sz="0" w:val="nil"/>
        </w:pBdr>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F0E">
      <w:pPr>
        <w:numPr>
          <w:ilvl w:val="0"/>
          <w:numId w:val="3"/>
        </w:numPr>
        <w:pBdr>
          <w:top w:space="0" w:sz="0" w:val="nil"/>
          <w:left w:space="0" w:sz="0" w:val="nil"/>
          <w:bottom w:space="0" w:sz="0" w:val="nil"/>
          <w:right w:space="0" w:sz="0" w:val="nil"/>
          <w:between w:space="0" w:sz="0" w:val="nil"/>
        </w:pBdr>
        <w:spacing w:after="200" w:lineRule="auto"/>
        <w:ind w:left="720" w:hanging="36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ANÁLISIS DE LA DEMANDA</w:t>
      </w:r>
    </w:p>
    <w:p w:rsidR="00000000" w:rsidDel="00000000" w:rsidP="00000000" w:rsidRDefault="00000000" w:rsidRPr="00000000" w14:paraId="00000F0F">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Una vez analizada la información con la que cuenta la Institución Universitaria Colegio Mayor de Antioquia, Se consultó con la página de Colombia Compra Eficiente y plataformas SECOP I y SECOP II, con el fin de verificar el movimiento en las entidades estatales en cuanto a la adquisición de estos bienes y los posibles oferentes, bajo el clasificador de Bienes y Servicios UNSPSC.</w:t>
      </w:r>
    </w:p>
    <w:p w:rsidR="00000000" w:rsidDel="00000000" w:rsidP="00000000" w:rsidRDefault="00000000" w:rsidRPr="00000000" w14:paraId="00000F10">
      <w:pP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F11">
      <w:pP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F12">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3.1. Histórico de compras o adquisiciones de la Entidad </w:t>
      </w:r>
    </w:p>
    <w:p w:rsidR="00000000" w:rsidDel="00000000" w:rsidP="00000000" w:rsidRDefault="00000000" w:rsidRPr="00000000" w14:paraId="00000F13">
      <w:pPr>
        <w:tabs>
          <w:tab w:val="left" w:leader="none" w:pos="965"/>
        </w:tabs>
        <w:jc w:val="both"/>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F14">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La Institución Colegio Mayor de Antioquia ha realizado contrataciones similares:</w:t>
      </w:r>
    </w:p>
    <w:p w:rsidR="00000000" w:rsidDel="00000000" w:rsidP="00000000" w:rsidRDefault="00000000" w:rsidRPr="00000000" w14:paraId="00000F15">
      <w:pPr>
        <w:tabs>
          <w:tab w:val="left" w:leader="none" w:pos="965"/>
        </w:tabs>
        <w:jc w:val="both"/>
        <w:rPr>
          <w:rFonts w:ascii="Verdana" w:cs="Verdana" w:eastAsia="Verdana" w:hAnsi="Verdana"/>
          <w:sz w:val="21"/>
          <w:szCs w:val="21"/>
        </w:rPr>
      </w:pPr>
      <w:r w:rsidDel="00000000" w:rsidR="00000000" w:rsidRPr="00000000">
        <w:rPr>
          <w:rtl w:val="0"/>
        </w:rPr>
      </w:r>
    </w:p>
    <w:tbl>
      <w:tblPr>
        <w:tblStyle w:val="Table6"/>
        <w:tblW w:w="976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939"/>
        <w:tblGridChange w:id="0">
          <w:tblGrid>
            <w:gridCol w:w="2830"/>
            <w:gridCol w:w="6939"/>
          </w:tblGrid>
        </w:tblGridChange>
      </w:tblGrid>
      <w:tr>
        <w:trPr>
          <w:cantSplit w:val="0"/>
          <w:tblHeader w:val="0"/>
        </w:trPr>
        <w:tc>
          <w:tcPr/>
          <w:p w:rsidR="00000000" w:rsidDel="00000000" w:rsidP="00000000" w:rsidRDefault="00000000" w:rsidRPr="00000000" w14:paraId="00000F16">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Vigencia</w:t>
            </w:r>
          </w:p>
        </w:tc>
        <w:tc>
          <w:tcPr/>
          <w:p w:rsidR="00000000" w:rsidDel="00000000" w:rsidP="00000000" w:rsidRDefault="00000000" w:rsidRPr="00000000" w14:paraId="00000F17">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2025</w:t>
            </w:r>
          </w:p>
        </w:tc>
      </w:tr>
      <w:tr>
        <w:trPr>
          <w:cantSplit w:val="0"/>
          <w:tblHeader w:val="0"/>
        </w:trPr>
        <w:tc>
          <w:tcPr/>
          <w:p w:rsidR="00000000" w:rsidDel="00000000" w:rsidP="00000000" w:rsidRDefault="00000000" w:rsidRPr="00000000" w14:paraId="00000F18">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Número de contrato</w:t>
            </w:r>
            <w:r w:rsidDel="00000000" w:rsidR="00000000" w:rsidRPr="00000000">
              <w:rPr>
                <w:rtl w:val="0"/>
              </w:rPr>
            </w:r>
          </w:p>
        </w:tc>
        <w:tc>
          <w:tcPr/>
          <w:p w:rsidR="00000000" w:rsidDel="00000000" w:rsidP="00000000" w:rsidRDefault="00000000" w:rsidRPr="00000000" w14:paraId="00000F19">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CMA-MC-24353-MC-111-2025</w:t>
            </w:r>
          </w:p>
        </w:tc>
      </w:tr>
      <w:tr>
        <w:trPr>
          <w:cantSplit w:val="0"/>
          <w:tblHeader w:val="0"/>
        </w:trPr>
        <w:tc>
          <w:tcPr/>
          <w:p w:rsidR="00000000" w:rsidDel="00000000" w:rsidP="00000000" w:rsidRDefault="00000000" w:rsidRPr="00000000" w14:paraId="00000F1A">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Objeto del contrato</w:t>
            </w:r>
          </w:p>
        </w:tc>
        <w:tc>
          <w:tcPr/>
          <w:p w:rsidR="00000000" w:rsidDel="00000000" w:rsidP="00000000" w:rsidRDefault="00000000" w:rsidRPr="00000000" w14:paraId="00000F1B">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Prestar el servicio de mantenimiento preventivo para equipo Liofilizador marca Labconco del Laboratorio CEPARIO de la Facultad de Ciencias de la salud de la Institución Universitaria Colegio Mayor de Antioquia</w:t>
            </w:r>
          </w:p>
        </w:tc>
      </w:tr>
      <w:tr>
        <w:trPr>
          <w:cantSplit w:val="0"/>
          <w:tblHeader w:val="0"/>
        </w:trPr>
        <w:tc>
          <w:tcPr/>
          <w:p w:rsidR="00000000" w:rsidDel="00000000" w:rsidP="00000000" w:rsidRDefault="00000000" w:rsidRPr="00000000" w14:paraId="00000F1C">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Modalidad de selección</w:t>
            </w:r>
          </w:p>
        </w:tc>
        <w:tc>
          <w:tcPr/>
          <w:p w:rsidR="00000000" w:rsidDel="00000000" w:rsidP="00000000" w:rsidRDefault="00000000" w:rsidRPr="00000000" w14:paraId="00000F1D">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Mínima cuantía</w:t>
            </w:r>
          </w:p>
        </w:tc>
      </w:tr>
      <w:tr>
        <w:trPr>
          <w:cantSplit w:val="0"/>
          <w:tblHeader w:val="0"/>
        </w:trPr>
        <w:tc>
          <w:tcPr/>
          <w:p w:rsidR="00000000" w:rsidDel="00000000" w:rsidP="00000000" w:rsidRDefault="00000000" w:rsidRPr="00000000" w14:paraId="00000F1E">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Contratista</w:t>
            </w:r>
          </w:p>
        </w:tc>
        <w:tc>
          <w:tcPr/>
          <w:p w:rsidR="00000000" w:rsidDel="00000000" w:rsidP="00000000" w:rsidRDefault="00000000" w:rsidRPr="00000000" w14:paraId="00000F1F">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LANZETTA RENGIFO Y CIA SAS</w:t>
            </w:r>
          </w:p>
        </w:tc>
      </w:tr>
      <w:tr>
        <w:trPr>
          <w:cantSplit w:val="0"/>
          <w:tblHeader w:val="0"/>
        </w:trPr>
        <w:tc>
          <w:tcPr/>
          <w:p w:rsidR="00000000" w:rsidDel="00000000" w:rsidP="00000000" w:rsidRDefault="00000000" w:rsidRPr="00000000" w14:paraId="00000F20">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b w:val="1"/>
                <w:bCs w:val="1"/>
                <w:sz w:val="21"/>
                <w:szCs w:val="21"/>
                <w:rtl w:val="0"/>
              </w:rPr>
              <w:t xml:space="preserve">Valor del contrato</w:t>
            </w:r>
            <w:r w:rsidDel="00000000" w:rsidR="00000000" w:rsidRPr="00000000">
              <w:rPr>
                <w:rtl w:val="0"/>
              </w:rPr>
            </w:r>
          </w:p>
        </w:tc>
        <w:tc>
          <w:tcPr/>
          <w:p w:rsidR="00000000" w:rsidDel="00000000" w:rsidP="00000000" w:rsidRDefault="00000000" w:rsidRPr="00000000" w14:paraId="00000F21">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$ 4.823.070</w:t>
            </w:r>
          </w:p>
        </w:tc>
      </w:tr>
    </w:tbl>
    <w:p w:rsidR="00000000" w:rsidDel="00000000" w:rsidP="00000000" w:rsidRDefault="00000000" w:rsidRPr="00000000" w14:paraId="00000F22">
      <w:pPr>
        <w:tabs>
          <w:tab w:val="left" w:leader="none" w:pos="965"/>
        </w:tabs>
        <w:jc w:val="both"/>
        <w:rPr>
          <w:rFonts w:ascii="Verdana" w:cs="Verdana" w:eastAsia="Verdana" w:hAnsi="Verdana"/>
          <w:sz w:val="21"/>
          <w:szCs w:val="21"/>
        </w:rPr>
      </w:pPr>
      <w:r w:rsidDel="00000000" w:rsidR="00000000" w:rsidRPr="00000000">
        <w:rPr>
          <w:rtl w:val="0"/>
        </w:rPr>
      </w:r>
    </w:p>
    <w:tbl>
      <w:tblPr>
        <w:tblStyle w:val="Table7"/>
        <w:tblW w:w="976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939"/>
        <w:tblGridChange w:id="0">
          <w:tblGrid>
            <w:gridCol w:w="2830"/>
            <w:gridCol w:w="6939"/>
          </w:tblGrid>
        </w:tblGridChange>
      </w:tblGrid>
      <w:tr>
        <w:trPr>
          <w:cantSplit w:val="0"/>
          <w:tblHeader w:val="0"/>
        </w:trPr>
        <w:tc>
          <w:tcPr/>
          <w:p w:rsidR="00000000" w:rsidDel="00000000" w:rsidP="00000000" w:rsidRDefault="00000000" w:rsidRPr="00000000" w14:paraId="00000F23">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Vigencia</w:t>
            </w:r>
          </w:p>
        </w:tc>
        <w:tc>
          <w:tcPr/>
          <w:p w:rsidR="00000000" w:rsidDel="00000000" w:rsidP="00000000" w:rsidRDefault="00000000" w:rsidRPr="00000000" w14:paraId="00000F24">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2025</w:t>
            </w:r>
          </w:p>
        </w:tc>
      </w:tr>
      <w:tr>
        <w:trPr>
          <w:cantSplit w:val="0"/>
          <w:tblHeader w:val="0"/>
        </w:trPr>
        <w:tc>
          <w:tcPr/>
          <w:p w:rsidR="00000000" w:rsidDel="00000000" w:rsidP="00000000" w:rsidRDefault="00000000" w:rsidRPr="00000000" w14:paraId="00000F25">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Número de contrato</w:t>
            </w:r>
          </w:p>
        </w:tc>
        <w:tc>
          <w:tcPr/>
          <w:p w:rsidR="00000000" w:rsidDel="00000000" w:rsidP="00000000" w:rsidRDefault="00000000" w:rsidRPr="00000000" w14:paraId="00000F26">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CMA-MC-24348-MC-105-2025</w:t>
            </w:r>
          </w:p>
        </w:tc>
      </w:tr>
      <w:tr>
        <w:trPr>
          <w:cantSplit w:val="0"/>
          <w:tblHeader w:val="0"/>
        </w:trPr>
        <w:tc>
          <w:tcPr/>
          <w:p w:rsidR="00000000" w:rsidDel="00000000" w:rsidP="00000000" w:rsidRDefault="00000000" w:rsidRPr="00000000" w14:paraId="00000F27">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Objeto del contrato</w:t>
            </w:r>
          </w:p>
        </w:tc>
        <w:tc>
          <w:tcPr/>
          <w:p w:rsidR="00000000" w:rsidDel="00000000" w:rsidP="00000000" w:rsidRDefault="00000000" w:rsidRPr="00000000" w14:paraId="00000F28">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Prestación del servicio de mantenimiento preventivo para el equipo Biorreactor marca Applikon Getinge, ubicado en el Laboratorio BIOTECNOLOGÍA de la Facultad de Ciencias de la salud de la Institución Universitaria Colegio Mayor de Antioquia</w:t>
            </w:r>
          </w:p>
        </w:tc>
      </w:tr>
      <w:tr>
        <w:trPr>
          <w:cantSplit w:val="0"/>
          <w:tblHeader w:val="0"/>
        </w:trPr>
        <w:tc>
          <w:tcPr/>
          <w:p w:rsidR="00000000" w:rsidDel="00000000" w:rsidP="00000000" w:rsidRDefault="00000000" w:rsidRPr="00000000" w14:paraId="00000F29">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Modalidad de selección</w:t>
            </w:r>
          </w:p>
        </w:tc>
        <w:tc>
          <w:tcPr/>
          <w:p w:rsidR="00000000" w:rsidDel="00000000" w:rsidP="00000000" w:rsidRDefault="00000000" w:rsidRPr="00000000" w14:paraId="00000F2A">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Mínima cuantía</w:t>
            </w:r>
          </w:p>
        </w:tc>
      </w:tr>
      <w:tr>
        <w:trPr>
          <w:cantSplit w:val="0"/>
          <w:trHeight w:val="414" w:hRule="atLeast"/>
          <w:tblHeader w:val="0"/>
        </w:trPr>
        <w:tc>
          <w:tcPr/>
          <w:p w:rsidR="00000000" w:rsidDel="00000000" w:rsidP="00000000" w:rsidRDefault="00000000" w:rsidRPr="00000000" w14:paraId="00000F2B">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Contratista</w:t>
            </w:r>
          </w:p>
        </w:tc>
        <w:tc>
          <w:tcPr/>
          <w:p w:rsidR="00000000" w:rsidDel="00000000" w:rsidP="00000000" w:rsidRDefault="00000000" w:rsidRPr="00000000" w14:paraId="00000F2C">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Intek Group S.A.S.</w:t>
            </w:r>
          </w:p>
        </w:tc>
      </w:tr>
      <w:tr>
        <w:trPr>
          <w:cantSplit w:val="0"/>
          <w:tblHeader w:val="0"/>
        </w:trPr>
        <w:tc>
          <w:tcPr/>
          <w:p w:rsidR="00000000" w:rsidDel="00000000" w:rsidP="00000000" w:rsidRDefault="00000000" w:rsidRPr="00000000" w14:paraId="00000F2D">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b w:val="1"/>
                <w:bCs w:val="1"/>
                <w:sz w:val="21"/>
                <w:szCs w:val="21"/>
                <w:rtl w:val="0"/>
              </w:rPr>
              <w:t xml:space="preserve">Valor del contrato</w:t>
            </w:r>
            <w:r w:rsidDel="00000000" w:rsidR="00000000" w:rsidRPr="00000000">
              <w:rPr>
                <w:rtl w:val="0"/>
              </w:rPr>
            </w:r>
          </w:p>
        </w:tc>
        <w:tc>
          <w:tcPr/>
          <w:p w:rsidR="00000000" w:rsidDel="00000000" w:rsidP="00000000" w:rsidRDefault="00000000" w:rsidRPr="00000000" w14:paraId="00000F2E">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$ 11.682.505</w:t>
            </w:r>
          </w:p>
        </w:tc>
      </w:tr>
    </w:tbl>
    <w:p w:rsidR="00000000" w:rsidDel="00000000" w:rsidP="00000000" w:rsidRDefault="00000000" w:rsidRPr="00000000" w14:paraId="00000F2F">
      <w:pPr>
        <w:tabs>
          <w:tab w:val="left" w:leader="none" w:pos="965"/>
        </w:tabs>
        <w:jc w:val="both"/>
        <w:rPr>
          <w:rFonts w:ascii="Verdana" w:cs="Verdana" w:eastAsia="Verdana" w:hAnsi="Verdana"/>
          <w:sz w:val="21"/>
          <w:szCs w:val="21"/>
        </w:rPr>
      </w:pPr>
      <w:r w:rsidDel="00000000" w:rsidR="00000000" w:rsidRPr="00000000">
        <w:rPr>
          <w:rtl w:val="0"/>
        </w:rPr>
      </w:r>
    </w:p>
    <w:tbl>
      <w:tblPr>
        <w:tblStyle w:val="Table8"/>
        <w:tblW w:w="976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939"/>
        <w:tblGridChange w:id="0">
          <w:tblGrid>
            <w:gridCol w:w="2830"/>
            <w:gridCol w:w="6939"/>
          </w:tblGrid>
        </w:tblGridChange>
      </w:tblGrid>
      <w:tr>
        <w:trPr>
          <w:cantSplit w:val="0"/>
          <w:tblHeader w:val="0"/>
        </w:trPr>
        <w:tc>
          <w:tcPr/>
          <w:p w:rsidR="00000000" w:rsidDel="00000000" w:rsidP="00000000" w:rsidRDefault="00000000" w:rsidRPr="00000000" w14:paraId="00000F30">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Vigencia</w:t>
            </w:r>
          </w:p>
        </w:tc>
        <w:tc>
          <w:tcPr/>
          <w:p w:rsidR="00000000" w:rsidDel="00000000" w:rsidP="00000000" w:rsidRDefault="00000000" w:rsidRPr="00000000" w14:paraId="00000F31">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2025</w:t>
            </w:r>
          </w:p>
        </w:tc>
      </w:tr>
      <w:tr>
        <w:trPr>
          <w:cantSplit w:val="0"/>
          <w:tblHeader w:val="0"/>
        </w:trPr>
        <w:tc>
          <w:tcPr/>
          <w:p w:rsidR="00000000" w:rsidDel="00000000" w:rsidP="00000000" w:rsidRDefault="00000000" w:rsidRPr="00000000" w14:paraId="00000F32">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Número de contrato</w:t>
            </w:r>
          </w:p>
        </w:tc>
        <w:tc>
          <w:tcPr/>
          <w:p w:rsidR="00000000" w:rsidDel="00000000" w:rsidP="00000000" w:rsidRDefault="00000000" w:rsidRPr="00000000" w14:paraId="00000F33">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CMA-SIP019-24268-2025</w:t>
            </w:r>
          </w:p>
        </w:tc>
      </w:tr>
      <w:tr>
        <w:trPr>
          <w:cantSplit w:val="0"/>
          <w:tblHeader w:val="0"/>
        </w:trPr>
        <w:tc>
          <w:tcPr/>
          <w:p w:rsidR="00000000" w:rsidDel="00000000" w:rsidP="00000000" w:rsidRDefault="00000000" w:rsidRPr="00000000" w14:paraId="00000F34">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Objeto del contrato</w:t>
            </w:r>
          </w:p>
        </w:tc>
        <w:tc>
          <w:tcPr/>
          <w:p w:rsidR="00000000" w:rsidDel="00000000" w:rsidP="00000000" w:rsidRDefault="00000000" w:rsidRPr="00000000" w14:paraId="00000F35">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La Institución está interesada en contratar mediante la modalidad de Subasta Inversa, prestar los servicios de mantenimiento preventivo y/o correctivo, con calibración, a los equipos de los Laboratorios de ingeniería ambiental, y el laboratorio de suelos y construcción de la Facultad de Arquitectura e Ingeniería, de acuerdo con las especificaciones y las condiciones que se detallan en las especificaciones del objeto.</w:t>
            </w:r>
          </w:p>
        </w:tc>
      </w:tr>
      <w:tr>
        <w:trPr>
          <w:cantSplit w:val="0"/>
          <w:tblHeader w:val="0"/>
        </w:trPr>
        <w:tc>
          <w:tcPr/>
          <w:p w:rsidR="00000000" w:rsidDel="00000000" w:rsidP="00000000" w:rsidRDefault="00000000" w:rsidRPr="00000000" w14:paraId="00000F36">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Modalidad de selección</w:t>
            </w:r>
          </w:p>
        </w:tc>
        <w:tc>
          <w:tcPr/>
          <w:p w:rsidR="00000000" w:rsidDel="00000000" w:rsidP="00000000" w:rsidRDefault="00000000" w:rsidRPr="00000000" w14:paraId="00000F37">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Selección abreviada subasta inversa</w:t>
            </w:r>
          </w:p>
        </w:tc>
      </w:tr>
      <w:tr>
        <w:trPr>
          <w:cantSplit w:val="0"/>
          <w:trHeight w:val="414" w:hRule="atLeast"/>
          <w:tblHeader w:val="0"/>
        </w:trPr>
        <w:tc>
          <w:tcPr/>
          <w:p w:rsidR="00000000" w:rsidDel="00000000" w:rsidP="00000000" w:rsidRDefault="00000000" w:rsidRPr="00000000" w14:paraId="00000F38">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Contratista</w:t>
            </w:r>
          </w:p>
        </w:tc>
        <w:tc>
          <w:tcPr/>
          <w:p w:rsidR="00000000" w:rsidDel="00000000" w:rsidP="00000000" w:rsidRDefault="00000000" w:rsidRPr="00000000" w14:paraId="00000F39">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DIRIMPEX SAS</w:t>
            </w:r>
          </w:p>
        </w:tc>
      </w:tr>
      <w:tr>
        <w:trPr>
          <w:cantSplit w:val="0"/>
          <w:tblHeader w:val="0"/>
        </w:trPr>
        <w:tc>
          <w:tcPr/>
          <w:p w:rsidR="00000000" w:rsidDel="00000000" w:rsidP="00000000" w:rsidRDefault="00000000" w:rsidRPr="00000000" w14:paraId="00000F3A">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b w:val="1"/>
                <w:bCs w:val="1"/>
                <w:sz w:val="21"/>
                <w:szCs w:val="21"/>
                <w:rtl w:val="0"/>
              </w:rPr>
              <w:t xml:space="preserve">Valor del contrato</w:t>
            </w:r>
            <w:r w:rsidDel="00000000" w:rsidR="00000000" w:rsidRPr="00000000">
              <w:rPr>
                <w:rtl w:val="0"/>
              </w:rPr>
            </w:r>
          </w:p>
        </w:tc>
        <w:tc>
          <w:tcPr/>
          <w:p w:rsidR="00000000" w:rsidDel="00000000" w:rsidP="00000000" w:rsidRDefault="00000000" w:rsidRPr="00000000" w14:paraId="00000F3B">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$ 45.600.979</w:t>
            </w:r>
          </w:p>
        </w:tc>
      </w:tr>
    </w:tbl>
    <w:p w:rsidR="00000000" w:rsidDel="00000000" w:rsidP="00000000" w:rsidRDefault="00000000" w:rsidRPr="00000000" w14:paraId="00000F3C">
      <w:pPr>
        <w:tabs>
          <w:tab w:val="left" w:leader="none" w:pos="965"/>
        </w:tabs>
        <w:jc w:val="both"/>
        <w:rPr>
          <w:rFonts w:ascii="Verdana" w:cs="Verdana" w:eastAsia="Verdana" w:hAnsi="Verdana"/>
          <w:sz w:val="21"/>
          <w:szCs w:val="21"/>
        </w:rPr>
      </w:pPr>
      <w:r w:rsidDel="00000000" w:rsidR="00000000" w:rsidRPr="00000000">
        <w:rPr>
          <w:rtl w:val="0"/>
        </w:rPr>
      </w:r>
    </w:p>
    <w:tbl>
      <w:tblPr>
        <w:tblStyle w:val="Table9"/>
        <w:tblW w:w="976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939"/>
        <w:tblGridChange w:id="0">
          <w:tblGrid>
            <w:gridCol w:w="2830"/>
            <w:gridCol w:w="6939"/>
          </w:tblGrid>
        </w:tblGridChange>
      </w:tblGrid>
      <w:tr>
        <w:trPr>
          <w:cantSplit w:val="0"/>
          <w:tblHeader w:val="0"/>
        </w:trPr>
        <w:tc>
          <w:tcPr/>
          <w:p w:rsidR="00000000" w:rsidDel="00000000" w:rsidP="00000000" w:rsidRDefault="00000000" w:rsidRPr="00000000" w14:paraId="00000F3D">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Vigencia</w:t>
            </w:r>
          </w:p>
        </w:tc>
        <w:tc>
          <w:tcPr/>
          <w:p w:rsidR="00000000" w:rsidDel="00000000" w:rsidP="00000000" w:rsidRDefault="00000000" w:rsidRPr="00000000" w14:paraId="00000F3E">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2025</w:t>
            </w:r>
          </w:p>
        </w:tc>
      </w:tr>
      <w:tr>
        <w:trPr>
          <w:cantSplit w:val="0"/>
          <w:tblHeader w:val="0"/>
        </w:trPr>
        <w:tc>
          <w:tcPr/>
          <w:p w:rsidR="00000000" w:rsidDel="00000000" w:rsidP="00000000" w:rsidRDefault="00000000" w:rsidRPr="00000000" w14:paraId="00000F3F">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Número de contrato</w:t>
            </w:r>
          </w:p>
        </w:tc>
        <w:tc>
          <w:tcPr/>
          <w:p w:rsidR="00000000" w:rsidDel="00000000" w:rsidP="00000000" w:rsidRDefault="00000000" w:rsidRPr="00000000" w14:paraId="00000F40">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CMA-SIP013-24233-020-2025</w:t>
            </w:r>
          </w:p>
        </w:tc>
      </w:tr>
      <w:tr>
        <w:trPr>
          <w:cantSplit w:val="0"/>
          <w:tblHeader w:val="0"/>
        </w:trPr>
        <w:tc>
          <w:tcPr/>
          <w:p w:rsidR="00000000" w:rsidDel="00000000" w:rsidP="00000000" w:rsidRDefault="00000000" w:rsidRPr="00000000" w14:paraId="00000F41">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Objeto del contrato</w:t>
            </w:r>
          </w:p>
        </w:tc>
        <w:tc>
          <w:tcPr/>
          <w:p w:rsidR="00000000" w:rsidDel="00000000" w:rsidP="00000000" w:rsidRDefault="00000000" w:rsidRPr="00000000" w14:paraId="00000F42">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El CONTRATISTA se compromete con la INSTITUCIÓN UNIVERSITARIA COLEGIO MAYOR DE ANTIOQUIA para realizar la prestación del servicio de mantenimiento preventivo y/o correctivo a los equipos de los Laboratorios de la Facultad de Ciencias de la Salud, de acuerdo con las especificaciones y las condiciones comerciales que se detallan en el contrato</w:t>
            </w:r>
          </w:p>
        </w:tc>
      </w:tr>
      <w:tr>
        <w:trPr>
          <w:cantSplit w:val="0"/>
          <w:tblHeader w:val="0"/>
        </w:trPr>
        <w:tc>
          <w:tcPr/>
          <w:p w:rsidR="00000000" w:rsidDel="00000000" w:rsidP="00000000" w:rsidRDefault="00000000" w:rsidRPr="00000000" w14:paraId="00000F43">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Modalidad de selección</w:t>
            </w:r>
          </w:p>
        </w:tc>
        <w:tc>
          <w:tcPr/>
          <w:p w:rsidR="00000000" w:rsidDel="00000000" w:rsidP="00000000" w:rsidRDefault="00000000" w:rsidRPr="00000000" w14:paraId="00000F44">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Selección abreviada subasta inversa</w:t>
            </w:r>
          </w:p>
        </w:tc>
      </w:tr>
      <w:tr>
        <w:trPr>
          <w:cantSplit w:val="0"/>
          <w:trHeight w:val="414" w:hRule="atLeast"/>
          <w:tblHeader w:val="0"/>
        </w:trPr>
        <w:tc>
          <w:tcPr/>
          <w:p w:rsidR="00000000" w:rsidDel="00000000" w:rsidP="00000000" w:rsidRDefault="00000000" w:rsidRPr="00000000" w14:paraId="00000F45">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Contratista</w:t>
            </w:r>
          </w:p>
        </w:tc>
        <w:tc>
          <w:tcPr/>
          <w:p w:rsidR="00000000" w:rsidDel="00000000" w:rsidP="00000000" w:rsidRDefault="00000000" w:rsidRPr="00000000" w14:paraId="00000F46">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Servingtech SAS</w:t>
            </w:r>
          </w:p>
        </w:tc>
      </w:tr>
      <w:tr>
        <w:trPr>
          <w:cantSplit w:val="0"/>
          <w:tblHeader w:val="0"/>
        </w:trPr>
        <w:tc>
          <w:tcPr/>
          <w:p w:rsidR="00000000" w:rsidDel="00000000" w:rsidP="00000000" w:rsidRDefault="00000000" w:rsidRPr="00000000" w14:paraId="00000F47">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b w:val="1"/>
                <w:bCs w:val="1"/>
                <w:sz w:val="21"/>
                <w:szCs w:val="21"/>
                <w:rtl w:val="0"/>
              </w:rPr>
              <w:t xml:space="preserve">Valor del contrato</w:t>
            </w:r>
            <w:r w:rsidDel="00000000" w:rsidR="00000000" w:rsidRPr="00000000">
              <w:rPr>
                <w:rtl w:val="0"/>
              </w:rPr>
            </w:r>
          </w:p>
        </w:tc>
        <w:tc>
          <w:tcPr/>
          <w:p w:rsidR="00000000" w:rsidDel="00000000" w:rsidP="00000000" w:rsidRDefault="00000000" w:rsidRPr="00000000" w14:paraId="00000F48">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$ 166.730.917</w:t>
            </w:r>
          </w:p>
        </w:tc>
      </w:tr>
    </w:tbl>
    <w:p w:rsidR="00000000" w:rsidDel="00000000" w:rsidP="00000000" w:rsidRDefault="00000000" w:rsidRPr="00000000" w14:paraId="00000F49">
      <w:pP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F4A">
      <w:pP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F4B">
      <w:pPr>
        <w:tabs>
          <w:tab w:val="left" w:leader="none" w:pos="965"/>
        </w:tabs>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3.2. Histórico de compras o adquisiciones de otras Entidades Estatales </w:t>
      </w:r>
    </w:p>
    <w:p w:rsidR="00000000" w:rsidDel="00000000" w:rsidP="00000000" w:rsidRDefault="00000000" w:rsidRPr="00000000" w14:paraId="00000F4C">
      <w:pPr>
        <w:tabs>
          <w:tab w:val="left" w:leader="none" w:pos="965"/>
        </w:tabs>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F4D">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En las siguientes entidades estatales se han realizado contrataciones similares:</w:t>
      </w:r>
    </w:p>
    <w:p w:rsidR="00000000" w:rsidDel="00000000" w:rsidP="00000000" w:rsidRDefault="00000000" w:rsidRPr="00000000" w14:paraId="00000F4E">
      <w:pPr>
        <w:tabs>
          <w:tab w:val="left" w:leader="none" w:pos="965"/>
        </w:tabs>
        <w:jc w:val="both"/>
        <w:rPr>
          <w:rFonts w:ascii="Verdana" w:cs="Verdana" w:eastAsia="Verdana" w:hAnsi="Verdana"/>
          <w:sz w:val="21"/>
          <w:szCs w:val="21"/>
        </w:rPr>
      </w:pPr>
      <w:r w:rsidDel="00000000" w:rsidR="00000000" w:rsidRPr="00000000">
        <w:rPr>
          <w:rtl w:val="0"/>
        </w:rPr>
      </w:r>
    </w:p>
    <w:tbl>
      <w:tblPr>
        <w:tblStyle w:val="Table10"/>
        <w:tblW w:w="976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939"/>
        <w:tblGridChange w:id="0">
          <w:tblGrid>
            <w:gridCol w:w="2830"/>
            <w:gridCol w:w="6939"/>
          </w:tblGrid>
        </w:tblGridChange>
      </w:tblGrid>
      <w:tr>
        <w:trPr>
          <w:cantSplit w:val="0"/>
          <w:tblHeader w:val="0"/>
        </w:trPr>
        <w:tc>
          <w:tcPr/>
          <w:p w:rsidR="00000000" w:rsidDel="00000000" w:rsidP="00000000" w:rsidRDefault="00000000" w:rsidRPr="00000000" w14:paraId="00000F4F">
            <w:pPr>
              <w:tabs>
                <w:tab w:val="left" w:leader="none" w:pos="965"/>
              </w:tabs>
              <w:jc w:val="both"/>
              <w:rPr>
                <w:rFonts w:ascii="Verdana" w:cs="Verdana" w:eastAsia="Verdana" w:hAnsi="Verdana"/>
                <w:b w:val="1"/>
                <w:bCs w:val="1"/>
                <w:sz w:val="21"/>
                <w:szCs w:val="21"/>
              </w:rPr>
            </w:pPr>
            <w:bookmarkStart w:colFirst="0" w:colLast="0" w:name="_heading=h.2edyzmg5v5t9" w:id="2"/>
            <w:bookmarkEnd w:id="2"/>
            <w:r w:rsidDel="00000000" w:rsidR="00000000" w:rsidRPr="00000000">
              <w:rPr>
                <w:rFonts w:ascii="Verdana" w:cs="Verdana" w:eastAsia="Verdana" w:hAnsi="Verdana"/>
                <w:b w:val="1"/>
                <w:bCs w:val="1"/>
                <w:sz w:val="21"/>
                <w:szCs w:val="21"/>
                <w:rtl w:val="0"/>
              </w:rPr>
              <w:t xml:space="preserve">Vigencia</w:t>
            </w:r>
          </w:p>
        </w:tc>
        <w:tc>
          <w:tcPr/>
          <w:p w:rsidR="00000000" w:rsidDel="00000000" w:rsidP="00000000" w:rsidRDefault="00000000" w:rsidRPr="00000000" w14:paraId="00000F50">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2026</w:t>
            </w:r>
          </w:p>
        </w:tc>
      </w:tr>
      <w:tr>
        <w:trPr>
          <w:cantSplit w:val="0"/>
          <w:tblHeader w:val="0"/>
        </w:trPr>
        <w:tc>
          <w:tcPr/>
          <w:p w:rsidR="00000000" w:rsidDel="00000000" w:rsidP="00000000" w:rsidRDefault="00000000" w:rsidRPr="00000000" w14:paraId="00000F51">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Entidad contratante</w:t>
            </w:r>
          </w:p>
        </w:tc>
        <w:tc>
          <w:tcPr/>
          <w:p w:rsidR="00000000" w:rsidDel="00000000" w:rsidP="00000000" w:rsidRDefault="00000000" w:rsidRPr="00000000" w14:paraId="00000F52">
            <w:pPr>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SENA REGIONAL ANTIOQUIA Grupo Administrativo CTTAOA</w:t>
            </w:r>
            <w:r w:rsidDel="00000000" w:rsidR="00000000" w:rsidRPr="00000000">
              <w:rPr>
                <w:rFonts w:ascii="Tahoma" w:cs="Tahoma" w:eastAsia="Tahoma" w:hAnsi="Tahoma"/>
                <w:sz w:val="21"/>
                <w:szCs w:val="21"/>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F53">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Número de contrato</w:t>
            </w:r>
          </w:p>
        </w:tc>
        <w:tc>
          <w:tcPr/>
          <w:p w:rsidR="00000000" w:rsidDel="00000000" w:rsidP="00000000" w:rsidRDefault="00000000" w:rsidRPr="00000000" w14:paraId="00000F54">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CO1.PCCNTR.9754923</w:t>
            </w:r>
          </w:p>
        </w:tc>
      </w:tr>
      <w:tr>
        <w:trPr>
          <w:cantSplit w:val="0"/>
          <w:tblHeader w:val="0"/>
        </w:trPr>
        <w:tc>
          <w:tcPr/>
          <w:p w:rsidR="00000000" w:rsidDel="00000000" w:rsidP="00000000" w:rsidRDefault="00000000" w:rsidRPr="00000000" w14:paraId="00000F55">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Objeto del contrato</w:t>
            </w:r>
            <w:r w:rsidDel="00000000" w:rsidR="00000000" w:rsidRPr="00000000">
              <w:rPr>
                <w:rtl w:val="0"/>
              </w:rPr>
            </w:r>
          </w:p>
        </w:tc>
        <w:tc>
          <w:tcPr/>
          <w:p w:rsidR="00000000" w:rsidDel="00000000" w:rsidP="00000000" w:rsidRDefault="00000000" w:rsidRPr="00000000" w14:paraId="00000F56">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5_9549_316 Contratar el servicio de mantenimiento preventivo y correctivo, incluyendo la calibración, certificación y ajuste cuando aplique, de los equipos e instrumentos de laboratorio del Complejo Tecnológico Turístico y Agroindustrial del Occidente Antioqueño.</w:t>
            </w:r>
          </w:p>
        </w:tc>
      </w:tr>
      <w:tr>
        <w:trPr>
          <w:cantSplit w:val="0"/>
          <w:tblHeader w:val="0"/>
        </w:trPr>
        <w:tc>
          <w:tcPr/>
          <w:p w:rsidR="00000000" w:rsidDel="00000000" w:rsidP="00000000" w:rsidRDefault="00000000" w:rsidRPr="00000000" w14:paraId="00000F57">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Modalidad de selección</w:t>
            </w:r>
          </w:p>
        </w:tc>
        <w:tc>
          <w:tcPr/>
          <w:p w:rsidR="00000000" w:rsidDel="00000000" w:rsidP="00000000" w:rsidRDefault="00000000" w:rsidRPr="00000000" w14:paraId="00000F58">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MÍNIMA CUANTÍA</w:t>
            </w:r>
          </w:p>
        </w:tc>
      </w:tr>
      <w:tr>
        <w:trPr>
          <w:cantSplit w:val="0"/>
          <w:trHeight w:val="70" w:hRule="atLeast"/>
          <w:tblHeader w:val="0"/>
        </w:trPr>
        <w:tc>
          <w:tcPr/>
          <w:p w:rsidR="00000000" w:rsidDel="00000000" w:rsidP="00000000" w:rsidRDefault="00000000" w:rsidRPr="00000000" w14:paraId="00000F59">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Contratista</w:t>
            </w:r>
          </w:p>
        </w:tc>
        <w:tc>
          <w:tcPr/>
          <w:p w:rsidR="00000000" w:rsidDel="00000000" w:rsidP="00000000" w:rsidRDefault="00000000" w:rsidRPr="00000000" w14:paraId="00000F5A">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CESAR TABARES L Y CIA SAS</w:t>
            </w:r>
          </w:p>
        </w:tc>
      </w:tr>
      <w:tr>
        <w:trPr>
          <w:cantSplit w:val="0"/>
          <w:tblHeader w:val="0"/>
        </w:trPr>
        <w:tc>
          <w:tcPr/>
          <w:p w:rsidR="00000000" w:rsidDel="00000000" w:rsidP="00000000" w:rsidRDefault="00000000" w:rsidRPr="00000000" w14:paraId="00000F5B">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Valor del contrato</w:t>
            </w:r>
          </w:p>
        </w:tc>
        <w:tc>
          <w:tcPr/>
          <w:p w:rsidR="00000000" w:rsidDel="00000000" w:rsidP="00000000" w:rsidRDefault="00000000" w:rsidRPr="00000000" w14:paraId="00000F5C">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$ 35.800.000</w:t>
            </w:r>
          </w:p>
        </w:tc>
      </w:tr>
    </w:tbl>
    <w:p w:rsidR="00000000" w:rsidDel="00000000" w:rsidP="00000000" w:rsidRDefault="00000000" w:rsidRPr="00000000" w14:paraId="00000F5D">
      <w:pPr>
        <w:tabs>
          <w:tab w:val="left" w:leader="none" w:pos="965"/>
        </w:tabs>
        <w:jc w:val="both"/>
        <w:rPr>
          <w:rFonts w:ascii="Verdana" w:cs="Verdana" w:eastAsia="Verdana" w:hAnsi="Verdana"/>
          <w:sz w:val="21"/>
          <w:szCs w:val="21"/>
        </w:rPr>
      </w:pPr>
      <w:r w:rsidDel="00000000" w:rsidR="00000000" w:rsidRPr="00000000">
        <w:rPr>
          <w:rtl w:val="0"/>
        </w:rPr>
      </w:r>
    </w:p>
    <w:tbl>
      <w:tblPr>
        <w:tblStyle w:val="Table11"/>
        <w:tblW w:w="976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939"/>
        <w:tblGridChange w:id="0">
          <w:tblGrid>
            <w:gridCol w:w="2830"/>
            <w:gridCol w:w="6939"/>
          </w:tblGrid>
        </w:tblGridChange>
      </w:tblGrid>
      <w:tr>
        <w:trPr>
          <w:cantSplit w:val="0"/>
          <w:tblHeader w:val="0"/>
        </w:trPr>
        <w:tc>
          <w:tcPr/>
          <w:p w:rsidR="00000000" w:rsidDel="00000000" w:rsidP="00000000" w:rsidRDefault="00000000" w:rsidRPr="00000000" w14:paraId="00000F5E">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Vigencia</w:t>
            </w:r>
          </w:p>
        </w:tc>
        <w:tc>
          <w:tcPr/>
          <w:p w:rsidR="00000000" w:rsidDel="00000000" w:rsidP="00000000" w:rsidRDefault="00000000" w:rsidRPr="00000000" w14:paraId="00000F5F">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2026</w:t>
            </w:r>
          </w:p>
        </w:tc>
      </w:tr>
      <w:tr>
        <w:trPr>
          <w:cantSplit w:val="0"/>
          <w:tblHeader w:val="0"/>
        </w:trPr>
        <w:tc>
          <w:tcPr/>
          <w:p w:rsidR="00000000" w:rsidDel="00000000" w:rsidP="00000000" w:rsidRDefault="00000000" w:rsidRPr="00000000" w14:paraId="00000F60">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Entidad contratante</w:t>
            </w:r>
          </w:p>
        </w:tc>
        <w:tc>
          <w:tcPr/>
          <w:p w:rsidR="00000000" w:rsidDel="00000000" w:rsidP="00000000" w:rsidRDefault="00000000" w:rsidRPr="00000000" w14:paraId="00000F61">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POLITECNICO COLOMBIANO JAIME ISAZA CADAVID</w:t>
            </w:r>
          </w:p>
        </w:tc>
      </w:tr>
      <w:tr>
        <w:trPr>
          <w:cantSplit w:val="0"/>
          <w:tblHeader w:val="0"/>
        </w:trPr>
        <w:tc>
          <w:tcPr/>
          <w:p w:rsidR="00000000" w:rsidDel="00000000" w:rsidP="00000000" w:rsidRDefault="00000000" w:rsidRPr="00000000" w14:paraId="00000F62">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Número de contrato</w:t>
            </w:r>
          </w:p>
        </w:tc>
        <w:tc>
          <w:tcPr/>
          <w:p w:rsidR="00000000" w:rsidDel="00000000" w:rsidP="00000000" w:rsidRDefault="00000000" w:rsidRPr="00000000" w14:paraId="00000F63">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55259-2026</w:t>
            </w:r>
          </w:p>
        </w:tc>
      </w:tr>
      <w:tr>
        <w:trPr>
          <w:cantSplit w:val="0"/>
          <w:trHeight w:val="542" w:hRule="atLeast"/>
          <w:tblHeader w:val="0"/>
        </w:trPr>
        <w:tc>
          <w:tcPr/>
          <w:p w:rsidR="00000000" w:rsidDel="00000000" w:rsidP="00000000" w:rsidRDefault="00000000" w:rsidRPr="00000000" w14:paraId="00000F64">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Objeto del contrato</w:t>
            </w:r>
          </w:p>
        </w:tc>
        <w:tc>
          <w:tcPr/>
          <w:p w:rsidR="00000000" w:rsidDel="00000000" w:rsidP="00000000" w:rsidRDefault="00000000" w:rsidRPr="00000000" w14:paraId="00000F65">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Mantenimiento preventivo y calibración de equipos para los Laboratorios de Suelos y Tejidos Vegetales y Genética del Politécnico Colombiano Jaime Isaza Cadavid.</w:t>
            </w:r>
          </w:p>
        </w:tc>
      </w:tr>
      <w:tr>
        <w:trPr>
          <w:cantSplit w:val="0"/>
          <w:tblHeader w:val="0"/>
        </w:trPr>
        <w:tc>
          <w:tcPr/>
          <w:p w:rsidR="00000000" w:rsidDel="00000000" w:rsidP="00000000" w:rsidRDefault="00000000" w:rsidRPr="00000000" w14:paraId="00000F66">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Modalidad de selección</w:t>
            </w:r>
          </w:p>
        </w:tc>
        <w:tc>
          <w:tcPr/>
          <w:p w:rsidR="00000000" w:rsidDel="00000000" w:rsidP="00000000" w:rsidRDefault="00000000" w:rsidRPr="00000000" w14:paraId="00000F67">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MÍNIMA CUANTÍA</w:t>
            </w:r>
          </w:p>
        </w:tc>
      </w:tr>
      <w:tr>
        <w:trPr>
          <w:cantSplit w:val="0"/>
          <w:tblHeader w:val="0"/>
        </w:trPr>
        <w:tc>
          <w:tcPr/>
          <w:p w:rsidR="00000000" w:rsidDel="00000000" w:rsidP="00000000" w:rsidRDefault="00000000" w:rsidRPr="00000000" w14:paraId="00000F68">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Contratista</w:t>
            </w:r>
          </w:p>
        </w:tc>
        <w:tc>
          <w:tcPr/>
          <w:p w:rsidR="00000000" w:rsidDel="00000000" w:rsidP="00000000" w:rsidRDefault="00000000" w:rsidRPr="00000000" w14:paraId="00000F69">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ORANGE SOLUCIONES TÉCNICAS S.A.S</w:t>
            </w:r>
          </w:p>
        </w:tc>
      </w:tr>
      <w:tr>
        <w:trPr>
          <w:cantSplit w:val="0"/>
          <w:tblHeader w:val="0"/>
        </w:trPr>
        <w:tc>
          <w:tcPr/>
          <w:p w:rsidR="00000000" w:rsidDel="00000000" w:rsidP="00000000" w:rsidRDefault="00000000" w:rsidRPr="00000000" w14:paraId="00000F6A">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Valor del contrato</w:t>
            </w:r>
          </w:p>
        </w:tc>
        <w:tc>
          <w:tcPr/>
          <w:p w:rsidR="00000000" w:rsidDel="00000000" w:rsidP="00000000" w:rsidRDefault="00000000" w:rsidRPr="00000000" w14:paraId="00000F6B">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$ 4.400.164</w:t>
            </w:r>
          </w:p>
        </w:tc>
      </w:tr>
    </w:tbl>
    <w:p w:rsidR="00000000" w:rsidDel="00000000" w:rsidP="00000000" w:rsidRDefault="00000000" w:rsidRPr="00000000" w14:paraId="00000F6C">
      <w:pPr>
        <w:tabs>
          <w:tab w:val="left" w:leader="none" w:pos="965"/>
        </w:tabs>
        <w:jc w:val="both"/>
        <w:rPr>
          <w:rFonts w:ascii="Verdana" w:cs="Verdana" w:eastAsia="Verdana" w:hAnsi="Verdana"/>
          <w:sz w:val="21"/>
          <w:szCs w:val="21"/>
        </w:rPr>
      </w:pPr>
      <w:r w:rsidDel="00000000" w:rsidR="00000000" w:rsidRPr="00000000">
        <w:rPr>
          <w:rtl w:val="0"/>
        </w:rPr>
      </w:r>
    </w:p>
    <w:tbl>
      <w:tblPr>
        <w:tblStyle w:val="Table12"/>
        <w:tblW w:w="976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939"/>
        <w:tblGridChange w:id="0">
          <w:tblGrid>
            <w:gridCol w:w="2830"/>
            <w:gridCol w:w="6939"/>
          </w:tblGrid>
        </w:tblGridChange>
      </w:tblGrid>
      <w:tr>
        <w:trPr>
          <w:cantSplit w:val="0"/>
          <w:tblHeader w:val="0"/>
        </w:trPr>
        <w:tc>
          <w:tcPr/>
          <w:p w:rsidR="00000000" w:rsidDel="00000000" w:rsidP="00000000" w:rsidRDefault="00000000" w:rsidRPr="00000000" w14:paraId="00000F6D">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Vigencia</w:t>
            </w:r>
          </w:p>
        </w:tc>
        <w:tc>
          <w:tcPr/>
          <w:p w:rsidR="00000000" w:rsidDel="00000000" w:rsidP="00000000" w:rsidRDefault="00000000" w:rsidRPr="00000000" w14:paraId="00000F6E">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2026</w:t>
            </w:r>
          </w:p>
        </w:tc>
      </w:tr>
      <w:tr>
        <w:trPr>
          <w:cantSplit w:val="0"/>
          <w:tblHeader w:val="0"/>
        </w:trPr>
        <w:tc>
          <w:tcPr/>
          <w:p w:rsidR="00000000" w:rsidDel="00000000" w:rsidP="00000000" w:rsidRDefault="00000000" w:rsidRPr="00000000" w14:paraId="00000F6F">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Entidad contratante</w:t>
            </w:r>
          </w:p>
        </w:tc>
        <w:tc>
          <w:tcPr/>
          <w:p w:rsidR="00000000" w:rsidDel="00000000" w:rsidP="00000000" w:rsidRDefault="00000000" w:rsidRPr="00000000" w14:paraId="00000F70">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CORANTIOQUIA</w:t>
            </w:r>
          </w:p>
        </w:tc>
      </w:tr>
      <w:tr>
        <w:trPr>
          <w:cantSplit w:val="0"/>
          <w:tblHeader w:val="0"/>
        </w:trPr>
        <w:tc>
          <w:tcPr/>
          <w:p w:rsidR="00000000" w:rsidDel="00000000" w:rsidP="00000000" w:rsidRDefault="00000000" w:rsidRPr="00000000" w14:paraId="00000F71">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Número de contrato</w:t>
            </w:r>
          </w:p>
        </w:tc>
        <w:tc>
          <w:tcPr/>
          <w:p w:rsidR="00000000" w:rsidDel="00000000" w:rsidP="00000000" w:rsidRDefault="00000000" w:rsidRPr="00000000" w14:paraId="00000F72">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110-CNT2608-432</w:t>
            </w:r>
          </w:p>
        </w:tc>
      </w:tr>
      <w:tr>
        <w:trPr>
          <w:cantSplit w:val="0"/>
          <w:tblHeader w:val="0"/>
        </w:trPr>
        <w:tc>
          <w:tcPr/>
          <w:p w:rsidR="00000000" w:rsidDel="00000000" w:rsidP="00000000" w:rsidRDefault="00000000" w:rsidRPr="00000000" w14:paraId="00000F73">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Objeto del contrato</w:t>
            </w:r>
          </w:p>
        </w:tc>
        <w:tc>
          <w:tcPr/>
          <w:p w:rsidR="00000000" w:rsidDel="00000000" w:rsidP="00000000" w:rsidRDefault="00000000" w:rsidRPr="00000000" w14:paraId="00000F74">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Servicio de mantenimiento preventivo y correctivo en los equipos de las marcas THERMO FISHER SCIENTIFIC, MILESTONE y TRACE ELEMENTAL instalados en el Laboratorio Ambiental con el suministro de consumibles y/o repuestos</w:t>
            </w:r>
          </w:p>
        </w:tc>
      </w:tr>
      <w:tr>
        <w:trPr>
          <w:cantSplit w:val="0"/>
          <w:tblHeader w:val="0"/>
        </w:trPr>
        <w:tc>
          <w:tcPr/>
          <w:p w:rsidR="00000000" w:rsidDel="00000000" w:rsidP="00000000" w:rsidRDefault="00000000" w:rsidRPr="00000000" w14:paraId="00000F75">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Modalidad de selección</w:t>
            </w:r>
          </w:p>
        </w:tc>
        <w:tc>
          <w:tcPr/>
          <w:p w:rsidR="00000000" w:rsidDel="00000000" w:rsidP="00000000" w:rsidRDefault="00000000" w:rsidRPr="00000000" w14:paraId="00000F76">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Selección abreviada menor cuantía</w:t>
            </w:r>
          </w:p>
        </w:tc>
      </w:tr>
      <w:tr>
        <w:trPr>
          <w:cantSplit w:val="0"/>
          <w:tblHeader w:val="0"/>
        </w:trPr>
        <w:tc>
          <w:tcPr/>
          <w:p w:rsidR="00000000" w:rsidDel="00000000" w:rsidP="00000000" w:rsidRDefault="00000000" w:rsidRPr="00000000" w14:paraId="00000F77">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Contratista</w:t>
            </w:r>
          </w:p>
        </w:tc>
        <w:tc>
          <w:tcPr/>
          <w:p w:rsidR="00000000" w:rsidDel="00000000" w:rsidP="00000000" w:rsidRDefault="00000000" w:rsidRPr="00000000" w14:paraId="00000F78">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INNOVATEK S.A.S.</w:t>
            </w:r>
          </w:p>
        </w:tc>
      </w:tr>
      <w:tr>
        <w:trPr>
          <w:cantSplit w:val="0"/>
          <w:tblHeader w:val="0"/>
        </w:trPr>
        <w:tc>
          <w:tcPr/>
          <w:p w:rsidR="00000000" w:rsidDel="00000000" w:rsidP="00000000" w:rsidRDefault="00000000" w:rsidRPr="00000000" w14:paraId="00000F79">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Valor del contrato</w:t>
            </w:r>
          </w:p>
        </w:tc>
        <w:tc>
          <w:tcPr/>
          <w:p w:rsidR="00000000" w:rsidDel="00000000" w:rsidP="00000000" w:rsidRDefault="00000000" w:rsidRPr="00000000" w14:paraId="00000F7A">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$ 130.000.000</w:t>
            </w:r>
          </w:p>
        </w:tc>
      </w:tr>
    </w:tbl>
    <w:p w:rsidR="00000000" w:rsidDel="00000000" w:rsidP="00000000" w:rsidRDefault="00000000" w:rsidRPr="00000000" w14:paraId="00000F7B">
      <w:pPr>
        <w:tabs>
          <w:tab w:val="left" w:leader="none" w:pos="965"/>
        </w:tabs>
        <w:jc w:val="both"/>
        <w:rPr>
          <w:rFonts w:ascii="Verdana" w:cs="Verdana" w:eastAsia="Verdana" w:hAnsi="Verdana"/>
          <w:sz w:val="21"/>
          <w:szCs w:val="21"/>
        </w:rPr>
      </w:pPr>
      <w:r w:rsidDel="00000000" w:rsidR="00000000" w:rsidRPr="00000000">
        <w:rPr>
          <w:rtl w:val="0"/>
        </w:rPr>
      </w:r>
    </w:p>
    <w:tbl>
      <w:tblPr>
        <w:tblStyle w:val="Table13"/>
        <w:tblW w:w="976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6939"/>
        <w:tblGridChange w:id="0">
          <w:tblGrid>
            <w:gridCol w:w="2830"/>
            <w:gridCol w:w="6939"/>
          </w:tblGrid>
        </w:tblGridChange>
      </w:tblGrid>
      <w:tr>
        <w:trPr>
          <w:cantSplit w:val="0"/>
          <w:tblHeader w:val="0"/>
        </w:trPr>
        <w:tc>
          <w:tcPr/>
          <w:p w:rsidR="00000000" w:rsidDel="00000000" w:rsidP="00000000" w:rsidRDefault="00000000" w:rsidRPr="00000000" w14:paraId="00000F7C">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Vigencia</w:t>
            </w:r>
          </w:p>
        </w:tc>
        <w:tc>
          <w:tcPr/>
          <w:p w:rsidR="00000000" w:rsidDel="00000000" w:rsidP="00000000" w:rsidRDefault="00000000" w:rsidRPr="00000000" w14:paraId="00000F7D">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2025</w:t>
            </w:r>
          </w:p>
        </w:tc>
      </w:tr>
      <w:tr>
        <w:trPr>
          <w:cantSplit w:val="0"/>
          <w:tblHeader w:val="0"/>
        </w:trPr>
        <w:tc>
          <w:tcPr/>
          <w:p w:rsidR="00000000" w:rsidDel="00000000" w:rsidP="00000000" w:rsidRDefault="00000000" w:rsidRPr="00000000" w14:paraId="00000F7E">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Entidad contratante</w:t>
            </w:r>
          </w:p>
        </w:tc>
        <w:tc>
          <w:tcPr/>
          <w:p w:rsidR="00000000" w:rsidDel="00000000" w:rsidP="00000000" w:rsidRDefault="00000000" w:rsidRPr="00000000" w14:paraId="00000F7F">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INSTITUCIÓN UNIVERSITARIA ITM</w:t>
            </w:r>
          </w:p>
        </w:tc>
      </w:tr>
      <w:tr>
        <w:trPr>
          <w:cantSplit w:val="0"/>
          <w:tblHeader w:val="0"/>
        </w:trPr>
        <w:tc>
          <w:tcPr/>
          <w:p w:rsidR="00000000" w:rsidDel="00000000" w:rsidP="00000000" w:rsidRDefault="00000000" w:rsidRPr="00000000" w14:paraId="00000F80">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Número de contrato</w:t>
            </w:r>
          </w:p>
        </w:tc>
        <w:tc>
          <w:tcPr/>
          <w:p w:rsidR="00000000" w:rsidDel="00000000" w:rsidP="00000000" w:rsidRDefault="00000000" w:rsidRPr="00000000" w14:paraId="00000F81">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PJ 21158 DE 2025</w:t>
            </w:r>
          </w:p>
        </w:tc>
      </w:tr>
      <w:tr>
        <w:trPr>
          <w:cantSplit w:val="0"/>
          <w:tblHeader w:val="0"/>
        </w:trPr>
        <w:tc>
          <w:tcPr/>
          <w:p w:rsidR="00000000" w:rsidDel="00000000" w:rsidP="00000000" w:rsidRDefault="00000000" w:rsidRPr="00000000" w14:paraId="00000F82">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Objeto del contrato</w:t>
            </w:r>
          </w:p>
        </w:tc>
        <w:tc>
          <w:tcPr/>
          <w:p w:rsidR="00000000" w:rsidDel="00000000" w:rsidP="00000000" w:rsidRDefault="00000000" w:rsidRPr="00000000" w14:paraId="00000F83">
            <w:pPr>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Mantenimiento preventivo, calibración, y adquisición de consumibles para el equipo Nanoplus HD - MICROMERITICS perteneciente al laboratorio de Ciencias térmicas de Parque i.</w:t>
            </w:r>
          </w:p>
        </w:tc>
      </w:tr>
      <w:tr>
        <w:trPr>
          <w:cantSplit w:val="0"/>
          <w:tblHeader w:val="0"/>
        </w:trPr>
        <w:tc>
          <w:tcPr/>
          <w:p w:rsidR="00000000" w:rsidDel="00000000" w:rsidP="00000000" w:rsidRDefault="00000000" w:rsidRPr="00000000" w14:paraId="00000F84">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Modalidad de selección</w:t>
            </w:r>
          </w:p>
        </w:tc>
        <w:tc>
          <w:tcPr/>
          <w:p w:rsidR="00000000" w:rsidDel="00000000" w:rsidP="00000000" w:rsidRDefault="00000000" w:rsidRPr="00000000" w14:paraId="00000F85">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Contratación directa (con ofertas)</w:t>
            </w:r>
          </w:p>
        </w:tc>
      </w:tr>
      <w:tr>
        <w:trPr>
          <w:cantSplit w:val="0"/>
          <w:tblHeader w:val="0"/>
        </w:trPr>
        <w:tc>
          <w:tcPr/>
          <w:p w:rsidR="00000000" w:rsidDel="00000000" w:rsidP="00000000" w:rsidRDefault="00000000" w:rsidRPr="00000000" w14:paraId="00000F86">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Contratista</w:t>
            </w:r>
          </w:p>
        </w:tc>
        <w:tc>
          <w:tcPr/>
          <w:p w:rsidR="00000000" w:rsidDel="00000000" w:rsidP="00000000" w:rsidRDefault="00000000" w:rsidRPr="00000000" w14:paraId="00000F87">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IMPORTECNICAL SAS</w:t>
            </w:r>
          </w:p>
        </w:tc>
      </w:tr>
      <w:tr>
        <w:trPr>
          <w:cantSplit w:val="0"/>
          <w:tblHeader w:val="0"/>
        </w:trPr>
        <w:tc>
          <w:tcPr/>
          <w:p w:rsidR="00000000" w:rsidDel="00000000" w:rsidP="00000000" w:rsidRDefault="00000000" w:rsidRPr="00000000" w14:paraId="00000F88">
            <w:pPr>
              <w:tabs>
                <w:tab w:val="left" w:leader="none" w:pos="965"/>
              </w:tabs>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Valor del contrato</w:t>
            </w:r>
          </w:p>
        </w:tc>
        <w:tc>
          <w:tcPr/>
          <w:p w:rsidR="00000000" w:rsidDel="00000000" w:rsidP="00000000" w:rsidRDefault="00000000" w:rsidRPr="00000000" w14:paraId="00000F89">
            <w:pPr>
              <w:tabs>
                <w:tab w:val="left" w:leader="none" w:pos="965"/>
              </w:tabs>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$ 11.305.000</w:t>
            </w:r>
          </w:p>
        </w:tc>
      </w:tr>
    </w:tbl>
    <w:p w:rsidR="00000000" w:rsidDel="00000000" w:rsidP="00000000" w:rsidRDefault="00000000" w:rsidRPr="00000000" w14:paraId="00000F8A">
      <w:pPr>
        <w:tabs>
          <w:tab w:val="left" w:leader="none" w:pos="965"/>
        </w:tabs>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F8B">
      <w:pPr>
        <w:tabs>
          <w:tab w:val="left" w:leader="none" w:pos="965"/>
        </w:tabs>
        <w:jc w:val="both"/>
        <w:rPr>
          <w:rFonts w:ascii="Verdana" w:cs="Verdana" w:eastAsia="Verdana" w:hAnsi="Verdana"/>
          <w:sz w:val="21"/>
          <w:szCs w:val="21"/>
        </w:rPr>
      </w:pPr>
      <w:bookmarkStart w:colFirst="0" w:colLast="0" w:name="_heading=h.x4jslu1qty33" w:id="3"/>
      <w:bookmarkEnd w:id="3"/>
      <w:r w:rsidDel="00000000" w:rsidR="00000000" w:rsidRPr="00000000">
        <w:rPr>
          <w:rtl w:val="0"/>
        </w:rPr>
      </w:r>
    </w:p>
    <w:p w:rsidR="00000000" w:rsidDel="00000000" w:rsidP="00000000" w:rsidRDefault="00000000" w:rsidRPr="00000000" w14:paraId="00000F8C">
      <w:pPr>
        <w:numPr>
          <w:ilvl w:val="0"/>
          <w:numId w:val="3"/>
        </w:numPr>
        <w:pBdr>
          <w:top w:space="0" w:sz="0" w:val="nil"/>
          <w:left w:space="0" w:sz="0" w:val="nil"/>
          <w:bottom w:space="0" w:sz="0" w:val="nil"/>
          <w:right w:space="0" w:sz="0" w:val="nil"/>
          <w:between w:space="0" w:sz="0" w:val="nil"/>
        </w:pBdr>
        <w:spacing w:after="200" w:lineRule="auto"/>
        <w:ind w:left="720" w:hanging="36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ESTUDIO DE MERCADO</w:t>
      </w:r>
    </w:p>
    <w:p w:rsidR="00000000" w:rsidDel="00000000" w:rsidP="00000000" w:rsidRDefault="00000000" w:rsidRPr="00000000" w14:paraId="00000F8D">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La Institución llevó a cabo un estudio de mercado con el propósito de establecer el presupuesto oficial para la contratación del </w:t>
      </w:r>
      <w:r w:rsidDel="00000000" w:rsidR="00000000" w:rsidRPr="00000000">
        <w:rPr>
          <w:rFonts w:ascii="Verdana" w:cs="Verdana" w:eastAsia="Verdana" w:hAnsi="Verdana"/>
          <w:color w:val="000000"/>
          <w:sz w:val="21"/>
          <w:szCs w:val="21"/>
          <w:rtl w:val="0"/>
        </w:rPr>
        <w:t xml:space="preserve">bien o servicio </w:t>
      </w:r>
      <w:r w:rsidDel="00000000" w:rsidR="00000000" w:rsidRPr="00000000">
        <w:rPr>
          <w:rFonts w:ascii="Verdana" w:cs="Verdana" w:eastAsia="Verdana" w:hAnsi="Verdana"/>
          <w:color w:val="000000"/>
          <w:sz w:val="21"/>
          <w:szCs w:val="21"/>
          <w:rtl w:val="0"/>
        </w:rPr>
        <w:t xml:space="preserve">requerido. Para ello, se solicitaron cotizaciones a diferentes proveedores del mercado, teniendo en cuenta las especificaciones técnicas del bien o servicio en los valores presentados.</w:t>
      </w:r>
    </w:p>
    <w:p w:rsidR="00000000" w:rsidDel="00000000" w:rsidP="00000000" w:rsidRDefault="00000000" w:rsidRPr="00000000" w14:paraId="00000F8E">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Para el presente estudio del sector, se tuvo en cuenta las cotizaciones realizadas a las siguientes empresas:</w:t>
      </w:r>
    </w:p>
    <w:p w:rsidR="00000000" w:rsidDel="00000000" w:rsidP="00000000" w:rsidRDefault="00000000" w:rsidRPr="00000000" w14:paraId="00000F8F">
      <w:pPr>
        <w:numPr>
          <w:ilvl w:val="0"/>
          <w:numId w:val="4"/>
        </w:numPr>
        <w:pBdr>
          <w:top w:space="0" w:sz="0" w:val="nil"/>
          <w:left w:space="0" w:sz="0" w:val="nil"/>
          <w:bottom w:space="0" w:sz="0" w:val="nil"/>
          <w:right w:space="0" w:sz="0" w:val="nil"/>
          <w:between w:space="0" w:sz="0" w:val="nil"/>
        </w:pBdr>
        <w:ind w:left="720" w:hanging="360"/>
        <w:jc w:val="both"/>
        <w:rPr/>
      </w:pPr>
      <w:r w:rsidDel="00000000" w:rsidR="00000000" w:rsidRPr="00000000">
        <w:rPr>
          <w:rtl w:val="0"/>
        </w:rPr>
        <w:t xml:space="preserve">CODEVELT</w:t>
      </w:r>
    </w:p>
    <w:p w:rsidR="00000000" w:rsidDel="00000000" w:rsidP="00000000" w:rsidRDefault="00000000" w:rsidRPr="00000000" w14:paraId="00000F90">
      <w:pPr>
        <w:numPr>
          <w:ilvl w:val="0"/>
          <w:numId w:val="4"/>
        </w:numPr>
        <w:pBdr>
          <w:top w:space="0" w:sz="0" w:val="nil"/>
          <w:left w:space="0" w:sz="0" w:val="nil"/>
          <w:bottom w:space="0" w:sz="0" w:val="nil"/>
          <w:right w:space="0" w:sz="0" w:val="nil"/>
          <w:between w:space="0" w:sz="0" w:val="nil"/>
        </w:pBdr>
        <w:ind w:left="720" w:hanging="360"/>
        <w:jc w:val="both"/>
        <w:rPr/>
      </w:pPr>
      <w:r w:rsidDel="00000000" w:rsidR="00000000" w:rsidRPr="00000000">
        <w:rPr>
          <w:rtl w:val="0"/>
        </w:rPr>
        <w:t xml:space="preserve">ORANGE SOLUCIONES TECNICAS S.A.S</w:t>
      </w:r>
    </w:p>
    <w:p w:rsidR="00000000" w:rsidDel="00000000" w:rsidP="00000000" w:rsidRDefault="00000000" w:rsidRPr="00000000" w14:paraId="00000F91">
      <w:pPr>
        <w:numPr>
          <w:ilvl w:val="0"/>
          <w:numId w:val="4"/>
        </w:numPr>
        <w:pBdr>
          <w:top w:space="0" w:sz="0" w:val="nil"/>
          <w:left w:space="0" w:sz="0" w:val="nil"/>
          <w:bottom w:space="0" w:sz="0" w:val="nil"/>
          <w:right w:space="0" w:sz="0" w:val="nil"/>
          <w:between w:space="0" w:sz="0" w:val="nil"/>
        </w:pBdr>
        <w:ind w:left="720" w:hanging="360"/>
        <w:jc w:val="both"/>
        <w:rPr>
          <w:color w:val="000000"/>
          <w:sz w:val="21"/>
          <w:szCs w:val="21"/>
        </w:rPr>
      </w:pPr>
      <w:r w:rsidDel="00000000" w:rsidR="00000000" w:rsidRPr="00000000">
        <w:rPr>
          <w:rtl w:val="0"/>
        </w:rPr>
        <w:t xml:space="preserve">SERVINGTECH S.A.S.</w:t>
      </w:r>
      <w:r w:rsidDel="00000000" w:rsidR="00000000" w:rsidRPr="00000000">
        <w:rPr>
          <w:rFonts w:ascii="Verdana" w:cs="Verdana" w:eastAsia="Verdana" w:hAnsi="Verdana"/>
          <w:color w:val="000000"/>
          <w:sz w:val="21"/>
          <w:szCs w:val="21"/>
          <w:rtl w:val="0"/>
        </w:rPr>
        <w:t xml:space="preserve"> </w:t>
      </w:r>
    </w:p>
    <w:p w:rsidR="00000000" w:rsidDel="00000000" w:rsidP="00000000" w:rsidRDefault="00000000" w:rsidRPr="00000000" w14:paraId="00000F92">
      <w:pPr>
        <w:pBdr>
          <w:top w:space="0" w:sz="0" w:val="nil"/>
          <w:left w:space="0" w:sz="0" w:val="nil"/>
          <w:bottom w:space="0" w:sz="0" w:val="nil"/>
          <w:right w:space="0" w:sz="0" w:val="nil"/>
          <w:between w:space="0" w:sz="0" w:val="nil"/>
        </w:pBdr>
        <w:ind w:left="720" w:firstLine="0"/>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F93">
      <w:pPr>
        <w:pBdr>
          <w:top w:space="0" w:sz="0" w:val="nil"/>
          <w:left w:space="0" w:sz="0" w:val="nil"/>
          <w:bottom w:space="0" w:sz="0" w:val="nil"/>
          <w:right w:space="0" w:sz="0" w:val="nil"/>
          <w:between w:space="0" w:sz="0" w:val="nil"/>
        </w:pBdr>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De acuerdo a lo anterior, el presupuesto oficial es de $ 143.908.173</w:t>
      </w:r>
    </w:p>
    <w:p w:rsidR="00000000" w:rsidDel="00000000" w:rsidP="00000000" w:rsidRDefault="00000000" w:rsidRPr="00000000" w14:paraId="00000F94">
      <w:pPr>
        <w:pBdr>
          <w:top w:space="0" w:sz="0" w:val="nil"/>
          <w:left w:space="0" w:sz="0" w:val="nil"/>
          <w:bottom w:space="0" w:sz="0" w:val="nil"/>
          <w:right w:space="0" w:sz="0" w:val="nil"/>
          <w:between w:space="0" w:sz="0" w:val="nil"/>
        </w:pBdr>
        <w:spacing w:after="200" w:lineRule="auto"/>
        <w:jc w:val="both"/>
        <w:rPr>
          <w:rFonts w:ascii="Verdana" w:cs="Verdana" w:eastAsia="Verdana" w:hAnsi="Verdana"/>
          <w:b w:val="1"/>
          <w:bCs w:val="1"/>
          <w:color w:val="000000"/>
          <w:sz w:val="21"/>
          <w:szCs w:val="21"/>
        </w:rPr>
      </w:pPr>
      <w:r w:rsidDel="00000000" w:rsidR="00000000" w:rsidRPr="00000000">
        <w:rPr>
          <w:rFonts w:ascii="Verdana" w:cs="Verdana" w:eastAsia="Verdana" w:hAnsi="Verdana"/>
          <w:color w:val="000000"/>
          <w:sz w:val="21"/>
          <w:szCs w:val="21"/>
          <w:rtl w:val="0"/>
        </w:rPr>
        <w:tab/>
      </w:r>
      <w:r w:rsidDel="00000000" w:rsidR="00000000" w:rsidRPr="00000000">
        <w:rPr>
          <w:rtl w:val="0"/>
        </w:rPr>
      </w:r>
    </w:p>
    <w:p w:rsidR="00000000" w:rsidDel="00000000" w:rsidP="00000000" w:rsidRDefault="00000000" w:rsidRPr="00000000" w14:paraId="00000F95">
      <w:pPr>
        <w:numPr>
          <w:ilvl w:val="0"/>
          <w:numId w:val="3"/>
        </w:numPr>
        <w:pBdr>
          <w:top w:space="0" w:sz="0" w:val="nil"/>
          <w:left w:space="0" w:sz="0" w:val="nil"/>
          <w:bottom w:space="0" w:sz="0" w:val="nil"/>
          <w:right w:space="0" w:sz="0" w:val="nil"/>
          <w:between w:space="0" w:sz="0" w:val="nil"/>
        </w:pBdr>
        <w:spacing w:after="200" w:lineRule="auto"/>
        <w:ind w:left="720" w:hanging="36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PRECIOS ARTIFICIALMENTE BAJOS</w:t>
      </w:r>
    </w:p>
    <w:p w:rsidR="00000000" w:rsidDel="00000000" w:rsidP="00000000" w:rsidRDefault="00000000" w:rsidRPr="00000000" w14:paraId="00000F96">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De conformidad con lo dispuesto en el artículo 2.2.1.1.2.2.4 del Decreto 1082 de 2015 y en aplicación de la “Guía para el Manejo de Ofertas Artificialmente Bajas en Procedimientos de Contratación” emitida por la Agencia Nacional de Contratación Pública – Colombia Compra Eficiente-, la Entidad verificará la existencia de posibles precios artificialmente bajos mediante las metodologías establecidas en dicha guía, según el número de ofertas válidas recibidas:</w:t>
      </w:r>
    </w:p>
    <w:p w:rsidR="00000000" w:rsidDel="00000000" w:rsidP="00000000" w:rsidRDefault="00000000" w:rsidRPr="00000000" w14:paraId="00000F97">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Comparación absoluta: cuando se reciban menos de cinco (5) ofertas, se comparará el valor de cada oferta con el costo total estimado por la Entidad. Si una oferta presenta una disminución igual o superior al veinte por ciento (20%) respecto al valor del presupuesto oficial inicial estipulado por la Institución, se considerará como una posible oferta artificialmente baja.</w:t>
      </w:r>
    </w:p>
    <w:p w:rsidR="00000000" w:rsidDel="00000000" w:rsidP="00000000" w:rsidRDefault="00000000" w:rsidRPr="00000000" w14:paraId="00000F98">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Comparación relativa: cuando se reciban cinco (5) o más ofertas, se calculará la mediana y la desviación estándar del conjunto de ofertas económicas recibidas. Toda oferta cuyo valor esté por debajo del valor mínimo aceptable, calculado con la siguiente fórmula, será considerada como una posible oferta artificialmente baja:</w:t>
      </w:r>
    </w:p>
    <w:p w:rsidR="00000000" w:rsidDel="00000000" w:rsidP="00000000" w:rsidRDefault="00000000" w:rsidRPr="00000000" w14:paraId="00000F99">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sdt>
        <w:sdtPr>
          <w:id w:val="914369238"/>
          <w:tag w:val="goog_rdk_0"/>
        </w:sdtPr>
        <w:sdtContent>
          <w:r w:rsidDel="00000000" w:rsidR="00000000" w:rsidRPr="00000000">
            <w:rPr>
              <w:rFonts w:ascii="Arial Unicode MS" w:cs="Arial Unicode MS" w:eastAsia="Arial Unicode MS" w:hAnsi="Arial Unicode MS"/>
              <w:color w:val="000000"/>
              <w:sz w:val="21"/>
              <w:szCs w:val="21"/>
              <w:rtl w:val="0"/>
            </w:rPr>
            <w:t xml:space="preserve">Valor mínimo aceptable = Mediana − Desviación estándar</w:t>
          </w:r>
        </w:sdtContent>
      </w:sdt>
    </w:p>
    <w:p w:rsidR="00000000" w:rsidDel="00000000" w:rsidP="00000000" w:rsidRDefault="00000000" w:rsidRPr="00000000" w14:paraId="00000F9A">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Una vez identificada una oferta en esta condición, la Entidad requerirá al proponente para que justifique, por escrito y de manera detallada, el valor ofertado. Dicha justificación deberá incluir, entre otros los siguientes elementos, de acuerdo al numeral 4.1 de la “Guía para el Manejo de Ofertas Artificialmente Bajas en Procesos de Contratación”:</w:t>
      </w:r>
    </w:p>
    <w:p w:rsidR="00000000" w:rsidDel="00000000" w:rsidP="00000000" w:rsidRDefault="00000000" w:rsidRPr="00000000" w14:paraId="00000F9B">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w:t>
        <w:tab/>
        <w:t xml:space="preserve">Estructura de costos desagregada (materiales, mano de obra, utilidad, etc.).</w:t>
      </w:r>
    </w:p>
    <w:p w:rsidR="00000000" w:rsidDel="00000000" w:rsidP="00000000" w:rsidRDefault="00000000" w:rsidRPr="00000000" w14:paraId="00000F9C">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w:t>
        <w:tab/>
        <w:t xml:space="preserve">Técnicas o procesos que generen eficiencias.</w:t>
      </w:r>
    </w:p>
    <w:p w:rsidR="00000000" w:rsidDel="00000000" w:rsidP="00000000" w:rsidRDefault="00000000" w:rsidRPr="00000000" w14:paraId="00000F9D">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w:t>
        <w:tab/>
        <w:t xml:space="preserve">Economías de escala o de alcance que expliquen el menor precio.</w:t>
      </w:r>
    </w:p>
    <w:p w:rsidR="00000000" w:rsidDel="00000000" w:rsidP="00000000" w:rsidRDefault="00000000" w:rsidRPr="00000000" w14:paraId="00000F9E">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w:t>
        <w:tab/>
        <w:t xml:space="preserve">Condiciones contractuales favorables con proveedores o aliados estratégicos.</w:t>
      </w:r>
    </w:p>
    <w:p w:rsidR="00000000" w:rsidDel="00000000" w:rsidP="00000000" w:rsidRDefault="00000000" w:rsidRPr="00000000" w14:paraId="00000F9F">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El plazo para responder será otorgado de acuerdo con la complejidad del objeto contractual. La no presentación de respuesta o el envío de una justificación que no demuestre la viabilidad técnica, económica y financiera de la propuesta constituirá causal de rechazo, conforme con lo estipulado en el pliego de condiciones.</w:t>
      </w:r>
    </w:p>
    <w:p w:rsidR="00000000" w:rsidDel="00000000" w:rsidP="00000000" w:rsidRDefault="00000000" w:rsidRPr="00000000" w14:paraId="00000FA0">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El Comité de Contratación, o quien haga sus veces, analizará la explicación remitida y recomendará, según corresponda, continuar con la evaluación de la oferta o rechazarla, dejando constancia en la resolución de adjudicación, junto con una descripción clara de la metodología aplicada.</w:t>
      </w:r>
    </w:p>
    <w:p w:rsidR="00000000" w:rsidDel="00000000" w:rsidP="00000000" w:rsidRDefault="00000000" w:rsidRPr="00000000" w14:paraId="00000FA1">
      <w:pPr>
        <w:pBdr>
          <w:top w:space="0" w:sz="0" w:val="nil"/>
          <w:left w:space="0" w:sz="0" w:val="nil"/>
          <w:bottom w:space="0" w:sz="0" w:val="nil"/>
          <w:right w:space="0" w:sz="0" w:val="nil"/>
          <w:between w:space="0" w:sz="0" w:val="nil"/>
        </w:pBdr>
        <w:spacing w:after="200" w:lineRule="auto"/>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FA2">
      <w:pPr>
        <w:numPr>
          <w:ilvl w:val="0"/>
          <w:numId w:val="3"/>
        </w:numPr>
        <w:pBdr>
          <w:top w:space="0" w:sz="0" w:val="nil"/>
          <w:left w:space="0" w:sz="0" w:val="nil"/>
          <w:bottom w:space="0" w:sz="0" w:val="nil"/>
          <w:right w:space="0" w:sz="0" w:val="nil"/>
          <w:between w:space="0" w:sz="0" w:val="nil"/>
        </w:pBdr>
        <w:ind w:left="720" w:hanging="36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INDICADORES DE CAPACIDAD</w:t>
      </w:r>
    </w:p>
    <w:p w:rsidR="00000000" w:rsidDel="00000000" w:rsidP="00000000" w:rsidRDefault="00000000" w:rsidRPr="00000000" w14:paraId="00000FA3">
      <w:pPr>
        <w:pBdr>
          <w:top w:space="0" w:sz="0" w:val="nil"/>
          <w:left w:space="0" w:sz="0" w:val="nil"/>
          <w:bottom w:space="0" w:sz="0" w:val="nil"/>
          <w:right w:space="0" w:sz="0" w:val="nil"/>
          <w:between w:space="0" w:sz="0" w:val="nil"/>
        </w:pBdr>
        <w:ind w:left="720" w:firstLine="0"/>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FA4">
      <w:pPr>
        <w:numPr>
          <w:ilvl w:val="0"/>
          <w:numId w:val="7"/>
        </w:numPr>
        <w:pBdr>
          <w:top w:space="0" w:sz="0" w:val="nil"/>
          <w:left w:space="0" w:sz="0" w:val="nil"/>
          <w:bottom w:space="0" w:sz="0" w:val="nil"/>
          <w:right w:space="0" w:sz="0" w:val="nil"/>
          <w:between w:space="0" w:sz="0" w:val="nil"/>
        </w:pBdr>
        <w:tabs>
          <w:tab w:val="left" w:leader="none" w:pos="965"/>
        </w:tabs>
        <w:spacing w:after="200" w:line="276" w:lineRule="auto"/>
        <w:ind w:left="993" w:hanging="426"/>
        <w:jc w:val="both"/>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Indicadores de Capacidad Financiera: </w:t>
      </w:r>
    </w:p>
    <w:p w:rsidR="00000000" w:rsidDel="00000000" w:rsidP="00000000" w:rsidRDefault="00000000" w:rsidRPr="00000000" w14:paraId="00000FA5">
      <w:pPr>
        <w:tabs>
          <w:tab w:val="left" w:leader="none" w:pos="965"/>
        </w:tabs>
        <w:spacing w:line="276" w:lineRule="auto"/>
        <w:ind w:right="-376"/>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acuerdo al Decreto 1510 de 2013 y Decreto 1082 de 2015, se solicitarán los siguientes indicadores: </w:t>
      </w:r>
    </w:p>
    <w:p w:rsidR="00000000" w:rsidDel="00000000" w:rsidP="00000000" w:rsidRDefault="00000000" w:rsidRPr="00000000" w14:paraId="00000FA6">
      <w:pPr>
        <w:tabs>
          <w:tab w:val="left" w:leader="none" w:pos="965"/>
        </w:tabs>
        <w:spacing w:line="276" w:lineRule="auto"/>
        <w:ind w:right="-376"/>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FA7">
      <w:pPr>
        <w:tabs>
          <w:tab w:val="left" w:leader="none" w:pos="965"/>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mínimos fueron obtenidos del análisis del sector del mercado al que pertenece el objeto del presente proceso contractual, en concordancia con la naturaleza y valor del contrato. </w:t>
      </w:r>
    </w:p>
    <w:p w:rsidR="00000000" w:rsidDel="00000000" w:rsidP="00000000" w:rsidRDefault="00000000" w:rsidRPr="00000000" w14:paraId="00000FA8">
      <w:pPr>
        <w:tabs>
          <w:tab w:val="left" w:leader="none" w:pos="965"/>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FA9">
      <w:pPr>
        <w:spacing w:line="276" w:lineRule="auto"/>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ÍNDICE DE LIQUIDEZ </w:t>
      </w:r>
    </w:p>
    <w:p w:rsidR="00000000" w:rsidDel="00000000" w:rsidP="00000000" w:rsidRDefault="00000000" w:rsidRPr="00000000" w14:paraId="00000FAA">
      <w:pPr>
        <w:spacing w:line="276" w:lineRule="auto"/>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FAB">
      <w:pPr>
        <w:spacing w:line="276" w:lineRule="auto"/>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El índice de Liquidez (Razón Corriente) es un elemento determina la capacidad que tiene un proponente para cumplir con sus obligaciones de corto plazo debido a que, a mayor Índice de Liquidez, menor es la probabilidad de que el proponente cumpla con sus obligaciones de corto plazo, indicando la disponibilidad de recursos que deben tener las empresas que lleguen a postularse.</w:t>
      </w:r>
    </w:p>
    <w:p w:rsidR="00000000" w:rsidDel="00000000" w:rsidP="00000000" w:rsidRDefault="00000000" w:rsidRPr="00000000" w14:paraId="00000FAC">
      <w:pPr>
        <w:spacing w:line="276" w:lineRule="auto"/>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FAD">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color w:val="000000"/>
          <w:sz w:val="22"/>
          <w:szCs w:val="22"/>
          <w:rtl w:val="0"/>
        </w:rPr>
        <w:t xml:space="preserve">De acuerdo con el informe con el informe especial del macro sector del SIIS, realizado con empresas del sector servicios y una vez realizado el análisis estadístico excluyendo los valores excesivos nos arroja un promedio de liquidez de 2,3. La Institución exigirá para este proceso que los participantes cuenten con un </w:t>
      </w:r>
      <w:r w:rsidDel="00000000" w:rsidR="00000000" w:rsidRPr="00000000">
        <w:rPr>
          <w:rFonts w:ascii="Verdana" w:cs="Verdana" w:eastAsia="Verdana" w:hAnsi="Verdana"/>
          <w:b w:val="1"/>
          <w:bCs w:val="1"/>
          <w:color w:val="000000"/>
          <w:sz w:val="22"/>
          <w:szCs w:val="22"/>
          <w:rtl w:val="0"/>
        </w:rPr>
        <w:t xml:space="preserve">índice de liquidez igual a superior a 1.5</w:t>
      </w:r>
      <w:r w:rsidDel="00000000" w:rsidR="00000000" w:rsidRPr="00000000">
        <w:rPr>
          <w:rFonts w:ascii="Verdana" w:cs="Verdana" w:eastAsia="Verdana" w:hAnsi="Verdana"/>
          <w:color w:val="000000"/>
          <w:sz w:val="22"/>
          <w:szCs w:val="22"/>
          <w:rtl w:val="0"/>
        </w:rPr>
        <w:t xml:space="preserve">, cifra que garantiza la liquidez suficiente del contratista sin afectar el principio de pluralidad de oferentes. </w:t>
      </w:r>
      <w:r w:rsidDel="00000000" w:rsidR="00000000" w:rsidRPr="00000000">
        <w:rPr>
          <w:rFonts w:ascii="Verdana" w:cs="Verdana" w:eastAsia="Verdana" w:hAnsi="Verdana"/>
          <w:sz w:val="22"/>
          <w:szCs w:val="22"/>
          <w:rtl w:val="0"/>
        </w:rPr>
        <w:t xml:space="preserve">Para el caso de las MIPYMES, son aceptables las ofertas de proponentes que se encuentren en un índice </w:t>
      </w:r>
      <w:r w:rsidDel="00000000" w:rsidR="00000000" w:rsidRPr="00000000">
        <w:rPr>
          <w:rFonts w:ascii="Verdana" w:cs="Verdana" w:eastAsia="Verdana" w:hAnsi="Verdana"/>
          <w:b w:val="1"/>
          <w:bCs w:val="1"/>
          <w:sz w:val="22"/>
          <w:szCs w:val="22"/>
          <w:rtl w:val="0"/>
        </w:rPr>
        <w:t xml:space="preserve">igual o</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b w:val="1"/>
          <w:bCs w:val="1"/>
          <w:sz w:val="22"/>
          <w:szCs w:val="22"/>
          <w:rtl w:val="0"/>
        </w:rPr>
        <w:t xml:space="preserve">superior a 1.3.</w:t>
      </w:r>
    </w:p>
    <w:p w:rsidR="00000000" w:rsidDel="00000000" w:rsidP="00000000" w:rsidRDefault="00000000" w:rsidRPr="00000000" w14:paraId="00000FAE">
      <w:pPr>
        <w:spacing w:line="276" w:lineRule="auto"/>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FAF">
      <w:pPr>
        <w:spacing w:line="276" w:lineRule="auto"/>
        <w:jc w:val="both"/>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ÍNDICE DE ENDEUDAMIENTO</w:t>
      </w:r>
    </w:p>
    <w:p w:rsidR="00000000" w:rsidDel="00000000" w:rsidP="00000000" w:rsidRDefault="00000000" w:rsidRPr="00000000" w14:paraId="00000FB0">
      <w:pPr>
        <w:spacing w:line="276" w:lineRule="auto"/>
        <w:jc w:val="both"/>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FB1">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color w:val="000000"/>
          <w:sz w:val="22"/>
          <w:szCs w:val="22"/>
          <w:rtl w:val="0"/>
        </w:rPr>
        <w:t xml:space="preserve">El nivel de endeudamiento (Razón de Endeudamiento) indica el grado de apalancamiento de la compañía. Así mismo, sirve para identificar el riesgo asumido por dichos acreedores, el riesgo de los propietarios del ente económico y la conveniencia o inconveniencia del nivel de endeudamiento presentado. A mayor índice de endeudamiento, mayor es la probabilidad del proponente de no poder cumplir con sus pasivos. A raíz de los promedios de endeudamiento del sector y de la experiencia de la Entidad, la misma determina exigir para este proceso un índice de endeudamiento </w:t>
      </w:r>
      <w:r w:rsidDel="00000000" w:rsidR="00000000" w:rsidRPr="00000000">
        <w:rPr>
          <w:rFonts w:ascii="Verdana" w:cs="Verdana" w:eastAsia="Verdana" w:hAnsi="Verdana"/>
          <w:b w:val="1"/>
          <w:bCs w:val="1"/>
          <w:color w:val="000000"/>
          <w:sz w:val="22"/>
          <w:szCs w:val="22"/>
          <w:rtl w:val="0"/>
        </w:rPr>
        <w:t xml:space="preserve">igual o </w:t>
      </w:r>
      <w:r w:rsidDel="00000000" w:rsidR="00000000" w:rsidRPr="00000000">
        <w:rPr>
          <w:rFonts w:ascii="Verdana" w:cs="Verdana" w:eastAsia="Verdana" w:hAnsi="Verdana"/>
          <w:b w:val="1"/>
          <w:bCs w:val="1"/>
          <w:sz w:val="22"/>
          <w:szCs w:val="22"/>
          <w:rtl w:val="0"/>
        </w:rPr>
        <w:t xml:space="preserve">inferior a 60%. </w:t>
      </w:r>
      <w:r w:rsidDel="00000000" w:rsidR="00000000" w:rsidRPr="00000000">
        <w:rPr>
          <w:rFonts w:ascii="Verdana" w:cs="Verdana" w:eastAsia="Verdana" w:hAnsi="Verdana"/>
          <w:sz w:val="22"/>
          <w:szCs w:val="22"/>
          <w:rtl w:val="0"/>
        </w:rPr>
        <w:t xml:space="preserve">Para el caso de las MIPYMES, se requiere un índice de endeudamiento </w:t>
      </w:r>
      <w:r w:rsidDel="00000000" w:rsidR="00000000" w:rsidRPr="00000000">
        <w:rPr>
          <w:rFonts w:ascii="Verdana" w:cs="Verdana" w:eastAsia="Verdana" w:hAnsi="Verdana"/>
          <w:b w:val="1"/>
          <w:bCs w:val="1"/>
          <w:sz w:val="22"/>
          <w:szCs w:val="22"/>
          <w:rtl w:val="0"/>
        </w:rPr>
        <w:t xml:space="preserve">igual o inferior a 70%.</w:t>
      </w:r>
    </w:p>
    <w:p w:rsidR="00000000" w:rsidDel="00000000" w:rsidP="00000000" w:rsidRDefault="00000000" w:rsidRPr="00000000" w14:paraId="00000FB2">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FB3">
      <w:pPr>
        <w:spacing w:line="276" w:lineRule="auto"/>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RAZÓN DE COBERTURA DE INTERÉS</w:t>
      </w:r>
    </w:p>
    <w:p w:rsidR="00000000" w:rsidDel="00000000" w:rsidP="00000000" w:rsidRDefault="00000000" w:rsidRPr="00000000" w14:paraId="00000FB4">
      <w:pPr>
        <w:spacing w:line="276" w:lineRule="auto"/>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FB5">
      <w:pPr>
        <w:spacing w:line="276" w:lineRule="auto"/>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Este indicador refleja la capacidad del proponente de cumplir con sus obligaciones financieras: a mayor cobertura de intereses, menor es la probabilidad de que el proponente incumpla sus obligaciones financieras, pues indica cuantas veces puede pagar una empresa los intereses generados por deudas adquiridas en el periodo. </w:t>
      </w:r>
    </w:p>
    <w:p w:rsidR="00000000" w:rsidDel="00000000" w:rsidP="00000000" w:rsidRDefault="00000000" w:rsidRPr="00000000" w14:paraId="00000FB6">
      <w:pPr>
        <w:spacing w:line="276" w:lineRule="auto"/>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FB7">
      <w:pPr>
        <w:spacing w:line="276" w:lineRule="auto"/>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La institución exigirá que este indicador sea </w:t>
      </w:r>
      <w:r w:rsidDel="00000000" w:rsidR="00000000" w:rsidRPr="00000000">
        <w:rPr>
          <w:rFonts w:ascii="Verdana" w:cs="Verdana" w:eastAsia="Verdana" w:hAnsi="Verdana"/>
          <w:b w:val="1"/>
          <w:bCs w:val="1"/>
          <w:color w:val="000000"/>
          <w:sz w:val="22"/>
          <w:szCs w:val="22"/>
          <w:rtl w:val="0"/>
        </w:rPr>
        <w:t xml:space="preserve">igual o superior a 0,5</w:t>
      </w:r>
      <w:r w:rsidDel="00000000" w:rsidR="00000000" w:rsidRPr="00000000">
        <w:rPr>
          <w:rFonts w:ascii="Verdana" w:cs="Verdana" w:eastAsia="Verdana" w:hAnsi="Verdana"/>
          <w:color w:val="000000"/>
          <w:sz w:val="22"/>
          <w:szCs w:val="22"/>
          <w:rtl w:val="0"/>
        </w:rPr>
        <w:t xml:space="preserve">. </w:t>
      </w:r>
      <w:r w:rsidDel="00000000" w:rsidR="00000000" w:rsidRPr="00000000">
        <w:rPr>
          <w:rFonts w:ascii="Verdana" w:cs="Verdana" w:eastAsia="Verdana" w:hAnsi="Verdana"/>
          <w:sz w:val="22"/>
          <w:szCs w:val="22"/>
          <w:rtl w:val="0"/>
        </w:rPr>
        <w:t xml:space="preserve">Para el caso de las MIPYMES, deberán contar con una Razón de Cobertura de Intereses igual o superior a </w:t>
      </w:r>
      <w:r w:rsidDel="00000000" w:rsidR="00000000" w:rsidRPr="00000000">
        <w:rPr>
          <w:rFonts w:ascii="Verdana" w:cs="Verdana" w:eastAsia="Verdana" w:hAnsi="Verdana"/>
          <w:b w:val="1"/>
          <w:bCs w:val="1"/>
          <w:sz w:val="22"/>
          <w:szCs w:val="22"/>
          <w:rtl w:val="0"/>
        </w:rPr>
        <w:t xml:space="preserve">0.3. </w:t>
      </w:r>
      <w:r w:rsidDel="00000000" w:rsidR="00000000" w:rsidRPr="00000000">
        <w:rPr>
          <w:rFonts w:ascii="Verdana" w:cs="Verdana" w:eastAsia="Verdana" w:hAnsi="Verdana"/>
          <w:color w:val="000000"/>
          <w:sz w:val="22"/>
          <w:szCs w:val="22"/>
          <w:rtl w:val="0"/>
        </w:rPr>
        <w:t xml:space="preserve">En todo caso si la razón de cobertura de intereses es </w:t>
      </w:r>
      <w:r w:rsidDel="00000000" w:rsidR="00000000" w:rsidRPr="00000000">
        <w:rPr>
          <w:rFonts w:ascii="Verdana" w:cs="Verdana" w:eastAsia="Verdana" w:hAnsi="Verdana"/>
          <w:b w:val="1"/>
          <w:bCs w:val="1"/>
          <w:color w:val="000000"/>
          <w:sz w:val="22"/>
          <w:szCs w:val="22"/>
          <w:rtl w:val="0"/>
        </w:rPr>
        <w:t xml:space="preserve">0 o indeterminado</w:t>
      </w:r>
      <w:r w:rsidDel="00000000" w:rsidR="00000000" w:rsidRPr="00000000">
        <w:rPr>
          <w:rFonts w:ascii="Verdana" w:cs="Verdana" w:eastAsia="Verdana" w:hAnsi="Verdana"/>
          <w:color w:val="000000"/>
          <w:sz w:val="22"/>
          <w:szCs w:val="22"/>
          <w:rtl w:val="0"/>
        </w:rPr>
        <w:t xml:space="preserve">, se cumple con el requisito.</w:t>
      </w:r>
    </w:p>
    <w:p w:rsidR="00000000" w:rsidDel="00000000" w:rsidP="00000000" w:rsidRDefault="00000000" w:rsidRPr="00000000" w14:paraId="00000FB8">
      <w:pPr>
        <w:spacing w:line="276" w:lineRule="auto"/>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FB9">
      <w:pPr>
        <w:numPr>
          <w:ilvl w:val="0"/>
          <w:numId w:val="7"/>
        </w:numPr>
        <w:pBdr>
          <w:top w:space="0" w:sz="0" w:val="nil"/>
          <w:left w:space="0" w:sz="0" w:val="nil"/>
          <w:bottom w:space="0" w:sz="0" w:val="nil"/>
          <w:right w:space="0" w:sz="0" w:val="nil"/>
          <w:between w:space="0" w:sz="0" w:val="nil"/>
        </w:pBdr>
        <w:spacing w:after="200" w:line="276" w:lineRule="auto"/>
        <w:ind w:left="720" w:hanging="360"/>
        <w:jc w:val="both"/>
        <w:rPr>
          <w:rFonts w:ascii="Verdana" w:cs="Verdana" w:eastAsia="Verdana" w:hAnsi="Verdana"/>
          <w:b w:val="1"/>
          <w:bCs w:val="1"/>
          <w:color w:val="000000"/>
          <w:sz w:val="22"/>
          <w:szCs w:val="22"/>
        </w:rPr>
      </w:pPr>
      <w:r w:rsidDel="00000000" w:rsidR="00000000" w:rsidRPr="00000000">
        <w:rPr>
          <w:rFonts w:ascii="Verdana" w:cs="Verdana" w:eastAsia="Verdana" w:hAnsi="Verdana"/>
          <w:b w:val="1"/>
          <w:bCs w:val="1"/>
          <w:color w:val="000000"/>
          <w:sz w:val="22"/>
          <w:szCs w:val="22"/>
          <w:rtl w:val="0"/>
        </w:rPr>
        <w:t xml:space="preserve">Indicadores de capacidad organizacional</w:t>
      </w:r>
    </w:p>
    <w:p w:rsidR="00000000" w:rsidDel="00000000" w:rsidP="00000000" w:rsidRDefault="00000000" w:rsidRPr="00000000" w14:paraId="00000FBA">
      <w:pPr>
        <w:spacing w:line="276" w:lineRule="auto"/>
        <w:jc w:val="both"/>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Teniendo en cuenta la definición establecida por Colombia compra eficiente en su manual para establecer y verificar requisitos habilitantes en procesos de contratación,</w:t>
      </w:r>
      <w:r w:rsidDel="00000000" w:rsidR="00000000" w:rsidRPr="00000000">
        <w:rPr>
          <w:rFonts w:ascii="Verdana" w:cs="Verdana" w:eastAsia="Verdana" w:hAnsi="Verdana"/>
          <w:i w:val="1"/>
          <w:iCs w:val="1"/>
          <w:color w:val="000000"/>
          <w:sz w:val="22"/>
          <w:szCs w:val="22"/>
          <w:rtl w:val="0"/>
        </w:rPr>
        <w:t xml:space="preserve"> “La capacidad organizacional es la aptitud de un proponente para cumplir oportuna y cabalmente el objeto del contrato en función de su organización interna. El Decreto 1082 de 2015 definió los indicadores de rentabilidad para medir la capacidad organizacional de un proponente teniendo en cuenta que está bien organizado cuando es rentable.”,</w:t>
      </w:r>
      <w:r w:rsidDel="00000000" w:rsidR="00000000" w:rsidRPr="00000000">
        <w:rPr>
          <w:rFonts w:ascii="Verdana" w:cs="Verdana" w:eastAsia="Verdana" w:hAnsi="Verdana"/>
          <w:color w:val="000000"/>
          <w:sz w:val="22"/>
          <w:szCs w:val="22"/>
          <w:rtl w:val="0"/>
        </w:rPr>
        <w:t xml:space="preserve"> los indicadores de capacidad operacional que serán exigidos en el proceso son los siguientes:</w:t>
      </w:r>
    </w:p>
    <w:p w:rsidR="00000000" w:rsidDel="00000000" w:rsidP="00000000" w:rsidRDefault="00000000" w:rsidRPr="00000000" w14:paraId="00000FBB">
      <w:pPr>
        <w:spacing w:line="276" w:lineRule="auto"/>
        <w:jc w:val="both"/>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FBC">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RENTABILIDAD DEL PATRIMONIO</w:t>
      </w:r>
    </w:p>
    <w:p w:rsidR="00000000" w:rsidDel="00000000" w:rsidP="00000000" w:rsidRDefault="00000000" w:rsidRPr="00000000" w14:paraId="00000FBD">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FBE">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i w:val="1"/>
          <w:iCs w:val="1"/>
          <w:color w:val="000000"/>
          <w:sz w:val="22"/>
          <w:szCs w:val="22"/>
          <w:rtl w:val="0"/>
        </w:rPr>
        <w:t xml:space="preserve">“Utilidad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r w:rsidDel="00000000" w:rsidR="00000000" w:rsidRPr="00000000">
        <w:rPr>
          <w:rFonts w:ascii="Verdana" w:cs="Verdana" w:eastAsia="Verdana" w:hAnsi="Verdana"/>
          <w:color w:val="000000"/>
          <w:sz w:val="22"/>
          <w:szCs w:val="22"/>
          <w:rtl w:val="0"/>
        </w:rPr>
        <w:t xml:space="preserve">La entidad exigirá para participar en el proceso un indicador </w:t>
      </w:r>
      <w:r w:rsidDel="00000000" w:rsidR="00000000" w:rsidRPr="00000000">
        <w:rPr>
          <w:rFonts w:ascii="Verdana" w:cs="Verdana" w:eastAsia="Verdana" w:hAnsi="Verdana"/>
          <w:b w:val="1"/>
          <w:bCs w:val="1"/>
          <w:color w:val="000000"/>
          <w:sz w:val="22"/>
          <w:szCs w:val="22"/>
          <w:rtl w:val="0"/>
        </w:rPr>
        <w:t xml:space="preserve">igual o superior a 0.10. </w:t>
      </w:r>
      <w:r w:rsidDel="00000000" w:rsidR="00000000" w:rsidRPr="00000000">
        <w:rPr>
          <w:rFonts w:ascii="Verdana" w:cs="Verdana" w:eastAsia="Verdana" w:hAnsi="Verdana"/>
          <w:sz w:val="22"/>
          <w:szCs w:val="22"/>
          <w:rtl w:val="0"/>
        </w:rPr>
        <w:t xml:space="preserve">Para el caso de las MIPYMES, deberá ser igual o superior a </w:t>
      </w:r>
      <w:r w:rsidDel="00000000" w:rsidR="00000000" w:rsidRPr="00000000">
        <w:rPr>
          <w:rFonts w:ascii="Verdana" w:cs="Verdana" w:eastAsia="Verdana" w:hAnsi="Verdana"/>
          <w:b w:val="1"/>
          <w:bCs w:val="1"/>
          <w:sz w:val="22"/>
          <w:szCs w:val="22"/>
          <w:rtl w:val="0"/>
        </w:rPr>
        <w:t xml:space="preserve">0.07</w:t>
      </w:r>
    </w:p>
    <w:p w:rsidR="00000000" w:rsidDel="00000000" w:rsidP="00000000" w:rsidRDefault="00000000" w:rsidRPr="00000000" w14:paraId="00000FBF">
      <w:pPr>
        <w:spacing w:line="276" w:lineRule="auto"/>
        <w:jc w:val="both"/>
        <w:rPr>
          <w:rFonts w:ascii="Verdana" w:cs="Verdana" w:eastAsia="Verdana" w:hAnsi="Verdana"/>
          <w:b w:val="1"/>
          <w:bCs w:val="1"/>
          <w:color w:val="000000"/>
          <w:sz w:val="22"/>
          <w:szCs w:val="22"/>
        </w:rPr>
      </w:pPr>
      <w:r w:rsidDel="00000000" w:rsidR="00000000" w:rsidRPr="00000000">
        <w:rPr>
          <w:rtl w:val="0"/>
        </w:rPr>
      </w:r>
    </w:p>
    <w:p w:rsidR="00000000" w:rsidDel="00000000" w:rsidP="00000000" w:rsidRDefault="00000000" w:rsidRPr="00000000" w14:paraId="00000FC0">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RENTABILIDAD DEL ACTIVO</w:t>
      </w:r>
    </w:p>
    <w:p w:rsidR="00000000" w:rsidDel="00000000" w:rsidP="00000000" w:rsidRDefault="00000000" w:rsidRPr="00000000" w14:paraId="00000FC1">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FC2">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i w:val="1"/>
          <w:iCs w:val="1"/>
          <w:color w:val="000000"/>
          <w:sz w:val="22"/>
          <w:szCs w:val="22"/>
          <w:rtl w:val="0"/>
        </w:rPr>
        <w:t xml:space="preserve">“Utilidad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r w:rsidDel="00000000" w:rsidR="00000000" w:rsidRPr="00000000">
        <w:rPr>
          <w:rFonts w:ascii="Verdana" w:cs="Verdana" w:eastAsia="Verdana" w:hAnsi="Verdana"/>
          <w:color w:val="000000"/>
          <w:sz w:val="22"/>
          <w:szCs w:val="22"/>
          <w:rtl w:val="0"/>
        </w:rPr>
        <w:t xml:space="preserve">.” La entidad exigirá para participar en el proceso un indicador </w:t>
      </w:r>
      <w:r w:rsidDel="00000000" w:rsidR="00000000" w:rsidRPr="00000000">
        <w:rPr>
          <w:rFonts w:ascii="Verdana" w:cs="Verdana" w:eastAsia="Verdana" w:hAnsi="Verdana"/>
          <w:b w:val="1"/>
          <w:bCs w:val="1"/>
          <w:color w:val="000000"/>
          <w:sz w:val="22"/>
          <w:szCs w:val="22"/>
          <w:rtl w:val="0"/>
        </w:rPr>
        <w:t xml:space="preserve">igual o superior a 0.10</w:t>
      </w:r>
      <w:r w:rsidDel="00000000" w:rsidR="00000000" w:rsidRPr="00000000">
        <w:rPr>
          <w:rFonts w:ascii="Verdana" w:cs="Verdana" w:eastAsia="Verdana" w:hAnsi="Verdana"/>
          <w:color w:val="000000"/>
          <w:sz w:val="22"/>
          <w:szCs w:val="22"/>
          <w:rtl w:val="0"/>
        </w:rPr>
        <w:t xml:space="preserve">. </w:t>
      </w:r>
      <w:r w:rsidDel="00000000" w:rsidR="00000000" w:rsidRPr="00000000">
        <w:rPr>
          <w:rFonts w:ascii="Verdana" w:cs="Verdana" w:eastAsia="Verdana" w:hAnsi="Verdana"/>
          <w:sz w:val="22"/>
          <w:szCs w:val="22"/>
          <w:rtl w:val="0"/>
        </w:rPr>
        <w:t xml:space="preserve">Para el caso de las MIPYMES, deberá ser igual o superior a </w:t>
      </w:r>
      <w:r w:rsidDel="00000000" w:rsidR="00000000" w:rsidRPr="00000000">
        <w:rPr>
          <w:rFonts w:ascii="Verdana" w:cs="Verdana" w:eastAsia="Verdana" w:hAnsi="Verdana"/>
          <w:b w:val="1"/>
          <w:bCs w:val="1"/>
          <w:sz w:val="22"/>
          <w:szCs w:val="22"/>
          <w:rtl w:val="0"/>
        </w:rPr>
        <w:t xml:space="preserve">0.07</w:t>
      </w:r>
    </w:p>
    <w:p w:rsidR="00000000" w:rsidDel="00000000" w:rsidP="00000000" w:rsidRDefault="00000000" w:rsidRPr="00000000" w14:paraId="00000FC3">
      <w:pPr>
        <w:pBdr>
          <w:top w:space="0" w:sz="0" w:val="nil"/>
          <w:left w:space="0" w:sz="0" w:val="nil"/>
          <w:bottom w:space="0" w:sz="0" w:val="nil"/>
          <w:right w:space="0" w:sz="0" w:val="nil"/>
          <w:between w:space="0" w:sz="0" w:val="nil"/>
        </w:pBdr>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FC4">
      <w:pPr>
        <w:pBdr>
          <w:top w:space="0" w:sz="0" w:val="nil"/>
          <w:left w:space="0" w:sz="0" w:val="nil"/>
          <w:bottom w:space="0" w:sz="0" w:val="nil"/>
          <w:right w:space="0" w:sz="0" w:val="nil"/>
          <w:between w:space="0" w:sz="0" w:val="nil"/>
        </w:pBdr>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FC5">
      <w:pPr>
        <w:numPr>
          <w:ilvl w:val="0"/>
          <w:numId w:val="3"/>
        </w:numPr>
        <w:pBdr>
          <w:top w:space="0" w:sz="0" w:val="nil"/>
          <w:left w:space="0" w:sz="0" w:val="nil"/>
          <w:bottom w:space="0" w:sz="0" w:val="nil"/>
          <w:right w:space="0" w:sz="0" w:val="nil"/>
          <w:between w:space="0" w:sz="0" w:val="nil"/>
        </w:pBdr>
        <w:ind w:left="720" w:hanging="360"/>
        <w:jc w:val="both"/>
        <w:rPr>
          <w:rFonts w:ascii="Verdana" w:cs="Verdana" w:eastAsia="Verdana" w:hAnsi="Verdana"/>
          <w:b w:val="1"/>
          <w:bCs w:val="1"/>
          <w:color w:val="000000"/>
          <w:sz w:val="21"/>
          <w:szCs w:val="21"/>
        </w:rPr>
      </w:pPr>
      <w:r w:rsidDel="00000000" w:rsidR="00000000" w:rsidRPr="00000000">
        <w:rPr>
          <w:rFonts w:ascii="Verdana" w:cs="Verdana" w:eastAsia="Verdana" w:hAnsi="Verdana"/>
          <w:b w:val="1"/>
          <w:bCs w:val="1"/>
          <w:color w:val="000000"/>
          <w:sz w:val="21"/>
          <w:szCs w:val="21"/>
          <w:rtl w:val="0"/>
        </w:rPr>
        <w:t xml:space="preserve">ACUERDO 016 DE 2020- ANÁLISIS DE COMPRAS PÚBLICAS INNOVADORAS, SOSTENIBLES Y SOCIALMENTE RESPONSABLES</w:t>
      </w:r>
    </w:p>
    <w:p w:rsidR="00000000" w:rsidDel="00000000" w:rsidP="00000000" w:rsidRDefault="00000000" w:rsidRPr="00000000" w14:paraId="00000FC6">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cumplimiento del Acuerdo Distrital 016 de 2020 y su reglamentación, la Institución Universitaria Colegio Mayor de Antioquia, como entidad integrante del conglomerado público del Distrito de Medellín, realizará durante la estructuración del presente procedimiento de contratación, el análisis de la pertinencia de incorporar criterios de compra pública sostenible, innovadora y/o socialmente responsable, de acuerdo con la naturaleza y características de cada objeto contractual.</w:t>
      </w:r>
    </w:p>
    <w:p w:rsidR="00000000" w:rsidDel="00000000" w:rsidP="00000000" w:rsidRDefault="00000000" w:rsidRPr="00000000" w14:paraId="00000FC7">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FC8">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tal efecto, se evalúa la pertinencia de incluir criterios relacionados con:</w:t>
      </w:r>
    </w:p>
    <w:p w:rsidR="00000000" w:rsidDel="00000000" w:rsidP="00000000" w:rsidRDefault="00000000" w:rsidRPr="00000000" w14:paraId="00000FC9">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FCA">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Compras Públicas Sostenibles, considerando el ciclo de vida de los bienes, obras o servicios y su articulación con el Sistema de Gestión Ambiental Institucional.</w:t>
      </w:r>
    </w:p>
    <w:p w:rsidR="00000000" w:rsidDel="00000000" w:rsidP="00000000" w:rsidRDefault="00000000" w:rsidRPr="00000000" w14:paraId="00000FCB">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FCC">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Compras Públicas Innovadoras, orientadas a fomentar la adopción de soluciones innovadoras que generen valor en la gestión contractual.</w:t>
      </w:r>
    </w:p>
    <w:p w:rsidR="00000000" w:rsidDel="00000000" w:rsidP="00000000" w:rsidRDefault="00000000" w:rsidRPr="00000000" w14:paraId="00000FCD">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FCE">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Compras Públicas Socialmente Responsables, dirigidas a promover la inclusión, la equidad y la generación de oportunidades para poblaciones de especial protección constitucional, cuando la naturaleza del contrato lo permita.</w:t>
      </w:r>
    </w:p>
    <w:p w:rsidR="00000000" w:rsidDel="00000000" w:rsidP="00000000" w:rsidRDefault="00000000" w:rsidRPr="00000000" w14:paraId="00000FCF">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FD0">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definición de estos criterios se realiza teniendo en cuenta los lineamientos establecidos en el Decreto Distrital 310 de 2022, especialmente los contenidos en el Anexo 3 (Modelo de Compras Públicas Sostenibles), Anexo 4 (Modelo de Compras Públicas Innovadoras) y Anexo 5 (Modelo de Compras Públicas Socialmente Responsables).</w:t>
      </w:r>
    </w:p>
    <w:p w:rsidR="00000000" w:rsidDel="00000000" w:rsidP="00000000" w:rsidRDefault="00000000" w:rsidRPr="00000000" w14:paraId="00000FD1">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FD2">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sz w:val="22"/>
          <w:szCs w:val="22"/>
          <w:rtl w:val="0"/>
        </w:rPr>
        <w:t xml:space="preserve">Con fundamento en el análisis técnico, jurídico y económico del objeto contractual, la Entidad determinará la procedencia de incorporar uno o varios de estos criterios dentro del procedimiento de contratación. Cuando resulte procedente, los criterios aplicables y su forma de implementación se establecerán en los estudios previos y en los documentos del procedimiento. En caso contrario, se dejará constancia de la justificación técnica que sustente su no incorporación.</w:t>
      </w:r>
      <w:r w:rsidDel="00000000" w:rsidR="00000000" w:rsidRPr="00000000">
        <w:rPr>
          <w:rtl w:val="0"/>
        </w:rPr>
      </w:r>
    </w:p>
    <w:p w:rsidR="00000000" w:rsidDel="00000000" w:rsidP="00000000" w:rsidRDefault="00000000" w:rsidRPr="00000000" w14:paraId="00000FD3">
      <w:pPr>
        <w:spacing w:line="276" w:lineRule="auto"/>
        <w:jc w:val="center"/>
        <w:rPr>
          <w:rFonts w:ascii="Verdana" w:cs="Verdana" w:eastAsia="Verdana" w:hAnsi="Verdana"/>
          <w:b w:val="1"/>
          <w:bCs w:val="1"/>
          <w:sz w:val="22"/>
          <w:szCs w:val="22"/>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2476183</wp:posOffset>
            </wp:positionH>
            <wp:positionV relativeFrom="paragraph">
              <wp:posOffset>257175</wp:posOffset>
            </wp:positionV>
            <wp:extent cx="1255159" cy="623582"/>
            <wp:effectExtent b="0" l="0" r="0" t="0"/>
            <wp:wrapNone/>
            <wp:docPr id="24" name="image1.png"/>
            <a:graphic>
              <a:graphicData uri="http://schemas.openxmlformats.org/drawingml/2006/picture">
                <pic:pic>
                  <pic:nvPicPr>
                    <pic:cNvPr id="0" name="image1.png"/>
                    <pic:cNvPicPr preferRelativeResize="0"/>
                  </pic:nvPicPr>
                  <pic:blipFill>
                    <a:blip r:embed="rId22"/>
                    <a:srcRect b="0" l="0" r="0" t="0"/>
                    <a:stretch>
                      <a:fillRect/>
                    </a:stretch>
                  </pic:blipFill>
                  <pic:spPr>
                    <a:xfrm>
                      <a:off x="0" y="0"/>
                      <a:ext cx="1255159" cy="623582"/>
                    </a:xfrm>
                    <a:prstGeom prst="rect"/>
                    <a:ln/>
                  </pic:spPr>
                </pic:pic>
              </a:graphicData>
            </a:graphic>
          </wp:anchor>
        </w:drawing>
      </w:r>
    </w:p>
    <w:p w:rsidR="00000000" w:rsidDel="00000000" w:rsidP="00000000" w:rsidRDefault="00000000" w:rsidRPr="00000000" w14:paraId="00000FD4">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FD5">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FD6">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DIANA PATRICIA GÓMEZ RAMÍREZ</w:t>
      </w:r>
    </w:p>
    <w:p w:rsidR="00000000" w:rsidDel="00000000" w:rsidP="00000000" w:rsidRDefault="00000000" w:rsidRPr="00000000" w14:paraId="00000FD7">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Secretaria General</w:t>
      </w:r>
    </w:p>
    <w:p w:rsidR="00000000" w:rsidDel="00000000" w:rsidP="00000000" w:rsidRDefault="00000000" w:rsidRPr="00000000" w14:paraId="00000FD8">
      <w:pPr>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FD9">
      <w:pPr>
        <w:jc w:val="center"/>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FDA">
      <w:pPr>
        <w:rPr>
          <w:rFonts w:ascii="Verdana" w:cs="Verdana" w:eastAsia="Verdana" w:hAnsi="Verdana"/>
          <w:b w:val="1"/>
          <w:bCs w:val="1"/>
          <w:sz w:val="21"/>
          <w:szCs w:val="21"/>
        </w:rPr>
      </w:pPr>
      <w:r w:rsidDel="00000000" w:rsidR="00000000" w:rsidRPr="00000000">
        <w:rPr>
          <w:rtl w:val="0"/>
        </w:rPr>
      </w:r>
    </w:p>
    <w:tbl>
      <w:tblPr>
        <w:tblStyle w:val="Table14"/>
        <w:tblW w:w="8106.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84"/>
        <w:gridCol w:w="1593"/>
        <w:gridCol w:w="1673"/>
        <w:gridCol w:w="1673"/>
        <w:gridCol w:w="1683"/>
        <w:tblGridChange w:id="0">
          <w:tblGrid>
            <w:gridCol w:w="1484"/>
            <w:gridCol w:w="1593"/>
            <w:gridCol w:w="1673"/>
            <w:gridCol w:w="1673"/>
            <w:gridCol w:w="1683"/>
          </w:tblGrid>
        </w:tblGridChange>
      </w:tblGrid>
      <w:tr>
        <w:trPr>
          <w:cantSplit w:val="0"/>
          <w:trHeight w:val="64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FDB">
            <w:pPr>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Pr>
              <w:drawing>
                <wp:inline distB="114300" distT="114300" distL="114300" distR="114300">
                  <wp:extent cx="790575" cy="431800"/>
                  <wp:effectExtent b="0" l="0" r="0" t="0"/>
                  <wp:docPr id="43" name="image7.png"/>
                  <a:graphic>
                    <a:graphicData uri="http://schemas.openxmlformats.org/drawingml/2006/picture">
                      <pic:pic>
                        <pic:nvPicPr>
                          <pic:cNvPr id="0" name="image7.png"/>
                          <pic:cNvPicPr preferRelativeResize="0"/>
                        </pic:nvPicPr>
                        <pic:blipFill>
                          <a:blip r:embed="rId23"/>
                          <a:srcRect b="0" l="0" r="0" t="0"/>
                          <a:stretch>
                            <a:fillRect/>
                          </a:stretch>
                        </pic:blipFill>
                        <pic:spPr>
                          <a:xfrm>
                            <a:off x="0" y="0"/>
                            <a:ext cx="790575" cy="4318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FDC">
            <w:pPr>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Pr>
              <w:drawing>
                <wp:inline distB="114300" distT="114300" distL="114300" distR="114300">
                  <wp:extent cx="857250" cy="292100"/>
                  <wp:effectExtent b="0" l="0" r="0" t="0"/>
                  <wp:docPr id="26" name="image2.png"/>
                  <a:graphic>
                    <a:graphicData uri="http://schemas.openxmlformats.org/drawingml/2006/picture">
                      <pic:pic>
                        <pic:nvPicPr>
                          <pic:cNvPr id="0" name="image2.png"/>
                          <pic:cNvPicPr preferRelativeResize="0"/>
                        </pic:nvPicPr>
                        <pic:blipFill>
                          <a:blip r:embed="rId24"/>
                          <a:srcRect b="0" l="0" r="0" t="0"/>
                          <a:stretch>
                            <a:fillRect/>
                          </a:stretch>
                        </pic:blipFill>
                        <pic:spPr>
                          <a:xfrm>
                            <a:off x="0" y="0"/>
                            <a:ext cx="857250" cy="2921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FDD">
            <w:pPr>
              <w:spacing w:after="200" w:lineRule="auto"/>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Pr>
              <w:drawing>
                <wp:inline distB="114300" distT="114300" distL="114300" distR="114300">
                  <wp:extent cx="914400" cy="241300"/>
                  <wp:effectExtent b="0" l="0" r="0" t="0"/>
                  <wp:docPr id="25" name="image4.png"/>
                  <a:graphic>
                    <a:graphicData uri="http://schemas.openxmlformats.org/drawingml/2006/picture">
                      <pic:pic>
                        <pic:nvPicPr>
                          <pic:cNvPr id="0" name="image4.png"/>
                          <pic:cNvPicPr preferRelativeResize="0"/>
                        </pic:nvPicPr>
                        <pic:blipFill>
                          <a:blip r:embed="rId25"/>
                          <a:srcRect b="0" l="0" r="0" t="0"/>
                          <a:stretch>
                            <a:fillRect/>
                          </a:stretch>
                        </pic:blipFill>
                        <pic:spPr>
                          <a:xfrm>
                            <a:off x="0" y="0"/>
                            <a:ext cx="914400" cy="2413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FDE">
            <w:pPr>
              <w:spacing w:after="200" w:lineRule="auto"/>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Pr>
              <w:drawing>
                <wp:inline distB="114300" distT="114300" distL="114300" distR="114300">
                  <wp:extent cx="914400" cy="190500"/>
                  <wp:effectExtent b="0" l="0" r="0" t="0"/>
                  <wp:docPr id="23" name="image3.jpg"/>
                  <a:graphic>
                    <a:graphicData uri="http://schemas.openxmlformats.org/drawingml/2006/picture">
                      <pic:pic>
                        <pic:nvPicPr>
                          <pic:cNvPr id="0" name="image3.jpg"/>
                          <pic:cNvPicPr preferRelativeResize="0"/>
                        </pic:nvPicPr>
                        <pic:blipFill>
                          <a:blip r:embed="rId26"/>
                          <a:srcRect b="0" l="0" r="0" t="0"/>
                          <a:stretch>
                            <a:fillRect/>
                          </a:stretch>
                        </pic:blipFill>
                        <pic:spPr>
                          <a:xfrm>
                            <a:off x="0" y="0"/>
                            <a:ext cx="914400" cy="1905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FDF">
            <w:pPr>
              <w:spacing w:line="288" w:lineRule="auto"/>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Pr>
              <w:drawing>
                <wp:inline distB="114300" distT="114300" distL="114300" distR="114300">
                  <wp:extent cx="914400" cy="406400"/>
                  <wp:effectExtent b="0" l="0" r="0" t="0"/>
                  <wp:docPr id="44" name="image21.png"/>
                  <a:graphic>
                    <a:graphicData uri="http://schemas.openxmlformats.org/drawingml/2006/picture">
                      <pic:pic>
                        <pic:nvPicPr>
                          <pic:cNvPr id="0" name="image21.png"/>
                          <pic:cNvPicPr preferRelativeResize="0"/>
                        </pic:nvPicPr>
                        <pic:blipFill>
                          <a:blip r:embed="rId27"/>
                          <a:srcRect b="0" l="0" r="0" t="0"/>
                          <a:stretch>
                            <a:fillRect/>
                          </a:stretch>
                        </pic:blipFill>
                        <pic:spPr>
                          <a:xfrm>
                            <a:off x="0" y="0"/>
                            <a:ext cx="914400" cy="406400"/>
                          </a:xfrm>
                          <a:prstGeom prst="rect"/>
                          <a:ln/>
                        </pic:spPr>
                      </pic:pic>
                    </a:graphicData>
                  </a:graphic>
                </wp:inline>
              </w:drawing>
            </w:r>
            <w:r w:rsidDel="00000000" w:rsidR="00000000" w:rsidRPr="00000000">
              <w:rPr>
                <w:rtl w:val="0"/>
              </w:rPr>
            </w:r>
          </w:p>
        </w:tc>
      </w:tr>
      <w:tr>
        <w:trPr>
          <w:cantSplit w:val="0"/>
          <w:trHeight w:val="17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FE0">
            <w:pPr>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Director Jurídico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FE1">
            <w:pPr>
              <w:spacing w:after="200" w:lineRule="auto"/>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Director Técnico Planeación y Desarrollo Organizacional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FE2">
            <w:pPr>
              <w:spacing w:after="200" w:lineRule="auto"/>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Supervisor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FE3">
            <w:pPr>
              <w:spacing w:after="200" w:lineRule="auto"/>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Apoyo a la supervisión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FE4">
            <w:pPr>
              <w:spacing w:after="200" w:lineRule="auto"/>
              <w:jc w:val="center"/>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Abogado</w:t>
              <w:br w:type="textWrapping"/>
              <w:t xml:space="preserve">Dirección Jurídica</w:t>
            </w:r>
          </w:p>
        </w:tc>
      </w:tr>
    </w:tbl>
    <w:p w:rsidR="00000000" w:rsidDel="00000000" w:rsidP="00000000" w:rsidRDefault="00000000" w:rsidRPr="00000000" w14:paraId="00000FE5">
      <w:pPr>
        <w:pBdr>
          <w:top w:space="0" w:sz="0" w:val="nil"/>
          <w:left w:space="0" w:sz="0" w:val="nil"/>
          <w:bottom w:space="0" w:sz="0" w:val="nil"/>
          <w:right w:space="0" w:sz="0" w:val="nil"/>
          <w:between w:space="0" w:sz="0" w:val="nil"/>
        </w:pBdr>
        <w:spacing w:after="200" w:lineRule="auto"/>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FE6">
      <w:pPr>
        <w:pBdr>
          <w:top w:space="0" w:sz="0" w:val="nil"/>
          <w:left w:space="0" w:sz="0" w:val="nil"/>
          <w:bottom w:space="0" w:sz="0" w:val="nil"/>
          <w:right w:space="0" w:sz="0" w:val="nil"/>
          <w:between w:space="0" w:sz="0" w:val="nil"/>
        </w:pBdr>
        <w:spacing w:after="200" w:line="276" w:lineRule="auto"/>
        <w:jc w:val="both"/>
        <w:rPr>
          <w:rFonts w:ascii="Verdana" w:cs="Verdana" w:eastAsia="Verdana" w:hAnsi="Verdana"/>
          <w:b w:val="1"/>
          <w:bCs w:val="1"/>
          <w:color w:val="000000"/>
          <w:sz w:val="21"/>
          <w:szCs w:val="21"/>
        </w:rPr>
      </w:pPr>
      <w:r w:rsidDel="00000000" w:rsidR="00000000" w:rsidRPr="00000000">
        <w:rPr>
          <w:rtl w:val="0"/>
        </w:rPr>
      </w:r>
    </w:p>
    <w:p w:rsidR="00000000" w:rsidDel="00000000" w:rsidP="00000000" w:rsidRDefault="00000000" w:rsidRPr="00000000" w14:paraId="00000FE7">
      <w:pPr>
        <w:spacing w:line="276" w:lineRule="auto"/>
        <w:rPr>
          <w:rFonts w:ascii="Verdana" w:cs="Verdana" w:eastAsia="Verdana" w:hAnsi="Verdana"/>
          <w:b w:val="1"/>
          <w:bCs w:val="1"/>
          <w:sz w:val="21"/>
          <w:szCs w:val="21"/>
        </w:rPr>
      </w:pPr>
      <w:r w:rsidDel="00000000" w:rsidR="00000000" w:rsidRPr="00000000">
        <w:rPr>
          <w:rtl w:val="0"/>
        </w:rPr>
      </w:r>
    </w:p>
    <w:sectPr>
      <w:headerReference r:id="rId28" w:type="default"/>
      <w:footerReference r:id="rId29" w:type="default"/>
      <w:pgSz w:h="15840" w:w="12240" w:orient="portrait"/>
      <w:pgMar w:bottom="1985" w:top="1962" w:left="1134" w:right="1327" w:header="283"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Georgia"/>
  <w:font w:name="Verdana"/>
  <w:font w:name="Arial Unicode MS"/>
  <w:font w:name="Calibri"/>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FD">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-729338</wp:posOffset>
          </wp:positionH>
          <wp:positionV relativeFrom="paragraph">
            <wp:posOffset>-599346</wp:posOffset>
          </wp:positionV>
          <wp:extent cx="7772400" cy="1206341"/>
          <wp:effectExtent b="0" l="0" r="0" t="0"/>
          <wp:wrapNone/>
          <wp:docPr id="27" name="image11.png"/>
          <a:graphic>
            <a:graphicData uri="http://schemas.openxmlformats.org/drawingml/2006/picture">
              <pic:pic>
                <pic:nvPicPr>
                  <pic:cNvPr id="0" name="image11.png"/>
                  <pic:cNvPicPr preferRelativeResize="0"/>
                </pic:nvPicPr>
                <pic:blipFill>
                  <a:blip r:embed="rId1"/>
                  <a:srcRect b="0" l="0" r="0" t="0"/>
                  <a:stretch>
                    <a:fillRect/>
                  </a:stretch>
                </pic:blipFill>
                <pic:spPr>
                  <a:xfrm>
                    <a:off x="0" y="0"/>
                    <a:ext cx="7772400" cy="1206341"/>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FE8">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https://www.bbvaresearch.com/publicaciones/situacion-colombia-diciembre-2025/</w:t>
      </w:r>
    </w:p>
  </w:footnote>
  <w:footnote w:id="1">
    <w:p w:rsidR="00000000" w:rsidDel="00000000" w:rsidP="00000000" w:rsidRDefault="00000000" w:rsidRPr="00000000" w14:paraId="00000FE9">
      <w:pPr>
        <w:pBdr>
          <w:top w:space="0" w:sz="0" w:val="nil"/>
          <w:left w:space="0" w:sz="0" w:val="nil"/>
          <w:bottom w:space="0" w:sz="0" w:val="nil"/>
          <w:right w:space="0" w:sz="0" w:val="nil"/>
          <w:between w:space="0" w:sz="0" w:val="nil"/>
        </w:pBdr>
        <w:rPr>
          <w:rFonts w:ascii="Calibri" w:cs="Calibri" w:eastAsia="Calibri" w:hAnsi="Calibri"/>
          <w:color w:val="000000"/>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20"/>
          <w:szCs w:val="20"/>
          <w:rtl w:val="0"/>
        </w:rPr>
        <w:t xml:space="preserve">https://www.dane.gov.co/index.php/estadisticas-por-tema/cuentas-nacionales/cuentas-nacionales-trimestrales/pib-informacion-tecnica</w:t>
      </w:r>
    </w:p>
  </w:footnote>
  <w:footnote w:id="2">
    <w:p w:rsidR="00000000" w:rsidDel="00000000" w:rsidP="00000000" w:rsidRDefault="00000000" w:rsidRPr="00000000" w14:paraId="00000FEA">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https://www.dane.gov.co/index.php/estadisticas-por-tema/mercado-laboral/empleo-y-desempleo</w:t>
      </w:r>
    </w:p>
  </w:footnote>
  <w:footnote w:id="3">
    <w:p w:rsidR="00000000" w:rsidDel="00000000" w:rsidP="00000000" w:rsidRDefault="00000000" w:rsidRPr="00000000" w14:paraId="00000FEB">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https://www.dane.gov.co/index.php/estadisticas-por-tema/precios-y-costos/indice-de-precios-al-consumidor-ipc/ipc-informacion-tecnica</w:t>
      </w:r>
    </w:p>
  </w:footnote>
  <w:footnote w:id="4">
    <w:p w:rsidR="00000000" w:rsidDel="00000000" w:rsidP="00000000" w:rsidRDefault="00000000" w:rsidRPr="00000000" w14:paraId="00000FEC">
      <w:pPr>
        <w:pBdr>
          <w:top w:space="0" w:sz="0" w:val="nil"/>
          <w:left w:space="0" w:sz="0" w:val="nil"/>
          <w:bottom w:space="0" w:sz="0" w:val="nil"/>
          <w:right w:space="0" w:sz="0" w:val="nil"/>
          <w:between w:space="0" w:sz="0" w:val="nil"/>
        </w:pBdr>
        <w:rPr>
          <w:rFonts w:ascii="Calibri" w:cs="Calibri" w:eastAsia="Calibri" w:hAnsi="Calibri"/>
          <w:color w:val="000000"/>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20"/>
          <w:szCs w:val="20"/>
          <w:rtl w:val="0"/>
        </w:rPr>
        <w:t xml:space="preserve"> https://www.dane.gov.co/index.php/estadisticas-por-tema/precios-y-costos/indice-de-precios-del-productor-ipp</w:t>
      </w:r>
    </w:p>
  </w:footnote>
  <w:footnote w:id="5">
    <w:p w:rsidR="00000000" w:rsidDel="00000000" w:rsidP="00000000" w:rsidRDefault="00000000" w:rsidRPr="00000000" w14:paraId="00000FED">
      <w:pPr>
        <w:pBdr>
          <w:top w:space="0" w:sz="0" w:val="nil"/>
          <w:left w:space="0" w:sz="0" w:val="nil"/>
          <w:bottom w:space="0" w:sz="0" w:val="nil"/>
          <w:right w:space="0" w:sz="0" w:val="nil"/>
          <w:between w:space="0" w:sz="0" w:val="nil"/>
        </w:pBdr>
        <w:rPr>
          <w:rFonts w:ascii="Calibri" w:cs="Calibri" w:eastAsia="Calibri" w:hAnsi="Calibri"/>
          <w:color w:val="000000"/>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20"/>
          <w:szCs w:val="20"/>
          <w:rtl w:val="0"/>
        </w:rPr>
        <w:t xml:space="preserve"> https://www.dane.gov.co/index.php/estadisticas-por-tema/comercio-internacional/importaciones</w:t>
      </w:r>
    </w:p>
  </w:footnote>
  <w:footnote w:id="6">
    <w:p w:rsidR="00000000" w:rsidDel="00000000" w:rsidP="00000000" w:rsidRDefault="00000000" w:rsidRPr="00000000" w14:paraId="00000FEE">
      <w:pPr>
        <w:pBdr>
          <w:top w:space="0" w:sz="0" w:val="nil"/>
          <w:left w:space="0" w:sz="0" w:val="nil"/>
          <w:bottom w:space="0" w:sz="0" w:val="nil"/>
          <w:right w:space="0" w:sz="0" w:val="nil"/>
          <w:between w:space="0" w:sz="0" w:val="nil"/>
        </w:pBdr>
        <w:rPr>
          <w:rFonts w:ascii="Calibri" w:cs="Calibri" w:eastAsia="Calibri" w:hAnsi="Calibri"/>
          <w:color w:val="000000"/>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20"/>
          <w:szCs w:val="20"/>
          <w:rtl w:val="0"/>
        </w:rPr>
        <w:t xml:space="preserve"> https://www.dane.gov.co/index.php/estadisticas-por-tema/comercio-interno/encuesta-mensual-de-comercio-emc</w:t>
      </w:r>
    </w:p>
  </w:footnote>
  <w:footnote w:id="7">
    <w:p w:rsidR="00000000" w:rsidDel="00000000" w:rsidP="00000000" w:rsidRDefault="00000000" w:rsidRPr="00000000" w14:paraId="00000FEF">
      <w:pPr>
        <w:pBdr>
          <w:top w:space="0" w:sz="0" w:val="nil"/>
          <w:left w:space="0" w:sz="0" w:val="nil"/>
          <w:bottom w:space="0" w:sz="0" w:val="nil"/>
          <w:right w:space="0" w:sz="0" w:val="nil"/>
          <w:between w:space="0" w:sz="0" w:val="nil"/>
        </w:pBdr>
        <w:rPr>
          <w:rFonts w:ascii="Calibri" w:cs="Calibri" w:eastAsia="Calibri" w:hAnsi="Calibri"/>
          <w:color w:val="000000"/>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20"/>
          <w:szCs w:val="20"/>
          <w:rtl w:val="0"/>
        </w:rPr>
        <w:t xml:space="preserve"> https://www.dane.gov.co/index.php/estadisticas-por-tema/comercio-interno/encuesta-anual-de-comercio-eac</w:t>
      </w:r>
    </w:p>
  </w:footnote>
  <w:footnote w:id="8">
    <w:p w:rsidR="00000000" w:rsidDel="00000000" w:rsidP="00000000" w:rsidRDefault="00000000" w:rsidRPr="00000000" w14:paraId="00000FF0">
      <w:pPr>
        <w:pBdr>
          <w:top w:space="0" w:sz="0" w:val="nil"/>
          <w:left w:space="0" w:sz="0" w:val="nil"/>
          <w:bottom w:space="0" w:sz="0" w:val="nil"/>
          <w:right w:space="0" w:sz="0" w:val="nil"/>
          <w:between w:space="0" w:sz="0" w:val="nil"/>
        </w:pBdr>
        <w:rPr>
          <w:rFonts w:ascii="Calibri" w:cs="Calibri" w:eastAsia="Calibri" w:hAnsi="Calibri"/>
          <w:color w:val="000000"/>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20"/>
          <w:szCs w:val="20"/>
          <w:rtl w:val="0"/>
        </w:rPr>
        <w:t xml:space="preserve"> https://www.dane.gov.co/index.php/estadisticas-por-tema/industria/encuesta-anual-manufacturera-enam</w:t>
      </w:r>
    </w:p>
  </w:footnote>
  <w:footnote w:id="9">
    <w:p w:rsidR="00000000" w:rsidDel="00000000" w:rsidP="00000000" w:rsidRDefault="00000000" w:rsidRPr="00000000" w14:paraId="00000FF1">
      <w:pPr>
        <w:pBdr>
          <w:top w:space="0" w:sz="0" w:val="nil"/>
          <w:left w:space="0" w:sz="0" w:val="nil"/>
          <w:bottom w:space="0" w:sz="0" w:val="nil"/>
          <w:right w:space="0" w:sz="0" w:val="nil"/>
          <w:between w:space="0" w:sz="0" w:val="nil"/>
        </w:pBdr>
        <w:rPr>
          <w:rFonts w:ascii="Calibri" w:cs="Calibri" w:eastAsia="Calibri" w:hAnsi="Calibri"/>
          <w:color w:val="000000"/>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color w:val="000000"/>
          <w:sz w:val="20"/>
          <w:szCs w:val="20"/>
          <w:rtl w:val="0"/>
        </w:rPr>
        <w:t xml:space="preserve"> </w:t>
      </w:r>
      <w:r w:rsidDel="00000000" w:rsidR="00000000" w:rsidRPr="00000000">
        <w:rPr>
          <w:rFonts w:ascii="Calibri" w:cs="Calibri" w:eastAsia="Calibri" w:hAnsi="Calibri"/>
          <w:sz w:val="20"/>
          <w:szCs w:val="20"/>
          <w:rtl w:val="0"/>
        </w:rPr>
        <w:t xml:space="preserve">https://suameca.banrep.gov.co/graficador-interactivo/grafica/1</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F2">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tbl>
    <w:tblPr>
      <w:tblStyle w:val="Table15"/>
      <w:tblW w:w="10101.0" w:type="dxa"/>
      <w:jc w:val="left"/>
      <w:tblInd w:w="-15.0" w:type="dxa"/>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Layout w:type="fixed"/>
      <w:tblLook w:val="0400"/>
    </w:tblPr>
    <w:tblGrid>
      <w:gridCol w:w="2965"/>
      <w:gridCol w:w="2138"/>
      <w:gridCol w:w="3119"/>
      <w:gridCol w:w="1879"/>
      <w:tblGridChange w:id="0">
        <w:tblGrid>
          <w:gridCol w:w="2965"/>
          <w:gridCol w:w="2138"/>
          <w:gridCol w:w="3119"/>
          <w:gridCol w:w="1879"/>
        </w:tblGrid>
      </w:tblGridChange>
    </w:tblGrid>
    <w:tr>
      <w:trPr>
        <w:cantSplit w:val="0"/>
        <w:trHeight w:val="1107" w:hRule="atLeast"/>
        <w:tblHeader w:val="1"/>
      </w:trPr>
      <w:tc>
        <w:tcPr>
          <w:vMerge w:val="restart"/>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FF3">
          <w:pPr>
            <w:jc w:val="center"/>
            <w:rPr>
              <w:b w:val="1"/>
              <w:bCs w:val="1"/>
              <w:sz w:val="40"/>
              <w:szCs w:val="40"/>
            </w:rPr>
          </w:pPr>
          <w:r w:rsidDel="00000000" w:rsidR="00000000" w:rsidRPr="00000000">
            <w:rPr>
              <w:sz w:val="40"/>
              <w:szCs w:val="40"/>
            </w:rPr>
            <w:drawing>
              <wp:inline distB="0" distT="0" distL="114300" distR="114300">
                <wp:extent cx="1657350" cy="647700"/>
                <wp:effectExtent b="0" l="0" r="0" t="0"/>
                <wp:docPr id="42" name="image8.png"/>
                <a:graphic>
                  <a:graphicData uri="http://schemas.openxmlformats.org/drawingml/2006/picture">
                    <pic:pic>
                      <pic:nvPicPr>
                        <pic:cNvPr id="0" name="image8.png"/>
                        <pic:cNvPicPr preferRelativeResize="0"/>
                      </pic:nvPicPr>
                      <pic:blipFill>
                        <a:blip r:embed="rId1"/>
                        <a:srcRect b="0" l="0" r="0" t="0"/>
                        <a:stretch>
                          <a:fillRect/>
                        </a:stretch>
                      </pic:blipFill>
                      <pic:spPr>
                        <a:xfrm>
                          <a:off x="0" y="0"/>
                          <a:ext cx="1657350" cy="647700"/>
                        </a:xfrm>
                        <a:prstGeom prst="rect"/>
                        <a:ln/>
                      </pic:spPr>
                    </pic:pic>
                  </a:graphicData>
                </a:graphic>
              </wp:inline>
            </w:drawing>
          </w:r>
          <w:r w:rsidDel="00000000" w:rsidR="00000000" w:rsidRPr="00000000">
            <w:rPr>
              <w:rtl w:val="0"/>
            </w:rPr>
          </w:r>
        </w:p>
      </w:tc>
      <w:tc>
        <w:tcPr>
          <w:gridSpan w:val="3"/>
          <w:tcBorders>
            <w:top w:color="000000" w:space="0" w:sz="12" w:val="single"/>
            <w:left w:color="000000" w:space="0" w:sz="12" w:val="single"/>
            <w:bottom w:color="000000" w:space="0" w:sz="12" w:val="single"/>
          </w:tcBorders>
          <w:vAlign w:val="center"/>
        </w:tcPr>
        <w:p w:rsidR="00000000" w:rsidDel="00000000" w:rsidP="00000000" w:rsidRDefault="00000000" w:rsidRPr="00000000" w14:paraId="00000FF4">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highlight w:val="white"/>
              <w:rtl w:val="0"/>
            </w:rPr>
            <w:t xml:space="preserve">ESTUDIO DEL SECTOR</w:t>
          </w:r>
          <w:r w:rsidDel="00000000" w:rsidR="00000000" w:rsidRPr="00000000">
            <w:rPr>
              <w:rFonts w:ascii="Verdana" w:cs="Verdana" w:eastAsia="Verdana" w:hAnsi="Verdana"/>
              <w:b w:val="1"/>
              <w:bCs w:val="1"/>
              <w:sz w:val="22"/>
              <w:szCs w:val="22"/>
              <w:rtl w:val="0"/>
            </w:rPr>
            <w:t xml:space="preserve"> </w:t>
          </w:r>
        </w:p>
        <w:p w:rsidR="00000000" w:rsidDel="00000000" w:rsidP="00000000" w:rsidRDefault="00000000" w:rsidRPr="00000000" w14:paraId="00000FF5">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GJ-FR-108</w:t>
          </w:r>
        </w:p>
      </w:tc>
    </w:tr>
    <w:tr>
      <w:trPr>
        <w:cantSplit w:val="0"/>
        <w:trHeight w:val="187" w:hRule="atLeast"/>
        <w:tblHeader w:val="1"/>
      </w:trPr>
      <w:tc>
        <w:tcPr>
          <w:vMerge w:val="continue"/>
          <w:tcBorders>
            <w:top w:color="000000" w:space="0" w:sz="12" w:val="single"/>
            <w:bottom w:color="000000" w:space="0" w:sz="12" w:val="single"/>
            <w:right w:color="000000" w:space="0" w:sz="12" w:val="single"/>
          </w:tcBorders>
          <w:vAlign w:val="center"/>
        </w:tcPr>
        <w:p w:rsidR="00000000" w:rsidDel="00000000" w:rsidP="00000000" w:rsidRDefault="00000000" w:rsidRPr="00000000" w14:paraId="00000F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b w:val="1"/>
              <w:bCs w:val="1"/>
              <w:sz w:val="22"/>
              <w:szCs w:val="22"/>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bottom"/>
        </w:tcPr>
        <w:p w:rsidR="00000000" w:rsidDel="00000000" w:rsidP="00000000" w:rsidRDefault="00000000" w:rsidRPr="00000000" w14:paraId="00000FF9">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VERSIÓN: 00</w:t>
          </w:r>
        </w:p>
      </w:tc>
      <w:tc>
        <w:tcPr>
          <w:tcBorders>
            <w:top w:color="000000" w:space="0" w:sz="12" w:val="single"/>
            <w:left w:color="000000" w:space="0" w:sz="12" w:val="single"/>
            <w:bottom w:color="000000" w:space="0" w:sz="12" w:val="single"/>
            <w:right w:color="000000" w:space="0" w:sz="12" w:val="single"/>
          </w:tcBorders>
          <w:vAlign w:val="bottom"/>
        </w:tcPr>
        <w:p w:rsidR="00000000" w:rsidDel="00000000" w:rsidP="00000000" w:rsidRDefault="00000000" w:rsidRPr="00000000" w14:paraId="00000FFA">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FECHA: 29-07-2025</w:t>
          </w:r>
        </w:p>
      </w:tc>
      <w:tc>
        <w:tcPr>
          <w:tcBorders>
            <w:top w:color="000000" w:space="0" w:sz="12" w:val="single"/>
            <w:left w:color="000000" w:space="0" w:sz="12" w:val="single"/>
            <w:bottom w:color="000000" w:space="0" w:sz="12" w:val="single"/>
          </w:tcBorders>
          <w:vAlign w:val="bottom"/>
        </w:tcPr>
        <w:p w:rsidR="00000000" w:rsidDel="00000000" w:rsidP="00000000" w:rsidRDefault="00000000" w:rsidRPr="00000000" w14:paraId="00000FFB">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Página </w:t>
          </w:r>
          <w:r w:rsidDel="00000000" w:rsidR="00000000" w:rsidRPr="00000000">
            <w:rPr>
              <w:rFonts w:ascii="Verdana" w:cs="Verdana" w:eastAsia="Verdana" w:hAnsi="Verdana"/>
              <w:sz w:val="22"/>
              <w:szCs w:val="22"/>
            </w:rPr>
            <w:fldChar w:fldCharType="begin"/>
            <w:instrText xml:space="preserve">PAGE</w:instrText>
            <w:fldChar w:fldCharType="separate"/>
            <w:fldChar w:fldCharType="end"/>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FFC">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0"/>
      <w:numFmt w:val="bullet"/>
      <w:lvlText w:val="-"/>
      <w:lvlJc w:val="left"/>
      <w:pPr>
        <w:ind w:left="720" w:hanging="360"/>
      </w:pPr>
      <w:rPr>
        <w:rFonts w:ascii="Verdana" w:cs="Verdana" w:eastAsia="Verdana" w:hAnsi="Verdan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decimal"/>
      <w:lvlText w:val="%1.%2"/>
      <w:lvlJc w:val="left"/>
      <w:pPr>
        <w:ind w:left="1145" w:hanging="720"/>
      </w:pPr>
      <w:rPr/>
    </w:lvl>
    <w:lvl w:ilvl="2">
      <w:start w:val="1"/>
      <w:numFmt w:val="decimal"/>
      <w:lvlText w:val="%1.%2.%3"/>
      <w:lvlJc w:val="left"/>
      <w:pPr>
        <w:ind w:left="1440" w:hanging="1080"/>
      </w:pPr>
      <w:rPr/>
    </w:lvl>
    <w:lvl w:ilvl="3">
      <w:start w:val="1"/>
      <w:numFmt w:val="decimal"/>
      <w:lvlText w:val="%1.%2.%3.%4"/>
      <w:lvlJc w:val="left"/>
      <w:pPr>
        <w:ind w:left="1440" w:hanging="1080"/>
      </w:pPr>
      <w:rPr/>
    </w:lvl>
    <w:lvl w:ilvl="4">
      <w:start w:val="1"/>
      <w:numFmt w:val="decimal"/>
      <w:lvlText w:val="%1.%2.%3.%4.%5"/>
      <w:lvlJc w:val="left"/>
      <w:pPr>
        <w:ind w:left="1800" w:hanging="1440"/>
      </w:pPr>
      <w:rPr/>
    </w:lvl>
    <w:lvl w:ilvl="5">
      <w:start w:val="1"/>
      <w:numFmt w:val="decimal"/>
      <w:lvlText w:val="%1.%2.%3.%4.%5.%6"/>
      <w:lvlJc w:val="left"/>
      <w:pPr>
        <w:ind w:left="2160" w:hanging="1800"/>
      </w:pPr>
      <w:rPr/>
    </w:lvl>
    <w:lvl w:ilvl="6">
      <w:start w:val="1"/>
      <w:numFmt w:val="decimal"/>
      <w:lvlText w:val="%1.%2.%3.%4.%5.%6.%7"/>
      <w:lvlJc w:val="left"/>
      <w:pPr>
        <w:ind w:left="2520" w:hanging="2160"/>
      </w:pPr>
      <w:rPr/>
    </w:lvl>
    <w:lvl w:ilvl="7">
      <w:start w:val="1"/>
      <w:numFmt w:val="decimal"/>
      <w:lvlText w:val="%1.%2.%3.%4.%5.%6.%7.%8"/>
      <w:lvlJc w:val="left"/>
      <w:pPr>
        <w:ind w:left="2520" w:hanging="2160"/>
      </w:pPr>
      <w:rPr/>
    </w:lvl>
    <w:lvl w:ilvl="8">
      <w:start w:val="1"/>
      <w:numFmt w:val="decimal"/>
      <w:lvlText w:val="%1.%2.%3.%4.%5.%6.%7.%8.%9"/>
      <w:lvlJc w:val="left"/>
      <w:pPr>
        <w:ind w:left="2880" w:hanging="2520"/>
      </w:pPr>
      <w:rPr/>
    </w:lvl>
  </w:abstractNum>
  <w:abstractNum w:abstractNumId="4">
    <w:lvl w:ilvl="0">
      <w:start w:val="3"/>
      <w:numFmt w:val="bullet"/>
      <w:lvlText w:val="-"/>
      <w:lvlJc w:val="left"/>
      <w:pPr>
        <w:ind w:left="720" w:hanging="360"/>
      </w:pPr>
      <w:rPr>
        <w:rFonts w:ascii="Verdana" w:cs="Verdana" w:eastAsia="Verdana" w:hAnsi="Verdan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top w:w="0.0" w:type="dxa"/>
        <w:left w:w="115.0" w:type="dxa"/>
        <w:bottom w:w="0.0" w:type="dxa"/>
        <w:right w:w="115.0" w:type="dxa"/>
      </w:tblCellMar>
    </w:tblPr>
  </w:style>
  <w:style w:type="table" w:styleId="a0" w:customStyle="1">
    <w:basedOn w:val="TableNormal"/>
    <w:tblPr>
      <w:tblStyleRowBandSize w:val="1"/>
      <w:tblStyleColBandSize w:val="1"/>
      <w:tblCellMar>
        <w:top w:w="0.0" w:type="dxa"/>
        <w:left w:w="115.0" w:type="dxa"/>
        <w:bottom w:w="0.0" w:type="dxa"/>
        <w:right w:w="115.0" w:type="dxa"/>
      </w:tblCellMar>
    </w:tblPr>
  </w:style>
  <w:style w:type="table" w:styleId="a1" w:customStyle="1">
    <w:basedOn w:val="TableNormal"/>
    <w:tblPr>
      <w:tblStyleRowBandSize w:val="1"/>
      <w:tblStyleColBandSize w:val="1"/>
      <w:tblCellMar>
        <w:top w:w="0.0" w:type="dxa"/>
        <w:left w:w="115.0" w:type="dxa"/>
        <w:bottom w:w="0.0" w:type="dxa"/>
        <w:right w:w="115.0" w:type="dxa"/>
      </w:tblCellMar>
    </w:tblPr>
  </w:style>
  <w:style w:type="table" w:styleId="a2" w:customStyle="1">
    <w:basedOn w:val="TableNormal"/>
    <w:tblPr>
      <w:tblStyleRowBandSize w:val="1"/>
      <w:tblStyleColBandSize w:val="1"/>
      <w:tblCellMar>
        <w:top w:w="0.0" w:type="dxa"/>
        <w:left w:w="115.0" w:type="dxa"/>
        <w:bottom w:w="0.0" w:type="dxa"/>
        <w:right w:w="115.0" w:type="dxa"/>
      </w:tblCellMar>
    </w:tblPr>
  </w:style>
  <w:style w:type="table" w:styleId="a3" w:customStyle="1">
    <w:basedOn w:val="TableNormal"/>
    <w:tblPr>
      <w:tblStyleRowBandSize w:val="1"/>
      <w:tblStyleColBandSize w:val="1"/>
      <w:tblCellMar>
        <w:top w:w="0.0" w:type="dxa"/>
        <w:left w:w="115.0" w:type="dxa"/>
        <w:bottom w:w="0.0" w:type="dxa"/>
        <w:right w:w="115.0" w:type="dxa"/>
      </w:tblCellMar>
    </w:tblPr>
  </w:style>
  <w:style w:type="table" w:styleId="a4" w:customStyle="1">
    <w:basedOn w:val="TableNormal"/>
    <w:tblPr>
      <w:tblStyleRowBandSize w:val="1"/>
      <w:tblStyleColBandSize w:val="1"/>
      <w:tblCellMar>
        <w:top w:w="0.0" w:type="dxa"/>
        <w:left w:w="115.0" w:type="dxa"/>
        <w:bottom w:w="0.0" w:type="dxa"/>
        <w:right w:w="115.0" w:type="dxa"/>
      </w:tblCellMar>
    </w:tblPr>
  </w:style>
  <w:style w:type="table" w:styleId="a5" w:customStyle="1">
    <w:basedOn w:val="TableNormal"/>
    <w:tblPr>
      <w:tblStyleRowBandSize w:val="1"/>
      <w:tblStyleColBandSize w:val="1"/>
      <w:tblCellMar>
        <w:top w:w="0.0" w:type="dxa"/>
        <w:left w:w="115.0" w:type="dxa"/>
        <w:bottom w:w="0.0" w:type="dxa"/>
        <w:right w:w="115.0" w:type="dxa"/>
      </w:tblCellMar>
    </w:tblPr>
  </w:style>
  <w:style w:type="table" w:styleId="a6" w:customStyle="1">
    <w:basedOn w:val="TableNormal"/>
    <w:tblPr>
      <w:tblStyleRowBandSize w:val="1"/>
      <w:tblStyleColBandSize w:val="1"/>
      <w:tblCellMar>
        <w:top w:w="0.0" w:type="dxa"/>
        <w:left w:w="115.0" w:type="dxa"/>
        <w:bottom w:w="0.0" w:type="dxa"/>
        <w:right w:w="115.0" w:type="dxa"/>
      </w:tblCellMar>
    </w:tblPr>
  </w:style>
  <w:style w:type="table" w:styleId="a7" w:customStyle="1">
    <w:basedOn w:val="TableNormal"/>
    <w:tblPr>
      <w:tblStyleRowBandSize w:val="1"/>
      <w:tblStyleColBandSize w:val="1"/>
      <w:tblCellMar>
        <w:top w:w="0.0" w:type="dxa"/>
        <w:left w:w="115.0" w:type="dxa"/>
        <w:bottom w:w="0.0" w:type="dxa"/>
        <w:right w:w="115.0" w:type="dxa"/>
      </w:tblCellMar>
    </w:tblPr>
  </w:style>
  <w:style w:type="table" w:styleId="a8" w:customStyle="1">
    <w:basedOn w:val="TableNormal"/>
    <w:tblPr>
      <w:tblStyleRowBandSize w:val="1"/>
      <w:tblStyleColBandSize w:val="1"/>
      <w:tblCellMar>
        <w:top w:w="0.0" w:type="dxa"/>
        <w:left w:w="115.0" w:type="dxa"/>
        <w:bottom w:w="0.0" w:type="dxa"/>
        <w:right w:w="115.0" w:type="dxa"/>
      </w:tblCellMar>
    </w:tblPr>
  </w:style>
  <w:style w:type="table" w:styleId="a9" w:customStyle="1">
    <w:basedOn w:val="TableNormal"/>
    <w:tblPr>
      <w:tblStyleRowBandSize w:val="1"/>
      <w:tblStyleColBandSize w:val="1"/>
      <w:tblCellMar>
        <w:top w:w="0.0" w:type="dxa"/>
        <w:left w:w="115.0" w:type="dxa"/>
        <w:bottom w:w="0.0" w:type="dxa"/>
        <w:right w:w="115.0" w:type="dxa"/>
      </w:tblCellMar>
    </w:tblPr>
  </w:style>
  <w:style w:type="table" w:styleId="aa" w:customStyle="1">
    <w:basedOn w:val="TableNormal"/>
    <w:tblPr>
      <w:tblStyleRowBandSize w:val="1"/>
      <w:tblStyleColBandSize w:val="1"/>
      <w:tblCellMar>
        <w:top w:w="0.0" w:type="dxa"/>
        <w:left w:w="115.0" w:type="dxa"/>
        <w:bottom w:w="0.0" w:type="dxa"/>
        <w:right w:w="115.0" w:type="dxa"/>
      </w:tblCellMar>
    </w:tblPr>
  </w:style>
  <w:style w:type="table" w:styleId="ab" w:customStyle="1">
    <w:basedOn w:val="TableNormal"/>
    <w:tblPr>
      <w:tblStyleRowBandSize w:val="1"/>
      <w:tblStyleColBandSize w:val="1"/>
      <w:tblCellMar>
        <w:top w:w="0.0" w:type="dxa"/>
        <w:left w:w="115.0" w:type="dxa"/>
        <w:bottom w:w="0.0" w:type="dxa"/>
        <w:right w:w="115.0" w:type="dxa"/>
      </w:tblCellMar>
    </w:tblPr>
  </w:style>
  <w:style w:type="paragraph" w:styleId="Textocomentario">
    <w:name w:val="annotation text"/>
    <w:basedOn w:val="Normal"/>
    <w:link w:val="TextocomentarioCar"/>
    <w:uiPriority w:val="99"/>
    <w:semiHidden w:val="1"/>
    <w:unhideWhenUsed w:val="1"/>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paragraph" w:styleId="Textodeglobo">
    <w:name w:val="Balloon Text"/>
    <w:basedOn w:val="Normal"/>
    <w:link w:val="TextodegloboCar"/>
    <w:uiPriority w:val="99"/>
    <w:semiHidden w:val="1"/>
    <w:unhideWhenUsed w:val="1"/>
    <w:rsid w:val="00632AAE"/>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632AAE"/>
    <w:rPr>
      <w:rFonts w:ascii="Segoe UI" w:cs="Segoe UI" w:hAnsi="Segoe UI"/>
      <w:sz w:val="18"/>
      <w:szCs w:val="18"/>
    </w:rPr>
  </w:style>
  <w:style w:type="paragraph" w:styleId="Encabezado">
    <w:name w:val="header"/>
    <w:basedOn w:val="Normal"/>
    <w:link w:val="EncabezadoCar"/>
    <w:uiPriority w:val="99"/>
    <w:unhideWhenUsed w:val="1"/>
    <w:rsid w:val="00632AAE"/>
    <w:pPr>
      <w:tabs>
        <w:tab w:val="center" w:pos="4419"/>
        <w:tab w:val="right" w:pos="8838"/>
      </w:tabs>
    </w:pPr>
  </w:style>
  <w:style w:type="character" w:styleId="EncabezadoCar" w:customStyle="1">
    <w:name w:val="Encabezado Car"/>
    <w:basedOn w:val="Fuentedeprrafopredeter"/>
    <w:link w:val="Encabezado"/>
    <w:uiPriority w:val="99"/>
    <w:rsid w:val="00632AAE"/>
  </w:style>
  <w:style w:type="paragraph" w:styleId="Piedepgina">
    <w:name w:val="footer"/>
    <w:basedOn w:val="Normal"/>
    <w:link w:val="PiedepginaCar"/>
    <w:uiPriority w:val="99"/>
    <w:unhideWhenUsed w:val="1"/>
    <w:rsid w:val="00632AAE"/>
    <w:pPr>
      <w:tabs>
        <w:tab w:val="center" w:pos="4419"/>
        <w:tab w:val="right" w:pos="8838"/>
      </w:tabs>
    </w:pPr>
  </w:style>
  <w:style w:type="character" w:styleId="PiedepginaCar" w:customStyle="1">
    <w:name w:val="Pie de página Car"/>
    <w:basedOn w:val="Fuentedeprrafopredeter"/>
    <w:link w:val="Piedepgina"/>
    <w:uiPriority w:val="99"/>
    <w:rsid w:val="00632AAE"/>
  </w:style>
  <w:style w:type="paragraph" w:styleId="Prrafodelista">
    <w:name w:val="List Paragraph"/>
    <w:basedOn w:val="Normal"/>
    <w:uiPriority w:val="34"/>
    <w:qFormat w:val="1"/>
    <w:rsid w:val="00254519"/>
    <w:pPr>
      <w:ind w:left="720"/>
      <w:contextualSpacing w:val="1"/>
    </w:pPr>
  </w:style>
  <w:style w:type="paragraph" w:styleId="NormalWeb">
    <w:name w:val="Normal (Web)"/>
    <w:basedOn w:val="Normal"/>
    <w:uiPriority w:val="99"/>
    <w:semiHidden w:val="1"/>
    <w:unhideWhenUsed w:val="1"/>
    <w:rsid w:val="00BE20AE"/>
    <w:pPr>
      <w:spacing w:after="100" w:afterAutospacing="1" w:before="100" w:beforeAutospacing="1"/>
    </w:pPr>
    <w:rPr>
      <w:rFonts w:ascii="Times New Roman" w:cs="Times New Roman" w:eastAsia="Times New Roman" w:hAnsi="Times New Roman"/>
    </w:rPr>
  </w:style>
  <w:style w:type="character" w:styleId="apple-tab-span" w:customStyle="1">
    <w:name w:val="apple-tab-span"/>
    <w:basedOn w:val="Fuentedeprrafopredeter"/>
    <w:rsid w:val="00BE20AE"/>
  </w:style>
  <w:style w:type="paragraph" w:styleId="Asuntodelcomentario">
    <w:name w:val="annotation subject"/>
    <w:basedOn w:val="Textocomentario"/>
    <w:next w:val="Textocomentario"/>
    <w:link w:val="AsuntodelcomentarioCar"/>
    <w:uiPriority w:val="99"/>
    <w:semiHidden w:val="1"/>
    <w:unhideWhenUsed w:val="1"/>
    <w:rsid w:val="003572A4"/>
    <w:rPr>
      <w:b w:val="1"/>
      <w:bCs w:val="1"/>
    </w:rPr>
  </w:style>
  <w:style w:type="character" w:styleId="AsuntodelcomentarioCar" w:customStyle="1">
    <w:name w:val="Asunto del comentario Car"/>
    <w:basedOn w:val="TextocomentarioCar"/>
    <w:link w:val="Asuntodelcomentario"/>
    <w:uiPriority w:val="99"/>
    <w:semiHidden w:val="1"/>
    <w:rsid w:val="003572A4"/>
    <w:rPr>
      <w:b w:val="1"/>
      <w:bCs w:val="1"/>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9.png"/><Relationship Id="rId22" Type="http://schemas.openxmlformats.org/officeDocument/2006/relationships/image" Target="media/image1.png"/><Relationship Id="rId21" Type="http://schemas.openxmlformats.org/officeDocument/2006/relationships/image" Target="media/image20.png"/><Relationship Id="rId24" Type="http://schemas.openxmlformats.org/officeDocument/2006/relationships/image" Target="media/image2.png"/><Relationship Id="rId23"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0.png"/><Relationship Id="rId26" Type="http://schemas.openxmlformats.org/officeDocument/2006/relationships/image" Target="media/image3.jpg"/><Relationship Id="rId25" Type="http://schemas.openxmlformats.org/officeDocument/2006/relationships/image" Target="media/image4.png"/><Relationship Id="rId28" Type="http://schemas.openxmlformats.org/officeDocument/2006/relationships/header" Target="header1.xml"/><Relationship Id="rId27" Type="http://schemas.openxmlformats.org/officeDocument/2006/relationships/image" Target="media/image21.png"/><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footer" Target="footer1.xml"/><Relationship Id="rId7" Type="http://schemas.openxmlformats.org/officeDocument/2006/relationships/customXml" Target="../customXML/item1.xml"/><Relationship Id="rId8" Type="http://schemas.openxmlformats.org/officeDocument/2006/relationships/image" Target="media/image19.png"/><Relationship Id="rId11" Type="http://schemas.openxmlformats.org/officeDocument/2006/relationships/image" Target="media/image17.png"/><Relationship Id="rId10" Type="http://schemas.openxmlformats.org/officeDocument/2006/relationships/image" Target="media/image22.png"/><Relationship Id="rId13" Type="http://schemas.openxmlformats.org/officeDocument/2006/relationships/image" Target="media/image15.png"/><Relationship Id="rId12" Type="http://schemas.openxmlformats.org/officeDocument/2006/relationships/image" Target="media/image16.png"/><Relationship Id="rId15" Type="http://schemas.openxmlformats.org/officeDocument/2006/relationships/image" Target="media/image18.png"/><Relationship Id="rId14" Type="http://schemas.openxmlformats.org/officeDocument/2006/relationships/image" Target="media/image14.png"/><Relationship Id="rId17" Type="http://schemas.openxmlformats.org/officeDocument/2006/relationships/image" Target="media/image5.png"/><Relationship Id="rId16" Type="http://schemas.openxmlformats.org/officeDocument/2006/relationships/image" Target="media/image13.png"/><Relationship Id="rId19" Type="http://schemas.openxmlformats.org/officeDocument/2006/relationships/image" Target="media/image12.png"/><Relationship Id="rId1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1q9AW8qZPsh1Dk3hd31qnBu8rA==">CgMxLjAaJgoBMBIhCh8IB0IbCgdWZXJkYW5hEhBBcmlhbCBVbmljb2RlIE1TMg5oLmE3b3o4em5wYzNlNDIOaC5pMGcyMmVkenVmeW4yDmguMmVkeXptZzV2NXQ5Mg5oLng0anNsdTFxdHkzMzgAciExa3NDM0tGdjhaUkR5ZWRzLWRSOHRVWWJmdFk0MXVfckw=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2026-08-12T15:09:00Z</dcterms:created>
</cp:coreProperties>
</file>