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del sector social en vivienda – saneamiento básico rural.</w:t>
      </w:r>
      <w:r w:rsidR="0115F3C6" w:rsidRPr="07FA77B4">
        <w:rPr>
          <w:rFonts w:ascii="Verdana" w:eastAsia="Arial" w:hAnsi="Verdana" w:cs="Arial"/>
          <w:lang w:val="es-419"/>
        </w:rPr>
      </w:r>
      <w:r w:rsidR="740DC592" w:rsidRPr="07FA77B4">
        <w:rPr>
          <w:rFonts w:ascii="Verdana" w:eastAsia="Arial" w:hAnsi="Verdana" w:cs="Arial"/>
          <w:lang w:val="es-419"/>
        </w:rPr>
      </w:r>
      <w:r w:rsidR="0115F3C6" w:rsidRPr="07FA77B4">
        <w:rPr>
          <w:rFonts w:ascii="Verdana" w:eastAsia="Arial" w:hAnsi="Verdana" w:cs="Arial"/>
          <w:highlight w:val="lightGray"/>
          <w:lang w:val="es-419"/>
        </w:rPr>
      </w:r>
      <w:r w:rsidRPr="07FA77B4">
        <w:rPr>
          <w:rFonts w:ascii="Verdana" w:eastAsia="Arial" w:hAnsi="Verdana" w:cs="Arial"/>
          <w:lang w:val="es-419"/>
        </w:rPr>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40% del personal requerido para el cumplimiento del contrato. </w:t>
      </w:r>
      <w:r w:rsidRPr="00993777">
        <w:rPr>
          <w:rFonts w:ascii="Verdana" w:eastAsia="Arial" w:hAnsi="Verdana" w:cs="Times New Roman"/>
          <w:color w:val="000000"/>
          <w:szCs w:val="24"/>
          <w:highlight w:val="lightGray"/>
          <w:lang w:val="es-CO"/>
        </w:rPr>
      </w:r>
      <w:r w:rsidRPr="00993777">
        <w:rPr>
          <w:rFonts w:ascii="Verdana" w:eastAsia="Arial" w:hAnsi="Verdana" w:cs="Arial"/>
          <w:highlight w:val="lightGray"/>
          <w:lang w:val="es-MX" w:bidi="en-US"/>
        </w:rPr>
      </w:r>
      <w:r w:rsidRPr="00993777">
        <w:rPr>
          <w:rFonts w:ascii="Verdana" w:eastAsia="Arial" w:hAnsi="Verdana" w:cs="Arial"/>
          <w:color w:val="000000"/>
          <w:highlight w:val="lightGray"/>
        </w:rPr>
      </w:r>
      <w:r w:rsidRPr="00993777">
        <w:rPr>
          <w:rFonts w:ascii="Verdana" w:eastAsia="Arial" w:hAnsi="Verdana" w:cs="Times New Roman"/>
          <w:color w:val="000000"/>
        </w:rPr>
      </w:r>
      <w:r w:rsidRPr="00993777">
        <w:rPr>
          <w:rFonts w:ascii="Verdana" w:eastAsia="Arial" w:hAnsi="Verdana" w:cs="Times New Roman"/>
          <w:color w:val="000000"/>
          <w:szCs w:val="24"/>
          <w:lang w:val="es-CO"/>
        </w:rPr>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La Agencia Nacional de Contratación Pública ha elaborado el siguiente listado de los bienes relevantes más comunes en el desarrollo de la obra pública de infraestructura del sector social en vivienda – saneamiento básico rural,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 </w:t>
      </w:r>
      <w:r w:rsidR="2DC671A7" w:rsidRPr="07FA77B4">
        <w:rPr>
          <w:rFonts w:ascii="Verdana" w:eastAsia="Arial" w:hAnsi="Verdana" w:cs="Times New Roman"/>
          <w:lang w:val="es-MX"/>
        </w:rPr>
      </w:r>
      <w:r w:rsidR="2DC671A7" w:rsidRPr="07FA77B4">
        <w:rPr>
          <w:rFonts w:ascii="Verdana" w:eastAsia="Arial" w:hAnsi="Verdana" w:cs="Arial"/>
          <w:lang w:val="es-419"/>
        </w:rPr>
      </w:r>
      <w:r w:rsidR="2DC671A7" w:rsidRPr="07FA77B4">
        <w:rPr>
          <w:rFonts w:ascii="Verdana" w:eastAsia="Arial" w:hAnsi="Verdana" w:cs="Arial"/>
          <w:highlight w:val="lightGray"/>
          <w:lang w:val="es-419"/>
        </w:rPr>
      </w:r>
      <w:r w:rsidRPr="07FA77B4">
        <w:rPr>
          <w:rFonts w:ascii="Verdana" w:eastAsia="Arial" w:hAnsi="Verdana" w:cs="Times New Roman"/>
          <w:lang w:val="es-MX"/>
        </w:rPr>
      </w:r>
      <w:r w:rsidRPr="07FA77B4">
        <w:rPr>
          <w:rFonts w:ascii="Verdana" w:eastAsia="Arial" w:hAnsi="Verdana" w:cs="Times New Roman"/>
          <w:lang w:val="es-419"/>
        </w:rPr>
      </w:r>
      <w:r w:rsidRPr="07FA77B4">
        <w:rPr>
          <w:rFonts w:ascii="Verdana" w:eastAsia="Arial" w:hAnsi="Verdana" w:cs="Times New Roman"/>
          <w:lang w:val="es-MX"/>
        </w:rPr>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Los bienes que se enuncian se presentan de forma generalizada para los diferentes tipos de infraestructura y actividades categorizadas en la Matriz 1 – Experiencia de los Documentos Tipo de obra pública de infraestructura del sector social en vivienda – saneamiento básico rural. </w:t>
      </w:r>
      <w:r w:rsidR="48A5D8A1" w:rsidRPr="07FA77B4">
        <w:rPr>
          <w:rFonts w:ascii="Verdana" w:eastAsia="Arial" w:hAnsi="Verdana" w:cs="Times New Roman"/>
          <w:lang w:val="es-MX"/>
        </w:rPr>
      </w:r>
      <w:r w:rsidR="48A5D8A1" w:rsidRPr="07FA77B4">
        <w:rPr>
          <w:rFonts w:ascii="Verdana" w:eastAsia="Arial" w:hAnsi="Verdana" w:cs="Arial"/>
          <w:lang w:val="es-419"/>
        </w:rPr>
      </w:r>
      <w:r w:rsidR="48A5D8A1" w:rsidRPr="07FA77B4">
        <w:rPr>
          <w:rFonts w:ascii="Verdana" w:eastAsia="Arial" w:hAnsi="Verdana" w:cs="Arial"/>
          <w:highlight w:val="lightGray"/>
          <w:lang w:val="es-419"/>
        </w:rPr>
      </w:r>
      <w:r w:rsidRPr="07FA77B4">
        <w:rPr>
          <w:rFonts w:ascii="Verdana" w:eastAsia="Arial" w:hAnsi="Verdana" w:cs="Times New Roman"/>
          <w:lang w:val="es-MX"/>
        </w:rPr>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952"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op w:w="60" w:type="dxa"/>
              <w:start w:w="60" w:type="dxa"/>
              <w:bottom w:w="60" w:type="dxa"/>
              <w:end w:w="60" w:type="dxa"/>
            </w:tcMar>
            <w:vAlign w:val="center"/>
          </w:tcPr>
          <w:p w14:paraId="30F13051" w14:textId="24812929" w:rsidR="07FA77B4" w:rsidRDefault="07FA77B4" w:rsidP="07FA77B4">
            <w:pPr>
              <w:spacing w:after="0" w:line="240" w:lineRule="auto" w:before="0"/>
              <w:jc w:val="center"/>
              <w:rPr>
                <w:rFonts w:ascii="Verdana" w:eastAsia="Verdana" w:hAnsi="Verdana" w:cs="Verdana"/>
                <w:color w:val="000000" w:themeColor="text1"/>
                <w:sz w:val="18"/>
                <w:szCs w:val="18"/>
              </w:rPr>
            </w:pPr>
            <w:r w:rsidRPr="07FA77B4">
              <w:rPr>
                <w:rFonts w:ascii="Arial" w:eastAsia="Verdana" w:hAnsi="Arial" w:cs="Verdana"/>
                <w:b/>
                <w:bCs/>
                <w:color w:val="000000" w:themeColor="text1"/>
                <w:sz w:val="16"/>
                <w:szCs w:val="18"/>
                <w:lang w:val="es-CO"/>
              </w:rPr>
              <w:t>TIPO DE INFRAESTRUCTURA DEL SECTOR SOCIAL</w:t>
            </w:r>
          </w:p>
        </w:tc>
        <w:tc>
          <w:tcPr>
            <w:tcW w:w="3960"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op w:w="60" w:type="dxa"/>
              <w:start w:w="60" w:type="dxa"/>
              <w:bottom w:w="60" w:type="dxa"/>
              <w:end w:w="60" w:type="dxa"/>
            </w:tcMar>
            <w:vAlign w:val="center"/>
          </w:tcPr>
          <w:p w14:paraId="05676AA0" w14:textId="41C8929B" w:rsidR="07FA77B4" w:rsidRDefault="07FA77B4" w:rsidP="07FA77B4">
            <w:pPr>
              <w:spacing w:after="0" w:line="240" w:lineRule="auto" w:before="0"/>
              <w:jc w:val="center"/>
              <w:rPr>
                <w:rFonts w:ascii="Verdana" w:eastAsia="Verdana" w:hAnsi="Verdana" w:cs="Verdana"/>
                <w:color w:val="000000" w:themeColor="text1"/>
                <w:sz w:val="18"/>
                <w:szCs w:val="18"/>
              </w:rPr>
            </w:pPr>
            <w:r w:rsidRPr="07FA77B4">
              <w:rPr>
                <w:rFonts w:ascii="Arial" w:eastAsia="Verdana" w:hAnsi="Arial" w:cs="Verdana"/>
                <w:b/>
                <w:bCs/>
                <w:color w:val="000000" w:themeColor="text1"/>
                <w:sz w:val="16"/>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384" w:type="dxa"/>
            <w:tcBorders>
              <w:top w:val="single" w:sz="6" w:space="0" w:color="auto"/>
              <w:left w:val="nil"/>
              <w:bottom w:val="single" w:sz="6" w:space="0" w:color="auto"/>
              <w:right w:val="single" w:sz="6" w:space="0" w:color="auto"/>
            </w:tcBorders>
            <w:shd w:val="clear" w:color="auto" w:fill="B8B7B7"/>
            <w:tcMar>
              <w:left w:w="60" w:type="dxa"/>
              <w:right w:w="60" w:type="dxa"/>
              <w:top w:w="60" w:type="dxa"/>
              <w:start w:w="60" w:type="dxa"/>
              <w:bottom w:w="60" w:type="dxa"/>
              <w:end w:w="60" w:type="dxa"/>
            </w:tcMar>
            <w:vAlign w:val="center"/>
          </w:tcPr>
          <w:p>
            <w:pPr>
              <w:spacing w:after="0" w:before="0" w:line="240" w:lineRule="auto"/>
              <w:jc w:val="center"/>
            </w:pPr>
            <w:r>
              <w:rPr>
                <w:rFonts w:ascii="Arial" w:hAnsi="Arial"/>
                <w:sz w:val="16"/>
              </w:rPr>
            </w:r>
            <w:r>
              <w:rPr>
                <w:rFonts w:ascii="Arial" w:hAnsi="Arial"/>
                <w:b/>
                <w:sz w:val="16"/>
              </w:rPr>
              <w:t>Insumos</w:t>
              <w:br/>
              <w:t>(identificados directamente en el Presupuesto Oficial)</w:t>
            </w:r>
          </w:p>
        </w:tc>
        <w:tc>
          <w:tcPr>
            <w:tcW w:w="3960"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op w:w="60" w:type="dxa"/>
              <w:start w:w="60" w:type="dxa"/>
              <w:bottom w:w="60" w:type="dxa"/>
              <w:end w:w="60" w:type="dxa"/>
            </w:tcMar>
            <w:vAlign w:val="center"/>
          </w:tcPr>
          <w:p>
            <w:pPr>
              <w:spacing w:after="0" w:before="0" w:line="240" w:lineRule="auto"/>
              <w:jc w:val="center"/>
            </w:pPr>
            <w:r>
              <w:rPr>
                <w:rFonts w:ascii="Arial" w:hAnsi="Arial"/>
                <w:sz w:val="16"/>
              </w:rPr>
            </w:r>
            <w:r>
              <w:rPr>
                <w:rFonts w:ascii="Arial" w:hAnsi="Arial"/>
                <w:b/>
                <w:sz w:val="16"/>
              </w:rPr>
              <w:t>Elementos o materiales producidos</w:t>
              <w:br/>
              <w:t>(requeridos para el proyecto)</w:t>
            </w:r>
          </w:p>
        </w:tc>
      </w:tr>
      <w:tr w:rsidR="07FA77B4" w14:paraId="2F057F30" w14:textId="77777777" w:rsidTr="07FA77B4">
        <w:trPr>
          <w:trHeight w:val="300"/>
        </w:trPr>
        <w:tc>
          <w:tcPr>
            <w:tcW w:w="2952" w:type="dxa"/>
            <w:vMerge w:val="restart"/>
            <w:tcBorders>
              <w:top w:val="nil"/>
              <w:left w:val="single" w:sz="6" w:space="0" w:color="auto"/>
              <w:bottom w:val="single" w:sz="6" w:space="0" w:color="auto"/>
              <w:right w:val="single" w:sz="6" w:space="0" w:color="auto"/>
            </w:tcBorders>
            <w:tcMar>
              <w:left w:w="60" w:type="dxa"/>
              <w:right w:w="60" w:type="dxa"/>
              <w:top w:w="60" w:type="dxa"/>
              <w:start w:w="60" w:type="dxa"/>
              <w:bottom w:w="60" w:type="dxa"/>
              <w:end w:w="60" w:type="dxa"/>
            </w:tcMar>
            <w:vAlign w:val="center"/>
          </w:tcPr>
          <w:p>
            <w:pPr>
              <w:spacing w:after="0" w:before="0" w:line="240" w:lineRule="auto"/>
              <w:jc w:val="center"/>
            </w:pPr>
            <w:r>
              <w:rPr>
                <w:rFonts w:ascii="Arial" w:hAnsi="Arial"/>
                <w:sz w:val="16"/>
              </w:rPr>
            </w:r>
            <w:r>
              <w:rPr>
                <w:rFonts w:ascii="Arial" w:hAnsi="Arial"/>
                <w:b/>
                <w:sz w:val="16"/>
              </w:rPr>
              <w:t>1. OBRAS DE SANEAMIENTO BÁSICO RURAL – CONSTRUCCIÓN DE UNIDADES SANITARIAS E INSTALACIÓN DE SISTEMAS SÉPTICOS</w:t>
            </w:r>
          </w:p>
        </w:tc>
        <w:tc>
          <w:tcPr>
            <w:tcW w:w="3384" w:type="dxa"/>
            <w:tcBorders>
              <w:top w:val="single" w:sz="6" w:space="0" w:color="auto"/>
              <w:left w:val="single" w:sz="6" w:space="0" w:color="auto"/>
              <w:bottom w:val="single" w:sz="6" w:space="0" w:color="auto"/>
              <w:right w:val="single" w:sz="6" w:space="0" w:color="auto"/>
            </w:tcBorders>
            <w:tcMar>
              <w:left w:w="60" w:type="dxa"/>
              <w:right w:w="60" w:type="dxa"/>
              <w:top w:w="60" w:type="dxa"/>
              <w:start w:w="60" w:type="dxa"/>
              <w:bottom w:w="60" w:type="dxa"/>
              <w:end w:w="60" w:type="dxa"/>
            </w:tcMar>
            <w:vAlign w:val="center"/>
          </w:tcPr>
          <w:p>
            <w:pPr>
              <w:spacing w:after="0" w:before="0" w:line="240" w:lineRule="auto"/>
              <w:jc w:val="left"/>
            </w:pPr>
            <w:r>
              <w:rPr>
                <w:rFonts w:ascii="Arial" w:hAnsi="Arial"/>
                <w:sz w:val="16"/>
              </w:rPr>
            </w:r>
            <w:r>
              <w:rPr>
                <w:rFonts w:ascii="Arial" w:hAnsi="Arial"/>
                <w:b w:val="0"/>
                <w:sz w:val="16"/>
              </w:rPr>
              <w:t>No discriminados individualmente en el Formulario 1 suministrado; los ítems están presupuestados a todo costo.</w:t>
            </w:r>
          </w:p>
        </w:tc>
        <w:tc>
          <w:tcPr>
            <w:tcW w:w="3960" w:type="dxa"/>
            <w:tcBorders>
              <w:top w:val="single" w:sz="6" w:space="0" w:color="auto"/>
              <w:left w:val="single" w:sz="6" w:space="0" w:color="auto"/>
              <w:bottom w:val="single" w:sz="6" w:space="0" w:color="auto"/>
              <w:right w:val="single" w:sz="6" w:space="0" w:color="auto"/>
            </w:tcBorders>
            <w:tcMar>
              <w:left w:w="60" w:type="dxa"/>
              <w:right w:w="60" w:type="dxa"/>
              <w:top w:w="60" w:type="dxa"/>
              <w:start w:w="60" w:type="dxa"/>
              <w:bottom w:w="60" w:type="dxa"/>
              <w:end w:w="60" w:type="dxa"/>
            </w:tcMar>
            <w:vAlign w:val="center"/>
          </w:tcPr>
          <w:p>
            <w:pPr>
              <w:spacing w:after="0" w:before="0" w:line="240" w:lineRule="auto"/>
              <w:jc w:val="left"/>
            </w:pPr>
            <w:r>
              <w:rPr>
                <w:rFonts w:ascii="Arial" w:hAnsi="Arial"/>
                <w:sz w:val="16"/>
              </w:rPr>
            </w:r>
            <w:r>
              <w:rPr>
                <w:rFonts w:ascii="Arial" w:hAnsi="Arial"/>
                <w:b w:val="0"/>
                <w:sz w:val="16"/>
              </w:rPr>
              <w:t>Unidad sanitaria – ítem 2.01 (70,2568 % del presupuesto analizado)</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384" w:type="dxa"/>
            <w:tcBorders>
              <w:top w:val="single" w:sz="6" w:space="0" w:color="auto"/>
              <w:left w:val="single" w:sz="6" w:space="0" w:color="auto"/>
              <w:bottom w:val="single" w:sz="6" w:space="0" w:color="auto"/>
              <w:right w:val="single" w:sz="6" w:space="0" w:color="auto"/>
            </w:tcBorders>
            <w:tcMar>
              <w:left w:w="60" w:type="dxa"/>
              <w:right w:w="60" w:type="dxa"/>
              <w:top w:w="60" w:type="dxa"/>
              <w:start w:w="60" w:type="dxa"/>
              <w:bottom w:w="60" w:type="dxa"/>
              <w:end w:w="60" w:type="dxa"/>
            </w:tcMar>
            <w:vAlign w:val="center"/>
          </w:tcPr>
          <w:p>
            <w:pPr>
              <w:spacing w:after="0" w:before="0" w:line="240" w:lineRule="auto"/>
              <w:jc w:val="left"/>
            </w:pPr>
            <w:r>
              <w:rPr>
                <w:rFonts w:ascii="Arial" w:hAnsi="Arial"/>
                <w:sz w:val="16"/>
              </w:rPr>
            </w:r>
            <w:r>
              <w:rPr>
                <w:rFonts w:ascii="Arial" w:hAnsi="Arial"/>
                <w:b w:val="0"/>
                <w:sz w:val="16"/>
              </w:rPr>
            </w:r>
          </w:p>
        </w:tc>
        <w:tc>
          <w:tcPr>
            <w:tcW w:w="3960" w:type="dxa"/>
            <w:tcBorders>
              <w:top w:val="single" w:sz="6" w:space="0" w:color="auto"/>
              <w:left w:val="single" w:sz="6" w:space="0" w:color="auto"/>
              <w:bottom w:val="single" w:sz="6" w:space="0" w:color="auto"/>
              <w:right w:val="single" w:sz="6" w:space="0" w:color="auto"/>
            </w:tcBorders>
            <w:tcMar>
              <w:left w:w="60" w:type="dxa"/>
              <w:right w:w="60" w:type="dxa"/>
              <w:top w:w="60" w:type="dxa"/>
              <w:start w:w="60" w:type="dxa"/>
              <w:bottom w:w="60" w:type="dxa"/>
              <w:end w:w="60" w:type="dxa"/>
            </w:tcMar>
            <w:vAlign w:val="center"/>
          </w:tcPr>
          <w:p>
            <w:pPr>
              <w:spacing w:after="0" w:before="0" w:line="240" w:lineRule="auto"/>
              <w:jc w:val="left"/>
            </w:pPr>
            <w:r>
              <w:rPr>
                <w:rFonts w:ascii="Arial" w:hAnsi="Arial"/>
                <w:sz w:val="16"/>
              </w:rPr>
            </w:r>
            <w:r>
              <w:rPr>
                <w:rFonts w:ascii="Arial" w:hAnsi="Arial"/>
                <w:b w:val="0"/>
                <w:sz w:val="16"/>
              </w:rPr>
              <w:t>Sistema séptico domiciliario de 1.000 L – ítem 1.02 (16,5168 %)</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384" w:type="dxa"/>
            <w:tcBorders>
              <w:top w:val="single" w:sz="6" w:space="0" w:color="auto"/>
              <w:left w:val="single" w:sz="6" w:space="0" w:color="auto"/>
              <w:bottom w:val="single" w:sz="6" w:space="0" w:color="auto"/>
              <w:right w:val="single" w:sz="6" w:space="0" w:color="auto"/>
            </w:tcBorders>
            <w:tcMar>
              <w:left w:w="60" w:type="dxa"/>
              <w:right w:w="60" w:type="dxa"/>
              <w:top w:w="60" w:type="dxa"/>
              <w:start w:w="60" w:type="dxa"/>
              <w:bottom w:w="60" w:type="dxa"/>
              <w:end w:w="60" w:type="dxa"/>
            </w:tcMar>
            <w:vAlign w:val="center"/>
          </w:tcPr>
          <w:p>
            <w:pPr>
              <w:spacing w:after="0" w:before="0" w:line="240" w:lineRule="auto"/>
              <w:jc w:val="left"/>
            </w:pPr>
            <w:r>
              <w:rPr>
                <w:rFonts w:ascii="Arial" w:hAnsi="Arial"/>
                <w:sz w:val="16"/>
              </w:rPr>
            </w:r>
            <w:r>
              <w:rPr>
                <w:rFonts w:ascii="Arial" w:hAnsi="Arial"/>
                <w:b w:val="0"/>
                <w:sz w:val="16"/>
              </w:rPr>
            </w:r>
          </w:p>
        </w:tc>
        <w:tc>
          <w:tcPr>
            <w:tcW w:w="3960" w:type="dxa"/>
            <w:tcBorders>
              <w:top w:val="single" w:sz="6" w:space="0" w:color="auto"/>
              <w:left w:val="single" w:sz="6" w:space="0" w:color="auto"/>
              <w:bottom w:val="single" w:sz="6" w:space="0" w:color="auto"/>
              <w:right w:val="single" w:sz="6" w:space="0" w:color="auto"/>
            </w:tcBorders>
            <w:tcMar>
              <w:left w:w="60" w:type="dxa"/>
              <w:right w:w="60" w:type="dxa"/>
              <w:top w:w="60" w:type="dxa"/>
              <w:start w:w="60" w:type="dxa"/>
              <w:bottom w:w="60" w:type="dxa"/>
              <w:end w:w="60" w:type="dxa"/>
            </w:tcMar>
            <w:vAlign w:val="center"/>
          </w:tcPr>
          <w:p>
            <w:pPr>
              <w:spacing w:after="0" w:before="0" w:line="240" w:lineRule="auto"/>
              <w:jc w:val="left"/>
            </w:pPr>
            <w:r>
              <w:rPr>
                <w:rFonts w:ascii="Arial" w:hAnsi="Arial"/>
                <w:sz w:val="16"/>
              </w:rPr>
            </w:r>
            <w:r>
              <w:rPr>
                <w:rFonts w:ascii="Arial" w:hAnsi="Arial"/>
                <w:b w:val="0"/>
                <w:sz w:val="16"/>
              </w:rPr>
              <w:t>Sistema séptico domiciliario de 500 L – ítem 1.01 (13,2264 %)</w:t>
            </w: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p>
      <w:r>
        <w:br w:type="page"/>
      </w:r>
    </w:p>
    <w:p>
      <w:pPr>
        <w:jc w:val="center"/>
      </w:pPr>
      <w:r>
        <w:rPr>
          <w:rFonts w:ascii="Arial" w:hAnsi="Arial"/>
          <w:b/>
          <w:sz w:val="22"/>
        </w:rPr>
        <w:t>ANEXO – APLICACIÓN DE LA METODOLOGÍA PARA DETERMINAR BIENES NACIONALES RELEVANTES</w:t>
      </w:r>
    </w:p>
    <w:p>
      <w:pPr>
        <w:jc w:val="both"/>
      </w:pPr>
      <w:r>
        <w:rPr>
          <w:rFonts w:ascii="Arial" w:hAnsi="Arial"/>
          <w:sz w:val="18"/>
        </w:rPr>
        <w:t>Fuente de cálculo: Formulario 1 – Presupuesto Oficial suministrado. El presupuesto contiene tres (3) ítems de pago, todos con cantidad 1,00. De acuerdo con la Nota 1 del mismo Formulario, el precio unitario incluye A.I.U. El archivo no contiene un desglose de materiales o análisis de precios unitarios que permita asignar un valor individual a cemento, agregados, acero, tubería, aparatos sanitarios u otros insumos. Por esta razón, y sin incorporar valores no soportados por el presupuesto, la metodología se aplica al nivel de los bienes/soluciones identificables en los tres ítems presupuestales.</w:t>
      </w:r>
    </w:p>
    <w:tbl>
      <w:tblPr>
        <w:tblStyle w:val="Tablaconcuadrcula"/>
        <w:tblW w:type="auto" w:w="0"/>
        <w:jc w:val="center"/>
        <w:tblLook w:firstColumn="1" w:firstRow="1" w:lastColumn="0" w:lastRow="0" w:noHBand="0" w:noVBand="1" w:val="04A0"/>
      </w:tblPr>
      <w:tblGrid>
        <w:gridCol w:w="1289"/>
        <w:gridCol w:w="1289"/>
        <w:gridCol w:w="1289"/>
        <w:gridCol w:w="1289"/>
        <w:gridCol w:w="1289"/>
        <w:gridCol w:w="1289"/>
        <w:gridCol w:w="1289"/>
      </w:tblGrid>
      <w:tr>
        <w:trPr>
          <w:tblHeader w:val="true"/>
        </w:trPr>
        <w:tc>
          <w:tcPr>
            <w:tcW w:type="dxa" w:w="648"/>
            <w:vAlign w:val="center"/>
            <w:shd w:fill="BFBFBF"/>
          </w:tcPr>
          <w:p>
            <w:pPr>
              <w:jc w:val="center"/>
            </w:pPr>
            <w:r/>
            <w:r>
              <w:rPr>
                <w:rFonts w:ascii="Arial" w:hAnsi="Arial"/>
                <w:b/>
                <w:sz w:val="14"/>
              </w:rPr>
              <w:t>Ítem</w:t>
            </w:r>
          </w:p>
        </w:tc>
        <w:tc>
          <w:tcPr>
            <w:tcW w:type="dxa" w:w="3672"/>
            <w:vAlign w:val="center"/>
            <w:shd w:fill="BFBFBF"/>
          </w:tcPr>
          <w:p>
            <w:pPr>
              <w:jc w:val="center"/>
            </w:pPr>
            <w:r/>
            <w:r>
              <w:rPr>
                <w:rFonts w:ascii="Arial" w:hAnsi="Arial"/>
                <w:b/>
                <w:sz w:val="14"/>
              </w:rPr>
              <w:t>Bien / solución identificada</w:t>
            </w:r>
          </w:p>
        </w:tc>
        <w:tc>
          <w:tcPr>
            <w:tcW w:type="dxa" w:w="648"/>
            <w:vAlign w:val="center"/>
            <w:shd w:fill="BFBFBF"/>
          </w:tcPr>
          <w:p>
            <w:pPr>
              <w:jc w:val="center"/>
            </w:pPr>
            <w:r/>
            <w:r>
              <w:rPr>
                <w:rFonts w:ascii="Arial" w:hAnsi="Arial"/>
                <w:b/>
                <w:sz w:val="14"/>
              </w:rPr>
              <w:t>Cant.</w:t>
            </w:r>
          </w:p>
        </w:tc>
        <w:tc>
          <w:tcPr>
            <w:tcW w:type="dxa" w:w="1584"/>
            <w:vAlign w:val="center"/>
            <w:shd w:fill="BFBFBF"/>
          </w:tcPr>
          <w:p>
            <w:pPr>
              <w:jc w:val="center"/>
            </w:pPr>
            <w:r/>
            <w:r>
              <w:rPr>
                <w:rFonts w:ascii="Arial" w:hAnsi="Arial"/>
                <w:b/>
                <w:sz w:val="14"/>
              </w:rPr>
              <w:t>Valor parcial ($)</w:t>
            </w:r>
          </w:p>
        </w:tc>
        <w:tc>
          <w:tcPr>
            <w:tcW w:type="dxa" w:w="1296"/>
            <w:vAlign w:val="center"/>
            <w:shd w:fill="BFBFBF"/>
          </w:tcPr>
          <w:p>
            <w:pPr>
              <w:jc w:val="center"/>
            </w:pPr>
            <w:r/>
            <w:r>
              <w:rPr>
                <w:rFonts w:ascii="Arial" w:hAnsi="Arial"/>
                <w:b/>
                <w:sz w:val="14"/>
              </w:rPr>
              <w:t>Participación</w:t>
            </w:r>
          </w:p>
        </w:tc>
        <w:tc>
          <w:tcPr>
            <w:tcW w:type="dxa" w:w="1224"/>
            <w:vAlign w:val="center"/>
            <w:shd w:fill="BFBFBF"/>
          </w:tcPr>
          <w:p>
            <w:pPr>
              <w:jc w:val="center"/>
            </w:pPr>
            <w:r/>
            <w:r>
              <w:rPr>
                <w:rFonts w:ascii="Arial" w:hAnsi="Arial"/>
                <w:b/>
                <w:sz w:val="14"/>
              </w:rPr>
              <w:t>Acumulado</w:t>
            </w:r>
          </w:p>
        </w:tc>
        <w:tc>
          <w:tcPr>
            <w:tcW w:type="dxa" w:w="1656"/>
            <w:vAlign w:val="center"/>
            <w:shd w:fill="BFBFBF"/>
          </w:tcPr>
          <w:p>
            <w:pPr>
              <w:jc w:val="center"/>
            </w:pPr>
            <w:r/>
            <w:r>
              <w:rPr>
                <w:rFonts w:ascii="Arial" w:hAnsi="Arial"/>
                <w:b/>
                <w:sz w:val="14"/>
              </w:rPr>
              <w:t>Condición frente al 80 %</w:t>
            </w:r>
          </w:p>
        </w:tc>
      </w:tr>
      <w:tr>
        <w:tc>
          <w:tcPr>
            <w:tcW w:type="dxa" w:w="648"/>
            <w:vAlign w:val="center"/>
            <w:tcMar>
              <w:top w:w="40" w:type="dxa"/>
              <w:start w:w="45" w:type="dxa"/>
              <w:bottom w:w="40" w:type="dxa"/>
              <w:end w:w="45" w:type="dxa"/>
            </w:tcMar>
          </w:tcPr>
          <w:p>
            <w:pPr>
              <w:jc w:val="center"/>
            </w:pPr>
            <w:r/>
            <w:r>
              <w:rPr>
                <w:rFonts w:ascii="Arial" w:hAnsi="Arial"/>
                <w:b w:val="0"/>
                <w:sz w:val="15"/>
              </w:rPr>
              <w:t>2.01</w:t>
            </w:r>
          </w:p>
        </w:tc>
        <w:tc>
          <w:tcPr>
            <w:tcW w:type="dxa" w:w="3672"/>
            <w:vAlign w:val="center"/>
            <w:tcMar>
              <w:top w:w="40" w:type="dxa"/>
              <w:start w:w="45" w:type="dxa"/>
              <w:bottom w:w="40" w:type="dxa"/>
              <w:end w:w="45" w:type="dxa"/>
            </w:tcMar>
          </w:tcPr>
          <w:p>
            <w:pPr>
              <w:jc w:val="left"/>
            </w:pPr>
            <w:r/>
            <w:r>
              <w:rPr>
                <w:rFonts w:ascii="Arial" w:hAnsi="Arial"/>
                <w:b w:val="0"/>
                <w:sz w:val="15"/>
              </w:rPr>
              <w:t>Suministro e instalación de unidad sanitaria</w:t>
            </w:r>
          </w:p>
        </w:tc>
        <w:tc>
          <w:tcPr>
            <w:tcW w:type="dxa" w:w="648"/>
            <w:vAlign w:val="center"/>
            <w:tcMar>
              <w:top w:w="40" w:type="dxa"/>
              <w:start w:w="45" w:type="dxa"/>
              <w:bottom w:w="40" w:type="dxa"/>
              <w:end w:w="45" w:type="dxa"/>
            </w:tcMar>
          </w:tcPr>
          <w:p>
            <w:pPr>
              <w:jc w:val="center"/>
            </w:pPr>
            <w:r/>
            <w:r>
              <w:rPr>
                <w:rFonts w:ascii="Arial" w:hAnsi="Arial"/>
                <w:b w:val="0"/>
                <w:sz w:val="15"/>
              </w:rPr>
              <w:t>1,00</w:t>
            </w:r>
          </w:p>
        </w:tc>
        <w:tc>
          <w:tcPr>
            <w:tcW w:type="dxa" w:w="1584"/>
            <w:vAlign w:val="center"/>
            <w:tcMar>
              <w:top w:w="40" w:type="dxa"/>
              <w:start w:w="45" w:type="dxa"/>
              <w:bottom w:w="40" w:type="dxa"/>
              <w:end w:w="45" w:type="dxa"/>
            </w:tcMar>
          </w:tcPr>
          <w:p>
            <w:pPr>
              <w:jc w:val="center"/>
            </w:pPr>
            <w:r/>
            <w:r>
              <w:rPr>
                <w:rFonts w:ascii="Arial" w:hAnsi="Arial"/>
                <w:b w:val="0"/>
                <w:sz w:val="15"/>
              </w:rPr>
              <w:t>$ 20.147.184</w:t>
            </w:r>
          </w:p>
        </w:tc>
        <w:tc>
          <w:tcPr>
            <w:tcW w:type="dxa" w:w="1296"/>
            <w:vAlign w:val="center"/>
            <w:tcMar>
              <w:top w:w="40" w:type="dxa"/>
              <w:start w:w="45" w:type="dxa"/>
              <w:bottom w:w="40" w:type="dxa"/>
              <w:end w:w="45" w:type="dxa"/>
            </w:tcMar>
          </w:tcPr>
          <w:p>
            <w:pPr>
              <w:jc w:val="center"/>
            </w:pPr>
            <w:r/>
            <w:r>
              <w:rPr>
                <w:rFonts w:ascii="Arial" w:hAnsi="Arial"/>
                <w:b w:val="0"/>
                <w:sz w:val="15"/>
              </w:rPr>
              <w:t>70,2568 %</w:t>
            </w:r>
          </w:p>
        </w:tc>
        <w:tc>
          <w:tcPr>
            <w:tcW w:type="dxa" w:w="1224"/>
            <w:vAlign w:val="center"/>
            <w:tcMar>
              <w:top w:w="40" w:type="dxa"/>
              <w:start w:w="45" w:type="dxa"/>
              <w:bottom w:w="40" w:type="dxa"/>
              <w:end w:w="45" w:type="dxa"/>
            </w:tcMar>
          </w:tcPr>
          <w:p>
            <w:pPr>
              <w:jc w:val="center"/>
            </w:pPr>
            <w:r/>
            <w:r>
              <w:rPr>
                <w:rFonts w:ascii="Arial" w:hAnsi="Arial"/>
                <w:b w:val="0"/>
                <w:sz w:val="15"/>
              </w:rPr>
              <w:t>70,2568 %</w:t>
            </w:r>
          </w:p>
        </w:tc>
        <w:tc>
          <w:tcPr>
            <w:tcW w:type="dxa" w:w="1656"/>
            <w:vAlign w:val="center"/>
            <w:tcMar>
              <w:top w:w="40" w:type="dxa"/>
              <w:start w:w="45" w:type="dxa"/>
              <w:bottom w:w="40" w:type="dxa"/>
              <w:end w:w="45" w:type="dxa"/>
            </w:tcMar>
          </w:tcPr>
          <w:p>
            <w:pPr>
              <w:jc w:val="center"/>
            </w:pPr>
            <w:r/>
            <w:r>
              <w:rPr>
                <w:rFonts w:ascii="Arial" w:hAnsi="Arial"/>
                <w:b w:val="0"/>
                <w:sz w:val="15"/>
              </w:rPr>
              <w:t>Dentro del 80 %</w:t>
            </w:r>
          </w:p>
        </w:tc>
      </w:tr>
      <w:tr>
        <w:tc>
          <w:tcPr>
            <w:tcW w:type="dxa" w:w="648"/>
            <w:vAlign w:val="center"/>
            <w:tcMar>
              <w:top w:w="40" w:type="dxa"/>
              <w:start w:w="45" w:type="dxa"/>
              <w:bottom w:w="40" w:type="dxa"/>
              <w:end w:w="45" w:type="dxa"/>
            </w:tcMar>
          </w:tcPr>
          <w:p>
            <w:pPr>
              <w:jc w:val="center"/>
            </w:pPr>
            <w:r/>
            <w:r>
              <w:rPr>
                <w:rFonts w:ascii="Arial" w:hAnsi="Arial"/>
                <w:b w:val="0"/>
                <w:sz w:val="15"/>
              </w:rPr>
              <w:t>1.02</w:t>
            </w:r>
          </w:p>
        </w:tc>
        <w:tc>
          <w:tcPr>
            <w:tcW w:type="dxa" w:w="3672"/>
            <w:vAlign w:val="center"/>
            <w:tcMar>
              <w:top w:w="40" w:type="dxa"/>
              <w:start w:w="45" w:type="dxa"/>
              <w:bottom w:w="40" w:type="dxa"/>
              <w:end w:w="45" w:type="dxa"/>
            </w:tcMar>
          </w:tcPr>
          <w:p>
            <w:pPr>
              <w:jc w:val="left"/>
            </w:pPr>
            <w:r/>
            <w:r>
              <w:rPr>
                <w:rFonts w:ascii="Arial" w:hAnsi="Arial"/>
                <w:b w:val="0"/>
                <w:sz w:val="15"/>
              </w:rPr>
              <w:t>Suministro e instalación de SS dom. de 1.000 L</w:t>
            </w:r>
          </w:p>
        </w:tc>
        <w:tc>
          <w:tcPr>
            <w:tcW w:type="dxa" w:w="648"/>
            <w:vAlign w:val="center"/>
            <w:tcMar>
              <w:top w:w="40" w:type="dxa"/>
              <w:start w:w="45" w:type="dxa"/>
              <w:bottom w:w="40" w:type="dxa"/>
              <w:end w:w="45" w:type="dxa"/>
            </w:tcMar>
          </w:tcPr>
          <w:p>
            <w:pPr>
              <w:jc w:val="center"/>
            </w:pPr>
            <w:r/>
            <w:r>
              <w:rPr>
                <w:rFonts w:ascii="Arial" w:hAnsi="Arial"/>
                <w:b w:val="0"/>
                <w:sz w:val="15"/>
              </w:rPr>
              <w:t>1,00</w:t>
            </w:r>
          </w:p>
        </w:tc>
        <w:tc>
          <w:tcPr>
            <w:tcW w:type="dxa" w:w="1584"/>
            <w:vAlign w:val="center"/>
            <w:tcMar>
              <w:top w:w="40" w:type="dxa"/>
              <w:start w:w="45" w:type="dxa"/>
              <w:bottom w:w="40" w:type="dxa"/>
              <w:end w:w="45" w:type="dxa"/>
            </w:tcMar>
          </w:tcPr>
          <w:p>
            <w:pPr>
              <w:jc w:val="center"/>
            </w:pPr>
            <w:r/>
            <w:r>
              <w:rPr>
                <w:rFonts w:ascii="Arial" w:hAnsi="Arial"/>
                <w:b w:val="0"/>
                <w:sz w:val="15"/>
              </w:rPr>
              <w:t>$ 4.736.436</w:t>
            </w:r>
          </w:p>
        </w:tc>
        <w:tc>
          <w:tcPr>
            <w:tcW w:type="dxa" w:w="1296"/>
            <w:vAlign w:val="center"/>
            <w:tcMar>
              <w:top w:w="40" w:type="dxa"/>
              <w:start w:w="45" w:type="dxa"/>
              <w:bottom w:w="40" w:type="dxa"/>
              <w:end w:w="45" w:type="dxa"/>
            </w:tcMar>
          </w:tcPr>
          <w:p>
            <w:pPr>
              <w:jc w:val="center"/>
            </w:pPr>
            <w:r/>
            <w:r>
              <w:rPr>
                <w:rFonts w:ascii="Arial" w:hAnsi="Arial"/>
                <w:b w:val="0"/>
                <w:sz w:val="15"/>
              </w:rPr>
              <w:t>16,5168 %</w:t>
            </w:r>
          </w:p>
        </w:tc>
        <w:tc>
          <w:tcPr>
            <w:tcW w:type="dxa" w:w="1224"/>
            <w:vAlign w:val="center"/>
            <w:tcMar>
              <w:top w:w="40" w:type="dxa"/>
              <w:start w:w="45" w:type="dxa"/>
              <w:bottom w:w="40" w:type="dxa"/>
              <w:end w:w="45" w:type="dxa"/>
            </w:tcMar>
          </w:tcPr>
          <w:p>
            <w:pPr>
              <w:jc w:val="center"/>
            </w:pPr>
            <w:r/>
            <w:r>
              <w:rPr>
                <w:rFonts w:ascii="Arial" w:hAnsi="Arial"/>
                <w:b w:val="0"/>
                <w:sz w:val="15"/>
              </w:rPr>
              <w:t>86,7736 %</w:t>
            </w:r>
          </w:p>
        </w:tc>
        <w:tc>
          <w:tcPr>
            <w:tcW w:type="dxa" w:w="1656"/>
            <w:vAlign w:val="center"/>
            <w:tcMar>
              <w:top w:w="40" w:type="dxa"/>
              <w:start w:w="45" w:type="dxa"/>
              <w:bottom w:w="40" w:type="dxa"/>
              <w:end w:w="45" w:type="dxa"/>
            </w:tcMar>
          </w:tcPr>
          <w:p>
            <w:pPr>
              <w:jc w:val="center"/>
            </w:pPr>
            <w:r/>
            <w:r>
              <w:rPr>
                <w:rFonts w:ascii="Arial" w:hAnsi="Arial"/>
                <w:b w:val="0"/>
                <w:sz w:val="15"/>
              </w:rPr>
              <w:t>Supera el corte</w:t>
            </w:r>
          </w:p>
        </w:tc>
      </w:tr>
      <w:tr>
        <w:tc>
          <w:tcPr>
            <w:tcW w:type="dxa" w:w="648"/>
            <w:vAlign w:val="center"/>
            <w:tcMar>
              <w:top w:w="40" w:type="dxa"/>
              <w:start w:w="45" w:type="dxa"/>
              <w:bottom w:w="40" w:type="dxa"/>
              <w:end w:w="45" w:type="dxa"/>
            </w:tcMar>
          </w:tcPr>
          <w:p>
            <w:pPr>
              <w:jc w:val="center"/>
            </w:pPr>
            <w:r/>
            <w:r>
              <w:rPr>
                <w:rFonts w:ascii="Arial" w:hAnsi="Arial"/>
                <w:b w:val="0"/>
                <w:sz w:val="15"/>
              </w:rPr>
              <w:t>1.01</w:t>
            </w:r>
          </w:p>
        </w:tc>
        <w:tc>
          <w:tcPr>
            <w:tcW w:type="dxa" w:w="3672"/>
            <w:vAlign w:val="center"/>
            <w:tcMar>
              <w:top w:w="40" w:type="dxa"/>
              <w:start w:w="45" w:type="dxa"/>
              <w:bottom w:w="40" w:type="dxa"/>
              <w:end w:w="45" w:type="dxa"/>
            </w:tcMar>
          </w:tcPr>
          <w:p>
            <w:pPr>
              <w:jc w:val="left"/>
            </w:pPr>
            <w:r/>
            <w:r>
              <w:rPr>
                <w:rFonts w:ascii="Arial" w:hAnsi="Arial"/>
                <w:b w:val="0"/>
                <w:sz w:val="15"/>
              </w:rPr>
              <w:t>Suministro e instalación de SS dom. de 500 L</w:t>
            </w:r>
          </w:p>
        </w:tc>
        <w:tc>
          <w:tcPr>
            <w:tcW w:type="dxa" w:w="648"/>
            <w:vAlign w:val="center"/>
            <w:tcMar>
              <w:top w:w="40" w:type="dxa"/>
              <w:start w:w="45" w:type="dxa"/>
              <w:bottom w:w="40" w:type="dxa"/>
              <w:end w:w="45" w:type="dxa"/>
            </w:tcMar>
          </w:tcPr>
          <w:p>
            <w:pPr>
              <w:jc w:val="center"/>
            </w:pPr>
            <w:r/>
            <w:r>
              <w:rPr>
                <w:rFonts w:ascii="Arial" w:hAnsi="Arial"/>
                <w:b w:val="0"/>
                <w:sz w:val="15"/>
              </w:rPr>
              <w:t>1,00</w:t>
            </w:r>
          </w:p>
        </w:tc>
        <w:tc>
          <w:tcPr>
            <w:tcW w:type="dxa" w:w="1584"/>
            <w:vAlign w:val="center"/>
            <w:tcMar>
              <w:top w:w="40" w:type="dxa"/>
              <w:start w:w="45" w:type="dxa"/>
              <w:bottom w:w="40" w:type="dxa"/>
              <w:end w:w="45" w:type="dxa"/>
            </w:tcMar>
          </w:tcPr>
          <w:p>
            <w:pPr>
              <w:jc w:val="center"/>
            </w:pPr>
            <w:r/>
            <w:r>
              <w:rPr>
                <w:rFonts w:ascii="Arial" w:hAnsi="Arial"/>
                <w:b w:val="0"/>
                <w:sz w:val="15"/>
              </w:rPr>
              <w:t>$ 3.792.882</w:t>
            </w:r>
          </w:p>
        </w:tc>
        <w:tc>
          <w:tcPr>
            <w:tcW w:type="dxa" w:w="1296"/>
            <w:vAlign w:val="center"/>
            <w:tcMar>
              <w:top w:w="40" w:type="dxa"/>
              <w:start w:w="45" w:type="dxa"/>
              <w:bottom w:w="40" w:type="dxa"/>
              <w:end w:w="45" w:type="dxa"/>
            </w:tcMar>
          </w:tcPr>
          <w:p>
            <w:pPr>
              <w:jc w:val="center"/>
            </w:pPr>
            <w:r/>
            <w:r>
              <w:rPr>
                <w:rFonts w:ascii="Arial" w:hAnsi="Arial"/>
                <w:b w:val="0"/>
                <w:sz w:val="15"/>
              </w:rPr>
              <w:t>13,2264 %</w:t>
            </w:r>
          </w:p>
        </w:tc>
        <w:tc>
          <w:tcPr>
            <w:tcW w:type="dxa" w:w="1224"/>
            <w:vAlign w:val="center"/>
            <w:tcMar>
              <w:top w:w="40" w:type="dxa"/>
              <w:start w:w="45" w:type="dxa"/>
              <w:bottom w:w="40" w:type="dxa"/>
              <w:end w:w="45" w:type="dxa"/>
            </w:tcMar>
          </w:tcPr>
          <w:p>
            <w:pPr>
              <w:jc w:val="center"/>
            </w:pPr>
            <w:r/>
            <w:r>
              <w:rPr>
                <w:rFonts w:ascii="Arial" w:hAnsi="Arial"/>
                <w:b w:val="0"/>
                <w:sz w:val="15"/>
              </w:rPr>
              <w:t>100,0000 %</w:t>
            </w:r>
          </w:p>
        </w:tc>
        <w:tc>
          <w:tcPr>
            <w:tcW w:type="dxa" w:w="1656"/>
            <w:vAlign w:val="center"/>
            <w:tcMar>
              <w:top w:w="40" w:type="dxa"/>
              <w:start w:w="45" w:type="dxa"/>
              <w:bottom w:w="40" w:type="dxa"/>
              <w:end w:w="45" w:type="dxa"/>
            </w:tcMar>
          </w:tcPr>
          <w:p>
            <w:pPr>
              <w:jc w:val="center"/>
            </w:pPr>
            <w:r/>
            <w:r>
              <w:rPr>
                <w:rFonts w:ascii="Arial" w:hAnsi="Arial"/>
                <w:b w:val="0"/>
                <w:sz w:val="15"/>
              </w:rPr>
              <w:t>Supera el corte</w:t>
            </w:r>
          </w:p>
        </w:tc>
      </w:tr>
      <w:tr>
        <w:tc>
          <w:tcPr>
            <w:tcW w:type="dxa" w:w="648"/>
            <w:vAlign w:val="center"/>
            <w:tcMar>
              <w:top w:w="40" w:type="dxa"/>
              <w:start w:w="45" w:type="dxa"/>
              <w:bottom w:w="40" w:type="dxa"/>
              <w:end w:w="45" w:type="dxa"/>
            </w:tcMar>
          </w:tcPr>
          <w:p>
            <w:pPr>
              <w:jc w:val="center"/>
            </w:pPr>
            <w:r/>
            <w:r>
              <w:rPr>
                <w:rFonts w:ascii="Arial" w:hAnsi="Arial"/>
                <w:b/>
                <w:sz w:val="15"/>
              </w:rPr>
            </w:r>
          </w:p>
        </w:tc>
        <w:tc>
          <w:tcPr>
            <w:tcW w:type="dxa" w:w="3672"/>
            <w:vAlign w:val="center"/>
            <w:tcMar>
              <w:top w:w="40" w:type="dxa"/>
              <w:start w:w="45" w:type="dxa"/>
              <w:bottom w:w="40" w:type="dxa"/>
              <w:end w:w="45" w:type="dxa"/>
            </w:tcMar>
          </w:tcPr>
          <w:p>
            <w:pPr>
              <w:jc w:val="left"/>
            </w:pPr>
            <w:r/>
            <w:r>
              <w:rPr>
                <w:rFonts w:ascii="Arial" w:hAnsi="Arial"/>
                <w:b/>
                <w:sz w:val="15"/>
              </w:rPr>
              <w:t>TOTAL</w:t>
            </w:r>
          </w:p>
        </w:tc>
        <w:tc>
          <w:tcPr>
            <w:tcW w:type="dxa" w:w="648"/>
            <w:vAlign w:val="center"/>
            <w:tcMar>
              <w:top w:w="40" w:type="dxa"/>
              <w:start w:w="45" w:type="dxa"/>
              <w:bottom w:w="40" w:type="dxa"/>
              <w:end w:w="45" w:type="dxa"/>
            </w:tcMar>
          </w:tcPr>
          <w:p>
            <w:pPr>
              <w:jc w:val="center"/>
            </w:pPr>
            <w:r/>
            <w:r>
              <w:rPr>
                <w:rFonts w:ascii="Arial" w:hAnsi="Arial"/>
                <w:b/>
                <w:sz w:val="15"/>
              </w:rPr>
            </w:r>
          </w:p>
        </w:tc>
        <w:tc>
          <w:tcPr>
            <w:tcW w:type="dxa" w:w="1584"/>
            <w:vAlign w:val="center"/>
            <w:tcMar>
              <w:top w:w="40" w:type="dxa"/>
              <w:start w:w="45" w:type="dxa"/>
              <w:bottom w:w="40" w:type="dxa"/>
              <w:end w:w="45" w:type="dxa"/>
            </w:tcMar>
          </w:tcPr>
          <w:p>
            <w:pPr>
              <w:jc w:val="center"/>
            </w:pPr>
            <w:r/>
            <w:r>
              <w:rPr>
                <w:rFonts w:ascii="Arial" w:hAnsi="Arial"/>
                <w:b/>
                <w:sz w:val="15"/>
              </w:rPr>
              <w:t>$ 28.676.502</w:t>
            </w:r>
          </w:p>
        </w:tc>
        <w:tc>
          <w:tcPr>
            <w:tcW w:type="dxa" w:w="1296"/>
            <w:vAlign w:val="center"/>
            <w:tcMar>
              <w:top w:w="40" w:type="dxa"/>
              <w:start w:w="45" w:type="dxa"/>
              <w:bottom w:w="40" w:type="dxa"/>
              <w:end w:w="45" w:type="dxa"/>
            </w:tcMar>
          </w:tcPr>
          <w:p>
            <w:pPr>
              <w:jc w:val="center"/>
            </w:pPr>
            <w:r/>
            <w:r>
              <w:rPr>
                <w:rFonts w:ascii="Arial" w:hAnsi="Arial"/>
                <w:b/>
                <w:sz w:val="15"/>
              </w:rPr>
              <w:t>100,0000 %</w:t>
            </w:r>
          </w:p>
        </w:tc>
        <w:tc>
          <w:tcPr>
            <w:tcW w:type="dxa" w:w="1224"/>
            <w:vAlign w:val="center"/>
            <w:tcMar>
              <w:top w:w="40" w:type="dxa"/>
              <w:start w:w="45" w:type="dxa"/>
              <w:bottom w:w="40" w:type="dxa"/>
              <w:end w:w="45" w:type="dxa"/>
            </w:tcMar>
          </w:tcPr>
          <w:p>
            <w:pPr>
              <w:jc w:val="center"/>
            </w:pPr>
            <w:r/>
            <w:r>
              <w:rPr>
                <w:rFonts w:ascii="Arial" w:hAnsi="Arial"/>
                <w:b/>
                <w:sz w:val="15"/>
              </w:rPr>
            </w:r>
          </w:p>
        </w:tc>
        <w:tc>
          <w:tcPr>
            <w:tcW w:type="dxa" w:w="1656"/>
            <w:vAlign w:val="center"/>
            <w:tcMar>
              <w:top w:w="40" w:type="dxa"/>
              <w:start w:w="45" w:type="dxa"/>
              <w:bottom w:w="40" w:type="dxa"/>
              <w:end w:w="45" w:type="dxa"/>
            </w:tcMar>
          </w:tcPr>
          <w:p>
            <w:pPr>
              <w:jc w:val="center"/>
            </w:pPr>
            <w:r/>
            <w:r>
              <w:rPr>
                <w:rFonts w:ascii="Arial" w:hAnsi="Arial"/>
                <w:b/>
                <w:sz w:val="15"/>
              </w:rPr>
            </w:r>
          </w:p>
        </w:tc>
      </w:tr>
    </w:tbl>
    <w:p>
      <w:pPr>
        <w:spacing w:after="60"/>
        <w:jc w:val="both"/>
      </w:pPr>
      <w:r>
        <w:rPr>
          <w:rFonts w:ascii="Arial" w:hAnsi="Arial"/>
          <w:b/>
          <w:sz w:val="18"/>
        </w:rPr>
        <w:t xml:space="preserve">1. Valor total de bienes/soluciones identificadas: </w:t>
      </w:r>
      <w:r>
        <w:rPr>
          <w:rFonts w:ascii="Arial" w:hAnsi="Arial"/>
          <w:sz w:val="18"/>
        </w:rPr>
        <w:t>$ 28.676.502.</w:t>
      </w:r>
    </w:p>
    <w:p>
      <w:pPr>
        <w:spacing w:after="60"/>
        <w:jc w:val="both"/>
      </w:pPr>
      <w:r>
        <w:rPr>
          <w:rFonts w:ascii="Arial" w:hAnsi="Arial"/>
          <w:b/>
          <w:sz w:val="18"/>
        </w:rPr>
        <w:t xml:space="preserve">2. Bienes cuyo porcentaje acumulado se encuentra dentro del 80 %: </w:t>
      </w:r>
      <w:r>
        <w:rPr>
          <w:rFonts w:ascii="Arial" w:hAnsi="Arial"/>
          <w:sz w:val="18"/>
        </w:rPr>
        <w:t>únicamente el ítem 2.01 – Unidad sanitaria, con 70,2568 %.</w:t>
      </w:r>
    </w:p>
    <w:p>
      <w:pPr>
        <w:spacing w:after="60"/>
        <w:jc w:val="both"/>
      </w:pPr>
      <w:r>
        <w:rPr>
          <w:rFonts w:ascii="Arial" w:hAnsi="Arial"/>
          <w:b/>
          <w:sz w:val="18"/>
        </w:rPr>
        <w:t xml:space="preserve">3. Promedio de participación de los bienes incluidos en el corte: </w:t>
      </w:r>
      <w:r>
        <w:rPr>
          <w:rFonts w:ascii="Arial" w:hAnsi="Arial"/>
          <w:sz w:val="18"/>
        </w:rPr>
        <w:t>70,2568 % / 1 = 70,2568 %.</w:t>
      </w:r>
    </w:p>
    <w:p>
      <w:pPr>
        <w:spacing w:after="60"/>
        <w:jc w:val="both"/>
      </w:pPr>
      <w:r>
        <w:rPr>
          <w:rFonts w:ascii="Arial" w:hAnsi="Arial"/>
          <w:b/>
          <w:sz w:val="18"/>
        </w:rPr>
        <w:t xml:space="preserve">4. Regla de relevancia: </w:t>
      </w:r>
      <w:r>
        <w:rPr>
          <w:rFonts w:ascii="Arial" w:hAnsi="Arial"/>
          <w:sz w:val="18"/>
        </w:rPr>
        <w:t>son relevantes los bienes cuya participación individual sea igual o superior al promedio calculado (70,2568 %).</w:t>
      </w:r>
    </w:p>
    <w:p>
      <w:pPr>
        <w:spacing w:after="60"/>
        <w:jc w:val="both"/>
      </w:pPr>
      <w:r>
        <w:rPr>
          <w:rFonts w:ascii="Arial" w:hAnsi="Arial"/>
          <w:b/>
          <w:sz w:val="18"/>
        </w:rPr>
        <w:t xml:space="preserve">5. Resultado: </w:t>
      </w:r>
      <w:r>
        <w:rPr>
          <w:rFonts w:ascii="Arial" w:hAnsi="Arial"/>
          <w:sz w:val="18"/>
        </w:rPr>
        <w:t>el bien/solución que cumple la regla cuantitativa es la UNIDAD SANITARIA – ÍTEM 2.01, con una participación de 70,2568 %.</w:t>
      </w:r>
    </w:p>
    <w:p>
      <w:pPr>
        <w:jc w:val="both"/>
      </w:pPr>
      <w:r>
        <w:rPr>
          <w:rFonts w:ascii="Arial" w:hAnsi="Arial"/>
          <w:b/>
          <w:sz w:val="18"/>
        </w:rPr>
        <w:t xml:space="preserve">Verificación en el Registro de Productores de Bienes Nacionales (RPBN). </w:t>
      </w:r>
      <w:r>
        <w:rPr>
          <w:rFonts w:ascii="Arial" w:hAnsi="Arial"/>
          <w:sz w:val="18"/>
        </w:rPr>
        <w:t>De acuerdo con el Documento Base del proceso, la Entidad dejó constancia de una consulta realizada el 13 de agosto de 2026, en la cual determinó que los bienes relevantes para el desarrollo de la obra no se encuentran incluidos en dicho registro. En consecuencia, el Documento Base estableció que el puntaje de apoyo a la industria nacional se otorgará a los Proponentes que se comprometan a vincular al menos el 40 % de empleados o contratistas por prestación de servicios colombianos del personal requerido para el cumplimiento del Contrato.</w:t>
      </w:r>
    </w:p>
    <w:p>
      <w:pPr>
        <w:jc w:val="both"/>
      </w:pPr>
      <w:r>
        <w:rPr>
          <w:rFonts w:ascii="Arial" w:hAnsi="Arial"/>
          <w:b/>
          <w:sz w:val="18"/>
        </w:rPr>
        <w:t xml:space="preserve">Observación de consistencia presupuestal. </w:t>
      </w:r>
      <w:r>
        <w:rPr>
          <w:rFonts w:ascii="Arial" w:hAnsi="Arial"/>
          <w:sz w:val="18"/>
        </w:rPr>
        <w:t>La presente determinación utiliza de manera literal los valores consignados en el Formulario 1 adjunto. No se desagregan materiales internos de la unidad sanitaria ni de los sistemas sépticos porque el presupuesto suministrado no contiene APUs ni cantidades y precios de esos insumos. Si la Entidad incorpora posteriormente un presupuesto detallado o APUs, deberá repetirse la metodología con esos valores para determinar los bienes nacionales relevantes a nivel de material.</w:t>
      </w: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1A84E" w14:textId="77777777" w:rsidR="00220BE3" w:rsidRDefault="00220BE3" w:rsidP="00EC30DA">
      <w:pPr>
        <w:spacing w:after="0" w:line="240" w:lineRule="auto"/>
      </w:pPr>
      <w:r>
        <w:separator/>
      </w:r>
    </w:p>
  </w:endnote>
  <w:endnote w:type="continuationSeparator" w:id="0">
    <w:p w14:paraId="2290662E" w14:textId="77777777" w:rsidR="00220BE3" w:rsidRDefault="00220BE3"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4899" w14:textId="77777777" w:rsidR="00220BE3" w:rsidRDefault="00220BE3" w:rsidP="00EC30DA">
      <w:pPr>
        <w:spacing w:after="0" w:line="240" w:lineRule="auto"/>
      </w:pPr>
      <w:r>
        <w:separator/>
      </w:r>
    </w:p>
  </w:footnote>
  <w:footnote w:type="continuationSeparator" w:id="0">
    <w:p w14:paraId="4050142A" w14:textId="77777777" w:rsidR="00220BE3" w:rsidRDefault="00220BE3"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397359332">
    <w:abstractNumId w:val="0"/>
  </w:num>
  <w:num w:numId="2" w16cid:durableId="1945335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20BE3"/>
    <w:rsid w:val="00225914"/>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C5196"/>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1027</Words>
  <Characters>5668</Characters>
  <DocSecurity>0</DocSecurity>
  <Lines>236</Lines>
  <Paragraphs>61</Paragraphs>
  <ScaleCrop>false</ScaleCrop>
  <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2021-10-06T14:45:00Z</cp:lastPrinted>
  <dcterms:created xsi:type="dcterms:W3CDTF">2026-08-20T20:47:00Z</dcterms:created>
  <dcterms:modified xsi:type="dcterms:W3CDTF">2026-08-20T20:47:00Z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