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F708E" w14:textId="25534CC4" w:rsidR="00B829C1" w:rsidRDefault="00B829C1" w:rsidP="0019019D">
      <w:pPr>
        <w:spacing w:after="0"/>
        <w:jc w:val="center"/>
        <w:rPr>
          <w:rFonts w:ascii="Verdana" w:hAnsi="Verdana"/>
          <w:b/>
          <w:bCs/>
          <w:color w:val="8A0000"/>
          <w:lang w:val="es-CO"/>
        </w:rPr>
      </w:pPr>
    </w:p>
    <w:p w14:paraId="2D27EAA9" w14:textId="124D0EC6" w:rsidR="003102E6" w:rsidRPr="003102E6" w:rsidRDefault="00AB5259" w:rsidP="003102E6">
      <w:pPr>
        <w:spacing w:after="0"/>
        <w:jc w:val="center"/>
        <w:rPr>
          <w:rFonts w:ascii="Verdana" w:hAnsi="Verdana"/>
          <w:b/>
          <w:bCs/>
          <w:color w:val="8A0000"/>
          <w:lang w:val="es-CO"/>
        </w:rPr>
      </w:pPr>
      <w:r w:rsidRPr="0009005D">
        <w:rPr>
          <w:rFonts w:ascii="Verdana" w:hAnsi="Verdana"/>
          <w:b/>
          <w:bCs/>
          <w:color w:val="8A0000"/>
          <w:lang w:val="es-CO"/>
        </w:rPr>
        <w:t>Infor</w:t>
      </w:r>
      <w:r w:rsidR="00812073" w:rsidRPr="0009005D">
        <w:rPr>
          <w:rFonts w:ascii="Verdana" w:hAnsi="Verdana"/>
          <w:b/>
          <w:bCs/>
          <w:color w:val="8A0000"/>
          <w:lang w:val="es-CO"/>
        </w:rPr>
        <w:t>me</w:t>
      </w:r>
      <w:r w:rsidRPr="0009005D">
        <w:rPr>
          <w:rFonts w:ascii="Verdana" w:hAnsi="Verdana"/>
          <w:b/>
          <w:bCs/>
          <w:color w:val="8A0000"/>
          <w:lang w:val="es-CO"/>
        </w:rPr>
        <w:t xml:space="preserve"> </w:t>
      </w:r>
      <w:r w:rsidR="0050289C">
        <w:rPr>
          <w:rFonts w:ascii="Verdana" w:hAnsi="Verdana"/>
          <w:b/>
          <w:bCs/>
          <w:color w:val="8A0000"/>
          <w:lang w:val="es-CO"/>
        </w:rPr>
        <w:t>Final-</w:t>
      </w:r>
      <w:r w:rsidR="003102E6" w:rsidRPr="003102E6">
        <w:rPr>
          <w:rFonts w:ascii="Verdana" w:hAnsi="Verdana"/>
          <w:b/>
          <w:bCs/>
          <w:color w:val="8A0000"/>
          <w:lang w:val="es-CO"/>
        </w:rPr>
        <w:t xml:space="preserve">LÍNEA DE CRÉDITO </w:t>
      </w:r>
    </w:p>
    <w:p w14:paraId="34FF6A08" w14:textId="709FFEFC" w:rsidR="007B269E" w:rsidRPr="0009005D" w:rsidRDefault="000C774E" w:rsidP="003102E6">
      <w:pPr>
        <w:spacing w:after="0"/>
        <w:jc w:val="center"/>
        <w:rPr>
          <w:rFonts w:ascii="Verdana" w:hAnsi="Verdana"/>
          <w:b/>
          <w:bCs/>
          <w:color w:val="8A0000"/>
          <w:lang w:val="es-CO"/>
        </w:rPr>
      </w:pPr>
      <w:r>
        <w:rPr>
          <w:rFonts w:ascii="Verdana" w:hAnsi="Verdana"/>
          <w:b/>
          <w:bCs/>
          <w:color w:val="8A0000"/>
          <w:lang w:val="es-CO"/>
        </w:rPr>
        <w:t>Agroindustria</w:t>
      </w:r>
    </w:p>
    <w:p w14:paraId="0AE79906" w14:textId="768E261B" w:rsidR="0049350E" w:rsidRPr="0009005D" w:rsidRDefault="0049350E" w:rsidP="0019019D">
      <w:pPr>
        <w:spacing w:after="0"/>
        <w:jc w:val="center"/>
        <w:rPr>
          <w:rFonts w:ascii="Verdana" w:hAnsi="Verdana"/>
          <w:b/>
          <w:bCs/>
          <w:color w:val="8A0000"/>
          <w:lang w:val="es-CO"/>
        </w:rPr>
      </w:pPr>
      <w:r w:rsidRPr="0009005D">
        <w:rPr>
          <w:rFonts w:ascii="Verdana" w:hAnsi="Verdana"/>
          <w:b/>
          <w:bCs/>
          <w:color w:val="8A0000"/>
          <w:lang w:val="es-CO"/>
        </w:rPr>
        <w:t>Dirección de MiPymes</w:t>
      </w:r>
      <w:r w:rsidR="00AB5259" w:rsidRPr="0009005D">
        <w:rPr>
          <w:rFonts w:ascii="Verdana" w:hAnsi="Verdana"/>
          <w:b/>
          <w:bCs/>
          <w:color w:val="8A0000"/>
          <w:lang w:val="es-CO"/>
        </w:rPr>
        <w:t xml:space="preserve"> – Inclusión financiera</w:t>
      </w:r>
    </w:p>
    <w:p w14:paraId="38E31133" w14:textId="32A1FFBF" w:rsidR="00812073" w:rsidRDefault="007E2DA1" w:rsidP="00812073">
      <w:pPr>
        <w:spacing w:after="0"/>
        <w:jc w:val="center"/>
        <w:rPr>
          <w:rFonts w:ascii="Verdana" w:hAnsi="Verdana"/>
          <w:b/>
          <w:bCs/>
          <w:color w:val="8A0000"/>
          <w:lang w:val="es-CO"/>
        </w:rPr>
      </w:pPr>
      <w:r>
        <w:rPr>
          <w:rFonts w:ascii="Verdana" w:hAnsi="Verdana"/>
          <w:b/>
          <w:bCs/>
          <w:color w:val="8A0000"/>
          <w:lang w:val="es-CO"/>
        </w:rPr>
        <w:t>Mayo</w:t>
      </w:r>
      <w:r w:rsidR="00AC2B5C">
        <w:rPr>
          <w:rFonts w:ascii="Verdana" w:hAnsi="Verdana"/>
          <w:b/>
          <w:bCs/>
          <w:color w:val="8A0000"/>
          <w:lang w:val="es-CO"/>
        </w:rPr>
        <w:t xml:space="preserve"> </w:t>
      </w:r>
      <w:r w:rsidR="00812073" w:rsidRPr="0009005D">
        <w:rPr>
          <w:rFonts w:ascii="Verdana" w:hAnsi="Verdana"/>
          <w:b/>
          <w:bCs/>
          <w:color w:val="8A0000"/>
          <w:lang w:val="es-CO"/>
        </w:rPr>
        <w:t>de 2026</w:t>
      </w:r>
    </w:p>
    <w:p w14:paraId="1AC73C80" w14:textId="77777777" w:rsidR="00BC7570" w:rsidRDefault="00BC7570" w:rsidP="00812073">
      <w:pPr>
        <w:spacing w:after="0"/>
        <w:jc w:val="center"/>
        <w:rPr>
          <w:rFonts w:ascii="Verdana" w:hAnsi="Verdana"/>
          <w:b/>
          <w:bCs/>
          <w:color w:val="8A0000"/>
          <w:lang w:val="es-CO"/>
        </w:rPr>
      </w:pPr>
    </w:p>
    <w:p w14:paraId="5D6350BB" w14:textId="672A31B0" w:rsidR="009E316B" w:rsidRDefault="009E316B" w:rsidP="009E316B">
      <w:pPr>
        <w:spacing w:after="0"/>
        <w:jc w:val="both"/>
        <w:rPr>
          <w:rFonts w:ascii="Verdana" w:hAnsi="Verdana" w:cs="Arial"/>
        </w:rPr>
      </w:pPr>
      <w:r w:rsidRPr="009E316B">
        <w:rPr>
          <w:rFonts w:ascii="Verdana" w:hAnsi="Verdana" w:cs="Arial"/>
        </w:rPr>
        <w:t>Esta línea de crédito tiene como propósito ofrecer una solución financiera que apoye la actividad del sector agroindustrial, promoviendo la adopción tecnológica y el aumento de la capacidad productiva del tejido empresarial, en el marco de los procesos de sofisticación de productos y con miras a fortalecer su participación en el mercado internacional.</w:t>
      </w:r>
    </w:p>
    <w:p w14:paraId="58C11323" w14:textId="77777777" w:rsidR="009E316B" w:rsidRPr="009E316B" w:rsidRDefault="009E316B" w:rsidP="009E316B">
      <w:pPr>
        <w:spacing w:after="0"/>
        <w:jc w:val="both"/>
        <w:rPr>
          <w:rFonts w:ascii="Verdana" w:hAnsi="Verdana" w:cs="Arial"/>
        </w:rPr>
      </w:pPr>
    </w:p>
    <w:p w14:paraId="3787B257" w14:textId="77777777" w:rsidR="009E316B" w:rsidRDefault="009E316B" w:rsidP="009E316B">
      <w:pPr>
        <w:spacing w:after="0"/>
        <w:jc w:val="both"/>
        <w:rPr>
          <w:rFonts w:ascii="Verdana" w:hAnsi="Verdana" w:cs="Arial"/>
        </w:rPr>
      </w:pPr>
      <w:r w:rsidRPr="009E316B">
        <w:rPr>
          <w:rFonts w:ascii="Verdana" w:hAnsi="Verdana" w:cs="Arial"/>
        </w:rPr>
        <w:t>Los beneficiarios pueden ser personas naturales o jurídicas clasificadas como micro, pequeñas y medianas empresas (MiPymes), pertenecientes a los códigos CIIU específicos del sector agroindustrial</w:t>
      </w:r>
      <w:r>
        <w:rPr>
          <w:rFonts w:ascii="Verdana" w:hAnsi="Verdana" w:cs="Arial"/>
        </w:rPr>
        <w:t>.</w:t>
      </w:r>
    </w:p>
    <w:p w14:paraId="6FC1F4DC" w14:textId="3B7CA30B" w:rsidR="00C67741" w:rsidRDefault="00D112C6" w:rsidP="009E316B">
      <w:pPr>
        <w:spacing w:after="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ab/>
      </w:r>
    </w:p>
    <w:p w14:paraId="44314711" w14:textId="7E375488" w:rsidR="00FC5534" w:rsidRDefault="006657C1" w:rsidP="00FC5534">
      <w:pPr>
        <w:spacing w:after="0"/>
        <w:jc w:val="both"/>
        <w:rPr>
          <w:rFonts w:ascii="Verdana" w:hAnsi="Verdana" w:cs="Arial"/>
        </w:rPr>
      </w:pPr>
      <w:r w:rsidRPr="006657C1">
        <w:rPr>
          <w:rFonts w:ascii="Verdana" w:hAnsi="Verdana" w:cs="Arial"/>
        </w:rPr>
        <w:t>La inversión realizada por el MinCIT asciende a $</w:t>
      </w:r>
      <w:r w:rsidR="00C67741" w:rsidRPr="00C67741">
        <w:rPr>
          <w:rFonts w:ascii="Verdana" w:hAnsi="Verdana" w:cs="Arial"/>
        </w:rPr>
        <w:t xml:space="preserve"> 4.645</w:t>
      </w:r>
      <w:r w:rsidR="00A2276A">
        <w:rPr>
          <w:rFonts w:ascii="Verdana" w:hAnsi="Verdana" w:cs="Arial"/>
        </w:rPr>
        <w:t xml:space="preserve"> </w:t>
      </w:r>
      <w:r w:rsidRPr="006657C1">
        <w:rPr>
          <w:rFonts w:ascii="Verdana" w:hAnsi="Verdana" w:cs="Arial"/>
        </w:rPr>
        <w:t>millones</w:t>
      </w:r>
      <w:r w:rsidR="00FC5534">
        <w:rPr>
          <w:rFonts w:ascii="Verdana" w:hAnsi="Verdana"/>
          <w:color w:val="000000" w:themeColor="text1"/>
        </w:rPr>
        <w:t xml:space="preserve">. En </w:t>
      </w:r>
      <w:r w:rsidR="00FC5534" w:rsidRPr="00E757BA">
        <w:rPr>
          <w:rFonts w:ascii="Verdana" w:hAnsi="Verdana"/>
          <w:color w:val="000000" w:themeColor="text1"/>
        </w:rPr>
        <w:t>el marco de la línea de crédito, se han desembolsado</w:t>
      </w:r>
      <w:r w:rsidR="00C67741">
        <w:rPr>
          <w:rFonts w:ascii="Verdana" w:hAnsi="Verdana" w:cs="Arial"/>
        </w:rPr>
        <w:t xml:space="preserve"> $</w:t>
      </w:r>
      <w:r w:rsidR="00482AA9">
        <w:rPr>
          <w:rFonts w:ascii="Verdana" w:hAnsi="Verdana" w:cs="Arial"/>
        </w:rPr>
        <w:t>5</w:t>
      </w:r>
      <w:r w:rsidR="00482AA9" w:rsidRPr="00482AA9">
        <w:rPr>
          <w:rFonts w:ascii="Verdana" w:hAnsi="Verdana" w:cs="Arial"/>
        </w:rPr>
        <w:t>9.069</w:t>
      </w:r>
      <w:r w:rsidR="00482AA9">
        <w:rPr>
          <w:rFonts w:ascii="Verdana" w:hAnsi="Verdana" w:cs="Arial"/>
        </w:rPr>
        <w:t xml:space="preserve"> </w:t>
      </w:r>
      <w:r w:rsidR="00A2276A">
        <w:rPr>
          <w:rFonts w:ascii="Verdana" w:hAnsi="Verdana" w:cs="Arial"/>
        </w:rPr>
        <w:t>millones</w:t>
      </w:r>
      <w:r w:rsidR="00C67741">
        <w:rPr>
          <w:rFonts w:ascii="Verdana" w:hAnsi="Verdana" w:cs="Arial"/>
        </w:rPr>
        <w:t xml:space="preserve"> </w:t>
      </w:r>
      <w:r w:rsidR="00FC5534">
        <w:rPr>
          <w:rFonts w:ascii="Verdana" w:hAnsi="Verdana" w:cs="Arial"/>
        </w:rPr>
        <w:t>correspondientes a</w:t>
      </w:r>
      <w:r w:rsidR="00C67741">
        <w:rPr>
          <w:rFonts w:ascii="Verdana" w:hAnsi="Verdana" w:cs="Arial"/>
        </w:rPr>
        <w:t xml:space="preserve"> 1</w:t>
      </w:r>
      <w:r w:rsidR="006D2CA3">
        <w:rPr>
          <w:rFonts w:ascii="Verdana" w:hAnsi="Verdana" w:cs="Arial"/>
        </w:rPr>
        <w:t>.</w:t>
      </w:r>
      <w:r w:rsidR="00C67741">
        <w:rPr>
          <w:rFonts w:ascii="Verdana" w:hAnsi="Verdana" w:cs="Arial"/>
        </w:rPr>
        <w:t>0</w:t>
      </w:r>
      <w:r w:rsidR="007E6F56">
        <w:rPr>
          <w:rFonts w:ascii="Verdana" w:hAnsi="Verdana" w:cs="Arial"/>
        </w:rPr>
        <w:t>7</w:t>
      </w:r>
      <w:r w:rsidR="00BA6734">
        <w:rPr>
          <w:rFonts w:ascii="Verdana" w:hAnsi="Verdana" w:cs="Arial"/>
        </w:rPr>
        <w:t>9</w:t>
      </w:r>
      <w:r w:rsidR="00C67741">
        <w:rPr>
          <w:rFonts w:ascii="Verdana" w:hAnsi="Verdana" w:cs="Arial"/>
        </w:rPr>
        <w:t xml:space="preserve"> operaciones de crédito</w:t>
      </w:r>
      <w:r w:rsidR="00FC5534">
        <w:rPr>
          <w:rFonts w:ascii="Verdana" w:hAnsi="Verdana" w:cs="Arial"/>
        </w:rPr>
        <w:t>.</w:t>
      </w:r>
    </w:p>
    <w:p w14:paraId="32B4A23D" w14:textId="77777777" w:rsidR="00FC5534" w:rsidRDefault="00FC5534" w:rsidP="00FC5534">
      <w:pPr>
        <w:spacing w:after="0"/>
        <w:jc w:val="both"/>
        <w:rPr>
          <w:rStyle w:val="normaltextrun"/>
          <w:rFonts w:ascii="Verdana" w:hAnsi="Verdana" w:cs="Segoe UI"/>
        </w:rPr>
      </w:pPr>
    </w:p>
    <w:p w14:paraId="54B9A671" w14:textId="23869F65" w:rsidR="00FC5534" w:rsidRPr="00105187" w:rsidRDefault="0033581E" w:rsidP="00FC5534">
      <w:pPr>
        <w:spacing w:after="0"/>
        <w:jc w:val="both"/>
        <w:rPr>
          <w:rFonts w:ascii="Verdana" w:hAnsi="Verdana" w:cs="Arial"/>
          <w:b/>
          <w:bCs/>
          <w:color w:val="000000" w:themeColor="text1"/>
        </w:rPr>
      </w:pPr>
      <w:r>
        <w:rPr>
          <w:rStyle w:val="normaltextrun"/>
          <w:rFonts w:ascii="Verdana" w:hAnsi="Verdana" w:cs="Segoe UI"/>
        </w:rPr>
        <w:t xml:space="preserve">Para el mes de </w:t>
      </w:r>
      <w:r w:rsidR="00ED49CA">
        <w:rPr>
          <w:rStyle w:val="normaltextrun"/>
          <w:rFonts w:ascii="Verdana" w:hAnsi="Verdana" w:cs="Segoe UI"/>
        </w:rPr>
        <w:t>mayo se han d</w:t>
      </w:r>
      <w:r>
        <w:rPr>
          <w:rStyle w:val="normaltextrun"/>
          <w:rFonts w:ascii="Verdana" w:hAnsi="Verdana" w:cs="Segoe UI"/>
        </w:rPr>
        <w:t>esembolsos de tal manera que d</w:t>
      </w:r>
      <w:r w:rsidR="00FC5534">
        <w:rPr>
          <w:rStyle w:val="normaltextrun"/>
          <w:rFonts w:ascii="Verdana" w:hAnsi="Verdana" w:cs="Segoe UI"/>
        </w:rPr>
        <w:t xml:space="preserve">e los $ </w:t>
      </w:r>
      <w:r w:rsidR="00FC5534" w:rsidRPr="00FC5534">
        <w:rPr>
          <w:rStyle w:val="normaltextrun"/>
          <w:rFonts w:ascii="Verdana" w:hAnsi="Verdana" w:cs="Segoe UI"/>
        </w:rPr>
        <w:t>4.645</w:t>
      </w:r>
      <w:r w:rsidR="00FC5534">
        <w:rPr>
          <w:rStyle w:val="normaltextrun"/>
          <w:rFonts w:ascii="Verdana" w:hAnsi="Verdana" w:cs="Segoe UI"/>
        </w:rPr>
        <w:t xml:space="preserve"> millones aportados por el Ministerio, se han utilizado </w:t>
      </w:r>
      <w:r w:rsidR="007E6F56" w:rsidRPr="007E6F56">
        <w:rPr>
          <w:rStyle w:val="normaltextrun"/>
          <w:rFonts w:ascii="Verdana" w:hAnsi="Verdana" w:cs="Segoe UI"/>
        </w:rPr>
        <w:t>$</w:t>
      </w:r>
      <w:r w:rsidR="001B757A" w:rsidRPr="001B757A">
        <w:rPr>
          <w:rStyle w:val="normaltextrun"/>
          <w:rFonts w:ascii="Verdana" w:hAnsi="Verdana" w:cs="Segoe UI"/>
        </w:rPr>
        <w:t>4.362.402.159</w:t>
      </w:r>
      <w:r w:rsidR="00FC5534">
        <w:rPr>
          <w:rStyle w:val="normaltextrun"/>
          <w:rFonts w:ascii="Verdana" w:hAnsi="Verdana" w:cs="Segoe UI"/>
        </w:rPr>
        <w:t xml:space="preserve">, lo que representa el </w:t>
      </w:r>
      <w:r w:rsidR="007E6F56">
        <w:rPr>
          <w:rStyle w:val="normaltextrun"/>
          <w:rFonts w:ascii="Verdana" w:hAnsi="Verdana" w:cs="Segoe UI"/>
        </w:rPr>
        <w:t>93,</w:t>
      </w:r>
      <w:r w:rsidR="00411B2B">
        <w:rPr>
          <w:rStyle w:val="normaltextrun"/>
          <w:rFonts w:ascii="Verdana" w:hAnsi="Verdana" w:cs="Segoe UI"/>
        </w:rPr>
        <w:t>90</w:t>
      </w:r>
      <w:r w:rsidR="00FC5534" w:rsidRPr="00FC5534">
        <w:rPr>
          <w:rStyle w:val="normaltextrun"/>
          <w:rFonts w:ascii="Verdana" w:hAnsi="Verdana" w:cs="Segoe UI"/>
        </w:rPr>
        <w:t>%</w:t>
      </w:r>
      <w:r w:rsidR="00FC5534">
        <w:rPr>
          <w:rStyle w:val="normaltextrun"/>
          <w:rFonts w:ascii="Verdana" w:hAnsi="Verdana" w:cs="Segoe UI"/>
        </w:rPr>
        <w:t xml:space="preserve"> del total aportado.</w:t>
      </w:r>
    </w:p>
    <w:p w14:paraId="7CC0DAA9" w14:textId="7BAB1B22" w:rsidR="00C67741" w:rsidRPr="0009005D" w:rsidRDefault="00C67741" w:rsidP="00C67741">
      <w:pPr>
        <w:spacing w:after="0"/>
        <w:jc w:val="both"/>
        <w:rPr>
          <w:rFonts w:ascii="Verdana" w:hAnsi="Verdana" w:cs="Arial"/>
        </w:rPr>
      </w:pPr>
    </w:p>
    <w:p w14:paraId="13652FCC" w14:textId="21D5874E" w:rsidR="008C7EF1" w:rsidRPr="00F426DC" w:rsidRDefault="00F426DC" w:rsidP="006657C1">
      <w:pPr>
        <w:jc w:val="both"/>
        <w:rPr>
          <w:rFonts w:ascii="Verdana" w:hAnsi="Verdana" w:cs="Arial"/>
          <w:b/>
          <w:bCs/>
        </w:rPr>
      </w:pPr>
      <w:r w:rsidRPr="00F426DC">
        <w:rPr>
          <w:rFonts w:ascii="Verdana" w:hAnsi="Verdana" w:cs="Arial"/>
          <w:b/>
          <w:bCs/>
        </w:rPr>
        <w:t>ENTIDADES INTERMEDIARIAS</w:t>
      </w:r>
    </w:p>
    <w:p w14:paraId="3E984C9C" w14:textId="4B61D2D2" w:rsidR="00812073" w:rsidRDefault="008A2EB2" w:rsidP="001E3415">
      <w:pPr>
        <w:jc w:val="both"/>
        <w:rPr>
          <w:rFonts w:ascii="Verdana" w:hAnsi="Verdana" w:cs="Arial"/>
        </w:rPr>
      </w:pPr>
      <w:r w:rsidRPr="00105187">
        <w:rPr>
          <w:rFonts w:ascii="Verdana" w:hAnsi="Verdana" w:cs="Arial"/>
          <w:color w:val="000000" w:themeColor="text1"/>
        </w:rPr>
        <w:t xml:space="preserve">De </w:t>
      </w:r>
      <w:r w:rsidRPr="00AC2B5C">
        <w:rPr>
          <w:rFonts w:ascii="Verdana" w:hAnsi="Verdana" w:cs="Arial"/>
          <w:color w:val="000000" w:themeColor="text1"/>
        </w:rPr>
        <w:t>los $</w:t>
      </w:r>
      <w:r w:rsidR="000736BB" w:rsidRPr="00AC2B5C">
        <w:rPr>
          <w:rFonts w:ascii="Verdana" w:hAnsi="Verdana" w:cs="Arial"/>
          <w:color w:val="000000" w:themeColor="text1"/>
        </w:rPr>
        <w:t xml:space="preserve">58.913 </w:t>
      </w:r>
      <w:r w:rsidR="00786A3E" w:rsidRPr="00AC2B5C">
        <w:rPr>
          <w:rFonts w:ascii="Verdana" w:hAnsi="Verdana" w:cs="Arial"/>
          <w:color w:val="000000" w:themeColor="text1"/>
        </w:rPr>
        <w:t xml:space="preserve">millones </w:t>
      </w:r>
      <w:r w:rsidRPr="00AC2B5C">
        <w:rPr>
          <w:rFonts w:ascii="Verdana" w:hAnsi="Verdana" w:cs="Arial"/>
          <w:color w:val="000000" w:themeColor="text1"/>
        </w:rPr>
        <w:t>el</w:t>
      </w:r>
      <w:r w:rsidR="00C52F48" w:rsidRPr="00AC2B5C">
        <w:rPr>
          <w:rFonts w:ascii="Verdana" w:hAnsi="Verdana" w:cs="Arial"/>
          <w:color w:val="000000" w:themeColor="text1"/>
        </w:rPr>
        <w:t xml:space="preserve"> </w:t>
      </w:r>
      <w:r w:rsidR="00514428">
        <w:rPr>
          <w:rFonts w:ascii="Verdana" w:hAnsi="Verdana" w:cs="Arial"/>
          <w:color w:val="000000" w:themeColor="text1"/>
        </w:rPr>
        <w:t>36</w:t>
      </w:r>
      <w:r w:rsidR="00C52F48" w:rsidRPr="00AC2B5C">
        <w:rPr>
          <w:rFonts w:ascii="Verdana" w:hAnsi="Verdana" w:cs="Arial"/>
          <w:color w:val="000000" w:themeColor="text1"/>
        </w:rPr>
        <w:t xml:space="preserve">% </w:t>
      </w:r>
      <w:r w:rsidR="00EF00CF" w:rsidRPr="00AC2B5C">
        <w:rPr>
          <w:rFonts w:ascii="Verdana" w:hAnsi="Verdana" w:cs="Arial"/>
          <w:color w:val="000000" w:themeColor="text1"/>
        </w:rPr>
        <w:t xml:space="preserve">corresponde </w:t>
      </w:r>
      <w:r w:rsidR="00214406">
        <w:rPr>
          <w:rFonts w:ascii="Verdana" w:hAnsi="Verdana" w:cs="Arial"/>
          <w:color w:val="000000" w:themeColor="text1"/>
        </w:rPr>
        <w:t xml:space="preserve">a BANCO DE BOGOTÁ </w:t>
      </w:r>
      <w:r w:rsidR="00740217" w:rsidRPr="00AC2B5C">
        <w:rPr>
          <w:rFonts w:ascii="Verdana" w:hAnsi="Verdana" w:cs="Arial"/>
        </w:rPr>
        <w:t>del total desembolsado</w:t>
      </w:r>
      <w:r w:rsidR="00C52F48" w:rsidRPr="00AC2B5C">
        <w:rPr>
          <w:rFonts w:ascii="Verdana" w:hAnsi="Verdana" w:cs="Arial"/>
        </w:rPr>
        <w:t xml:space="preserve">, seguido por </w:t>
      </w:r>
      <w:r w:rsidR="00214406">
        <w:rPr>
          <w:rFonts w:ascii="Verdana" w:hAnsi="Verdana" w:cs="Arial"/>
        </w:rPr>
        <w:t>BCO. BANCOLOMBIA S.A. con 21% y BCO DAVIVIENDA S.A. con un 12</w:t>
      </w:r>
      <w:r w:rsidR="00C52F48" w:rsidRPr="00152BC3">
        <w:rPr>
          <w:rFonts w:ascii="Verdana" w:hAnsi="Verdana" w:cs="Arial"/>
        </w:rPr>
        <w:t>%</w:t>
      </w:r>
      <w:r w:rsidR="00C25F1E">
        <w:rPr>
          <w:rFonts w:ascii="Verdana" w:hAnsi="Verdana" w:cs="Arial"/>
        </w:rPr>
        <w:t>.</w:t>
      </w:r>
    </w:p>
    <w:p w14:paraId="1E0AEE86" w14:textId="0F5E43AC" w:rsidR="00E24CC1" w:rsidRDefault="00514428" w:rsidP="00BC7570">
      <w:pPr>
        <w:jc w:val="both"/>
        <w:rPr>
          <w:rFonts w:ascii="Verdana" w:hAnsi="Verdana" w:cs="Arial"/>
          <w:i/>
          <w:iCs/>
        </w:rPr>
      </w:pPr>
      <w:r>
        <w:rPr>
          <w:noProof/>
        </w:rPr>
        <w:drawing>
          <wp:inline distT="0" distB="0" distL="0" distR="0" wp14:anchorId="2E56DAA1" wp14:editId="37C49203">
            <wp:extent cx="5227320" cy="3219450"/>
            <wp:effectExtent l="0" t="0" r="11430" b="0"/>
            <wp:docPr id="3" name="Gráfico 3">
              <a:extLst xmlns:a="http://schemas.openxmlformats.org/drawingml/2006/main">
                <a:ext uri="{FF2B5EF4-FFF2-40B4-BE49-F238E27FC236}">
                  <a16:creationId xmlns:a16="http://schemas.microsoft.com/office/drawing/2014/main" id="{50A0DD8E-E201-4AAE-95C2-EF1BA716C0C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0736BB">
        <w:rPr>
          <w:rFonts w:ascii="Verdana" w:hAnsi="Verdana" w:cs="Arial"/>
          <w:i/>
          <w:iCs/>
        </w:rPr>
        <w:t xml:space="preserve"> </w:t>
      </w:r>
      <w:r w:rsidR="00C945D7">
        <w:rPr>
          <w:rFonts w:ascii="Verdana" w:hAnsi="Verdana" w:cs="Arial"/>
          <w:i/>
          <w:iCs/>
        </w:rPr>
        <w:t>G</w:t>
      </w:r>
      <w:r w:rsidR="001E3415">
        <w:rPr>
          <w:rFonts w:ascii="Verdana" w:hAnsi="Verdana" w:cs="Arial"/>
          <w:i/>
          <w:iCs/>
        </w:rPr>
        <w:t>rafica</w:t>
      </w:r>
      <w:r w:rsidR="00E24CC1" w:rsidRPr="001E3415">
        <w:rPr>
          <w:rFonts w:ascii="Verdana" w:hAnsi="Verdana" w:cs="Arial"/>
          <w:i/>
          <w:iCs/>
        </w:rPr>
        <w:t xml:space="preserve"> 1: Aportes de Entidades Intermediarias</w:t>
      </w:r>
    </w:p>
    <w:p w14:paraId="70C7EE9C" w14:textId="77777777" w:rsidR="00C25F1E" w:rsidRPr="001E3415" w:rsidRDefault="00C25F1E" w:rsidP="00BC7570">
      <w:pPr>
        <w:jc w:val="both"/>
        <w:rPr>
          <w:rFonts w:ascii="Verdana" w:hAnsi="Verdana" w:cs="Arial"/>
          <w:i/>
          <w:iCs/>
        </w:rPr>
      </w:pPr>
    </w:p>
    <w:p w14:paraId="0DAE5E95" w14:textId="698F3621" w:rsidR="008F0546" w:rsidRDefault="008F0546" w:rsidP="008F0546">
      <w:pPr>
        <w:jc w:val="both"/>
        <w:rPr>
          <w:rFonts w:ascii="Verdana" w:hAnsi="Verdana" w:cs="Arial"/>
          <w:b/>
          <w:bCs/>
          <w:color w:val="000000" w:themeColor="text1"/>
        </w:rPr>
      </w:pPr>
      <w:r w:rsidRPr="00105187">
        <w:rPr>
          <w:rFonts w:ascii="Verdana" w:hAnsi="Verdana" w:cs="Arial"/>
          <w:b/>
          <w:bCs/>
          <w:color w:val="000000" w:themeColor="text1"/>
        </w:rPr>
        <w:t>DISTRIBUCIÓN GEOGRÁFICA: DEPARTAMENTOS</w:t>
      </w:r>
    </w:p>
    <w:p w14:paraId="64674637" w14:textId="18FA77C6" w:rsidR="003F49ED" w:rsidRPr="001E3415" w:rsidRDefault="007311A0" w:rsidP="003F49ED">
      <w:pPr>
        <w:jc w:val="both"/>
        <w:rPr>
          <w:rFonts w:ascii="Verdana" w:hAnsi="Verdana" w:cs="Arial"/>
          <w:i/>
          <w:iCs/>
        </w:rPr>
      </w:pPr>
      <w:r>
        <w:rPr>
          <w:noProof/>
        </w:rPr>
        <w:drawing>
          <wp:anchor distT="0" distB="0" distL="114300" distR="114300" simplePos="0" relativeHeight="251690496" behindDoc="0" locked="0" layoutInCell="1" allowOverlap="1" wp14:anchorId="3407404B" wp14:editId="0B2251C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288280" cy="3288030"/>
            <wp:effectExtent l="0" t="0" r="7620" b="7620"/>
            <wp:wrapSquare wrapText="bothSides"/>
            <wp:docPr id="6" name="Gráfico 6">
              <a:extLst xmlns:a="http://schemas.openxmlformats.org/drawingml/2006/main">
                <a:ext uri="{FF2B5EF4-FFF2-40B4-BE49-F238E27FC236}">
                  <a16:creationId xmlns:a16="http://schemas.microsoft.com/office/drawing/2014/main" id="{3B945880-B681-4753-A2B2-AADC6862ECB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</wp:anchor>
        </w:drawing>
      </w:r>
      <w:r w:rsidR="003F49ED">
        <w:rPr>
          <w:rFonts w:ascii="Verdana" w:hAnsi="Verdana" w:cs="Arial"/>
          <w:i/>
          <w:iCs/>
        </w:rPr>
        <w:t>Grafica</w:t>
      </w:r>
      <w:r w:rsidR="003F49ED" w:rsidRPr="001E3415">
        <w:rPr>
          <w:rFonts w:ascii="Verdana" w:hAnsi="Verdana" w:cs="Arial"/>
          <w:i/>
          <w:iCs/>
        </w:rPr>
        <w:t xml:space="preserve"> </w:t>
      </w:r>
      <w:r w:rsidR="003F49ED">
        <w:rPr>
          <w:rFonts w:ascii="Verdana" w:hAnsi="Verdana" w:cs="Arial"/>
          <w:i/>
          <w:iCs/>
        </w:rPr>
        <w:t>2</w:t>
      </w:r>
      <w:r w:rsidR="003F49ED" w:rsidRPr="001E3415">
        <w:rPr>
          <w:rFonts w:ascii="Verdana" w:hAnsi="Verdana" w:cs="Arial"/>
          <w:i/>
          <w:iCs/>
        </w:rPr>
        <w:t xml:space="preserve">: </w:t>
      </w:r>
      <w:r w:rsidR="003F49ED">
        <w:rPr>
          <w:rFonts w:ascii="Verdana" w:hAnsi="Verdana" w:cs="Arial"/>
          <w:i/>
          <w:iCs/>
        </w:rPr>
        <w:t>Dese</w:t>
      </w:r>
      <w:r w:rsidR="008F5922">
        <w:rPr>
          <w:rFonts w:ascii="Verdana" w:hAnsi="Verdana" w:cs="Arial"/>
          <w:i/>
          <w:iCs/>
        </w:rPr>
        <w:t>mbolso principales Departamentos</w:t>
      </w:r>
    </w:p>
    <w:p w14:paraId="2466DB03" w14:textId="619B0FA2" w:rsidR="003515FD" w:rsidRDefault="008267C9" w:rsidP="00F426DC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Bogotá</w:t>
      </w:r>
      <w:r w:rsidR="003515FD" w:rsidRPr="003515FD">
        <w:rPr>
          <w:rFonts w:ascii="Verdana" w:hAnsi="Verdana" w:cs="Arial"/>
        </w:rPr>
        <w:t xml:space="preserve"> </w:t>
      </w:r>
      <w:r w:rsidR="00B34F09">
        <w:rPr>
          <w:rFonts w:ascii="Verdana" w:hAnsi="Verdana" w:cs="Arial"/>
        </w:rPr>
        <w:t>registra</w:t>
      </w:r>
      <w:r w:rsidR="003515FD" w:rsidRPr="003515FD">
        <w:rPr>
          <w:rFonts w:ascii="Verdana" w:hAnsi="Verdana" w:cs="Arial"/>
        </w:rPr>
        <w:t xml:space="preserve"> el mayor monto de desembolsos con $</w:t>
      </w:r>
      <w:r>
        <w:rPr>
          <w:rFonts w:ascii="Verdana" w:hAnsi="Verdana" w:cs="Arial"/>
        </w:rPr>
        <w:t>60.300</w:t>
      </w:r>
      <w:r w:rsidR="00C74059">
        <w:rPr>
          <w:rFonts w:ascii="Verdana" w:hAnsi="Verdana" w:cs="Arial"/>
        </w:rPr>
        <w:t xml:space="preserve"> millones</w:t>
      </w:r>
      <w:r w:rsidR="003515FD" w:rsidRPr="003515FD">
        <w:rPr>
          <w:rFonts w:ascii="Verdana" w:hAnsi="Verdana" w:cs="Arial"/>
        </w:rPr>
        <w:t xml:space="preserve">, seguido por </w:t>
      </w:r>
      <w:r>
        <w:rPr>
          <w:rFonts w:ascii="Verdana" w:hAnsi="Verdana" w:cs="Arial"/>
        </w:rPr>
        <w:t>Nariño</w:t>
      </w:r>
      <w:r w:rsidR="003515FD" w:rsidRPr="003515FD">
        <w:rPr>
          <w:rFonts w:ascii="Verdana" w:hAnsi="Verdana" w:cs="Arial"/>
        </w:rPr>
        <w:t xml:space="preserve"> con $</w:t>
      </w:r>
      <w:r>
        <w:rPr>
          <w:rFonts w:ascii="Verdana" w:hAnsi="Verdana" w:cs="Arial"/>
        </w:rPr>
        <w:t>28.534 m</w:t>
      </w:r>
      <w:r w:rsidR="00C74059">
        <w:rPr>
          <w:rFonts w:ascii="Verdana" w:hAnsi="Verdana" w:cs="Arial"/>
        </w:rPr>
        <w:t>illones</w:t>
      </w:r>
      <w:r w:rsidR="003515FD" w:rsidRPr="003515FD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y Santander</w:t>
      </w:r>
      <w:r w:rsidR="003515FD" w:rsidRPr="003515FD">
        <w:rPr>
          <w:rFonts w:ascii="Verdana" w:hAnsi="Verdana" w:cs="Arial"/>
        </w:rPr>
        <w:t xml:space="preserve"> con $</w:t>
      </w:r>
      <w:r>
        <w:rPr>
          <w:rFonts w:ascii="Verdana" w:hAnsi="Verdana" w:cs="Arial"/>
        </w:rPr>
        <w:t>26.500</w:t>
      </w:r>
      <w:r w:rsidR="00C74059">
        <w:rPr>
          <w:rFonts w:ascii="Verdana" w:hAnsi="Verdana" w:cs="Arial"/>
        </w:rPr>
        <w:t xml:space="preserve"> millones</w:t>
      </w:r>
      <w:r w:rsidR="003515FD" w:rsidRPr="003515FD">
        <w:rPr>
          <w:rFonts w:ascii="Verdana" w:hAnsi="Verdana" w:cs="Arial"/>
        </w:rPr>
        <w:t xml:space="preserve">, evidenciando una alta concentración de los recursos en estos territorios. </w:t>
      </w:r>
    </w:p>
    <w:p w14:paraId="1AC254CA" w14:textId="46B5D775" w:rsidR="00EE45B8" w:rsidRPr="00105187" w:rsidRDefault="007311A0" w:rsidP="00EE45B8">
      <w:pPr>
        <w:jc w:val="both"/>
        <w:rPr>
          <w:rFonts w:ascii="Verdana" w:hAnsi="Verdana" w:cs="Arial"/>
          <w:b/>
          <w:bCs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91520" behindDoc="0" locked="0" layoutInCell="1" allowOverlap="1" wp14:anchorId="34ADE9D4" wp14:editId="3EA7630F">
            <wp:simplePos x="0" y="0"/>
            <wp:positionH relativeFrom="column">
              <wp:posOffset>128905</wp:posOffset>
            </wp:positionH>
            <wp:positionV relativeFrom="paragraph">
              <wp:posOffset>258445</wp:posOffset>
            </wp:positionV>
            <wp:extent cx="5166360" cy="3303270"/>
            <wp:effectExtent l="0" t="0" r="15240" b="11430"/>
            <wp:wrapSquare wrapText="bothSides"/>
            <wp:docPr id="7" name="Gráfico 7">
              <a:extLst xmlns:a="http://schemas.openxmlformats.org/drawingml/2006/main">
                <a:ext uri="{FF2B5EF4-FFF2-40B4-BE49-F238E27FC236}">
                  <a16:creationId xmlns:a16="http://schemas.microsoft.com/office/drawing/2014/main" id="{D559304B-C4F9-4FCC-A0D7-329F5EAAE67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</wp:anchor>
        </w:drawing>
      </w:r>
      <w:r w:rsidR="00EE45B8" w:rsidRPr="00105187">
        <w:rPr>
          <w:rFonts w:ascii="Verdana" w:hAnsi="Verdana" w:cs="Arial"/>
          <w:b/>
          <w:bCs/>
          <w:color w:val="000000" w:themeColor="text1"/>
        </w:rPr>
        <w:t>DISTRIBUCIÓN POR MUNICIPIOS</w:t>
      </w:r>
    </w:p>
    <w:p w14:paraId="6240F5DF" w14:textId="5183C1FD" w:rsidR="00105F03" w:rsidRDefault="00105F03" w:rsidP="00105F03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F03">
        <w:rPr>
          <w:rFonts w:ascii="Verdana" w:hAnsi="Verdana" w:cs="Arial"/>
          <w:i/>
          <w:iCs/>
          <w:color w:val="000000" w:themeColor="text1"/>
        </w:rPr>
        <w:t xml:space="preserve"> </w:t>
      </w:r>
      <w:r w:rsidR="00026929" w:rsidRPr="00105187">
        <w:rPr>
          <w:rFonts w:ascii="Verdana" w:hAnsi="Verdana" w:cs="Arial"/>
          <w:i/>
          <w:iCs/>
          <w:color w:val="000000" w:themeColor="text1"/>
        </w:rPr>
        <w:t xml:space="preserve"> </w:t>
      </w:r>
      <w:r w:rsidRPr="00105187">
        <w:rPr>
          <w:rFonts w:ascii="Verdana" w:hAnsi="Verdana" w:cs="Arial"/>
          <w:i/>
          <w:iCs/>
          <w:color w:val="000000" w:themeColor="text1"/>
        </w:rPr>
        <w:t>Grafica 3: Desembolso por Municipios</w:t>
      </w:r>
    </w:p>
    <w:p w14:paraId="726C3479" w14:textId="61FC5076" w:rsidR="00BC7570" w:rsidRDefault="005877A8" w:rsidP="00F426DC">
      <w:pPr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lastRenderedPageBreak/>
        <w:t xml:space="preserve">Bogotá </w:t>
      </w:r>
      <w:r w:rsidR="001557D1" w:rsidRPr="001557D1">
        <w:rPr>
          <w:rFonts w:ascii="Verdana" w:hAnsi="Verdana" w:cs="Arial"/>
          <w:color w:val="000000" w:themeColor="text1"/>
        </w:rPr>
        <w:t xml:space="preserve">registra el mayor monto </w:t>
      </w:r>
      <w:r w:rsidR="00DD62D6">
        <w:rPr>
          <w:rFonts w:ascii="Verdana" w:hAnsi="Verdana" w:cs="Arial"/>
          <w:color w:val="000000" w:themeColor="text1"/>
        </w:rPr>
        <w:t xml:space="preserve">con </w:t>
      </w:r>
      <w:r w:rsidR="00723F6F" w:rsidRPr="00723F6F">
        <w:rPr>
          <w:rFonts w:ascii="Verdana" w:hAnsi="Verdana" w:cs="Arial"/>
          <w:color w:val="000000" w:themeColor="text1"/>
        </w:rPr>
        <w:t xml:space="preserve">$ </w:t>
      </w:r>
      <w:r w:rsidR="00026929">
        <w:rPr>
          <w:rFonts w:ascii="Verdana" w:hAnsi="Verdana" w:cs="Arial"/>
          <w:color w:val="000000" w:themeColor="text1"/>
        </w:rPr>
        <w:t>5.495</w:t>
      </w:r>
      <w:r w:rsidR="00C74059">
        <w:rPr>
          <w:rFonts w:ascii="Verdana" w:hAnsi="Verdana" w:cs="Arial"/>
          <w:color w:val="000000" w:themeColor="text1"/>
        </w:rPr>
        <w:t xml:space="preserve"> </w:t>
      </w:r>
      <w:r w:rsidR="00C74059">
        <w:rPr>
          <w:rFonts w:ascii="Verdana" w:hAnsi="Verdana" w:cs="Arial"/>
        </w:rPr>
        <w:t>millones</w:t>
      </w:r>
      <w:r w:rsidR="001557D1" w:rsidRPr="001557D1">
        <w:rPr>
          <w:rFonts w:ascii="Verdana" w:hAnsi="Verdana" w:cs="Arial"/>
          <w:color w:val="000000" w:themeColor="text1"/>
        </w:rPr>
        <w:t>, seguido por</w:t>
      </w:r>
      <w:r w:rsidR="00DD62D6">
        <w:rPr>
          <w:rFonts w:ascii="Verdana" w:hAnsi="Verdana" w:cs="Arial"/>
          <w:color w:val="000000" w:themeColor="text1"/>
        </w:rPr>
        <w:t xml:space="preserve"> </w:t>
      </w:r>
      <w:r>
        <w:rPr>
          <w:rFonts w:ascii="Verdana" w:hAnsi="Verdana" w:cs="Arial"/>
          <w:color w:val="000000" w:themeColor="text1"/>
        </w:rPr>
        <w:t>Cali</w:t>
      </w:r>
      <w:r w:rsidR="00DD62D6">
        <w:rPr>
          <w:rFonts w:ascii="Verdana" w:hAnsi="Verdana" w:cs="Arial"/>
          <w:color w:val="000000" w:themeColor="text1"/>
        </w:rPr>
        <w:t xml:space="preserve">, con un monto </w:t>
      </w:r>
      <w:r w:rsidR="007B5CB7">
        <w:rPr>
          <w:rFonts w:ascii="Verdana" w:hAnsi="Verdana" w:cs="Arial"/>
          <w:color w:val="000000" w:themeColor="text1"/>
        </w:rPr>
        <w:t xml:space="preserve">de </w:t>
      </w:r>
      <w:r w:rsidR="007B5CB7" w:rsidRPr="00DE12F6">
        <w:rPr>
          <w:rFonts w:ascii="Verdana" w:hAnsi="Verdana" w:cs="Arial"/>
          <w:color w:val="000000" w:themeColor="text1"/>
        </w:rPr>
        <w:t>$</w:t>
      </w:r>
      <w:r w:rsidR="00DE12F6" w:rsidRPr="00DE12F6">
        <w:rPr>
          <w:rFonts w:ascii="Verdana" w:hAnsi="Verdana" w:cs="Arial"/>
          <w:color w:val="000000" w:themeColor="text1"/>
        </w:rPr>
        <w:t xml:space="preserve"> </w:t>
      </w:r>
      <w:r>
        <w:rPr>
          <w:rFonts w:ascii="Verdana" w:hAnsi="Verdana" w:cs="Arial"/>
          <w:color w:val="000000" w:themeColor="text1"/>
        </w:rPr>
        <w:t>4.</w:t>
      </w:r>
      <w:r w:rsidR="007311A0">
        <w:rPr>
          <w:rFonts w:ascii="Verdana" w:hAnsi="Verdana" w:cs="Arial"/>
          <w:color w:val="000000" w:themeColor="text1"/>
        </w:rPr>
        <w:t>525</w:t>
      </w:r>
      <w:r w:rsidR="00C74059">
        <w:rPr>
          <w:rFonts w:ascii="Verdana" w:hAnsi="Verdana" w:cs="Arial"/>
          <w:color w:val="000000" w:themeColor="text1"/>
        </w:rPr>
        <w:t xml:space="preserve"> </w:t>
      </w:r>
      <w:r w:rsidR="00C74059">
        <w:rPr>
          <w:rFonts w:ascii="Verdana" w:hAnsi="Verdana" w:cs="Arial"/>
        </w:rPr>
        <w:t>millones</w:t>
      </w:r>
      <w:r>
        <w:rPr>
          <w:rFonts w:ascii="Verdana" w:hAnsi="Verdana" w:cs="Arial"/>
          <w:color w:val="000000" w:themeColor="text1"/>
        </w:rPr>
        <w:t xml:space="preserve"> y Medellín con un monto de $ 3</w:t>
      </w:r>
      <w:r w:rsidR="00026929">
        <w:rPr>
          <w:rFonts w:ascii="Verdana" w:hAnsi="Verdana" w:cs="Arial"/>
          <w:color w:val="000000" w:themeColor="text1"/>
        </w:rPr>
        <w:t>.669</w:t>
      </w:r>
      <w:r>
        <w:rPr>
          <w:rFonts w:ascii="Verdana" w:hAnsi="Verdana" w:cs="Arial"/>
          <w:color w:val="000000" w:themeColor="text1"/>
        </w:rPr>
        <w:t xml:space="preserve"> millones lo que </w:t>
      </w:r>
      <w:r w:rsidR="006E5044">
        <w:rPr>
          <w:rFonts w:ascii="Verdana" w:hAnsi="Verdana" w:cs="Arial"/>
          <w:color w:val="000000" w:themeColor="text1"/>
        </w:rPr>
        <w:t xml:space="preserve">la suma de los tres municipios </w:t>
      </w:r>
      <w:r>
        <w:rPr>
          <w:rFonts w:ascii="Verdana" w:hAnsi="Verdana" w:cs="Arial"/>
          <w:color w:val="000000" w:themeColor="text1"/>
        </w:rPr>
        <w:t>representan el 23% d</w:t>
      </w:r>
      <w:r w:rsidR="000B02A7">
        <w:rPr>
          <w:rFonts w:ascii="Verdana" w:hAnsi="Verdana" w:cs="Arial"/>
          <w:color w:val="000000" w:themeColor="text1"/>
        </w:rPr>
        <w:t>el total de los desembolsos</w:t>
      </w:r>
      <w:r w:rsidR="001557D1" w:rsidRPr="001557D1">
        <w:rPr>
          <w:rFonts w:ascii="Verdana" w:hAnsi="Verdana" w:cs="Arial"/>
          <w:color w:val="000000" w:themeColor="text1"/>
        </w:rPr>
        <w:t xml:space="preserve">. En un segundo nivel se encuentran </w:t>
      </w:r>
      <w:r w:rsidR="00050B56">
        <w:rPr>
          <w:rFonts w:ascii="Verdana" w:hAnsi="Verdana" w:cs="Arial"/>
          <w:color w:val="000000" w:themeColor="text1"/>
        </w:rPr>
        <w:t>Itagüí,</w:t>
      </w:r>
      <w:r w:rsidR="00026929">
        <w:rPr>
          <w:rFonts w:ascii="Verdana" w:hAnsi="Verdana" w:cs="Arial"/>
          <w:color w:val="000000" w:themeColor="text1"/>
        </w:rPr>
        <w:t xml:space="preserve"> con 3.548 millones, seguido por </w:t>
      </w:r>
      <w:r>
        <w:rPr>
          <w:rFonts w:ascii="Verdana" w:hAnsi="Verdana" w:cs="Arial"/>
          <w:color w:val="000000" w:themeColor="text1"/>
        </w:rPr>
        <w:t>Bucaramanga,</w:t>
      </w:r>
      <w:r w:rsidR="00026929">
        <w:rPr>
          <w:rFonts w:ascii="Verdana" w:hAnsi="Verdana" w:cs="Arial"/>
          <w:color w:val="000000" w:themeColor="text1"/>
        </w:rPr>
        <w:t xml:space="preserve"> Barranquilla, Sabaneta,</w:t>
      </w:r>
      <w:r>
        <w:rPr>
          <w:rFonts w:ascii="Verdana" w:hAnsi="Verdana" w:cs="Arial"/>
          <w:color w:val="000000" w:themeColor="text1"/>
        </w:rPr>
        <w:t xml:space="preserve"> Cartagena, Pasto y Yumbo</w:t>
      </w:r>
      <w:r w:rsidR="001557D1" w:rsidRPr="001557D1">
        <w:rPr>
          <w:rFonts w:ascii="Verdana" w:hAnsi="Verdana" w:cs="Arial"/>
          <w:color w:val="000000" w:themeColor="text1"/>
        </w:rPr>
        <w:t xml:space="preserve"> con montos entre $</w:t>
      </w:r>
      <w:r w:rsidR="00026929">
        <w:rPr>
          <w:rFonts w:ascii="Verdana" w:hAnsi="Verdana" w:cs="Arial"/>
          <w:color w:val="000000" w:themeColor="text1"/>
        </w:rPr>
        <w:t>2.800 y $1.400</w:t>
      </w:r>
      <w:r w:rsidR="001557D1" w:rsidRPr="001557D1">
        <w:rPr>
          <w:rFonts w:ascii="Verdana" w:hAnsi="Verdana" w:cs="Arial"/>
          <w:color w:val="000000" w:themeColor="text1"/>
        </w:rPr>
        <w:t xml:space="preserve"> millones</w:t>
      </w:r>
      <w:r w:rsidR="006E5044">
        <w:rPr>
          <w:rFonts w:ascii="Verdana" w:hAnsi="Verdana" w:cs="Arial"/>
          <w:color w:val="000000" w:themeColor="text1"/>
        </w:rPr>
        <w:t xml:space="preserve"> y los demás municipios con desembolsos entre $1.000 y $1.300 aproximadamente</w:t>
      </w:r>
      <w:r w:rsidR="001557D1" w:rsidRPr="001557D1">
        <w:rPr>
          <w:rFonts w:ascii="Verdana" w:hAnsi="Verdana" w:cs="Arial"/>
          <w:color w:val="000000" w:themeColor="text1"/>
        </w:rPr>
        <w:t xml:space="preserve">. </w:t>
      </w:r>
    </w:p>
    <w:p w14:paraId="5E663DF7" w14:textId="3448099F" w:rsidR="00E64591" w:rsidRDefault="00E64591" w:rsidP="00F426DC">
      <w:pPr>
        <w:jc w:val="both"/>
        <w:rPr>
          <w:rFonts w:ascii="Verdana" w:hAnsi="Verdana" w:cs="Arial"/>
          <w:b/>
          <w:bCs/>
          <w:color w:val="000000" w:themeColor="text1"/>
        </w:rPr>
      </w:pPr>
      <w:r>
        <w:rPr>
          <w:rFonts w:ascii="Verdana" w:hAnsi="Verdana" w:cs="Arial"/>
          <w:b/>
          <w:bCs/>
          <w:color w:val="000000" w:themeColor="text1"/>
        </w:rPr>
        <w:t xml:space="preserve">SUBCUPOS </w:t>
      </w:r>
    </w:p>
    <w:p w14:paraId="1B12B3E1" w14:textId="47CF95DE" w:rsidR="002A60B7" w:rsidRPr="002A60B7" w:rsidRDefault="002A60B7" w:rsidP="002A60B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000000"/>
          <w:lang w:val="es-CO"/>
        </w:rPr>
      </w:pPr>
      <w:r w:rsidRPr="002A60B7">
        <w:rPr>
          <w:rFonts w:ascii="Verdana" w:hAnsi="Verdana" w:cs="Verdana"/>
          <w:color w:val="000000"/>
          <w:lang w:val="es-CO"/>
        </w:rPr>
        <w:t>Subcupo 1:</w:t>
      </w:r>
    </w:p>
    <w:p w14:paraId="378B870C" w14:textId="01B52FE8" w:rsidR="002A60B7" w:rsidRPr="002A60B7" w:rsidRDefault="002A60B7" w:rsidP="002A60B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000000"/>
          <w:lang w:val="es-CO"/>
        </w:rPr>
      </w:pPr>
      <w:r w:rsidRPr="002A60B7">
        <w:rPr>
          <w:rFonts w:ascii="Verdana" w:hAnsi="Verdana" w:cs="Verdana"/>
          <w:color w:val="000000"/>
          <w:lang w:val="es-CO"/>
        </w:rPr>
        <w:t>Personas naturales y jurídicas, consideradas como micros, pequeñas y medianas empresas pertenecientes a los códigos CIIU del sector agroindustrial relacionados.</w:t>
      </w:r>
    </w:p>
    <w:p w14:paraId="50C7C6C4" w14:textId="77777777" w:rsidR="002A60B7" w:rsidRPr="002A60B7" w:rsidRDefault="002A60B7" w:rsidP="002A60B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000000"/>
          <w:lang w:val="es-CO"/>
        </w:rPr>
      </w:pPr>
    </w:p>
    <w:p w14:paraId="7EC895B2" w14:textId="1EFB8AFC" w:rsidR="002A60B7" w:rsidRPr="002A60B7" w:rsidRDefault="002A60B7" w:rsidP="002A60B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000000"/>
          <w:lang w:val="es-CO"/>
        </w:rPr>
      </w:pPr>
      <w:r w:rsidRPr="002A60B7">
        <w:rPr>
          <w:rFonts w:ascii="Verdana" w:hAnsi="Verdana" w:cs="Verdana"/>
          <w:color w:val="000000"/>
          <w:lang w:val="es-CO"/>
        </w:rPr>
        <w:t>Subcupo 2:</w:t>
      </w:r>
    </w:p>
    <w:p w14:paraId="7023D2A9" w14:textId="330FA5C4" w:rsidR="002A60B7" w:rsidRPr="002A60B7" w:rsidRDefault="002A60B7" w:rsidP="002A60B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000000"/>
          <w:lang w:val="es-CO"/>
        </w:rPr>
      </w:pPr>
      <w:r w:rsidRPr="002A60B7">
        <w:rPr>
          <w:rFonts w:ascii="Verdana" w:hAnsi="Verdana" w:cs="Verdana"/>
          <w:color w:val="000000"/>
          <w:lang w:val="es-CO"/>
        </w:rPr>
        <w:t>Personas naturales y jurídicas, consideradas como micros, pequeñas y medianas empresas pertenecientes a los códigos CIIU del sector agroindustrial relacionados en el anexo 1 de la circular 006, con domicilio principal en los municipios de Argelia, El Tambo, López de Micay, Guapi y Timbiquí, en el Departamento del Cauca.</w:t>
      </w:r>
    </w:p>
    <w:p w14:paraId="609ED148" w14:textId="77777777" w:rsidR="002A60B7" w:rsidRPr="002A60B7" w:rsidRDefault="002A60B7" w:rsidP="002A60B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000000"/>
          <w:lang w:val="es-CO"/>
        </w:rPr>
      </w:pPr>
    </w:p>
    <w:p w14:paraId="2955871F" w14:textId="7A570DDE" w:rsidR="002A60B7" w:rsidRPr="002A60B7" w:rsidRDefault="002A60B7" w:rsidP="002A60B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000000"/>
          <w:lang w:val="es-CO"/>
        </w:rPr>
      </w:pPr>
      <w:r w:rsidRPr="002A60B7">
        <w:rPr>
          <w:rFonts w:ascii="Verdana" w:hAnsi="Verdana" w:cs="Verdana"/>
          <w:color w:val="000000"/>
          <w:lang w:val="es-CO"/>
        </w:rPr>
        <w:t>Subcupo 3:</w:t>
      </w:r>
    </w:p>
    <w:p w14:paraId="6CE8EFD1" w14:textId="2B74AE72" w:rsidR="002A60B7" w:rsidRDefault="00850758" w:rsidP="002A60B7">
      <w:pPr>
        <w:jc w:val="both"/>
        <w:rPr>
          <w:rFonts w:ascii="Verdana" w:hAnsi="Verdana" w:cs="Verdana"/>
          <w:color w:val="000000"/>
          <w:lang w:val="es-CO"/>
        </w:rPr>
      </w:pPr>
      <w:r>
        <w:rPr>
          <w:noProof/>
        </w:rPr>
        <w:drawing>
          <wp:anchor distT="0" distB="0" distL="114300" distR="114300" simplePos="0" relativeHeight="251696640" behindDoc="0" locked="0" layoutInCell="1" allowOverlap="1" wp14:anchorId="3FC0C882" wp14:editId="3655216F">
            <wp:simplePos x="0" y="0"/>
            <wp:positionH relativeFrom="margin">
              <wp:align>right</wp:align>
            </wp:positionH>
            <wp:positionV relativeFrom="paragraph">
              <wp:posOffset>1197610</wp:posOffset>
            </wp:positionV>
            <wp:extent cx="5375910" cy="2910840"/>
            <wp:effectExtent l="0" t="0" r="15240" b="3810"/>
            <wp:wrapSquare wrapText="bothSides"/>
            <wp:docPr id="15" name="Gráfico 15">
              <a:extLst xmlns:a="http://schemas.openxmlformats.org/drawingml/2006/main">
                <a:ext uri="{FF2B5EF4-FFF2-40B4-BE49-F238E27FC236}">
                  <a16:creationId xmlns:a16="http://schemas.microsoft.com/office/drawing/2014/main" id="{593BC3A4-C145-445C-B2B2-4A7262B1110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</wp:anchor>
        </w:drawing>
      </w:r>
      <w:r w:rsidR="002A60B7" w:rsidRPr="002A60B7">
        <w:rPr>
          <w:rFonts w:ascii="Verdana" w:hAnsi="Verdana" w:cs="Verdana"/>
          <w:color w:val="000000"/>
          <w:lang w:val="es-CO"/>
        </w:rPr>
        <w:t>Personas naturales y jurídicas, consideradas como micros, pequeñas y medianas empresas pertenecientes a los códigos CIIU del sector agroindustrial relacionados en el anexo 1 de la circular 006, con actividad exportadora, lo que se refrendarán mediante la presentación de la declaración de exportación o factura comercial de exportación o contrato de exportación del 2024 junto con su solicitud.</w:t>
      </w:r>
    </w:p>
    <w:p w14:paraId="5E7BE36D" w14:textId="63A8E621" w:rsidR="00DE1C88" w:rsidRDefault="00DE1C88" w:rsidP="00DE1C88">
      <w:pPr>
        <w:rPr>
          <w:rFonts w:ascii="Verdana" w:hAnsi="Verdana" w:cs="Arial"/>
          <w:i/>
          <w:iCs/>
          <w:color w:val="000000" w:themeColor="text1"/>
        </w:rPr>
      </w:pPr>
      <w:r w:rsidRPr="0084546A">
        <w:rPr>
          <w:rFonts w:ascii="Verdana" w:hAnsi="Verdana" w:cs="Arial"/>
          <w:i/>
          <w:iCs/>
          <w:color w:val="000000" w:themeColor="text1"/>
        </w:rPr>
        <w:t xml:space="preserve">Grafica </w:t>
      </w:r>
      <w:r>
        <w:rPr>
          <w:rFonts w:ascii="Verdana" w:hAnsi="Verdana" w:cs="Arial"/>
          <w:i/>
          <w:iCs/>
          <w:color w:val="000000" w:themeColor="text1"/>
        </w:rPr>
        <w:t>3</w:t>
      </w:r>
      <w:r w:rsidRPr="0084546A">
        <w:rPr>
          <w:rFonts w:ascii="Verdana" w:hAnsi="Verdana" w:cs="Arial"/>
          <w:i/>
          <w:iCs/>
          <w:color w:val="000000" w:themeColor="text1"/>
        </w:rPr>
        <w:t xml:space="preserve">: </w:t>
      </w:r>
      <w:r>
        <w:rPr>
          <w:rFonts w:ascii="Verdana" w:hAnsi="Verdana" w:cs="Arial"/>
          <w:i/>
          <w:iCs/>
          <w:color w:val="000000" w:themeColor="text1"/>
        </w:rPr>
        <w:t>Subcupos</w:t>
      </w:r>
    </w:p>
    <w:p w14:paraId="17CA2F14" w14:textId="66B93BF3" w:rsidR="002A60B7" w:rsidRDefault="002A60B7" w:rsidP="00850758">
      <w:pPr>
        <w:jc w:val="both"/>
        <w:rPr>
          <w:rFonts w:ascii="Verdana" w:hAnsi="Verdana" w:cs="Arial"/>
          <w:color w:val="000000" w:themeColor="text1"/>
        </w:rPr>
      </w:pPr>
      <w:r w:rsidRPr="002A60B7">
        <w:rPr>
          <w:rFonts w:ascii="Verdana" w:hAnsi="Verdana" w:cs="Arial"/>
          <w:color w:val="000000" w:themeColor="text1"/>
        </w:rPr>
        <w:t xml:space="preserve">Se observa que, para el Subcupo 1, se han desembolsado $ </w:t>
      </w:r>
      <w:r w:rsidR="00850758">
        <w:rPr>
          <w:rFonts w:ascii="Verdana" w:hAnsi="Verdana" w:cs="Arial"/>
          <w:color w:val="000000" w:themeColor="text1"/>
        </w:rPr>
        <w:t>54.206</w:t>
      </w:r>
      <w:r w:rsidRPr="002A60B7">
        <w:rPr>
          <w:rFonts w:ascii="Verdana" w:hAnsi="Verdana" w:cs="Arial"/>
          <w:color w:val="000000" w:themeColor="text1"/>
        </w:rPr>
        <w:t xml:space="preserve"> millones, mientras que para el Subcupo 3 de financiación de exportaciones el valor desembolsado asciende a $ 4.864 millones. Por su parte, el Subcupo 2,</w:t>
      </w:r>
      <w:r w:rsidR="00850758">
        <w:rPr>
          <w:rFonts w:ascii="Verdana" w:hAnsi="Verdana" w:cs="Arial"/>
          <w:color w:val="000000" w:themeColor="text1"/>
        </w:rPr>
        <w:t xml:space="preserve"> </w:t>
      </w:r>
      <w:r w:rsidRPr="002A60B7">
        <w:rPr>
          <w:rFonts w:ascii="Verdana" w:hAnsi="Verdana" w:cs="Arial"/>
          <w:color w:val="000000" w:themeColor="text1"/>
        </w:rPr>
        <w:lastRenderedPageBreak/>
        <w:t>correspondiente a los municipios priorizados del Cauca, no registra desembolsos a la fecha.</w:t>
      </w:r>
    </w:p>
    <w:p w14:paraId="6B9F2854" w14:textId="5F897867" w:rsidR="00812073" w:rsidRDefault="00850758" w:rsidP="002A60B7">
      <w:pPr>
        <w:jc w:val="both"/>
        <w:rPr>
          <w:rFonts w:ascii="Verdana" w:hAnsi="Verdana" w:cs="Arial"/>
          <w:b/>
          <w:bCs/>
        </w:rPr>
      </w:pPr>
      <w:r>
        <w:rPr>
          <w:noProof/>
        </w:rPr>
        <w:drawing>
          <wp:anchor distT="0" distB="0" distL="114300" distR="114300" simplePos="0" relativeHeight="251695616" behindDoc="0" locked="0" layoutInCell="1" allowOverlap="1" wp14:anchorId="7B516201" wp14:editId="40BFBD36">
            <wp:simplePos x="0" y="0"/>
            <wp:positionH relativeFrom="margin">
              <wp:align>left</wp:align>
            </wp:positionH>
            <wp:positionV relativeFrom="paragraph">
              <wp:posOffset>248496</wp:posOffset>
            </wp:positionV>
            <wp:extent cx="5397500" cy="2743200"/>
            <wp:effectExtent l="0" t="0" r="12700" b="0"/>
            <wp:wrapSquare wrapText="bothSides"/>
            <wp:docPr id="14" name="Gráfico 14">
              <a:extLst xmlns:a="http://schemas.openxmlformats.org/drawingml/2006/main">
                <a:ext uri="{FF2B5EF4-FFF2-40B4-BE49-F238E27FC236}">
                  <a16:creationId xmlns:a16="http://schemas.microsoft.com/office/drawing/2014/main" id="{9A3F64D0-4CB9-4140-A1F5-4B0D97FAFC5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</wp:anchor>
        </w:drawing>
      </w:r>
      <w:r w:rsidR="00812073" w:rsidRPr="00E24CC1">
        <w:rPr>
          <w:rFonts w:ascii="Verdana" w:hAnsi="Verdana" w:cs="Arial"/>
          <w:b/>
          <w:bCs/>
        </w:rPr>
        <w:t>SECTOR ECONÓMICO – CLASIFICACIÓN CII</w:t>
      </w:r>
      <w:r w:rsidR="00A34EBC" w:rsidRPr="00E24CC1">
        <w:rPr>
          <w:rFonts w:ascii="Verdana" w:hAnsi="Verdana" w:cs="Arial"/>
          <w:b/>
          <w:bCs/>
        </w:rPr>
        <w:t>U</w:t>
      </w:r>
    </w:p>
    <w:p w14:paraId="2F7CD85C" w14:textId="26ECA52D" w:rsidR="001E3415" w:rsidRPr="0084546A" w:rsidRDefault="001E3415" w:rsidP="00161172">
      <w:pPr>
        <w:rPr>
          <w:rFonts w:ascii="Verdana" w:hAnsi="Verdana" w:cs="Arial"/>
          <w:i/>
          <w:iCs/>
          <w:color w:val="000000" w:themeColor="text1"/>
        </w:rPr>
      </w:pPr>
      <w:r w:rsidRPr="0084546A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D70AA4" w:rsidRPr="0084546A">
        <w:rPr>
          <w:rFonts w:ascii="Verdana" w:hAnsi="Verdana" w:cs="Arial"/>
          <w:i/>
          <w:iCs/>
          <w:color w:val="000000" w:themeColor="text1"/>
        </w:rPr>
        <w:t>4</w:t>
      </w:r>
      <w:r w:rsidR="00EE4FAA" w:rsidRPr="0084546A">
        <w:rPr>
          <w:rFonts w:ascii="Verdana" w:hAnsi="Verdana" w:cs="Arial"/>
          <w:i/>
          <w:iCs/>
          <w:color w:val="000000" w:themeColor="text1"/>
        </w:rPr>
        <w:t>: Actividad Económica</w:t>
      </w:r>
      <w:r w:rsidR="00161172" w:rsidRPr="0084546A">
        <w:rPr>
          <w:rFonts w:ascii="Verdana" w:hAnsi="Verdana" w:cs="Arial"/>
          <w:i/>
          <w:iCs/>
          <w:color w:val="000000" w:themeColor="text1"/>
        </w:rPr>
        <w:t xml:space="preserve"> Código</w:t>
      </w:r>
      <w:r w:rsidRPr="0084546A">
        <w:rPr>
          <w:rFonts w:ascii="Verdana" w:hAnsi="Verdana" w:cs="Arial"/>
          <w:i/>
          <w:iCs/>
          <w:color w:val="000000" w:themeColor="text1"/>
        </w:rPr>
        <w:t xml:space="preserve"> CIIU</w:t>
      </w:r>
    </w:p>
    <w:p w14:paraId="5EF376EB" w14:textId="46ED368E" w:rsidR="00C6731C" w:rsidRPr="0084546A" w:rsidRDefault="00C6731C" w:rsidP="00A74ED4">
      <w:pPr>
        <w:jc w:val="both"/>
        <w:rPr>
          <w:rFonts w:ascii="Verdana" w:hAnsi="Verdana" w:cs="Arial"/>
          <w:color w:val="000000" w:themeColor="text1"/>
        </w:rPr>
      </w:pPr>
      <w:r w:rsidRPr="0084546A">
        <w:rPr>
          <w:rFonts w:ascii="Verdana" w:hAnsi="Verdana" w:cs="Arial"/>
          <w:color w:val="000000" w:themeColor="text1"/>
        </w:rPr>
        <w:t xml:space="preserve">Se evidencia una alta concentración en la actividad de </w:t>
      </w:r>
      <w:r w:rsidR="003D3AA4" w:rsidRPr="003D3AA4">
        <w:rPr>
          <w:rFonts w:ascii="Verdana" w:hAnsi="Verdana" w:cs="Arial"/>
          <w:color w:val="000000" w:themeColor="text1"/>
        </w:rPr>
        <w:t>Elaboración de comidas y platos preparados</w:t>
      </w:r>
      <w:r w:rsidRPr="0084546A">
        <w:rPr>
          <w:rFonts w:ascii="Verdana" w:hAnsi="Verdana" w:cs="Arial"/>
          <w:color w:val="000000" w:themeColor="text1"/>
        </w:rPr>
        <w:t xml:space="preserve">, con </w:t>
      </w:r>
      <w:r w:rsidR="003D3AA4">
        <w:rPr>
          <w:rFonts w:ascii="Verdana" w:hAnsi="Verdana" w:cs="Arial"/>
          <w:color w:val="000000" w:themeColor="text1"/>
        </w:rPr>
        <w:t xml:space="preserve">587 </w:t>
      </w:r>
      <w:r w:rsidR="005D3CCF" w:rsidRPr="0084546A">
        <w:rPr>
          <w:rFonts w:ascii="Verdana" w:hAnsi="Verdana" w:cs="Arial"/>
          <w:color w:val="000000" w:themeColor="text1"/>
        </w:rPr>
        <w:t>operaciones</w:t>
      </w:r>
      <w:r w:rsidR="00A74ED4">
        <w:rPr>
          <w:rFonts w:ascii="Verdana" w:hAnsi="Verdana" w:cs="Arial"/>
          <w:color w:val="000000" w:themeColor="text1"/>
        </w:rPr>
        <w:t xml:space="preserve">. </w:t>
      </w:r>
      <w:r w:rsidRPr="0084546A">
        <w:rPr>
          <w:rFonts w:ascii="Verdana" w:hAnsi="Verdana" w:cs="Arial"/>
          <w:color w:val="000000" w:themeColor="text1"/>
        </w:rPr>
        <w:t>En un segundo nivel se ubica</w:t>
      </w:r>
      <w:r w:rsidR="00A74ED4">
        <w:rPr>
          <w:rFonts w:ascii="Verdana" w:hAnsi="Verdana" w:cs="Arial"/>
          <w:color w:val="000000" w:themeColor="text1"/>
        </w:rPr>
        <w:t xml:space="preserve"> el </w:t>
      </w:r>
      <w:r w:rsidR="003D3AA4" w:rsidRPr="003D3AA4">
        <w:rPr>
          <w:rFonts w:ascii="Verdana" w:hAnsi="Verdana" w:cs="Arial"/>
          <w:color w:val="000000" w:themeColor="text1"/>
        </w:rPr>
        <w:t xml:space="preserve">Elaboración de otros productos alimenticios </w:t>
      </w:r>
      <w:proofErr w:type="spellStart"/>
      <w:r w:rsidR="003D3AA4" w:rsidRPr="003D3AA4">
        <w:rPr>
          <w:rFonts w:ascii="Verdana" w:hAnsi="Verdana" w:cs="Arial"/>
          <w:color w:val="000000" w:themeColor="text1"/>
        </w:rPr>
        <w:t>n.c.p</w:t>
      </w:r>
      <w:proofErr w:type="spellEnd"/>
      <w:r w:rsidR="003D3AA4" w:rsidRPr="003D3AA4">
        <w:rPr>
          <w:rFonts w:ascii="Verdana" w:hAnsi="Verdana" w:cs="Arial"/>
          <w:color w:val="000000" w:themeColor="text1"/>
        </w:rPr>
        <w:t>.</w:t>
      </w:r>
      <w:r w:rsidR="00A74ED4">
        <w:rPr>
          <w:rFonts w:ascii="Verdana" w:hAnsi="Verdana" w:cs="Arial"/>
          <w:color w:val="000000" w:themeColor="text1"/>
        </w:rPr>
        <w:t xml:space="preserve"> c</w:t>
      </w:r>
      <w:r w:rsidRPr="0084546A">
        <w:rPr>
          <w:rFonts w:ascii="Verdana" w:hAnsi="Verdana" w:cs="Arial"/>
          <w:color w:val="000000" w:themeColor="text1"/>
        </w:rPr>
        <w:t xml:space="preserve">on </w:t>
      </w:r>
      <w:r w:rsidR="003D3AA4">
        <w:rPr>
          <w:rFonts w:ascii="Verdana" w:hAnsi="Verdana" w:cs="Arial"/>
          <w:color w:val="000000" w:themeColor="text1"/>
        </w:rPr>
        <w:t>181</w:t>
      </w:r>
      <w:r w:rsidRPr="0084546A">
        <w:rPr>
          <w:rFonts w:ascii="Verdana" w:hAnsi="Verdana" w:cs="Arial"/>
          <w:color w:val="000000" w:themeColor="text1"/>
        </w:rPr>
        <w:t xml:space="preserve"> </w:t>
      </w:r>
      <w:r w:rsidR="005D3CCF" w:rsidRPr="0084546A">
        <w:rPr>
          <w:rFonts w:ascii="Verdana" w:hAnsi="Verdana" w:cs="Arial"/>
          <w:color w:val="000000" w:themeColor="text1"/>
        </w:rPr>
        <w:t>operaciones</w:t>
      </w:r>
      <w:r w:rsidRPr="0084546A">
        <w:rPr>
          <w:rFonts w:ascii="Verdana" w:hAnsi="Verdana" w:cs="Arial"/>
          <w:color w:val="000000" w:themeColor="text1"/>
        </w:rPr>
        <w:t xml:space="preserve">, seguida por </w:t>
      </w:r>
      <w:r w:rsidR="003D3AA4" w:rsidRPr="003D3AA4">
        <w:rPr>
          <w:rFonts w:ascii="Verdana" w:hAnsi="Verdana" w:cs="Arial"/>
          <w:color w:val="000000" w:themeColor="text1"/>
        </w:rPr>
        <w:t>Elaboración de productos de panadería</w:t>
      </w:r>
      <w:r w:rsidR="00A74ED4">
        <w:rPr>
          <w:rFonts w:ascii="Verdana" w:hAnsi="Verdana" w:cs="Arial"/>
          <w:color w:val="000000" w:themeColor="text1"/>
        </w:rPr>
        <w:t xml:space="preserve"> </w:t>
      </w:r>
      <w:r w:rsidRPr="0084546A">
        <w:rPr>
          <w:rFonts w:ascii="Verdana" w:hAnsi="Verdana" w:cs="Arial"/>
          <w:color w:val="000000" w:themeColor="text1"/>
        </w:rPr>
        <w:t xml:space="preserve">con </w:t>
      </w:r>
      <w:r w:rsidR="003D3AA4">
        <w:rPr>
          <w:rFonts w:ascii="Verdana" w:hAnsi="Verdana" w:cs="Arial"/>
          <w:color w:val="000000" w:themeColor="text1"/>
        </w:rPr>
        <w:t>138</w:t>
      </w:r>
      <w:r w:rsidR="005D3CCF" w:rsidRPr="0084546A">
        <w:rPr>
          <w:rFonts w:ascii="Verdana" w:hAnsi="Verdana" w:cs="Arial"/>
          <w:color w:val="000000" w:themeColor="text1"/>
        </w:rPr>
        <w:t xml:space="preserve"> operaciones</w:t>
      </w:r>
      <w:r w:rsidR="00A74ED4">
        <w:rPr>
          <w:rFonts w:ascii="Verdana" w:hAnsi="Verdana" w:cs="Arial"/>
          <w:color w:val="000000" w:themeColor="text1"/>
        </w:rPr>
        <w:t>, seguido por</w:t>
      </w:r>
      <w:r w:rsidRPr="0084546A">
        <w:rPr>
          <w:rFonts w:ascii="Verdana" w:hAnsi="Verdana" w:cs="Arial"/>
          <w:color w:val="000000" w:themeColor="text1"/>
        </w:rPr>
        <w:t xml:space="preserve"> </w:t>
      </w:r>
      <w:r w:rsidR="003D3AA4" w:rsidRPr="003D3AA4">
        <w:rPr>
          <w:rFonts w:ascii="Verdana" w:hAnsi="Verdana" w:cs="Arial"/>
          <w:color w:val="000000" w:themeColor="text1"/>
        </w:rPr>
        <w:t>Elaboración de productos lácteos</w:t>
      </w:r>
      <w:r w:rsidR="003D3AA4">
        <w:rPr>
          <w:rFonts w:ascii="Verdana" w:hAnsi="Verdana" w:cs="Arial"/>
          <w:color w:val="000000" w:themeColor="text1"/>
        </w:rPr>
        <w:t xml:space="preserve"> y </w:t>
      </w:r>
      <w:r w:rsidR="003D3AA4" w:rsidRPr="003D3AA4">
        <w:rPr>
          <w:rFonts w:ascii="Verdana" w:hAnsi="Verdana" w:cs="Arial"/>
          <w:color w:val="000000" w:themeColor="text1"/>
        </w:rPr>
        <w:t>Procesamiento y conservación de carne y productos cárnicos</w:t>
      </w:r>
      <w:r w:rsidRPr="0084546A">
        <w:rPr>
          <w:rFonts w:ascii="Verdana" w:hAnsi="Verdana" w:cs="Arial"/>
          <w:color w:val="000000" w:themeColor="text1"/>
        </w:rPr>
        <w:t xml:space="preserve">, con </w:t>
      </w:r>
      <w:r w:rsidR="003D3AA4">
        <w:rPr>
          <w:rFonts w:ascii="Verdana" w:hAnsi="Verdana" w:cs="Arial"/>
          <w:color w:val="000000" w:themeColor="text1"/>
        </w:rPr>
        <w:t>46 y 41</w:t>
      </w:r>
      <w:r w:rsidR="00A74ED4">
        <w:rPr>
          <w:rFonts w:ascii="Verdana" w:hAnsi="Verdana" w:cs="Arial"/>
          <w:color w:val="000000" w:themeColor="text1"/>
        </w:rPr>
        <w:t xml:space="preserve"> </w:t>
      </w:r>
      <w:r w:rsidR="005D3CCF" w:rsidRPr="0084546A">
        <w:rPr>
          <w:rFonts w:ascii="Verdana" w:hAnsi="Verdana" w:cs="Arial"/>
          <w:color w:val="000000" w:themeColor="text1"/>
        </w:rPr>
        <w:t>operaciones</w:t>
      </w:r>
      <w:r w:rsidRPr="0084546A">
        <w:rPr>
          <w:rFonts w:ascii="Verdana" w:hAnsi="Verdana" w:cs="Arial"/>
          <w:color w:val="000000" w:themeColor="text1"/>
        </w:rPr>
        <w:t>.</w:t>
      </w:r>
    </w:p>
    <w:p w14:paraId="216A76E6" w14:textId="03B0784E" w:rsidR="00EE4FAA" w:rsidRDefault="007C32EE" w:rsidP="0015132E">
      <w:pPr>
        <w:jc w:val="both"/>
        <w:rPr>
          <w:rFonts w:ascii="Verdana" w:hAnsi="Verdana" w:cs="Arial"/>
          <w:b/>
          <w:bCs/>
        </w:rPr>
      </w:pPr>
      <w:r>
        <w:rPr>
          <w:noProof/>
        </w:rPr>
        <w:drawing>
          <wp:anchor distT="0" distB="0" distL="114300" distR="114300" simplePos="0" relativeHeight="251693568" behindDoc="0" locked="0" layoutInCell="1" allowOverlap="1" wp14:anchorId="7938F747" wp14:editId="4C5B4042">
            <wp:simplePos x="0" y="0"/>
            <wp:positionH relativeFrom="margin">
              <wp:posOffset>-635</wp:posOffset>
            </wp:positionH>
            <wp:positionV relativeFrom="paragraph">
              <wp:posOffset>283210</wp:posOffset>
            </wp:positionV>
            <wp:extent cx="5257800" cy="2743200"/>
            <wp:effectExtent l="0" t="0" r="0" b="0"/>
            <wp:wrapSquare wrapText="bothSides"/>
            <wp:docPr id="12" name="Gráfico 12">
              <a:extLst xmlns:a="http://schemas.openxmlformats.org/drawingml/2006/main">
                <a:ext uri="{FF2B5EF4-FFF2-40B4-BE49-F238E27FC236}">
                  <a16:creationId xmlns:a16="http://schemas.microsoft.com/office/drawing/2014/main" id="{ECD49B07-DAEE-4094-978B-A0AFFC574E4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</wp:anchor>
        </w:drawing>
      </w:r>
      <w:r w:rsidR="00F426DC" w:rsidRPr="004E15AA">
        <w:rPr>
          <w:rFonts w:ascii="Verdana" w:hAnsi="Verdana" w:cs="Arial"/>
          <w:b/>
          <w:bCs/>
        </w:rPr>
        <w:t>DESTINO DE LOS RECURSOS</w:t>
      </w:r>
    </w:p>
    <w:p w14:paraId="140686DE" w14:textId="636A64F8" w:rsidR="00EE4FAA" w:rsidRPr="001E3415" w:rsidRDefault="00DF41AF" w:rsidP="00EE4FAA">
      <w:pPr>
        <w:rPr>
          <w:rFonts w:ascii="Verdana" w:hAnsi="Verdana" w:cs="Arial"/>
          <w:i/>
          <w:iCs/>
        </w:rPr>
      </w:pPr>
      <w:r>
        <w:rPr>
          <w:rFonts w:ascii="Verdana" w:hAnsi="Verdana" w:cs="Arial"/>
          <w:i/>
          <w:iCs/>
        </w:rPr>
        <w:t xml:space="preserve"> </w:t>
      </w:r>
      <w:r w:rsidR="00EE4FAA">
        <w:rPr>
          <w:rFonts w:ascii="Verdana" w:hAnsi="Verdana" w:cs="Arial"/>
          <w:i/>
          <w:iCs/>
        </w:rPr>
        <w:t xml:space="preserve">Grafica </w:t>
      </w:r>
      <w:r w:rsidR="00D70AA4">
        <w:rPr>
          <w:rFonts w:ascii="Verdana" w:hAnsi="Verdana" w:cs="Arial"/>
          <w:i/>
          <w:iCs/>
        </w:rPr>
        <w:t>5</w:t>
      </w:r>
      <w:r w:rsidR="00EE4FAA" w:rsidRPr="001E3415">
        <w:rPr>
          <w:rFonts w:ascii="Verdana" w:hAnsi="Verdana" w:cs="Arial"/>
          <w:i/>
          <w:iCs/>
        </w:rPr>
        <w:t>:</w:t>
      </w:r>
      <w:r w:rsidR="00EE4FAA">
        <w:rPr>
          <w:rFonts w:ascii="Verdana" w:hAnsi="Verdana" w:cs="Arial"/>
          <w:i/>
          <w:iCs/>
        </w:rPr>
        <w:t xml:space="preserve"> Porcentaje Destino de los Recursos</w:t>
      </w:r>
    </w:p>
    <w:p w14:paraId="30E474D2" w14:textId="27F5849D" w:rsidR="00B71F3E" w:rsidRDefault="00B71F3E" w:rsidP="00B71F3E">
      <w:pPr>
        <w:jc w:val="both"/>
        <w:rPr>
          <w:rFonts w:ascii="Verdana" w:hAnsi="Verdana" w:cs="Arial"/>
          <w:color w:val="000000" w:themeColor="text1"/>
        </w:rPr>
      </w:pPr>
      <w:r w:rsidRPr="00105187">
        <w:rPr>
          <w:rFonts w:ascii="Verdana" w:hAnsi="Verdana" w:cs="Arial"/>
          <w:color w:val="000000" w:themeColor="text1"/>
        </w:rPr>
        <w:t xml:space="preserve">El </w:t>
      </w:r>
      <w:r w:rsidR="004E15AA">
        <w:rPr>
          <w:rFonts w:ascii="Verdana" w:hAnsi="Verdana" w:cs="Arial"/>
          <w:color w:val="000000" w:themeColor="text1"/>
        </w:rPr>
        <w:t>9</w:t>
      </w:r>
      <w:r w:rsidR="001B23B0">
        <w:rPr>
          <w:rFonts w:ascii="Verdana" w:hAnsi="Verdana" w:cs="Arial"/>
          <w:color w:val="000000" w:themeColor="text1"/>
        </w:rPr>
        <w:t>5</w:t>
      </w:r>
      <w:r w:rsidRPr="00105187">
        <w:rPr>
          <w:rFonts w:ascii="Verdana" w:hAnsi="Verdana" w:cs="Arial"/>
          <w:color w:val="000000" w:themeColor="text1"/>
        </w:rPr>
        <w:t>% de las operaciones está destinado a capital de trabajo, contribuyendo al fortalecimiento de la liquidez y a la sostenibilidad financiera de las empresas beneficiarias.</w:t>
      </w:r>
      <w:r>
        <w:rPr>
          <w:rFonts w:ascii="Verdana" w:hAnsi="Verdana" w:cs="Arial"/>
          <w:color w:val="000000" w:themeColor="text1"/>
        </w:rPr>
        <w:t xml:space="preserve"> Mientras que el </w:t>
      </w:r>
      <w:r w:rsidR="001B23B0">
        <w:rPr>
          <w:rFonts w:ascii="Verdana" w:hAnsi="Verdana" w:cs="Arial"/>
          <w:color w:val="000000" w:themeColor="text1"/>
        </w:rPr>
        <w:t>5</w:t>
      </w:r>
      <w:r w:rsidR="003C001F">
        <w:rPr>
          <w:rFonts w:ascii="Verdana" w:hAnsi="Verdana" w:cs="Arial"/>
          <w:color w:val="000000" w:themeColor="text1"/>
        </w:rPr>
        <w:t xml:space="preserve">% </w:t>
      </w:r>
      <w:r>
        <w:rPr>
          <w:rFonts w:ascii="Verdana" w:hAnsi="Verdana" w:cs="Arial"/>
          <w:color w:val="000000" w:themeColor="text1"/>
        </w:rPr>
        <w:t xml:space="preserve">equivalen a </w:t>
      </w:r>
      <w:r w:rsidR="001B23B0">
        <w:rPr>
          <w:rFonts w:ascii="Verdana" w:hAnsi="Verdana" w:cs="Arial"/>
          <w:color w:val="000000" w:themeColor="text1"/>
        </w:rPr>
        <w:t>inversión fija.</w:t>
      </w:r>
    </w:p>
    <w:p w14:paraId="7BA3C74F" w14:textId="568B4A31" w:rsidR="00202395" w:rsidRDefault="002D370A" w:rsidP="00202395">
      <w:pPr>
        <w:jc w:val="both"/>
        <w:rPr>
          <w:rFonts w:ascii="Verdana" w:hAnsi="Verdana" w:cs="Arial"/>
          <w:b/>
          <w:bCs/>
          <w:color w:val="000000" w:themeColor="text1"/>
        </w:rPr>
      </w:pPr>
      <w:r>
        <w:rPr>
          <w:noProof/>
        </w:rPr>
        <w:lastRenderedPageBreak/>
        <w:drawing>
          <wp:anchor distT="0" distB="0" distL="114300" distR="114300" simplePos="0" relativeHeight="251694592" behindDoc="1" locked="0" layoutInCell="1" allowOverlap="1" wp14:anchorId="1DFEB477" wp14:editId="3C18CD95">
            <wp:simplePos x="0" y="0"/>
            <wp:positionH relativeFrom="margin">
              <wp:align>right</wp:align>
            </wp:positionH>
            <wp:positionV relativeFrom="paragraph">
              <wp:posOffset>287655</wp:posOffset>
            </wp:positionV>
            <wp:extent cx="5403850" cy="2743200"/>
            <wp:effectExtent l="0" t="0" r="6350" b="0"/>
            <wp:wrapTight wrapText="bothSides">
              <wp:wrapPolygon edited="0">
                <wp:start x="0" y="0"/>
                <wp:lineTo x="0" y="21450"/>
                <wp:lineTo x="21549" y="21450"/>
                <wp:lineTo x="21549" y="0"/>
                <wp:lineTo x="0" y="0"/>
              </wp:wrapPolygon>
            </wp:wrapTight>
            <wp:docPr id="13" name="Gráfico 13">
              <a:extLst xmlns:a="http://schemas.openxmlformats.org/drawingml/2006/main">
                <a:ext uri="{FF2B5EF4-FFF2-40B4-BE49-F238E27FC236}">
                  <a16:creationId xmlns:a16="http://schemas.microsoft.com/office/drawing/2014/main" id="{D8F0619C-8E33-4E6F-BA75-E43CC37734A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margin">
              <wp14:pctWidth>0</wp14:pctWidth>
            </wp14:sizeRelH>
          </wp:anchor>
        </w:drawing>
      </w:r>
      <w:r w:rsidR="00202395" w:rsidRPr="00105187">
        <w:rPr>
          <w:rFonts w:ascii="Verdana" w:hAnsi="Verdana" w:cs="Arial"/>
          <w:b/>
          <w:bCs/>
          <w:color w:val="000000" w:themeColor="text1"/>
        </w:rPr>
        <w:t xml:space="preserve">TAMAÑO EMPRESAS BENEFICIADAS: </w:t>
      </w:r>
    </w:p>
    <w:p w14:paraId="1AAC50ED" w14:textId="3713F919" w:rsidR="00EE4FAA" w:rsidRDefault="00EE4FAA" w:rsidP="00EE4FAA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D70AA4">
        <w:rPr>
          <w:rFonts w:ascii="Verdana" w:hAnsi="Verdana" w:cs="Arial"/>
          <w:i/>
          <w:iCs/>
          <w:color w:val="000000" w:themeColor="text1"/>
        </w:rPr>
        <w:t>6</w:t>
      </w:r>
      <w:r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 w:rsidR="00D70AA4" w:rsidRPr="00D70AA4">
        <w:rPr>
          <w:rFonts w:ascii="Verdana" w:hAnsi="Verdana" w:cs="Arial"/>
          <w:i/>
          <w:iCs/>
          <w:color w:val="000000" w:themeColor="text1"/>
        </w:rPr>
        <w:t>N</w:t>
      </w:r>
      <w:r w:rsidR="00D70AA4">
        <w:rPr>
          <w:rFonts w:ascii="Verdana" w:hAnsi="Verdana" w:cs="Arial"/>
          <w:i/>
          <w:iCs/>
          <w:color w:val="000000" w:themeColor="text1"/>
        </w:rPr>
        <w:t>úmero</w:t>
      </w:r>
      <w:r w:rsidR="00D70AA4" w:rsidRPr="00D70AA4">
        <w:rPr>
          <w:rFonts w:ascii="Verdana" w:hAnsi="Verdana" w:cs="Arial"/>
          <w:i/>
          <w:iCs/>
          <w:color w:val="000000" w:themeColor="text1"/>
        </w:rPr>
        <w:t xml:space="preserve"> Desembolsos por Tamaño Empresarial</w:t>
      </w:r>
    </w:p>
    <w:p w14:paraId="4424F594" w14:textId="1E10E4D1" w:rsidR="00BE1D78" w:rsidRDefault="00BE1D78" w:rsidP="00F426DC">
      <w:pPr>
        <w:spacing w:before="100" w:beforeAutospacing="1" w:after="100" w:afterAutospacing="1" w:line="240" w:lineRule="auto"/>
        <w:jc w:val="both"/>
        <w:rPr>
          <w:rFonts w:ascii="Verdana" w:hAnsi="Verdana"/>
          <w:color w:val="000000" w:themeColor="text1"/>
        </w:rPr>
      </w:pPr>
      <w:r w:rsidRPr="00BE1D78">
        <w:rPr>
          <w:rFonts w:ascii="Verdana" w:hAnsi="Verdana"/>
          <w:color w:val="000000" w:themeColor="text1"/>
        </w:rPr>
        <w:t>El</w:t>
      </w:r>
      <w:r w:rsidR="00EE4FAA">
        <w:rPr>
          <w:rFonts w:ascii="Verdana" w:hAnsi="Verdana"/>
          <w:color w:val="000000" w:themeColor="text1"/>
        </w:rPr>
        <w:t xml:space="preserve"> </w:t>
      </w:r>
      <w:r w:rsidR="002D370A">
        <w:rPr>
          <w:rFonts w:ascii="Verdana" w:hAnsi="Verdana"/>
          <w:color w:val="000000" w:themeColor="text1"/>
        </w:rPr>
        <w:t>83,3</w:t>
      </w:r>
      <w:r w:rsidRPr="00BE1D78">
        <w:rPr>
          <w:rFonts w:ascii="Verdana" w:hAnsi="Verdana"/>
          <w:color w:val="000000" w:themeColor="text1"/>
        </w:rPr>
        <w:t xml:space="preserve">% de las empresas beneficiadas corresponde a microempresas, evidenciando que la mayor parte de los recursos está dirigida a este </w:t>
      </w:r>
      <w:r w:rsidR="00D70AA4">
        <w:rPr>
          <w:rFonts w:ascii="Verdana" w:hAnsi="Verdana"/>
          <w:color w:val="000000" w:themeColor="text1"/>
        </w:rPr>
        <w:t>tamaño</w:t>
      </w:r>
      <w:r w:rsidR="002D370A">
        <w:rPr>
          <w:rFonts w:ascii="Verdana" w:hAnsi="Verdana"/>
          <w:color w:val="000000" w:themeColor="text1"/>
        </w:rPr>
        <w:t xml:space="preserve">, seguido por 10,8% corresponden a medianas empresas y el 5,8% a </w:t>
      </w:r>
      <w:r w:rsidR="00DF41AF">
        <w:rPr>
          <w:rFonts w:ascii="Verdana" w:hAnsi="Verdana"/>
          <w:color w:val="000000" w:themeColor="text1"/>
        </w:rPr>
        <w:t>pequeñas empresas.</w:t>
      </w:r>
    </w:p>
    <w:p w14:paraId="6CCAB968" w14:textId="5D6D0702" w:rsidR="00F426DC" w:rsidRPr="00F426DC" w:rsidRDefault="005744F4" w:rsidP="00F426DC">
      <w:pPr>
        <w:spacing w:before="100" w:beforeAutospacing="1" w:after="100" w:afterAutospacing="1" w:line="240" w:lineRule="auto"/>
        <w:jc w:val="both"/>
        <w:rPr>
          <w:rFonts w:ascii="Verdana" w:hAnsi="Verdana" w:cs="Arial"/>
          <w:b/>
          <w:bCs/>
        </w:rPr>
      </w:pPr>
      <w:r>
        <w:rPr>
          <w:noProof/>
        </w:rPr>
        <w:drawing>
          <wp:anchor distT="0" distB="0" distL="114300" distR="114300" simplePos="0" relativeHeight="251697664" behindDoc="0" locked="0" layoutInCell="1" allowOverlap="1" wp14:anchorId="2380EBF3" wp14:editId="5B63A1E8">
            <wp:simplePos x="0" y="0"/>
            <wp:positionH relativeFrom="margin">
              <wp:align>right</wp:align>
            </wp:positionH>
            <wp:positionV relativeFrom="paragraph">
              <wp:posOffset>349885</wp:posOffset>
            </wp:positionV>
            <wp:extent cx="5375910" cy="2743200"/>
            <wp:effectExtent l="0" t="0" r="15240" b="0"/>
            <wp:wrapSquare wrapText="bothSides"/>
            <wp:docPr id="16" name="Gráfico 16">
              <a:extLst xmlns:a="http://schemas.openxmlformats.org/drawingml/2006/main">
                <a:ext uri="{FF2B5EF4-FFF2-40B4-BE49-F238E27FC236}">
                  <a16:creationId xmlns:a16="http://schemas.microsoft.com/office/drawing/2014/main" id="{A93B23F7-D104-430F-8FE2-374E285F234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margin">
              <wp14:pctWidth>0</wp14:pctWidth>
            </wp14:sizeRelH>
          </wp:anchor>
        </w:drawing>
      </w:r>
      <w:r w:rsidR="00F426DC" w:rsidRPr="00F426DC">
        <w:rPr>
          <w:rFonts w:ascii="Verdana" w:hAnsi="Verdana" w:cs="Arial"/>
          <w:b/>
          <w:bCs/>
        </w:rPr>
        <w:t>ANÁLISIS DE LA TASA DE INTERÉS AL BENEFICIARIO FINAL</w:t>
      </w:r>
    </w:p>
    <w:p w14:paraId="531BE0F6" w14:textId="75872A41" w:rsidR="00F52957" w:rsidRDefault="00062451" w:rsidP="00F52957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 xml:space="preserve"> </w:t>
      </w:r>
      <w:r w:rsidR="00F52957"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F52957">
        <w:rPr>
          <w:rFonts w:ascii="Verdana" w:hAnsi="Verdana" w:cs="Arial"/>
          <w:i/>
          <w:iCs/>
          <w:color w:val="000000" w:themeColor="text1"/>
        </w:rPr>
        <w:t>7</w:t>
      </w:r>
      <w:r w:rsidR="00F52957"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 w:rsidR="00F52957" w:rsidRPr="00D70AA4">
        <w:rPr>
          <w:rFonts w:ascii="Verdana" w:hAnsi="Verdana" w:cs="Arial"/>
          <w:i/>
          <w:iCs/>
          <w:color w:val="000000" w:themeColor="text1"/>
        </w:rPr>
        <w:t>N</w:t>
      </w:r>
      <w:r w:rsidR="00F52957">
        <w:rPr>
          <w:rFonts w:ascii="Verdana" w:hAnsi="Verdana" w:cs="Arial"/>
          <w:i/>
          <w:iCs/>
          <w:color w:val="000000" w:themeColor="text1"/>
        </w:rPr>
        <w:t>úmero</w:t>
      </w:r>
      <w:r w:rsidR="00F52957" w:rsidRPr="00D70AA4">
        <w:rPr>
          <w:rFonts w:ascii="Verdana" w:hAnsi="Verdana" w:cs="Arial"/>
          <w:i/>
          <w:iCs/>
          <w:color w:val="000000" w:themeColor="text1"/>
        </w:rPr>
        <w:t xml:space="preserve"> </w:t>
      </w:r>
      <w:r w:rsidR="00F52957">
        <w:rPr>
          <w:rFonts w:ascii="Verdana" w:hAnsi="Verdana" w:cs="Arial"/>
          <w:i/>
          <w:iCs/>
          <w:color w:val="000000" w:themeColor="text1"/>
        </w:rPr>
        <w:t>operaciones por Tasa de interés</w:t>
      </w:r>
    </w:p>
    <w:p w14:paraId="6BF1A414" w14:textId="0596284C" w:rsidR="005744F4" w:rsidRDefault="005744F4" w:rsidP="0086468E">
      <w:pPr>
        <w:rPr>
          <w:rFonts w:ascii="Verdana" w:hAnsi="Verdana" w:cs="Arial"/>
        </w:rPr>
      </w:pPr>
      <w:r w:rsidRPr="005744F4">
        <w:rPr>
          <w:rFonts w:ascii="Verdana" w:hAnsi="Verdana" w:cs="Arial"/>
        </w:rPr>
        <w:t>Se evidencia que la mayor concentración de operaciones se encuentra en el rango de tasas superiores al 50%, con 706 operaciones, lo que evidencia que la mayoría de los créditos se otorgan a tasas altas. Así mismo, se ubican las operaciones con tasas entre 10% y 20% (</w:t>
      </w:r>
      <w:r>
        <w:rPr>
          <w:rFonts w:ascii="Verdana" w:hAnsi="Verdana" w:cs="Arial"/>
        </w:rPr>
        <w:t xml:space="preserve">202 </w:t>
      </w:r>
      <w:r w:rsidRPr="005744F4">
        <w:rPr>
          <w:rFonts w:ascii="Verdana" w:hAnsi="Verdana" w:cs="Arial"/>
        </w:rPr>
        <w:t>operaciones) y entre 40% y 50% (65 operaciones).</w:t>
      </w:r>
    </w:p>
    <w:p w14:paraId="6C949E42" w14:textId="4EA8AB57" w:rsidR="005744F4" w:rsidRDefault="005744F4" w:rsidP="0086468E">
      <w:pPr>
        <w:rPr>
          <w:rFonts w:ascii="Verdana" w:hAnsi="Verdana" w:cs="Arial"/>
        </w:rPr>
      </w:pPr>
      <w:r>
        <w:rPr>
          <w:noProof/>
        </w:rPr>
        <w:lastRenderedPageBreak/>
        <w:drawing>
          <wp:anchor distT="0" distB="0" distL="114300" distR="114300" simplePos="0" relativeHeight="251700736" behindDoc="0" locked="0" layoutInCell="1" allowOverlap="1" wp14:anchorId="5D983010" wp14:editId="37C20358">
            <wp:simplePos x="0" y="0"/>
            <wp:positionH relativeFrom="margin">
              <wp:align>left</wp:align>
            </wp:positionH>
            <wp:positionV relativeFrom="paragraph">
              <wp:posOffset>258868</wp:posOffset>
            </wp:positionV>
            <wp:extent cx="5274310" cy="2641600"/>
            <wp:effectExtent l="0" t="0" r="2540" b="6350"/>
            <wp:wrapSquare wrapText="bothSides"/>
            <wp:docPr id="18" name="Gráfico 18">
              <a:extLst xmlns:a="http://schemas.openxmlformats.org/drawingml/2006/main">
                <a:ext uri="{FF2B5EF4-FFF2-40B4-BE49-F238E27FC236}">
                  <a16:creationId xmlns:a16="http://schemas.microsoft.com/office/drawing/2014/main" id="{B02F407E-8A17-4CB0-8FBB-0C4B5B26ABE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erdana" w:hAnsi="Verdana" w:cs="Arial"/>
          <w:b/>
          <w:bCs/>
        </w:rPr>
        <w:t xml:space="preserve">CONCENTRACIÓN DE </w:t>
      </w:r>
      <w:r w:rsidRPr="00F426DC">
        <w:rPr>
          <w:rFonts w:ascii="Verdana" w:hAnsi="Verdana" w:cs="Arial"/>
          <w:b/>
          <w:bCs/>
        </w:rPr>
        <w:t>TASA</w:t>
      </w:r>
    </w:p>
    <w:p w14:paraId="5079CCA7" w14:textId="284DE075" w:rsidR="005744F4" w:rsidRDefault="005744F4" w:rsidP="0086468E">
      <w:pPr>
        <w:rPr>
          <w:rFonts w:ascii="Verdana" w:hAnsi="Verdana" w:cs="Arial"/>
        </w:rPr>
      </w:pPr>
    </w:p>
    <w:p w14:paraId="09CAF845" w14:textId="5A803A1B" w:rsidR="00B71F3E" w:rsidRDefault="00B71F3E" w:rsidP="0086468E">
      <w:pPr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>
        <w:rPr>
          <w:rFonts w:ascii="Verdana" w:hAnsi="Verdana" w:cs="Arial"/>
          <w:i/>
          <w:iCs/>
          <w:color w:val="000000" w:themeColor="text1"/>
        </w:rPr>
        <w:t>7</w:t>
      </w:r>
      <w:r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>
        <w:rPr>
          <w:rFonts w:ascii="Verdana" w:hAnsi="Verdana" w:cs="Arial"/>
          <w:i/>
          <w:iCs/>
          <w:color w:val="000000" w:themeColor="text1"/>
        </w:rPr>
        <w:t xml:space="preserve">Concentración de tasas </w:t>
      </w:r>
      <w:r w:rsidR="00404B4B">
        <w:rPr>
          <w:rFonts w:ascii="Verdana" w:hAnsi="Verdana" w:cs="Arial"/>
          <w:i/>
          <w:iCs/>
          <w:color w:val="000000" w:themeColor="text1"/>
        </w:rPr>
        <w:t>mayor a 50% de interés.</w:t>
      </w:r>
    </w:p>
    <w:p w14:paraId="176F51C9" w14:textId="77777777" w:rsidR="005744F4" w:rsidRDefault="005744F4" w:rsidP="005744F4">
      <w:pPr>
        <w:jc w:val="both"/>
        <w:rPr>
          <w:rFonts w:ascii="Verdana" w:hAnsi="Verdana" w:cs="Arial"/>
        </w:rPr>
      </w:pPr>
      <w:r w:rsidRPr="005744F4">
        <w:rPr>
          <w:rFonts w:ascii="Verdana" w:hAnsi="Verdana" w:cs="Arial"/>
        </w:rPr>
        <w:t>Se identificó que de las 706 operaciones la mayor concentración de</w:t>
      </w:r>
      <w:r>
        <w:rPr>
          <w:rFonts w:ascii="Verdana" w:hAnsi="Verdana" w:cs="Arial"/>
        </w:rPr>
        <w:t xml:space="preserve"> </w:t>
      </w:r>
      <w:r w:rsidRPr="005744F4">
        <w:rPr>
          <w:rFonts w:ascii="Verdana" w:hAnsi="Verdana" w:cs="Arial"/>
        </w:rPr>
        <w:t xml:space="preserve">operaciones con tasas superiores al 50% se presenta en el BCO. Mundo Mujer S.A., el cual agrupa la gran mayoría de los casos (599 operaciones), con una participación significativamente superior frente a las demás entidades analizadas. En segundo lugar, se ubica la Corporación Interactuar con 101 operaciones, mientras que la Cooperativa Multiactiva Cootregua registra una participación marginal, con apenas 6 operaciones. </w:t>
      </w:r>
    </w:p>
    <w:p w14:paraId="2AF740EB" w14:textId="71BE0F20" w:rsidR="004F1F98" w:rsidRDefault="001770A6" w:rsidP="00D70904">
      <w:pPr>
        <w:ind w:left="708" w:hanging="708"/>
        <w:jc w:val="both"/>
        <w:rPr>
          <w:rFonts w:ascii="Verdana" w:eastAsia="Times New Roman" w:hAnsi="Verdana" w:cs="Times New Roman"/>
          <w:b/>
          <w:bCs/>
          <w:sz w:val="24"/>
          <w:szCs w:val="24"/>
          <w:lang w:val="es-CO" w:eastAsia="es-CO"/>
        </w:rPr>
      </w:pPr>
      <w:r>
        <w:rPr>
          <w:noProof/>
        </w:rPr>
        <w:drawing>
          <wp:anchor distT="0" distB="0" distL="114300" distR="114300" simplePos="0" relativeHeight="251701760" behindDoc="0" locked="0" layoutInCell="1" allowOverlap="1" wp14:anchorId="52509B9E" wp14:editId="23573457">
            <wp:simplePos x="0" y="0"/>
            <wp:positionH relativeFrom="margin">
              <wp:align>left</wp:align>
            </wp:positionH>
            <wp:positionV relativeFrom="paragraph">
              <wp:posOffset>301625</wp:posOffset>
            </wp:positionV>
            <wp:extent cx="5901055" cy="2950845"/>
            <wp:effectExtent l="0" t="0" r="4445" b="1905"/>
            <wp:wrapSquare wrapText="bothSides"/>
            <wp:docPr id="24" name="Gráfico 24">
              <a:extLst xmlns:a="http://schemas.openxmlformats.org/drawingml/2006/main">
                <a:ext uri="{FF2B5EF4-FFF2-40B4-BE49-F238E27FC236}">
                  <a16:creationId xmlns:a16="http://schemas.microsoft.com/office/drawing/2014/main" id="{112ABFE8-7E9B-4BEB-A6A4-C410354FD3C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margin">
              <wp14:pctWidth>0</wp14:pctWidth>
            </wp14:sizeRelH>
          </wp:anchor>
        </w:drawing>
      </w:r>
      <w:r w:rsidR="004F1F98">
        <w:rPr>
          <w:rFonts w:ascii="Verdana" w:eastAsia="Times New Roman" w:hAnsi="Verdana" w:cs="Times New Roman"/>
          <w:b/>
          <w:bCs/>
          <w:sz w:val="24"/>
          <w:szCs w:val="24"/>
          <w:lang w:val="es-CO" w:eastAsia="es-CO"/>
        </w:rPr>
        <w:t xml:space="preserve">DESEMBOLSO ACUMULADO </w:t>
      </w:r>
    </w:p>
    <w:p w14:paraId="633BECDB" w14:textId="378D8FF3" w:rsidR="00D333E2" w:rsidRDefault="00062451" w:rsidP="00D333E2">
      <w:pPr>
        <w:jc w:val="both"/>
        <w:rPr>
          <w:rFonts w:ascii="Verdana" w:hAnsi="Verdana" w:cs="Arial"/>
          <w:i/>
          <w:iCs/>
          <w:color w:val="000000" w:themeColor="text1"/>
        </w:rPr>
      </w:pPr>
      <w:r w:rsidRPr="00105187">
        <w:rPr>
          <w:rFonts w:ascii="Verdana" w:hAnsi="Verdana" w:cs="Arial"/>
          <w:i/>
          <w:iCs/>
          <w:color w:val="000000" w:themeColor="text1"/>
        </w:rPr>
        <w:t xml:space="preserve"> </w:t>
      </w:r>
      <w:r w:rsidR="00D333E2" w:rsidRPr="00105187">
        <w:rPr>
          <w:rFonts w:ascii="Verdana" w:hAnsi="Verdana" w:cs="Arial"/>
          <w:i/>
          <w:iCs/>
          <w:color w:val="000000" w:themeColor="text1"/>
        </w:rPr>
        <w:t xml:space="preserve">Grafica </w:t>
      </w:r>
      <w:r w:rsidR="00D517A5">
        <w:rPr>
          <w:rFonts w:ascii="Verdana" w:hAnsi="Verdana" w:cs="Arial"/>
          <w:i/>
          <w:iCs/>
          <w:color w:val="000000" w:themeColor="text1"/>
        </w:rPr>
        <w:t>9</w:t>
      </w:r>
      <w:r w:rsidR="00D333E2" w:rsidRPr="00105187">
        <w:rPr>
          <w:rFonts w:ascii="Verdana" w:hAnsi="Verdana" w:cs="Arial"/>
          <w:i/>
          <w:iCs/>
          <w:color w:val="000000" w:themeColor="text1"/>
        </w:rPr>
        <w:t xml:space="preserve">: </w:t>
      </w:r>
      <w:r w:rsidR="00D333E2">
        <w:rPr>
          <w:rFonts w:ascii="Verdana" w:hAnsi="Verdana" w:cs="Arial"/>
          <w:i/>
          <w:iCs/>
          <w:color w:val="000000" w:themeColor="text1"/>
        </w:rPr>
        <w:t>Desembolso acumulado</w:t>
      </w:r>
    </w:p>
    <w:p w14:paraId="6BE143EC" w14:textId="385CAD2E" w:rsidR="00567129" w:rsidRPr="00D333E2" w:rsidRDefault="005744F4" w:rsidP="005744F4">
      <w:pPr>
        <w:jc w:val="both"/>
        <w:rPr>
          <w:rFonts w:ascii="Verdana" w:hAnsi="Verdana" w:cs="Arial"/>
        </w:rPr>
      </w:pPr>
      <w:r w:rsidRPr="005744F4">
        <w:rPr>
          <w:rFonts w:ascii="Verdana" w:hAnsi="Verdana" w:cs="Arial"/>
        </w:rPr>
        <w:t xml:space="preserve">Se evidencia una tendencia creciente del desembolso acumulado, con un comportamiento estable entre abril y noviembre de 2025, pasando de </w:t>
      </w:r>
      <w:r w:rsidRPr="005744F4">
        <w:rPr>
          <w:rFonts w:ascii="Verdana" w:hAnsi="Verdana" w:cs="Arial"/>
        </w:rPr>
        <w:lastRenderedPageBreak/>
        <w:t>$23.109 millones a cerca de $28.157 millones. A partir de diciembre de 2025 se evidencia una aceleración significativa en los desembolsos, alcanzando $36.410 millones</w:t>
      </w:r>
      <w:r w:rsidR="00DE737C">
        <w:rPr>
          <w:rFonts w:ascii="Verdana" w:hAnsi="Verdana" w:cs="Arial"/>
        </w:rPr>
        <w:t xml:space="preserve">, para </w:t>
      </w:r>
      <w:r w:rsidRPr="005744F4">
        <w:rPr>
          <w:rFonts w:ascii="Verdana" w:hAnsi="Verdana" w:cs="Arial"/>
        </w:rPr>
        <w:t xml:space="preserve">febrero de 2026, </w:t>
      </w:r>
      <w:r w:rsidR="00DE737C">
        <w:rPr>
          <w:rFonts w:ascii="Verdana" w:hAnsi="Verdana" w:cs="Arial"/>
        </w:rPr>
        <w:t>con un desembolso de</w:t>
      </w:r>
      <w:r w:rsidRPr="005744F4">
        <w:rPr>
          <w:rFonts w:ascii="Verdana" w:hAnsi="Verdana" w:cs="Arial"/>
        </w:rPr>
        <w:t xml:space="preserve"> $53.993 millones</w:t>
      </w:r>
      <w:r w:rsidR="00DE737C">
        <w:rPr>
          <w:rFonts w:ascii="Verdana" w:hAnsi="Verdana" w:cs="Arial"/>
        </w:rPr>
        <w:t xml:space="preserve">, marzo con 58.914, sin embargo para abril no se presentaron nuevos beneficiarios y se mantiene el valor, para mayo se evidencia un incremento llegando a los 59.070 millones. </w:t>
      </w:r>
    </w:p>
    <w:sectPr w:rsidR="00567129" w:rsidRPr="00D333E2" w:rsidSect="0019019D">
      <w:headerReference w:type="default" r:id="rId18"/>
      <w:pgSz w:w="11906" w:h="16838"/>
      <w:pgMar w:top="1417" w:right="1701" w:bottom="1417" w:left="1701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8EEA9" w14:textId="77777777" w:rsidR="00BE6C53" w:rsidRDefault="00BE6C53" w:rsidP="0019019D">
      <w:pPr>
        <w:spacing w:after="0" w:line="240" w:lineRule="auto"/>
      </w:pPr>
      <w:r>
        <w:separator/>
      </w:r>
    </w:p>
  </w:endnote>
  <w:endnote w:type="continuationSeparator" w:id="0">
    <w:p w14:paraId="49672997" w14:textId="77777777" w:rsidR="00BE6C53" w:rsidRDefault="00BE6C53" w:rsidP="00190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E592F" w14:textId="77777777" w:rsidR="00BE6C53" w:rsidRDefault="00BE6C53" w:rsidP="0019019D">
      <w:pPr>
        <w:spacing w:after="0" w:line="240" w:lineRule="auto"/>
      </w:pPr>
      <w:r>
        <w:separator/>
      </w:r>
    </w:p>
  </w:footnote>
  <w:footnote w:type="continuationSeparator" w:id="0">
    <w:p w14:paraId="52A45FE3" w14:textId="77777777" w:rsidR="00BE6C53" w:rsidRDefault="00BE6C53" w:rsidP="00190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FD543" w14:textId="7199B05B" w:rsidR="0019019D" w:rsidRDefault="0019019D" w:rsidP="0019019D">
    <w:pPr>
      <w:pStyle w:val="Encabezado"/>
      <w:jc w:val="center"/>
    </w:pPr>
    <w:r>
      <w:rPr>
        <w:noProof/>
      </w:rPr>
      <w:drawing>
        <wp:inline distT="0" distB="0" distL="0" distR="0" wp14:anchorId="300F8CBE" wp14:editId="1C54BD3D">
          <wp:extent cx="1028700" cy="619975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0164" cy="6268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215A"/>
    <w:multiLevelType w:val="hybridMultilevel"/>
    <w:tmpl w:val="619E4E98"/>
    <w:lvl w:ilvl="0" w:tplc="5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4D46E7"/>
    <w:multiLevelType w:val="hybridMultilevel"/>
    <w:tmpl w:val="A1D01382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F0F09"/>
    <w:multiLevelType w:val="hybridMultilevel"/>
    <w:tmpl w:val="BB18362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24214"/>
    <w:multiLevelType w:val="hybridMultilevel"/>
    <w:tmpl w:val="5EE0440C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3187E"/>
    <w:multiLevelType w:val="hybridMultilevel"/>
    <w:tmpl w:val="9BBE69B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765A6C"/>
    <w:multiLevelType w:val="hybridMultilevel"/>
    <w:tmpl w:val="67F23282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E1110"/>
    <w:multiLevelType w:val="hybridMultilevel"/>
    <w:tmpl w:val="0BAAC4E4"/>
    <w:lvl w:ilvl="0" w:tplc="EC8A06A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F3FAE"/>
    <w:multiLevelType w:val="hybridMultilevel"/>
    <w:tmpl w:val="BEF67DCA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852AA"/>
    <w:multiLevelType w:val="hybridMultilevel"/>
    <w:tmpl w:val="DB7E20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DF6D4A"/>
    <w:multiLevelType w:val="hybridMultilevel"/>
    <w:tmpl w:val="BD865334"/>
    <w:lvl w:ilvl="0" w:tplc="D6F411D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C41A7F"/>
    <w:multiLevelType w:val="hybridMultilevel"/>
    <w:tmpl w:val="CB0416EE"/>
    <w:lvl w:ilvl="0" w:tplc="C3BA41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F6F43"/>
    <w:multiLevelType w:val="hybridMultilevel"/>
    <w:tmpl w:val="200CE3E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63730B"/>
    <w:multiLevelType w:val="hybridMultilevel"/>
    <w:tmpl w:val="83D047C4"/>
    <w:lvl w:ilvl="0" w:tplc="5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1653A8"/>
    <w:multiLevelType w:val="hybridMultilevel"/>
    <w:tmpl w:val="485431CC"/>
    <w:lvl w:ilvl="0" w:tplc="5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9CC3894"/>
    <w:multiLevelType w:val="multilevel"/>
    <w:tmpl w:val="8270A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F36E8D"/>
    <w:multiLevelType w:val="hybridMultilevel"/>
    <w:tmpl w:val="DBC0F69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5F0732"/>
    <w:multiLevelType w:val="multilevel"/>
    <w:tmpl w:val="57EA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6F35A0"/>
    <w:multiLevelType w:val="hybridMultilevel"/>
    <w:tmpl w:val="A0D6CAEC"/>
    <w:lvl w:ilvl="0" w:tplc="256AB42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F257B3"/>
    <w:multiLevelType w:val="multilevel"/>
    <w:tmpl w:val="8AA09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0112AF"/>
    <w:multiLevelType w:val="hybridMultilevel"/>
    <w:tmpl w:val="D7709192"/>
    <w:lvl w:ilvl="0" w:tplc="D6F411D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5F4685"/>
    <w:multiLevelType w:val="hybridMultilevel"/>
    <w:tmpl w:val="35D82D8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DC5107"/>
    <w:multiLevelType w:val="hybridMultilevel"/>
    <w:tmpl w:val="1A300646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AE1964"/>
    <w:multiLevelType w:val="hybridMultilevel"/>
    <w:tmpl w:val="AE5ED41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D0672A"/>
    <w:multiLevelType w:val="hybridMultilevel"/>
    <w:tmpl w:val="A0D6CAEC"/>
    <w:lvl w:ilvl="0" w:tplc="256AB42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1"/>
  </w:num>
  <w:num w:numId="3">
    <w:abstractNumId w:val="13"/>
  </w:num>
  <w:num w:numId="4">
    <w:abstractNumId w:val="12"/>
  </w:num>
  <w:num w:numId="5">
    <w:abstractNumId w:val="22"/>
  </w:num>
  <w:num w:numId="6">
    <w:abstractNumId w:val="6"/>
  </w:num>
  <w:num w:numId="7">
    <w:abstractNumId w:val="17"/>
  </w:num>
  <w:num w:numId="8">
    <w:abstractNumId w:val="3"/>
  </w:num>
  <w:num w:numId="9">
    <w:abstractNumId w:val="23"/>
  </w:num>
  <w:num w:numId="10">
    <w:abstractNumId w:val="15"/>
  </w:num>
  <w:num w:numId="11">
    <w:abstractNumId w:val="5"/>
  </w:num>
  <w:num w:numId="12">
    <w:abstractNumId w:val="14"/>
  </w:num>
  <w:num w:numId="13">
    <w:abstractNumId w:val="16"/>
  </w:num>
  <w:num w:numId="14">
    <w:abstractNumId w:val="18"/>
  </w:num>
  <w:num w:numId="15">
    <w:abstractNumId w:val="7"/>
  </w:num>
  <w:num w:numId="16">
    <w:abstractNumId w:val="10"/>
  </w:num>
  <w:num w:numId="17">
    <w:abstractNumId w:val="4"/>
  </w:num>
  <w:num w:numId="18">
    <w:abstractNumId w:val="20"/>
  </w:num>
  <w:num w:numId="19">
    <w:abstractNumId w:val="8"/>
  </w:num>
  <w:num w:numId="20">
    <w:abstractNumId w:val="11"/>
  </w:num>
  <w:num w:numId="21">
    <w:abstractNumId w:val="2"/>
  </w:num>
  <w:num w:numId="22">
    <w:abstractNumId w:val="0"/>
  </w:num>
  <w:num w:numId="23">
    <w:abstractNumId w:val="9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19D"/>
    <w:rsid w:val="00002419"/>
    <w:rsid w:val="00002716"/>
    <w:rsid w:val="00004C98"/>
    <w:rsid w:val="00007A11"/>
    <w:rsid w:val="000137C9"/>
    <w:rsid w:val="00026929"/>
    <w:rsid w:val="00040C9D"/>
    <w:rsid w:val="00042D64"/>
    <w:rsid w:val="00050B56"/>
    <w:rsid w:val="00050B79"/>
    <w:rsid w:val="00062451"/>
    <w:rsid w:val="00063DE8"/>
    <w:rsid w:val="00065EC7"/>
    <w:rsid w:val="0006604E"/>
    <w:rsid w:val="00066F43"/>
    <w:rsid w:val="000736BB"/>
    <w:rsid w:val="00087018"/>
    <w:rsid w:val="0009005D"/>
    <w:rsid w:val="00094EE5"/>
    <w:rsid w:val="000A39AF"/>
    <w:rsid w:val="000A5B12"/>
    <w:rsid w:val="000B02A7"/>
    <w:rsid w:val="000B2469"/>
    <w:rsid w:val="000B4EF2"/>
    <w:rsid w:val="000B66C5"/>
    <w:rsid w:val="000C774E"/>
    <w:rsid w:val="000D5DF5"/>
    <w:rsid w:val="000E2E37"/>
    <w:rsid w:val="00102EB2"/>
    <w:rsid w:val="00105F03"/>
    <w:rsid w:val="001071B1"/>
    <w:rsid w:val="0012519C"/>
    <w:rsid w:val="00126851"/>
    <w:rsid w:val="001400B3"/>
    <w:rsid w:val="001453A1"/>
    <w:rsid w:val="0015132E"/>
    <w:rsid w:val="00151F43"/>
    <w:rsid w:val="00152BC3"/>
    <w:rsid w:val="001557D1"/>
    <w:rsid w:val="00155D56"/>
    <w:rsid w:val="00161172"/>
    <w:rsid w:val="001719B4"/>
    <w:rsid w:val="0017555C"/>
    <w:rsid w:val="00176749"/>
    <w:rsid w:val="0017674C"/>
    <w:rsid w:val="001770A6"/>
    <w:rsid w:val="001841B0"/>
    <w:rsid w:val="0019019D"/>
    <w:rsid w:val="00197B66"/>
    <w:rsid w:val="001A4397"/>
    <w:rsid w:val="001B23B0"/>
    <w:rsid w:val="001B498A"/>
    <w:rsid w:val="001B4FB1"/>
    <w:rsid w:val="001B757A"/>
    <w:rsid w:val="001B7E5B"/>
    <w:rsid w:val="001D7BB5"/>
    <w:rsid w:val="001E3415"/>
    <w:rsid w:val="001E34F1"/>
    <w:rsid w:val="001E774B"/>
    <w:rsid w:val="001E787A"/>
    <w:rsid w:val="001F3B49"/>
    <w:rsid w:val="001F63FC"/>
    <w:rsid w:val="001F6615"/>
    <w:rsid w:val="00202395"/>
    <w:rsid w:val="00214406"/>
    <w:rsid w:val="00214DFD"/>
    <w:rsid w:val="002404FC"/>
    <w:rsid w:val="00241BFC"/>
    <w:rsid w:val="00257080"/>
    <w:rsid w:val="002626D0"/>
    <w:rsid w:val="00273BC7"/>
    <w:rsid w:val="00280ECB"/>
    <w:rsid w:val="002831CA"/>
    <w:rsid w:val="0029399D"/>
    <w:rsid w:val="0029574E"/>
    <w:rsid w:val="002A248A"/>
    <w:rsid w:val="002A60B7"/>
    <w:rsid w:val="002D370A"/>
    <w:rsid w:val="002E67CA"/>
    <w:rsid w:val="002E6F95"/>
    <w:rsid w:val="002F30ED"/>
    <w:rsid w:val="002F433E"/>
    <w:rsid w:val="00300538"/>
    <w:rsid w:val="003033D1"/>
    <w:rsid w:val="0030678D"/>
    <w:rsid w:val="003102E6"/>
    <w:rsid w:val="00311E6B"/>
    <w:rsid w:val="0031373A"/>
    <w:rsid w:val="00330F9B"/>
    <w:rsid w:val="0033581E"/>
    <w:rsid w:val="00340AB5"/>
    <w:rsid w:val="003416ED"/>
    <w:rsid w:val="003426EA"/>
    <w:rsid w:val="003515FD"/>
    <w:rsid w:val="00357980"/>
    <w:rsid w:val="00360159"/>
    <w:rsid w:val="00362B29"/>
    <w:rsid w:val="00364F64"/>
    <w:rsid w:val="003704BB"/>
    <w:rsid w:val="00371052"/>
    <w:rsid w:val="00371EC5"/>
    <w:rsid w:val="00375FF5"/>
    <w:rsid w:val="0038201D"/>
    <w:rsid w:val="00384D27"/>
    <w:rsid w:val="00393E07"/>
    <w:rsid w:val="003A1545"/>
    <w:rsid w:val="003B094A"/>
    <w:rsid w:val="003C001F"/>
    <w:rsid w:val="003C081B"/>
    <w:rsid w:val="003C6540"/>
    <w:rsid w:val="003D3AA4"/>
    <w:rsid w:val="003E2494"/>
    <w:rsid w:val="003E50F9"/>
    <w:rsid w:val="003E6384"/>
    <w:rsid w:val="003F00CA"/>
    <w:rsid w:val="003F1AF6"/>
    <w:rsid w:val="003F49ED"/>
    <w:rsid w:val="00404B4B"/>
    <w:rsid w:val="00406092"/>
    <w:rsid w:val="00411B2B"/>
    <w:rsid w:val="00416631"/>
    <w:rsid w:val="00427BF8"/>
    <w:rsid w:val="00431332"/>
    <w:rsid w:val="00431D3C"/>
    <w:rsid w:val="00472EE9"/>
    <w:rsid w:val="004754EB"/>
    <w:rsid w:val="00482AA9"/>
    <w:rsid w:val="0049350E"/>
    <w:rsid w:val="004B021E"/>
    <w:rsid w:val="004B6B1D"/>
    <w:rsid w:val="004C7BC3"/>
    <w:rsid w:val="004D5E23"/>
    <w:rsid w:val="004E06C4"/>
    <w:rsid w:val="004E15AA"/>
    <w:rsid w:val="004E5D5B"/>
    <w:rsid w:val="004F1F98"/>
    <w:rsid w:val="004F388A"/>
    <w:rsid w:val="005008FB"/>
    <w:rsid w:val="00502219"/>
    <w:rsid w:val="0050289C"/>
    <w:rsid w:val="00512071"/>
    <w:rsid w:val="00514428"/>
    <w:rsid w:val="00524F77"/>
    <w:rsid w:val="005373D9"/>
    <w:rsid w:val="00540EC4"/>
    <w:rsid w:val="00544137"/>
    <w:rsid w:val="00544B84"/>
    <w:rsid w:val="00555422"/>
    <w:rsid w:val="005622E0"/>
    <w:rsid w:val="00563408"/>
    <w:rsid w:val="005661AC"/>
    <w:rsid w:val="00567129"/>
    <w:rsid w:val="005744F4"/>
    <w:rsid w:val="005775BA"/>
    <w:rsid w:val="005838A6"/>
    <w:rsid w:val="00584210"/>
    <w:rsid w:val="0058671C"/>
    <w:rsid w:val="005877A8"/>
    <w:rsid w:val="005966E1"/>
    <w:rsid w:val="005A4071"/>
    <w:rsid w:val="005A76DD"/>
    <w:rsid w:val="005B6E7A"/>
    <w:rsid w:val="005D1CBE"/>
    <w:rsid w:val="005D2FE2"/>
    <w:rsid w:val="005D3CCF"/>
    <w:rsid w:val="005E7238"/>
    <w:rsid w:val="005F1616"/>
    <w:rsid w:val="005F690F"/>
    <w:rsid w:val="005F7CFE"/>
    <w:rsid w:val="006015F5"/>
    <w:rsid w:val="00602E07"/>
    <w:rsid w:val="0060385A"/>
    <w:rsid w:val="00611042"/>
    <w:rsid w:val="00615A50"/>
    <w:rsid w:val="006217B8"/>
    <w:rsid w:val="00634EA2"/>
    <w:rsid w:val="00637B4B"/>
    <w:rsid w:val="00640884"/>
    <w:rsid w:val="0065496C"/>
    <w:rsid w:val="006657C1"/>
    <w:rsid w:val="006658AA"/>
    <w:rsid w:val="00666B6C"/>
    <w:rsid w:val="006716F2"/>
    <w:rsid w:val="00677629"/>
    <w:rsid w:val="00696D28"/>
    <w:rsid w:val="006A2C59"/>
    <w:rsid w:val="006A53FD"/>
    <w:rsid w:val="006B465B"/>
    <w:rsid w:val="006B77E3"/>
    <w:rsid w:val="006D2CA3"/>
    <w:rsid w:val="006D3E0F"/>
    <w:rsid w:val="006D45E0"/>
    <w:rsid w:val="006E5044"/>
    <w:rsid w:val="0070503D"/>
    <w:rsid w:val="00707426"/>
    <w:rsid w:val="0071020F"/>
    <w:rsid w:val="00720AA2"/>
    <w:rsid w:val="00722925"/>
    <w:rsid w:val="00723F6F"/>
    <w:rsid w:val="007311A0"/>
    <w:rsid w:val="00731A9D"/>
    <w:rsid w:val="00740217"/>
    <w:rsid w:val="007520EC"/>
    <w:rsid w:val="00757412"/>
    <w:rsid w:val="0077242C"/>
    <w:rsid w:val="007768F9"/>
    <w:rsid w:val="00781591"/>
    <w:rsid w:val="007821BF"/>
    <w:rsid w:val="00786A3E"/>
    <w:rsid w:val="00787ADA"/>
    <w:rsid w:val="00793209"/>
    <w:rsid w:val="007B1E11"/>
    <w:rsid w:val="007B269E"/>
    <w:rsid w:val="007B5CB7"/>
    <w:rsid w:val="007C32EE"/>
    <w:rsid w:val="007D486E"/>
    <w:rsid w:val="007D79C7"/>
    <w:rsid w:val="007E2DA1"/>
    <w:rsid w:val="007E62B9"/>
    <w:rsid w:val="007E6F56"/>
    <w:rsid w:val="00812073"/>
    <w:rsid w:val="00822F8F"/>
    <w:rsid w:val="00825A85"/>
    <w:rsid w:val="008267C9"/>
    <w:rsid w:val="0084546A"/>
    <w:rsid w:val="0084550C"/>
    <w:rsid w:val="00850758"/>
    <w:rsid w:val="008639F3"/>
    <w:rsid w:val="0086468E"/>
    <w:rsid w:val="008725CB"/>
    <w:rsid w:val="00875427"/>
    <w:rsid w:val="00882C83"/>
    <w:rsid w:val="00883FA5"/>
    <w:rsid w:val="00884D57"/>
    <w:rsid w:val="0089261B"/>
    <w:rsid w:val="00896154"/>
    <w:rsid w:val="008A2EB2"/>
    <w:rsid w:val="008A6BB8"/>
    <w:rsid w:val="008B5D2B"/>
    <w:rsid w:val="008C46FC"/>
    <w:rsid w:val="008C7EF1"/>
    <w:rsid w:val="008D684B"/>
    <w:rsid w:val="008F0546"/>
    <w:rsid w:val="008F5922"/>
    <w:rsid w:val="009066CD"/>
    <w:rsid w:val="00925548"/>
    <w:rsid w:val="00931679"/>
    <w:rsid w:val="00936D13"/>
    <w:rsid w:val="009475E6"/>
    <w:rsid w:val="00950782"/>
    <w:rsid w:val="00955015"/>
    <w:rsid w:val="009636C5"/>
    <w:rsid w:val="009869CA"/>
    <w:rsid w:val="00987F1E"/>
    <w:rsid w:val="00990B0A"/>
    <w:rsid w:val="009A4378"/>
    <w:rsid w:val="009A5A34"/>
    <w:rsid w:val="009B05FC"/>
    <w:rsid w:val="009B266C"/>
    <w:rsid w:val="009C25CE"/>
    <w:rsid w:val="009C3EA4"/>
    <w:rsid w:val="009C4C57"/>
    <w:rsid w:val="009C7843"/>
    <w:rsid w:val="009E316B"/>
    <w:rsid w:val="009E69EB"/>
    <w:rsid w:val="009F724E"/>
    <w:rsid w:val="00A070F7"/>
    <w:rsid w:val="00A10F53"/>
    <w:rsid w:val="00A2276A"/>
    <w:rsid w:val="00A3398A"/>
    <w:rsid w:val="00A34288"/>
    <w:rsid w:val="00A34EBC"/>
    <w:rsid w:val="00A42452"/>
    <w:rsid w:val="00A517E9"/>
    <w:rsid w:val="00A52D29"/>
    <w:rsid w:val="00A57BF5"/>
    <w:rsid w:val="00A606C9"/>
    <w:rsid w:val="00A74CD1"/>
    <w:rsid w:val="00A74ED4"/>
    <w:rsid w:val="00A7759A"/>
    <w:rsid w:val="00A8081C"/>
    <w:rsid w:val="00A85747"/>
    <w:rsid w:val="00A9372B"/>
    <w:rsid w:val="00AB4F6C"/>
    <w:rsid w:val="00AB5259"/>
    <w:rsid w:val="00AC0A15"/>
    <w:rsid w:val="00AC12AE"/>
    <w:rsid w:val="00AC2B5C"/>
    <w:rsid w:val="00AE6923"/>
    <w:rsid w:val="00AF01D3"/>
    <w:rsid w:val="00AF0DD3"/>
    <w:rsid w:val="00B02534"/>
    <w:rsid w:val="00B143CB"/>
    <w:rsid w:val="00B2279B"/>
    <w:rsid w:val="00B23CCA"/>
    <w:rsid w:val="00B31682"/>
    <w:rsid w:val="00B34F09"/>
    <w:rsid w:val="00B439EF"/>
    <w:rsid w:val="00B50903"/>
    <w:rsid w:val="00B52A59"/>
    <w:rsid w:val="00B6361E"/>
    <w:rsid w:val="00B67AD8"/>
    <w:rsid w:val="00B70748"/>
    <w:rsid w:val="00B70FF3"/>
    <w:rsid w:val="00B71F3E"/>
    <w:rsid w:val="00B74FAE"/>
    <w:rsid w:val="00B829C1"/>
    <w:rsid w:val="00B85988"/>
    <w:rsid w:val="00BA5B5A"/>
    <w:rsid w:val="00BA6734"/>
    <w:rsid w:val="00BA6814"/>
    <w:rsid w:val="00BA6DDB"/>
    <w:rsid w:val="00BB0639"/>
    <w:rsid w:val="00BB4388"/>
    <w:rsid w:val="00BB4968"/>
    <w:rsid w:val="00BB4B42"/>
    <w:rsid w:val="00BC40DD"/>
    <w:rsid w:val="00BC7570"/>
    <w:rsid w:val="00BD7644"/>
    <w:rsid w:val="00BE1D78"/>
    <w:rsid w:val="00BE2AF7"/>
    <w:rsid w:val="00BE6C53"/>
    <w:rsid w:val="00BF10FF"/>
    <w:rsid w:val="00C1327D"/>
    <w:rsid w:val="00C2497B"/>
    <w:rsid w:val="00C25F1E"/>
    <w:rsid w:val="00C41EB3"/>
    <w:rsid w:val="00C472CE"/>
    <w:rsid w:val="00C510FB"/>
    <w:rsid w:val="00C517E5"/>
    <w:rsid w:val="00C52F48"/>
    <w:rsid w:val="00C5568A"/>
    <w:rsid w:val="00C562FE"/>
    <w:rsid w:val="00C56D81"/>
    <w:rsid w:val="00C6657C"/>
    <w:rsid w:val="00C6731C"/>
    <w:rsid w:val="00C67741"/>
    <w:rsid w:val="00C71748"/>
    <w:rsid w:val="00C74059"/>
    <w:rsid w:val="00C7578E"/>
    <w:rsid w:val="00C83923"/>
    <w:rsid w:val="00C945D7"/>
    <w:rsid w:val="00CA0C69"/>
    <w:rsid w:val="00CA1E54"/>
    <w:rsid w:val="00CB0C97"/>
    <w:rsid w:val="00CB22DA"/>
    <w:rsid w:val="00CC2F54"/>
    <w:rsid w:val="00CC3F49"/>
    <w:rsid w:val="00CC6FD1"/>
    <w:rsid w:val="00CD1FBB"/>
    <w:rsid w:val="00CD3338"/>
    <w:rsid w:val="00CE4D37"/>
    <w:rsid w:val="00CF0988"/>
    <w:rsid w:val="00CF11EF"/>
    <w:rsid w:val="00CF1391"/>
    <w:rsid w:val="00D074A4"/>
    <w:rsid w:val="00D112C6"/>
    <w:rsid w:val="00D12688"/>
    <w:rsid w:val="00D1630F"/>
    <w:rsid w:val="00D211CE"/>
    <w:rsid w:val="00D27AF1"/>
    <w:rsid w:val="00D333E2"/>
    <w:rsid w:val="00D42235"/>
    <w:rsid w:val="00D50310"/>
    <w:rsid w:val="00D517A5"/>
    <w:rsid w:val="00D52841"/>
    <w:rsid w:val="00D533DB"/>
    <w:rsid w:val="00D70904"/>
    <w:rsid w:val="00D70AA4"/>
    <w:rsid w:val="00D83970"/>
    <w:rsid w:val="00D848E8"/>
    <w:rsid w:val="00D85D8E"/>
    <w:rsid w:val="00D91643"/>
    <w:rsid w:val="00DA1860"/>
    <w:rsid w:val="00DA4483"/>
    <w:rsid w:val="00DD62D6"/>
    <w:rsid w:val="00DE12F6"/>
    <w:rsid w:val="00DE1ABB"/>
    <w:rsid w:val="00DE1C88"/>
    <w:rsid w:val="00DE737C"/>
    <w:rsid w:val="00DF41AF"/>
    <w:rsid w:val="00E024C7"/>
    <w:rsid w:val="00E06A2C"/>
    <w:rsid w:val="00E11A3C"/>
    <w:rsid w:val="00E20A4E"/>
    <w:rsid w:val="00E24CC1"/>
    <w:rsid w:val="00E25EA3"/>
    <w:rsid w:val="00E278F2"/>
    <w:rsid w:val="00E4024C"/>
    <w:rsid w:val="00E43C0F"/>
    <w:rsid w:val="00E531BD"/>
    <w:rsid w:val="00E614E9"/>
    <w:rsid w:val="00E64591"/>
    <w:rsid w:val="00E663AE"/>
    <w:rsid w:val="00E728CA"/>
    <w:rsid w:val="00E746B4"/>
    <w:rsid w:val="00E91EC9"/>
    <w:rsid w:val="00E92BBF"/>
    <w:rsid w:val="00EA7EA3"/>
    <w:rsid w:val="00EB2FF2"/>
    <w:rsid w:val="00ED314D"/>
    <w:rsid w:val="00ED33FA"/>
    <w:rsid w:val="00ED49CA"/>
    <w:rsid w:val="00EE45B8"/>
    <w:rsid w:val="00EE4FAA"/>
    <w:rsid w:val="00EF00CF"/>
    <w:rsid w:val="00EF0FD7"/>
    <w:rsid w:val="00EF2F89"/>
    <w:rsid w:val="00EF3C2A"/>
    <w:rsid w:val="00F06F51"/>
    <w:rsid w:val="00F17A5F"/>
    <w:rsid w:val="00F3396B"/>
    <w:rsid w:val="00F33A1D"/>
    <w:rsid w:val="00F426DC"/>
    <w:rsid w:val="00F4307C"/>
    <w:rsid w:val="00F52957"/>
    <w:rsid w:val="00F654AF"/>
    <w:rsid w:val="00F66F4B"/>
    <w:rsid w:val="00F71D33"/>
    <w:rsid w:val="00F8205D"/>
    <w:rsid w:val="00F927A8"/>
    <w:rsid w:val="00F945C0"/>
    <w:rsid w:val="00F95B0A"/>
    <w:rsid w:val="00FA1BBE"/>
    <w:rsid w:val="00FA58C9"/>
    <w:rsid w:val="00FA7D4F"/>
    <w:rsid w:val="00FB38DD"/>
    <w:rsid w:val="00FC3D5C"/>
    <w:rsid w:val="00FC3F22"/>
    <w:rsid w:val="00FC5534"/>
    <w:rsid w:val="00FE0857"/>
    <w:rsid w:val="00FF06F4"/>
    <w:rsid w:val="00FF1F94"/>
    <w:rsid w:val="00FF246D"/>
    <w:rsid w:val="00FF4733"/>
    <w:rsid w:val="1F7EC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2AA1A1"/>
  <w15:chartTrackingRefBased/>
  <w15:docId w15:val="{8ED04E50-0438-4EE8-820C-F224A27F7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0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019D"/>
  </w:style>
  <w:style w:type="paragraph" w:styleId="Piedepgina">
    <w:name w:val="footer"/>
    <w:basedOn w:val="Normal"/>
    <w:link w:val="PiedepginaCar"/>
    <w:uiPriority w:val="99"/>
    <w:unhideWhenUsed/>
    <w:rsid w:val="00190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019D"/>
  </w:style>
  <w:style w:type="paragraph" w:customStyle="1" w:styleId="Default">
    <w:name w:val="Default"/>
    <w:rsid w:val="000B246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0B246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074A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074A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26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character" w:styleId="Textoennegrita">
    <w:name w:val="Strong"/>
    <w:basedOn w:val="Fuentedeprrafopredeter"/>
    <w:uiPriority w:val="22"/>
    <w:qFormat/>
    <w:rsid w:val="00126851"/>
    <w:rPr>
      <w:b/>
      <w:bCs/>
    </w:rPr>
  </w:style>
  <w:style w:type="paragraph" w:styleId="Sinespaciado">
    <w:name w:val="No Spacing"/>
    <w:uiPriority w:val="1"/>
    <w:qFormat/>
    <w:rsid w:val="00812073"/>
    <w:pPr>
      <w:spacing w:after="0" w:line="240" w:lineRule="auto"/>
    </w:pPr>
    <w:rPr>
      <w:lang w:val="es-CO"/>
    </w:rPr>
  </w:style>
  <w:style w:type="table" w:styleId="Tablaconcuadrcula">
    <w:name w:val="Table Grid"/>
    <w:basedOn w:val="Tablanormal"/>
    <w:uiPriority w:val="39"/>
    <w:rsid w:val="00812073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FC5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3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JUNIO\13.%20SECTOR%20AGROINDUSTRIAL%20MAY%202026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JUNIO\13.%20SECTOR%20AGROINDUSTRIAL%20MAY%202026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JUNIO\13.%20SECTOR%20AGROINDUSTRIAL%20MAY%202026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JUNIO\13.%20SECTOR%20AGROINDUSTRIAL%20MAY%202026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JUNIO\13.%20SECTOR%20AGROINDUSTRIAL%20MAY%202026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JUNIO\13.%20SECTOR%20AGROINDUSTRIAL%20MAY%202026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JUNIO\13.%20SECTOR%20AGROINDUSTRIAL%20MAY%202026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JUNIO\13.%20SECTOR%20AGROINDUSTRIAL%20MAY%202026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JUNIO\13.%20SECTOR%20AGROINDUSTRIAL%20MAY%202026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E:\User\Documents\CONTRATOS%202026\CONTRATO%20MINISTERIO\INFORMES\JUNIO\13.%20SECTOR%20AGROINDUSTRIAL%20MAY%202026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 sz="1800" b="0" i="0" baseline="0">
                <a:effectLst/>
              </a:rPr>
              <a:t>Desembolso Entidades Financieras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ENTIDADES!$D$2</c:f>
              <c:strCache>
                <c:ptCount val="1"/>
                <c:pt idx="0">
                  <c:v> DESEMBOLSO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ENTIDADES!$C$3:$C$10</c:f>
              <c:strCache>
                <c:ptCount val="8"/>
                <c:pt idx="0">
                  <c:v>BCO. DE BOGOTA</c:v>
                </c:pt>
                <c:pt idx="1">
                  <c:v>BCO. BANCOLOMBIA S.A</c:v>
                </c:pt>
                <c:pt idx="2">
                  <c:v>BCO. DAVIVIENDA S.A.</c:v>
                </c:pt>
                <c:pt idx="3">
                  <c:v>BCO. DE OCCIDENTE</c:v>
                </c:pt>
                <c:pt idx="4">
                  <c:v>BCO. MUNDO MUJER S.A.</c:v>
                </c:pt>
                <c:pt idx="5">
                  <c:v>BCO. BILBAO VIZCAYA ARGENTARIA COLOMBIA S.A.</c:v>
                </c:pt>
                <c:pt idx="6">
                  <c:v>CORPORACION INTERACTUAR</c:v>
                </c:pt>
                <c:pt idx="7">
                  <c:v>BCO. AGRARIO DE COLOMBIA S.A</c:v>
                </c:pt>
              </c:strCache>
            </c:strRef>
          </c:cat>
          <c:val>
            <c:numRef>
              <c:f>ENTIDADES!$D$3:$D$10</c:f>
              <c:numCache>
                <c:formatCode>_-"$"\ * #,##0_-;\-"$"\ * #,##0_-;_-"$"\ * "-"??_-;_-@_-</c:formatCode>
                <c:ptCount val="8"/>
                <c:pt idx="0">
                  <c:v>21352545475</c:v>
                </c:pt>
                <c:pt idx="1">
                  <c:v>12132534281</c:v>
                </c:pt>
                <c:pt idx="2">
                  <c:v>6950804415</c:v>
                </c:pt>
                <c:pt idx="3">
                  <c:v>5114193500</c:v>
                </c:pt>
                <c:pt idx="4">
                  <c:v>3000000000</c:v>
                </c:pt>
                <c:pt idx="5">
                  <c:v>2022632500</c:v>
                </c:pt>
                <c:pt idx="6">
                  <c:v>2000000000</c:v>
                </c:pt>
                <c:pt idx="7">
                  <c:v>1200000000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6DF-4BC7-90F3-4A202E072917}"/>
            </c:ext>
          </c:extLst>
        </c:ser>
        <c:ser>
          <c:idx val="1"/>
          <c:order val="1"/>
          <c:tx>
            <c:strRef>
              <c:f>ENTIDADES!$E$2</c:f>
              <c:strCache>
                <c:ptCount val="1"/>
                <c:pt idx="0">
                  <c:v>PORCENTAJE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1.2147716229348883E-2"/>
                  <c:y val="-5.9171597633136092E-2"/>
                </c:manualLayout>
              </c:layout>
              <c:tx>
                <c:rich>
                  <a:bodyPr/>
                  <a:lstStyle/>
                  <a:p>
                    <a:fld id="{7072F793-B71D-463B-AC88-BA52633F2A26}" type="CELLRANGE">
                      <a:rPr lang="en-US"/>
                      <a:pPr/>
                      <a:t>[CELLRANGE]</a:t>
                    </a:fld>
                    <a:endParaRPr lang="es-CO"/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1-96DF-4BC7-90F3-4A202E072917}"/>
                </c:ext>
              </c:extLst>
            </c:dLbl>
            <c:dLbl>
              <c:idx val="1"/>
              <c:layout>
                <c:manualLayout>
                  <c:x val="1.2147716229348883E-2"/>
                  <c:y val="-5.5226824457593728E-2"/>
                </c:manualLayout>
              </c:layout>
              <c:tx>
                <c:rich>
                  <a:bodyPr/>
                  <a:lstStyle/>
                  <a:p>
                    <a:fld id="{CEBFC0E6-9844-4150-A556-7744B82B52EE}" type="CELLRANGE">
                      <a:rPr lang="en-US"/>
                      <a:pPr/>
                      <a:t>[CELLRANGE]</a:t>
                    </a:fld>
                    <a:endParaRPr lang="es-CO"/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2-96DF-4BC7-90F3-4A202E072917}"/>
                </c:ext>
              </c:extLst>
            </c:dLbl>
            <c:dLbl>
              <c:idx val="2"/>
              <c:layout>
                <c:manualLayout>
                  <c:x val="1.4577259475218658E-2"/>
                  <c:y val="-5.128205128205128E-2"/>
                </c:manualLayout>
              </c:layout>
              <c:tx>
                <c:rich>
                  <a:bodyPr/>
                  <a:lstStyle/>
                  <a:p>
                    <a:fld id="{A1BB2552-9162-42EB-890C-4389D953FE53}" type="CELLRANGE">
                      <a:rPr lang="en-US"/>
                      <a:pPr/>
                      <a:t>[CELLRANGE]</a:t>
                    </a:fld>
                    <a:endParaRPr lang="es-CO"/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1"/>
                </c:ext>
                <c:ext xmlns:c16="http://schemas.microsoft.com/office/drawing/2014/chart" uri="{C3380CC4-5D6E-409C-BE32-E72D297353CC}">
                  <c16:uniqueId val="{00000003-96DF-4BC7-90F3-4A202E072917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96DF-4BC7-90F3-4A202E072917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6DF-4BC7-90F3-4A202E072917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96DF-4BC7-90F3-4A202E072917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6DF-4BC7-90F3-4A202E072917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endParaRPr lang="es-CO"/>
                  </a:p>
                </c:rich>
              </c:tx>
              <c:showLegendKey val="0"/>
              <c:showVal val="0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xForSave val="1"/>
                  <c15:showDataLabelsRange val="1"/>
                </c:ext>
                <c:ext xmlns:c16="http://schemas.microsoft.com/office/drawing/2014/chart" uri="{C3380CC4-5D6E-409C-BE32-E72D297353CC}">
                  <c16:uniqueId val="{00000008-96DF-4BC7-90F3-4A202E07291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DataLabelsRange val="1"/>
                <c15:showLeaderLines val="0"/>
              </c:ext>
            </c:extLst>
          </c:dLbls>
          <c:cat>
            <c:strRef>
              <c:f>ENTIDADES!$C$3:$C$10</c:f>
              <c:strCache>
                <c:ptCount val="8"/>
                <c:pt idx="0">
                  <c:v>BCO. DE BOGOTA</c:v>
                </c:pt>
                <c:pt idx="1">
                  <c:v>BCO. BANCOLOMBIA S.A</c:v>
                </c:pt>
                <c:pt idx="2">
                  <c:v>BCO. DAVIVIENDA S.A.</c:v>
                </c:pt>
                <c:pt idx="3">
                  <c:v>BCO. DE OCCIDENTE</c:v>
                </c:pt>
                <c:pt idx="4">
                  <c:v>BCO. MUNDO MUJER S.A.</c:v>
                </c:pt>
                <c:pt idx="5">
                  <c:v>BCO. BILBAO VIZCAYA ARGENTARIA COLOMBIA S.A.</c:v>
                </c:pt>
                <c:pt idx="6">
                  <c:v>CORPORACION INTERACTUAR</c:v>
                </c:pt>
                <c:pt idx="7">
                  <c:v>BCO. AGRARIO DE COLOMBIA S.A</c:v>
                </c:pt>
              </c:strCache>
            </c:strRef>
          </c:cat>
          <c:val>
            <c:numRef>
              <c:f>ENTIDADES!$E$3:$E$10</c:f>
              <c:numCache>
                <c:formatCode>0%</c:formatCode>
                <c:ptCount val="8"/>
                <c:pt idx="0">
                  <c:v>0.36148073228802463</c:v>
                </c:pt>
                <c:pt idx="1">
                  <c:v>0.20539365583088365</c:v>
                </c:pt>
                <c:pt idx="2">
                  <c:v>0.11767130400760964</c:v>
                </c:pt>
                <c:pt idx="3">
                  <c:v>8.6579017644857897E-2</c:v>
                </c:pt>
                <c:pt idx="4">
                  <c:v>5.0787490331481139E-2</c:v>
                </c:pt>
                <c:pt idx="5">
                  <c:v>3.4241476179296508E-2</c:v>
                </c:pt>
                <c:pt idx="6">
                  <c:v>3.385832688765409E-2</c:v>
                </c:pt>
                <c:pt idx="7">
                  <c:v>2.0314996132592456E-2</c:v>
                </c:pt>
              </c:numCache>
            </c:numRef>
          </c:val>
          <c:extLst>
            <c:ext xmlns:c15="http://schemas.microsoft.com/office/drawing/2012/chart" uri="{02D57815-91ED-43cb-92C2-25804820EDAC}">
              <c15:datalabelsRange>
                <c15:f>ENTIDADES!$E$3:$E$9</c15:f>
                <c15:dlblRangeCache>
                  <c:ptCount val="7"/>
                  <c:pt idx="0">
                    <c:v>36%</c:v>
                  </c:pt>
                  <c:pt idx="1">
                    <c:v>21%</c:v>
                  </c:pt>
                  <c:pt idx="2">
                    <c:v>12%</c:v>
                  </c:pt>
                  <c:pt idx="3">
                    <c:v>9%</c:v>
                  </c:pt>
                  <c:pt idx="4">
                    <c:v>5%</c:v>
                  </c:pt>
                  <c:pt idx="5">
                    <c:v>3%</c:v>
                  </c:pt>
                  <c:pt idx="6">
                    <c:v>3%</c:v>
                  </c:pt>
                </c15:dlblRangeCache>
              </c15:datalabelsRange>
            </c:ext>
            <c:ext xmlns:c16="http://schemas.microsoft.com/office/drawing/2014/chart" uri="{C3380CC4-5D6E-409C-BE32-E72D297353CC}">
              <c16:uniqueId val="{00000009-96DF-4BC7-90F3-4A202E07291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53869808"/>
        <c:axId val="253878128"/>
        <c:axId val="0"/>
      </c:bar3DChart>
      <c:catAx>
        <c:axId val="2538698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3878128"/>
        <c:crosses val="autoZero"/>
        <c:auto val="1"/>
        <c:lblAlgn val="ctr"/>
        <c:lblOffset val="100"/>
        <c:noMultiLvlLbl val="0"/>
      </c:catAx>
      <c:valAx>
        <c:axId val="2538781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&quot;$&quot;\ * #,##0_-;\-&quot;$&quot;\ * #,##0_-;_-&quot;$&quot;\ 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3869808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 Desembolso por Departamento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DEPARTAMENTO!$D$1</c:f>
              <c:strCache>
                <c:ptCount val="1"/>
                <c:pt idx="0">
                  <c:v> DESEMBOLSO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FDF-49C6-9E84-8B27E94C6BA0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FDF-49C6-9E84-8B27E94C6BA0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FDF-49C6-9E84-8B27E94C6BA0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FDF-49C6-9E84-8B27E94C6BA0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1FDF-49C6-9E84-8B27E94C6BA0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FDF-49C6-9E84-8B27E94C6BA0}"/>
                </c:ext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1FDF-49C6-9E84-8B27E94C6BA0}"/>
                </c:ext>
              </c:extLst>
            </c:dLbl>
            <c:dLbl>
              <c:idx val="1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FDF-49C6-9E84-8B27E94C6BA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DEPARTAMENTO!$C$2:$C$12</c:f>
              <c:strCache>
                <c:ptCount val="11"/>
                <c:pt idx="0">
                  <c:v>Antioquia</c:v>
                </c:pt>
                <c:pt idx="1">
                  <c:v>Valle</c:v>
                </c:pt>
                <c:pt idx="2">
                  <c:v>Bogota DC</c:v>
                </c:pt>
                <c:pt idx="3">
                  <c:v>Santander</c:v>
                </c:pt>
                <c:pt idx="4">
                  <c:v>Cundinamarca</c:v>
                </c:pt>
                <c:pt idx="5">
                  <c:v>Atlantico</c:v>
                </c:pt>
                <c:pt idx="6">
                  <c:v>Risaralda</c:v>
                </c:pt>
                <c:pt idx="7">
                  <c:v>Narino</c:v>
                </c:pt>
                <c:pt idx="8">
                  <c:v>Huila</c:v>
                </c:pt>
                <c:pt idx="9">
                  <c:v>Bolivar</c:v>
                </c:pt>
                <c:pt idx="10">
                  <c:v>Norte de Santander</c:v>
                </c:pt>
              </c:strCache>
            </c:strRef>
          </c:cat>
          <c:val>
            <c:numRef>
              <c:f>DEPARTAMENTO!$D$2:$D$12</c:f>
              <c:numCache>
                <c:formatCode>_-"$"\ * #,##0_-;\-"$"\ * #,##0_-;_-"$"\ * "-"??_-;_-@_-</c:formatCode>
                <c:ptCount val="11"/>
                <c:pt idx="0">
                  <c:v>14313035381</c:v>
                </c:pt>
                <c:pt idx="1">
                  <c:v>7765461634</c:v>
                </c:pt>
                <c:pt idx="2">
                  <c:v>5495414000</c:v>
                </c:pt>
                <c:pt idx="3">
                  <c:v>4421701520</c:v>
                </c:pt>
                <c:pt idx="4">
                  <c:v>3760500000</c:v>
                </c:pt>
                <c:pt idx="5">
                  <c:v>3103019560</c:v>
                </c:pt>
                <c:pt idx="6">
                  <c:v>2748498196</c:v>
                </c:pt>
                <c:pt idx="7">
                  <c:v>2680740000</c:v>
                </c:pt>
                <c:pt idx="8">
                  <c:v>2049918500</c:v>
                </c:pt>
                <c:pt idx="9">
                  <c:v>1943779685</c:v>
                </c:pt>
                <c:pt idx="10">
                  <c:v>1877276550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1FDF-49C6-9E84-8B27E94C6B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70989328"/>
        <c:axId val="370990576"/>
        <c:axId val="0"/>
      </c:bar3DChart>
      <c:catAx>
        <c:axId val="370989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370990576"/>
        <c:crosses val="autoZero"/>
        <c:auto val="1"/>
        <c:lblAlgn val="ctr"/>
        <c:lblOffset val="100"/>
        <c:noMultiLvlLbl val="0"/>
      </c:catAx>
      <c:valAx>
        <c:axId val="3709905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&quot;$&quot;\ * #,##0_-;\-&quot;$&quot;\ * #,##0_-;_-&quot;$&quot;\ 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370989328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MUNICIPIOS!$C$1</c:f>
              <c:strCache>
                <c:ptCount val="1"/>
                <c:pt idx="0">
                  <c:v>DESEMBOLSO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1B8-483A-8620-CE55F0B75A43}"/>
                </c:ext>
              </c:extLst>
            </c:dLbl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1B8-483A-8620-CE55F0B75A43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1B8-483A-8620-CE55F0B75A43}"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1B8-483A-8620-CE55F0B75A43}"/>
                </c:ext>
              </c:extLst>
            </c:dLbl>
            <c:dLbl>
              <c:idx val="7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1B8-483A-8620-CE55F0B75A43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1B8-483A-8620-CE55F0B75A43}"/>
                </c:ext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1B8-483A-8620-CE55F0B75A43}"/>
                </c:ext>
              </c:extLst>
            </c:dLbl>
            <c:dLbl>
              <c:idx val="10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1B8-483A-8620-CE55F0B75A43}"/>
                </c:ext>
              </c:extLst>
            </c:dLbl>
            <c:dLbl>
              <c:idx val="1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F1B8-483A-8620-CE55F0B75A4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MUNICIPIOS!$B$2:$B$13</c:f>
              <c:strCache>
                <c:ptCount val="12"/>
                <c:pt idx="0">
                  <c:v>BOGOTA </c:v>
                </c:pt>
                <c:pt idx="1">
                  <c:v>CALI </c:v>
                </c:pt>
                <c:pt idx="2">
                  <c:v>MEDELLIN </c:v>
                </c:pt>
                <c:pt idx="3">
                  <c:v>ITAGUI </c:v>
                </c:pt>
                <c:pt idx="4">
                  <c:v>BUCARAMANGA </c:v>
                </c:pt>
                <c:pt idx="5">
                  <c:v>BARRANQUILLA </c:v>
                </c:pt>
                <c:pt idx="6">
                  <c:v>SABANETA </c:v>
                </c:pt>
                <c:pt idx="7">
                  <c:v>CARTAGENA </c:v>
                </c:pt>
                <c:pt idx="8">
                  <c:v>PASTO </c:v>
                </c:pt>
                <c:pt idx="9">
                  <c:v>YUMBO </c:v>
                </c:pt>
                <c:pt idx="10">
                  <c:v>IBAGUE </c:v>
                </c:pt>
                <c:pt idx="11">
                  <c:v>DOSQUEBRADAS </c:v>
                </c:pt>
              </c:strCache>
            </c:strRef>
          </c:cat>
          <c:val>
            <c:numRef>
              <c:f>MUNICIPIOS!$C$2:$C$13</c:f>
              <c:numCache>
                <c:formatCode>_-"$"\ * #,##0_-;\-"$"\ * #,##0_-;_-"$"\ * "-"??_-;_-@_-</c:formatCode>
                <c:ptCount val="12"/>
                <c:pt idx="0">
                  <c:v>5495414000</c:v>
                </c:pt>
                <c:pt idx="1">
                  <c:v>4525413927</c:v>
                </c:pt>
                <c:pt idx="2">
                  <c:v>3668886935</c:v>
                </c:pt>
                <c:pt idx="3">
                  <c:v>3548442388</c:v>
                </c:pt>
                <c:pt idx="4">
                  <c:v>2838901520</c:v>
                </c:pt>
                <c:pt idx="5">
                  <c:v>2805539863</c:v>
                </c:pt>
                <c:pt idx="6">
                  <c:v>2052106058</c:v>
                </c:pt>
                <c:pt idx="7">
                  <c:v>1819000000</c:v>
                </c:pt>
                <c:pt idx="8">
                  <c:v>1708990000</c:v>
                </c:pt>
                <c:pt idx="9">
                  <c:v>1494000000</c:v>
                </c:pt>
                <c:pt idx="10">
                  <c:v>1341750000</c:v>
                </c:pt>
                <c:pt idx="11">
                  <c:v>1257590350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F1B8-483A-8620-CE55F0B75A4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59364640"/>
        <c:axId val="259365888"/>
        <c:axId val="0"/>
      </c:bar3DChart>
      <c:catAx>
        <c:axId val="259364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9365888"/>
        <c:crosses val="autoZero"/>
        <c:auto val="1"/>
        <c:lblAlgn val="ctr"/>
        <c:lblOffset val="100"/>
        <c:noMultiLvlLbl val="0"/>
      </c:catAx>
      <c:valAx>
        <c:axId val="2593658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&quot;$&quot;\ * #,##0_-;\-&quot;$&quot;\ * #,##0_-;_-&quot;$&quot;\ 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9364640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Subcupos</a:t>
            </a:r>
          </a:p>
        </c:rich>
      </c:tx>
      <c:layout>
        <c:manualLayout>
          <c:xMode val="edge"/>
          <c:yMode val="edge"/>
          <c:x val="0.45968044619422571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1"/>
              <c:layout>
                <c:manualLayout>
                  <c:x val="4.1666666666666664E-2"/>
                  <c:y val="-4.629629629629714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77B-462F-9C15-AB20174A467F}"/>
                </c:ext>
              </c:extLst>
            </c:dLbl>
            <c:dLbl>
              <c:idx val="2"/>
              <c:layout>
                <c:manualLayout>
                  <c:x val="2.4999999999999897E-2"/>
                  <c:y val="-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77B-462F-9C15-AB20174A467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SUBCUPOS!$C$11:$C$13</c:f>
              <c:strCache>
                <c:ptCount val="3"/>
                <c:pt idx="0">
                  <c:v>SUBCUPO 2 MUNICIPIOS PRIORIZADOS
DEPARTAMENTO DEL CAUCA</c:v>
                </c:pt>
                <c:pt idx="1">
                  <c:v>SUBCUPO 3 FINANCIACIÓN DE EXPORTACIONES</c:v>
                </c:pt>
                <c:pt idx="2">
                  <c:v>SUBCUPO 1 GENERAL</c:v>
                </c:pt>
              </c:strCache>
            </c:strRef>
          </c:cat>
          <c:val>
            <c:numRef>
              <c:f>SUBCUPOS!$E$11:$E$13</c:f>
              <c:numCache>
                <c:formatCode>_-"$"\ * #,##0_-;\-"$"\ * #,##0_-;_-"$"\ * "-"??_-;_-@_-</c:formatCode>
                <c:ptCount val="3"/>
                <c:pt idx="0" formatCode="General">
                  <c:v>0</c:v>
                </c:pt>
                <c:pt idx="1">
                  <c:v>4863760460</c:v>
                </c:pt>
                <c:pt idx="2">
                  <c:v>54205903751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77B-462F-9C15-AB20174A46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51957840"/>
        <c:axId val="251958256"/>
        <c:axId val="0"/>
      </c:bar3DChart>
      <c:catAx>
        <c:axId val="25195784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1958256"/>
        <c:crosses val="autoZero"/>
        <c:auto val="1"/>
        <c:lblAlgn val="ctr"/>
        <c:lblOffset val="100"/>
        <c:noMultiLvlLbl val="0"/>
      </c:catAx>
      <c:valAx>
        <c:axId val="2519582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1957840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Actividad Economica CIIU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CIIU!$K$2</c:f>
              <c:strCache>
                <c:ptCount val="1"/>
                <c:pt idx="0">
                  <c:v>operaciones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4"/>
              <c:layout>
                <c:manualLayout>
                  <c:x val="2.7777777777777779E-3"/>
                  <c:y val="-4.629629629629799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80C-4DAA-8E66-3F5545454BA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CIIU!$J$3:$J$7</c:f>
              <c:strCache>
                <c:ptCount val="5"/>
                <c:pt idx="0">
                  <c:v>Procesamiento y conservación de carne y productos cárnicos	</c:v>
                </c:pt>
                <c:pt idx="1">
                  <c:v>Elaboración de productos lácteos</c:v>
                </c:pt>
                <c:pt idx="2">
                  <c:v>Elaboración de productos de panadería</c:v>
                </c:pt>
                <c:pt idx="3">
                  <c:v>Elaboración de otros productos alimenticios n.c.p.</c:v>
                </c:pt>
                <c:pt idx="4">
                  <c:v>Elaboración de comidas y platos preparados</c:v>
                </c:pt>
              </c:strCache>
            </c:strRef>
          </c:cat>
          <c:val>
            <c:numRef>
              <c:f>CIIU!$K$3:$K$7</c:f>
              <c:numCache>
                <c:formatCode>General</c:formatCode>
                <c:ptCount val="5"/>
                <c:pt idx="0">
                  <c:v>41</c:v>
                </c:pt>
                <c:pt idx="1">
                  <c:v>46</c:v>
                </c:pt>
                <c:pt idx="2">
                  <c:v>138</c:v>
                </c:pt>
                <c:pt idx="3">
                  <c:v>181</c:v>
                </c:pt>
                <c:pt idx="4">
                  <c:v>587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80C-4DAA-8E66-3F5545454B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57129008"/>
        <c:axId val="257127760"/>
        <c:axId val="0"/>
      </c:bar3DChart>
      <c:catAx>
        <c:axId val="25712900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7127760"/>
        <c:crosses val="autoZero"/>
        <c:auto val="1"/>
        <c:lblAlgn val="ctr"/>
        <c:lblOffset val="100"/>
        <c:noMultiLvlLbl val="0"/>
      </c:catAx>
      <c:valAx>
        <c:axId val="25712776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71290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/>
              <a:t>Destino</a:t>
            </a:r>
            <a:r>
              <a:rPr lang="es-CO" baseline="0"/>
              <a:t> de los recursos</a:t>
            </a:r>
            <a:endParaRPr lang="es-CO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stacked"/>
        <c:varyColors val="0"/>
        <c:ser>
          <c:idx val="0"/>
          <c:order val="0"/>
          <c:tx>
            <c:strRef>
              <c:f>'DEST-TAMÑ'!$C$1</c:f>
              <c:strCache>
                <c:ptCount val="1"/>
                <c:pt idx="0">
                  <c:v>OPERACIONES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6.4975845410628022E-2"/>
                  <c:y val="-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959-4D68-AFA2-9667D5257709}"/>
                </c:ext>
              </c:extLst>
            </c:dLbl>
            <c:dLbl>
              <c:idx val="1"/>
              <c:layout>
                <c:manualLayout>
                  <c:x val="5.9420289855072375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959-4D68-AFA2-9667D5257709}"/>
                </c:ext>
              </c:extLst>
            </c:dLbl>
            <c:dLbl>
              <c:idx val="2"/>
              <c:layout>
                <c:manualLayout>
                  <c:x val="5.8333333333333286E-2"/>
                  <c:y val="-4.629629629629714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2959-4D68-AFA2-9667D5257709}"/>
                </c:ext>
              </c:extLst>
            </c:dLbl>
            <c:dLbl>
              <c:idx val="3"/>
              <c:layout>
                <c:manualLayout>
                  <c:x val="5.7004830917874311E-2"/>
                  <c:y val="-1.85185185185185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959-4D68-AFA2-9667D5257709}"/>
                </c:ext>
              </c:extLst>
            </c:dLbl>
            <c:dLbl>
              <c:idx val="4"/>
              <c:layout>
                <c:manualLayout>
                  <c:x val="0.29673913043478262"/>
                  <c:y val="-1.157407407407407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s-CO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8550724637681156E-2"/>
                      <c:h val="6.0115923009623796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4-2959-4D68-AFA2-9667D525770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'DEST-TAMÑ'!$B$2:$B$6</c:f>
              <c:strCache>
                <c:ptCount val="5"/>
                <c:pt idx="0">
                  <c:v>CONSOLIDACION DE PASIVOS</c:v>
                </c:pt>
                <c:pt idx="1">
                  <c:v>FINANCIACION DE EXPORTACIONES/IMPORTACIONES</c:v>
                </c:pt>
                <c:pt idx="2">
                  <c:v>INVERSION FIJA</c:v>
                </c:pt>
                <c:pt idx="3">
                  <c:v>LEASING</c:v>
                </c:pt>
                <c:pt idx="4">
                  <c:v>CAPITAL DE TRABAJO</c:v>
                </c:pt>
              </c:strCache>
            </c:strRef>
          </c:cat>
          <c:val>
            <c:numRef>
              <c:f>'DEST-TAMÑ'!$C$2:$C$6</c:f>
              <c:numCache>
                <c:formatCode>General</c:formatCode>
                <c:ptCount val="5"/>
                <c:pt idx="0">
                  <c:v>4</c:v>
                </c:pt>
                <c:pt idx="1">
                  <c:v>11</c:v>
                </c:pt>
                <c:pt idx="2">
                  <c:v>13</c:v>
                </c:pt>
                <c:pt idx="3">
                  <c:v>13</c:v>
                </c:pt>
                <c:pt idx="4">
                  <c:v>1038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2959-4D68-AFA2-9667D5257709}"/>
            </c:ext>
          </c:extLst>
        </c:ser>
        <c:ser>
          <c:idx val="1"/>
          <c:order val="1"/>
          <c:tx>
            <c:strRef>
              <c:f>'DEST-TAMÑ'!$D$1</c:f>
              <c:strCache>
                <c:ptCount val="1"/>
                <c:pt idx="0">
                  <c:v>PORCENTAJE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'DEST-TAMÑ'!$B$2:$B$6</c:f>
              <c:strCache>
                <c:ptCount val="5"/>
                <c:pt idx="0">
                  <c:v>CONSOLIDACION DE PASIVOS</c:v>
                </c:pt>
                <c:pt idx="1">
                  <c:v>FINANCIACION DE EXPORTACIONES/IMPORTACIONES</c:v>
                </c:pt>
                <c:pt idx="2">
                  <c:v>INVERSION FIJA</c:v>
                </c:pt>
                <c:pt idx="3">
                  <c:v>LEASING</c:v>
                </c:pt>
                <c:pt idx="4">
                  <c:v>CAPITAL DE TRABAJO</c:v>
                </c:pt>
              </c:strCache>
            </c:strRef>
          </c:cat>
          <c:val>
            <c:numRef>
              <c:f>'DEST-TAMÑ'!$D$2:$D$6</c:f>
              <c:numCache>
                <c:formatCode>0.0%</c:formatCode>
                <c:ptCount val="5"/>
                <c:pt idx="0">
                  <c:v>3.7071362372567192E-3</c:v>
                </c:pt>
                <c:pt idx="1">
                  <c:v>1.0194624652455977E-2</c:v>
                </c:pt>
                <c:pt idx="2">
                  <c:v>1.2048192771084338E-2</c:v>
                </c:pt>
                <c:pt idx="3">
                  <c:v>1.2048192771084338E-2</c:v>
                </c:pt>
                <c:pt idx="4">
                  <c:v>0.96200185356811863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2959-4D68-AFA2-9667D525770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00732336"/>
        <c:axId val="300732752"/>
        <c:axId val="0"/>
      </c:bar3DChart>
      <c:catAx>
        <c:axId val="3007323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300732752"/>
        <c:crosses val="autoZero"/>
        <c:auto val="1"/>
        <c:lblAlgn val="ctr"/>
        <c:lblOffset val="100"/>
        <c:noMultiLvlLbl val="0"/>
      </c:catAx>
      <c:valAx>
        <c:axId val="3007327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3007323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 b="1" i="0" cap="all" baseline="0">
                <a:effectLst/>
              </a:rPr>
              <a:t>Número de desembolsos por tamaño empresarial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'DEST-TAMÑ'!$I$1</c:f>
              <c:strCache>
                <c:ptCount val="1"/>
                <c:pt idx="0">
                  <c:v>OPERACIÓN</c:v>
                </c:pt>
              </c:strCache>
            </c:strRef>
          </c:tx>
          <c:cat>
            <c:strRef>
              <c:f>'DEST-TAMÑ'!$H$2:$H$4</c:f>
              <c:strCache>
                <c:ptCount val="3"/>
                <c:pt idx="0">
                  <c:v>MEDIANA</c:v>
                </c:pt>
                <c:pt idx="1">
                  <c:v>MICROEMPRESA</c:v>
                </c:pt>
                <c:pt idx="2">
                  <c:v>PEQUEÑA</c:v>
                </c:pt>
              </c:strCache>
            </c:strRef>
          </c:cat>
          <c:val>
            <c:numRef>
              <c:f>'DEST-TAMÑ'!$I$2:$I$4</c:f>
            </c:numRef>
          </c:val>
          <c:extLst>
            <c:ext xmlns:c16="http://schemas.microsoft.com/office/drawing/2014/chart" uri="{C3380CC4-5D6E-409C-BE32-E72D297353CC}">
              <c16:uniqueId val="{00000000-3662-4954-A3B6-422235264D2E}"/>
            </c:ext>
          </c:extLst>
        </c:ser>
        <c:ser>
          <c:idx val="1"/>
          <c:order val="1"/>
          <c:tx>
            <c:strRef>
              <c:f>'DEST-TAMÑ'!$J$1</c:f>
              <c:strCache>
                <c:ptCount val="1"/>
                <c:pt idx="0">
                  <c:v>PORCENTAJE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2-3662-4954-A3B6-422235264D2E}"/>
              </c:ext>
            </c:extLst>
          </c:dPt>
          <c:dPt>
            <c:idx val="1"/>
            <c:bubble3D val="0"/>
            <c:explosion val="4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4-3662-4954-A3B6-422235264D2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6-3662-4954-A3B6-422235264D2E}"/>
              </c:ext>
            </c:extLst>
          </c:dPt>
          <c:dLbls>
            <c:dLbl>
              <c:idx val="0"/>
              <c:layout>
                <c:manualLayout>
                  <c:x val="6.9769575678040249E-2"/>
                  <c:y val="1.95771361913093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662-4954-A3B6-422235264D2E}"/>
                </c:ext>
              </c:extLst>
            </c:dLbl>
            <c:dLbl>
              <c:idx val="1"/>
              <c:layout>
                <c:manualLayout>
                  <c:x val="-0.14557699037620297"/>
                  <c:y val="-0.1278791192767571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3662-4954-A3B6-422235264D2E}"/>
                </c:ext>
              </c:extLst>
            </c:dLbl>
            <c:dLbl>
              <c:idx val="2"/>
              <c:layout>
                <c:manualLayout>
                  <c:x val="-1.2074365704286964E-2"/>
                  <c:y val="-7.613735783027121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3662-4954-A3B6-422235264D2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'DEST-TAMÑ'!$H$2:$H$4</c:f>
              <c:strCache>
                <c:ptCount val="3"/>
                <c:pt idx="0">
                  <c:v>MEDIANA</c:v>
                </c:pt>
                <c:pt idx="1">
                  <c:v>MICROEMPRESA</c:v>
                </c:pt>
                <c:pt idx="2">
                  <c:v>PEQUEÑA</c:v>
                </c:pt>
              </c:strCache>
            </c:strRef>
          </c:cat>
          <c:val>
            <c:numRef>
              <c:f>'DEST-TAMÑ'!$J$2:$J$4</c:f>
              <c:numCache>
                <c:formatCode>0.0%</c:formatCode>
                <c:ptCount val="3"/>
                <c:pt idx="0">
                  <c:v>0.10843373493975904</c:v>
                </c:pt>
                <c:pt idx="1">
                  <c:v>0.83317886932344765</c:v>
                </c:pt>
                <c:pt idx="2">
                  <c:v>5.8387395736793329E-2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3662-4954-A3B6-422235264D2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 sz="1400" b="0" i="0" u="none" strike="noStrike" baseline="0"/>
              <a:t>N°de Operaciones por Tasa de Interes</a:t>
            </a:r>
            <a:endParaRPr lang="es-CO"/>
          </a:p>
        </c:rich>
      </c:tx>
      <c:layout>
        <c:manualLayout>
          <c:xMode val="edge"/>
          <c:yMode val="edge"/>
          <c:x val="0.21523600174978127"/>
          <c:y val="4.166666666666666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5000000000000001E-2"/>
                  <c:y val="-2.777777777777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85F6-4828-A1F6-F570EA09C174}"/>
                </c:ext>
              </c:extLst>
            </c:dLbl>
            <c:dLbl>
              <c:idx val="1"/>
              <c:layout>
                <c:manualLayout>
                  <c:x val="3.3333333333333333E-2"/>
                  <c:y val="-2.3148148148148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5F6-4828-A1F6-F570EA09C174}"/>
                </c:ext>
              </c:extLst>
            </c:dLbl>
            <c:dLbl>
              <c:idx val="2"/>
              <c:layout>
                <c:manualLayout>
                  <c:x val="2.7777777777777728E-2"/>
                  <c:y val="-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5F6-4828-A1F6-F570EA09C174}"/>
                </c:ext>
              </c:extLst>
            </c:dLbl>
            <c:dLbl>
              <c:idx val="3"/>
              <c:layout>
                <c:manualLayout>
                  <c:x val="1.6666666666666666E-2"/>
                  <c:y val="-1.8518518518518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5F6-4828-A1F6-F570EA09C174}"/>
                </c:ext>
              </c:extLst>
            </c:dLbl>
            <c:dLbl>
              <c:idx val="4"/>
              <c:layout>
                <c:manualLayout>
                  <c:x val="8.3333333333333332E-3"/>
                  <c:y val="-4.629629629629714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85F6-4828-A1F6-F570EA09C174}"/>
                </c:ext>
              </c:extLst>
            </c:dLbl>
            <c:dLbl>
              <c:idx val="5"/>
              <c:layout>
                <c:manualLayout>
                  <c:x val="2.777777777777788E-2"/>
                  <c:y val="-4.16666666666666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5F6-4828-A1F6-F570EA09C17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TASA!$F$2:$F$7</c:f>
              <c:strCache>
                <c:ptCount val="6"/>
                <c:pt idx="0">
                  <c:v>Entre 4% al 10%</c:v>
                </c:pt>
                <c:pt idx="1">
                  <c:v>Entre 10% y 20%</c:v>
                </c:pt>
                <c:pt idx="2">
                  <c:v>Entre 20% y 30%</c:v>
                </c:pt>
                <c:pt idx="3">
                  <c:v>Entre 30% y 40%</c:v>
                </c:pt>
                <c:pt idx="4">
                  <c:v>Entre 40% y 50%</c:v>
                </c:pt>
                <c:pt idx="5">
                  <c:v>Mayor 50%</c:v>
                </c:pt>
              </c:strCache>
            </c:strRef>
          </c:cat>
          <c:val>
            <c:numRef>
              <c:f>TASA!$G$2:$G$7</c:f>
              <c:numCache>
                <c:formatCode>General</c:formatCode>
                <c:ptCount val="6"/>
                <c:pt idx="0">
                  <c:v>50</c:v>
                </c:pt>
                <c:pt idx="1">
                  <c:v>202</c:v>
                </c:pt>
                <c:pt idx="2">
                  <c:v>36</c:v>
                </c:pt>
                <c:pt idx="3">
                  <c:v>20</c:v>
                </c:pt>
                <c:pt idx="4">
                  <c:v>65</c:v>
                </c:pt>
                <c:pt idx="5">
                  <c:v>706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85F6-4828-A1F6-F570EA09C17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68286688"/>
        <c:axId val="368289184"/>
        <c:axId val="0"/>
      </c:bar3DChart>
      <c:catAx>
        <c:axId val="3682866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368289184"/>
        <c:crosses val="autoZero"/>
        <c:auto val="1"/>
        <c:lblAlgn val="ctr"/>
        <c:lblOffset val="100"/>
        <c:noMultiLvlLbl val="0"/>
      </c:catAx>
      <c:valAx>
        <c:axId val="368289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3682866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s-CO" sz="1400" b="1" i="0" u="none" strike="noStrike" baseline="0"/>
              <a:t>Concentración tasa superiores al 50%</a:t>
            </a:r>
            <a:endParaRPr lang="es-CO"/>
          </a:p>
        </c:rich>
      </c:tx>
      <c:layout>
        <c:manualLayout>
          <c:xMode val="edge"/>
          <c:yMode val="edge"/>
          <c:x val="0.22912489063867017"/>
          <c:y val="4.629629629629629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3.0555555555555454E-2"/>
                  <c:y val="-2.77777777777778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A17-4084-816B-E1B1F8E4023D}"/>
                </c:ext>
              </c:extLst>
            </c:dLbl>
            <c:dLbl>
              <c:idx val="1"/>
              <c:layout>
                <c:manualLayout>
                  <c:x val="6.3888888888888787E-2"/>
                  <c:y val="-5.55555555555555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A17-4084-816B-E1B1F8E4023D}"/>
                </c:ext>
              </c:extLst>
            </c:dLbl>
            <c:dLbl>
              <c:idx val="2"/>
              <c:layout>
                <c:manualLayout>
                  <c:x val="9.6315916205152903E-3"/>
                  <c:y val="-4.11326468806784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A17-4084-816B-E1B1F8E4023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CONCENT!$G$2:$G$4</c:f>
              <c:strCache>
                <c:ptCount val="3"/>
                <c:pt idx="0">
                  <c:v>COOPERATIVA MULTIACTIVA COOTREGUA</c:v>
                </c:pt>
                <c:pt idx="1">
                  <c:v>CORPORACION INTERACTUAR</c:v>
                </c:pt>
                <c:pt idx="2">
                  <c:v>BCO. MUNDO MUJER S.A.</c:v>
                </c:pt>
              </c:strCache>
            </c:strRef>
          </c:cat>
          <c:val>
            <c:numRef>
              <c:f>CONCENT!$H$2:$H$4</c:f>
              <c:numCache>
                <c:formatCode>General</c:formatCode>
                <c:ptCount val="3"/>
                <c:pt idx="0">
                  <c:v>6</c:v>
                </c:pt>
                <c:pt idx="1">
                  <c:v>101</c:v>
                </c:pt>
                <c:pt idx="2">
                  <c:v>599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A17-4084-816B-E1B1F8E4023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08130928"/>
        <c:axId val="308128432"/>
        <c:axId val="0"/>
      </c:bar3DChart>
      <c:catAx>
        <c:axId val="3081309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308128432"/>
        <c:crosses val="autoZero"/>
        <c:auto val="1"/>
        <c:lblAlgn val="ctr"/>
        <c:lblOffset val="100"/>
        <c:noMultiLvlLbl val="0"/>
      </c:catAx>
      <c:valAx>
        <c:axId val="30812843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3081309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s-CO"/>
        </a:p>
      </c:txPr>
    </c:title>
    <c:autoTitleDeleted val="0"/>
    <c:plotArea>
      <c:layout/>
      <c:lineChart>
        <c:grouping val="stacked"/>
        <c:varyColors val="0"/>
        <c:ser>
          <c:idx val="0"/>
          <c:order val="0"/>
          <c:tx>
            <c:strRef>
              <c:f>ACUMULADO!$D$1</c:f>
              <c:strCache>
                <c:ptCount val="1"/>
                <c:pt idx="0">
                  <c:v>desembolso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numRef>
              <c:f>ACUMULADO!$C$2:$C$15</c:f>
              <c:numCache>
                <c:formatCode>mmm\-yy</c:formatCode>
                <c:ptCount val="14"/>
                <c:pt idx="0">
                  <c:v>45748</c:v>
                </c:pt>
                <c:pt idx="1">
                  <c:v>45778</c:v>
                </c:pt>
                <c:pt idx="2">
                  <c:v>45809</c:v>
                </c:pt>
                <c:pt idx="3">
                  <c:v>45839</c:v>
                </c:pt>
                <c:pt idx="4">
                  <c:v>45870</c:v>
                </c:pt>
                <c:pt idx="5">
                  <c:v>45901</c:v>
                </c:pt>
                <c:pt idx="6">
                  <c:v>45931</c:v>
                </c:pt>
                <c:pt idx="7">
                  <c:v>45962</c:v>
                </c:pt>
                <c:pt idx="8">
                  <c:v>45992</c:v>
                </c:pt>
                <c:pt idx="9">
                  <c:v>46023</c:v>
                </c:pt>
                <c:pt idx="10">
                  <c:v>46054</c:v>
                </c:pt>
                <c:pt idx="11">
                  <c:v>46082</c:v>
                </c:pt>
                <c:pt idx="12">
                  <c:v>46113</c:v>
                </c:pt>
                <c:pt idx="13">
                  <c:v>46143</c:v>
                </c:pt>
              </c:numCache>
            </c:numRef>
          </c:cat>
          <c:val>
            <c:numRef>
              <c:f>ACUMULADO!$D$2:$D$15</c:f>
            </c:numRef>
          </c:val>
          <c:smooth val="0"/>
          <c:extLst>
            <c:ext xmlns:c16="http://schemas.microsoft.com/office/drawing/2014/chart" uri="{C3380CC4-5D6E-409C-BE32-E72D297353CC}">
              <c16:uniqueId val="{00000000-8450-44C4-9F15-5C416FE31995}"/>
            </c:ext>
          </c:extLst>
        </c:ser>
        <c:ser>
          <c:idx val="1"/>
          <c:order val="1"/>
          <c:tx>
            <c:strRef>
              <c:f>ACUMULADO!$E$1</c:f>
              <c:strCache>
                <c:ptCount val="1"/>
                <c:pt idx="0">
                  <c:v>acumulado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5.3881949546901786E-2"/>
                  <c:y val="6.02539272649020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450-44C4-9F15-5C416FE31995}"/>
                </c:ext>
              </c:extLst>
            </c:dLbl>
            <c:dLbl>
              <c:idx val="1"/>
              <c:layout>
                <c:manualLayout>
                  <c:x val="-6.6127847171197643E-2"/>
                  <c:y val="-8.177318700236720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450-44C4-9F15-5C416FE31995}"/>
                </c:ext>
              </c:extLst>
            </c:dLbl>
            <c:dLbl>
              <c:idx val="2"/>
              <c:layout>
                <c:manualLayout>
                  <c:x val="-4.1636051922605971E-2"/>
                  <c:y val="6.88616311598880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450-44C4-9F15-5C416FE31995}"/>
                </c:ext>
              </c:extLst>
            </c:dLbl>
            <c:dLbl>
              <c:idx val="3"/>
              <c:layout>
                <c:manualLayout>
                  <c:x val="-4.1636051922605881E-2"/>
                  <c:y val="-9.898859479233913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8450-44C4-9F15-5C416FE31995}"/>
                </c:ext>
              </c:extLst>
            </c:dLbl>
            <c:dLbl>
              <c:idx val="4"/>
              <c:layout>
                <c:manualLayout>
                  <c:x val="2.4491795248591723E-3"/>
                  <c:y val="5.59500753174090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8450-44C4-9F15-5C416FE31995}"/>
                </c:ext>
              </c:extLst>
            </c:dLbl>
            <c:dLbl>
              <c:idx val="5"/>
              <c:layout>
                <c:manualLayout>
                  <c:x val="-3.6737692872887584E-2"/>
                  <c:y val="-9.46847428448461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8450-44C4-9F15-5C416FE31995}"/>
                </c:ext>
              </c:extLst>
            </c:dLbl>
            <c:dLbl>
              <c:idx val="6"/>
              <c:layout>
                <c:manualLayout>
                  <c:x val="0"/>
                  <c:y val="5.59500753174090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8450-44C4-9F15-5C416FE31995}"/>
                </c:ext>
              </c:extLst>
            </c:dLbl>
            <c:dLbl>
              <c:idx val="7"/>
              <c:layout>
                <c:manualLayout>
                  <c:x val="-5.3881949546901786E-2"/>
                  <c:y val="-0.1291155584247901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8450-44C4-9F15-5C416FE31995}"/>
                </c:ext>
              </c:extLst>
            </c:dLbl>
            <c:dLbl>
              <c:idx val="8"/>
              <c:layout>
                <c:manualLayout>
                  <c:x val="4.8983590497182544E-3"/>
                  <c:y val="5.16462233699160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8450-44C4-9F15-5C416FE31995}"/>
                </c:ext>
              </c:extLst>
            </c:dLbl>
            <c:dLbl>
              <c:idx val="9"/>
              <c:layout>
                <c:manualLayout>
                  <c:x val="-5.1432770022042613E-2"/>
                  <c:y val="-0.1205078545298042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8450-44C4-9F15-5C416FE31995}"/>
                </c:ext>
              </c:extLst>
            </c:dLbl>
            <c:dLbl>
              <c:idx val="10"/>
              <c:layout>
                <c:manualLayout>
                  <c:x val="7.3475385745774271E-3"/>
                  <c:y val="5.16462233699160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8450-44C4-9F15-5C416FE31995}"/>
                </c:ext>
              </c:extLst>
            </c:dLbl>
            <c:dLbl>
              <c:idx val="11"/>
              <c:layout>
                <c:manualLayout>
                  <c:x val="-8.5721283370071122E-2"/>
                  <c:y val="-8.17731870023671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8450-44C4-9F15-5C416FE31995}"/>
                </c:ext>
              </c:extLst>
            </c:dLbl>
            <c:dLbl>
              <c:idx val="12"/>
              <c:layout>
                <c:manualLayout>
                  <c:x val="0"/>
                  <c:y val="6.45577792123950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8450-44C4-9F15-5C416FE31995}"/>
                </c:ext>
              </c:extLst>
            </c:dLbl>
            <c:dLbl>
              <c:idx val="13"/>
              <c:layout>
                <c:manualLayout>
                  <c:x val="-1.7960442368404397E-16"/>
                  <c:y val="-7.31654831073811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8450-44C4-9F15-5C416FE3199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ACUMULADO!$C$2:$C$15</c:f>
              <c:numCache>
                <c:formatCode>mmm\-yy</c:formatCode>
                <c:ptCount val="14"/>
                <c:pt idx="0">
                  <c:v>45748</c:v>
                </c:pt>
                <c:pt idx="1">
                  <c:v>45778</c:v>
                </c:pt>
                <c:pt idx="2">
                  <c:v>45809</c:v>
                </c:pt>
                <c:pt idx="3">
                  <c:v>45839</c:v>
                </c:pt>
                <c:pt idx="4">
                  <c:v>45870</c:v>
                </c:pt>
                <c:pt idx="5">
                  <c:v>45901</c:v>
                </c:pt>
                <c:pt idx="6">
                  <c:v>45931</c:v>
                </c:pt>
                <c:pt idx="7">
                  <c:v>45962</c:v>
                </c:pt>
                <c:pt idx="8">
                  <c:v>45992</c:v>
                </c:pt>
                <c:pt idx="9">
                  <c:v>46023</c:v>
                </c:pt>
                <c:pt idx="10">
                  <c:v>46054</c:v>
                </c:pt>
                <c:pt idx="11">
                  <c:v>46082</c:v>
                </c:pt>
                <c:pt idx="12">
                  <c:v>46113</c:v>
                </c:pt>
                <c:pt idx="13">
                  <c:v>46143</c:v>
                </c:pt>
              </c:numCache>
            </c:numRef>
          </c:cat>
          <c:val>
            <c:numRef>
              <c:f>ACUMULADO!$E$2:$E$15</c:f>
              <c:numCache>
                <c:formatCode>_-"$"\ * #,##0_-;\-"$"\ * #,##0_-;_-"$"\ * "-"??_-;_-@_-</c:formatCode>
                <c:ptCount val="14"/>
                <c:pt idx="0">
                  <c:v>23108731321</c:v>
                </c:pt>
                <c:pt idx="1">
                  <c:v>25230705821</c:v>
                </c:pt>
                <c:pt idx="2">
                  <c:v>25647618821</c:v>
                </c:pt>
                <c:pt idx="3">
                  <c:v>26599025341</c:v>
                </c:pt>
                <c:pt idx="4">
                  <c:v>27003960341</c:v>
                </c:pt>
                <c:pt idx="5">
                  <c:v>27203960341</c:v>
                </c:pt>
                <c:pt idx="6">
                  <c:v>27595960341</c:v>
                </c:pt>
                <c:pt idx="7">
                  <c:v>28156592841</c:v>
                </c:pt>
                <c:pt idx="8">
                  <c:v>36410492841</c:v>
                </c:pt>
                <c:pt idx="9">
                  <c:v>40764686341</c:v>
                </c:pt>
                <c:pt idx="10">
                  <c:v>53992544218</c:v>
                </c:pt>
                <c:pt idx="11">
                  <c:v>58913674211</c:v>
                </c:pt>
                <c:pt idx="12">
                  <c:v>58913674211</c:v>
                </c:pt>
                <c:pt idx="13">
                  <c:v>59069664211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F-8450-44C4-9F15-5C416FE3199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53866896"/>
        <c:axId val="253871888"/>
      </c:lineChart>
      <c:dateAx>
        <c:axId val="253866896"/>
        <c:scaling>
          <c:orientation val="minMax"/>
        </c:scaling>
        <c:delete val="0"/>
        <c:axPos val="b"/>
        <c:numFmt formatCode="mmm\-yy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3871888"/>
        <c:crosses val="autoZero"/>
        <c:auto val="1"/>
        <c:lblOffset val="100"/>
        <c:baseTimeUnit val="months"/>
      </c:dateAx>
      <c:valAx>
        <c:axId val="2538718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-&quot;$&quot;\ * #,##0_-;\-&quot;$&quot;\ * #,##0_-;_-&quot;$&quot;\ * &quot;-&quot;??_-;_-@_-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CO"/>
          </a:p>
        </c:txPr>
        <c:crossAx val="253866896"/>
        <c:crosses val="autoZero"/>
        <c:crossBetween val="between"/>
        <c:dispUnits>
          <c:builtInUnit val="millions"/>
          <c:dispUnitsLbl>
            <c:spPr>
              <a:noFill/>
              <a:ln>
                <a:noFill/>
              </a:ln>
              <a:effectLst/>
            </c:spPr>
            <c:txPr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s-CO"/>
              </a:p>
            </c:txPr>
          </c:dispUnitsLbl>
        </c:dispUnits>
      </c:valAx>
      <c:spPr>
        <a:noFill/>
        <a:ln>
          <a:noFill/>
        </a:ln>
        <a:effectLst/>
      </c:spPr>
    </c:plotArea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s-CO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DA887-B4F1-4978-A3C1-835A148E9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1275</TotalTime>
  <Pages>7</Pages>
  <Words>938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Orozco Giraldo</dc:creator>
  <cp:keywords/>
  <dc:description/>
  <cp:lastModifiedBy>Angie Lorena Murcia Currea - Cont</cp:lastModifiedBy>
  <cp:revision>80</cp:revision>
  <cp:lastPrinted>2026-05-20T14:47:00Z</cp:lastPrinted>
  <dcterms:created xsi:type="dcterms:W3CDTF">2026-03-16T21:10:00Z</dcterms:created>
  <dcterms:modified xsi:type="dcterms:W3CDTF">2026-07-06T15:55:00Z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30ae86aa-7763-4a15-b993-0884f858e0a5</vt:lpwstr>
  </property>
</Properties>
</file>