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ahoma" w:hAnsi="Tahoma" w:cs="Tahoma"/>
          <w:b/>
          <w:bCs/>
          <w:sz w:val="22"/>
          <w:szCs w:val="22"/>
          <w:lang w:val="es-ES_tradnl"/>
        </w:rPr>
      </w:pPr>
      <w:r>
        <w:rPr>
          <w:rFonts w:cs="Tahoma" w:ascii="Tahoma" w:hAnsi="Tahoma"/>
          <w:b/>
          <w:bCs/>
          <w:sz w:val="22"/>
          <w:szCs w:val="22"/>
          <w:lang w:val="es-ES_tradnl"/>
        </w:rPr>
      </w:r>
    </w:p>
    <w:p>
      <w:pPr>
        <w:pStyle w:val="Normal"/>
        <w:jc w:val="center"/>
        <w:rPr>
          <w:rFonts w:ascii="Tahoma" w:hAnsi="Tahoma" w:eastAsia="Calibri" w:cs="Tahoma"/>
          <w:b/>
          <w:sz w:val="22"/>
          <w:szCs w:val="22"/>
          <w:lang w:eastAsia="en-US"/>
        </w:rPr>
      </w:pPr>
      <w:r>
        <w:rPr>
          <w:rFonts w:eastAsia="Calibri" w:cs="Arial" w:ascii="Arial Narrow" w:hAnsi="Arial Narrow"/>
          <w:b/>
          <w:color w:val="000000"/>
          <w:sz w:val="22"/>
          <w:szCs w:val="22"/>
          <w:lang w:eastAsia="es-CO"/>
        </w:rPr>
        <w:t>INSTITUCIÓN UNIVERSITARIA DE SAN ANDRÉS, PROVIDENCIA Y SANTA CATALINA – IUSAI</w:t>
      </w:r>
    </w:p>
    <w:p>
      <w:pPr>
        <w:pStyle w:val="Normal"/>
        <w:jc w:val="center"/>
        <w:rPr>
          <w:rFonts w:ascii="Tahoma" w:hAnsi="Tahoma" w:eastAsia="Calibri" w:cs="Tahoma"/>
          <w:b/>
          <w:sz w:val="22"/>
          <w:szCs w:val="22"/>
          <w:lang w:eastAsia="en-US"/>
        </w:rPr>
      </w:pPr>
      <w:r>
        <w:rPr>
          <w:rFonts w:eastAsia="Calibri" w:cs="Tahoma" w:ascii="Tahoma" w:hAnsi="Tahoma"/>
          <w:b/>
          <w:sz w:val="22"/>
          <w:szCs w:val="22"/>
          <w:lang w:eastAsia="en-US"/>
        </w:rPr>
      </w:r>
    </w:p>
    <w:p>
      <w:pPr>
        <w:pStyle w:val="Normal"/>
        <w:jc w:val="center"/>
        <w:rPr>
          <w:rFonts w:ascii="Tahoma" w:hAnsi="Tahoma" w:cs="Tahoma"/>
          <w:b/>
          <w:bCs/>
          <w:sz w:val="22"/>
          <w:szCs w:val="22"/>
          <w:lang w:val="es-ES_tradnl"/>
        </w:rPr>
      </w:pPr>
      <w:r>
        <w:rPr>
          <w:rFonts w:cs="Tahoma" w:ascii="Tahoma" w:hAnsi="Tahoma"/>
          <w:b/>
          <w:bCs/>
          <w:sz w:val="22"/>
          <w:szCs w:val="22"/>
          <w:lang w:val="es-ES_tradnl"/>
        </w:rPr>
      </w:r>
    </w:p>
    <w:p>
      <w:pPr>
        <w:pStyle w:val="Normal"/>
        <w:jc w:val="center"/>
        <w:rPr>
          <w:rFonts w:ascii="Tahoma" w:hAnsi="Tahoma" w:cs="Tahoma"/>
          <w:b/>
          <w:bCs/>
          <w:lang w:val="es-ES_tradnl"/>
        </w:rPr>
      </w:pPr>
      <w:r>
        <w:rPr>
          <w:rFonts w:cs="Tahoma" w:ascii="Tahoma" w:hAnsi="Tahoma"/>
          <w:b/>
          <w:bCs/>
          <w:lang w:val="es-ES_tradnl"/>
        </w:rPr>
        <w:t>SEGURO DE RESPONSABILIDAD CIVIL EXTRACONTRACTUAL</w:t>
      </w:r>
    </w:p>
    <w:p>
      <w:pPr>
        <w:pStyle w:val="Normal"/>
        <w:jc w:val="center"/>
        <w:rPr>
          <w:rFonts w:ascii="Tahoma" w:hAnsi="Tahoma" w:cs="Tahoma"/>
          <w:b/>
          <w:bCs/>
          <w:sz w:val="22"/>
          <w:szCs w:val="22"/>
          <w:lang w:val="es-ES_tradnl"/>
        </w:rPr>
      </w:pPr>
      <w:r>
        <w:rPr>
          <w:rFonts w:cs="Tahoma" w:ascii="Tahoma" w:hAnsi="Tahoma"/>
          <w:b/>
          <w:bCs/>
          <w:sz w:val="22"/>
          <w:szCs w:val="22"/>
          <w:lang w:val="es-ES_tradnl"/>
        </w:rPr>
      </w:r>
    </w:p>
    <w:p>
      <w:pPr>
        <w:pStyle w:val="Normal"/>
        <w:jc w:val="center"/>
        <w:rPr>
          <w:rFonts w:ascii="Tahoma" w:hAnsi="Tahoma" w:cs="Tahoma"/>
          <w:b/>
          <w:bCs/>
          <w:sz w:val="22"/>
          <w:szCs w:val="22"/>
          <w:lang w:val="es-ES_tradnl"/>
        </w:rPr>
      </w:pPr>
      <w:r>
        <w:rPr>
          <w:rFonts w:cs="Tahoma" w:ascii="Tahoma" w:hAnsi="Tahoma"/>
          <w:b/>
          <w:bCs/>
          <w:sz w:val="22"/>
          <w:szCs w:val="22"/>
          <w:lang w:val="es-ES_tradnl"/>
        </w:rPr>
      </w:r>
    </w:p>
    <w:p>
      <w:pPr>
        <w:pStyle w:val="Normal"/>
        <w:jc w:val="both"/>
        <w:rPr>
          <w:rFonts w:ascii="Tahoma" w:hAnsi="Tahoma" w:cs="Tahoma"/>
          <w:b/>
          <w:bCs/>
          <w:sz w:val="22"/>
          <w:szCs w:val="22"/>
          <w:lang w:val="es-ES_tradnl"/>
        </w:rPr>
      </w:pPr>
      <w:r>
        <w:rPr>
          <w:rFonts w:cs="Tahoma" w:ascii="Tahoma" w:hAnsi="Tahoma"/>
          <w:b/>
          <w:bCs/>
          <w:sz w:val="22"/>
          <w:szCs w:val="22"/>
          <w:lang w:val="es-ES_tradnl"/>
        </w:rPr>
      </w:r>
    </w:p>
    <w:p>
      <w:pPr>
        <w:pStyle w:val="Normal"/>
        <w:jc w:val="both"/>
        <w:rPr>
          <w:rFonts w:ascii="Tahoma" w:hAnsi="Tahoma" w:cs="Tahoma"/>
          <w:sz w:val="22"/>
          <w:szCs w:val="22"/>
          <w:lang w:val="es-ES_tradnl"/>
        </w:rPr>
      </w:pPr>
      <w:r>
        <w:rPr>
          <w:rFonts w:cs="Tahoma" w:ascii="Tahoma" w:hAnsi="Tahoma"/>
          <w:b/>
          <w:sz w:val="22"/>
          <w:szCs w:val="22"/>
          <w:lang w:val="es-ES_tradnl"/>
        </w:rPr>
        <w:t>OBJETO DEL SEGURO:</w:t>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rPr/>
      </w:pPr>
      <w:r>
        <w:t>Amparar los perjuicios patrimoniales que IUSAI sea legalmente obligada a indemnizar a terceros como consecuencia de Responsabilidad Civil Extracontractual originada dentro o fuera de sus instalaciones, en desarrollo de sus actividades o relacionada con ellas, incluidos los actos de sus empleados y funcionarios en el desarrollo normal de sus funciones, conforme a las condiciones de la póliza.</w:t>
      </w:r>
    </w:p>
    <w:p>
      <w:pPr>
        <w:pStyle w:val="Normal"/>
        <w:rPr>
          <w:rFonts w:ascii="Tahoma" w:hAnsi="Tahoma" w:cs="Tahoma"/>
          <w:sz w:val="22"/>
          <w:szCs w:val="22"/>
          <w:lang w:val="es-ES_tradnl"/>
        </w:rPr>
      </w:pPr>
      <w:r>
        <w:rPr>
          <w:rFonts w:cs="Tahoma" w:ascii="Tahoma" w:hAnsi="Tahoma"/>
          <w:sz w:val="22"/>
          <w:szCs w:val="22"/>
          <w:lang w:val="es-ES_tradnl"/>
        </w:rPr>
        <w:t>como consecuencia de la Responsabilidad Civil Extracontractual originada dentro ó fuera de sus instalaciones, en el desarrollo de sus actividades o relacionado con ellas, lo mismo que los actos de sus empleados y funcionarios en el desarrollo normal de sus actividades en su territorio.</w:t>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b/>
          <w:sz w:val="22"/>
          <w:szCs w:val="22"/>
          <w:lang w:val="es-ES_tradnl"/>
        </w:rPr>
      </w:pPr>
      <w:r>
        <w:rPr>
          <w:rFonts w:cs="Tahoma" w:ascii="Tahoma" w:hAnsi="Tahoma"/>
          <w:b/>
          <w:sz w:val="22"/>
          <w:szCs w:val="22"/>
          <w:lang w:val="es-ES_tradnl"/>
        </w:rPr>
        <w:t>COBERTURAS OBLIGATORIAS</w:t>
      </w:r>
    </w:p>
    <w:p>
      <w:pPr>
        <w:pStyle w:val="Normal"/>
        <w:jc w:val="both"/>
        <w:rPr>
          <w:rFonts w:ascii="Tahoma" w:hAnsi="Tahoma" w:cs="Tahoma"/>
          <w:b/>
          <w:sz w:val="22"/>
          <w:szCs w:val="22"/>
          <w:lang w:val="es-ES_tradnl"/>
        </w:rPr>
      </w:pPr>
      <w:r>
        <w:rPr>
          <w:rFonts w:cs="Tahoma" w:ascii="Tahoma" w:hAnsi="Tahoma"/>
          <w:b/>
          <w:sz w:val="22"/>
          <w:szCs w:val="22"/>
          <w:lang w:val="es-ES_tradnl"/>
        </w:rPr>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Predio Labores y Operaciones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Actividades deportivas y culturales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Contaminación accidental, súbita e imprevista, excluye contaminación paulatina</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Eventos sociales organizados por el asegurado</w:t>
        <w:tab/>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R. C. por Incendio y explosión</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La participación del asegurado en ferias y exposiciones nacionales.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Posesión y uso de depósitos, tanques y tuberías que se encuentren ubicados dentro de los predios asegurados.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Restaurantes y cafeterías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 xml:space="preserve">Uso de armas de fuego por parte de vigilantes </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Uso de ascensores, escaleras automáticas, montacargas, grúas y elevadores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Uso de avisos y vallas</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Uso de maquinaria y equipos de trabajo de cargue y descargue y de transporte de mercancías dentro de los predios.</w:t>
      </w:r>
    </w:p>
    <w:p>
      <w:pPr>
        <w:pStyle w:val="Normal"/>
        <w:jc w:val="both"/>
        <w:rPr>
          <w:rFonts w:ascii="Tahoma" w:hAnsi="Tahoma" w:cs="Tahoma"/>
          <w:b/>
          <w:sz w:val="22"/>
          <w:szCs w:val="22"/>
          <w:lang w:val="es-ES_tradnl"/>
        </w:rPr>
      </w:pPr>
      <w:r>
        <w:rPr>
          <w:rFonts w:cs="Tahoma" w:ascii="Tahoma" w:hAnsi="Tahoma"/>
          <w:b/>
          <w:sz w:val="22"/>
          <w:szCs w:val="22"/>
          <w:lang w:val="es-ES_tradnl"/>
        </w:rPr>
      </w:r>
    </w:p>
    <w:p>
      <w:pPr>
        <w:pStyle w:val="Normal"/>
        <w:jc w:val="both"/>
        <w:rPr>
          <w:rFonts w:ascii="Tahoma" w:hAnsi="Tahoma" w:cs="Tahoma"/>
          <w:b/>
          <w:sz w:val="22"/>
          <w:szCs w:val="22"/>
          <w:lang w:val="es-ES_tradnl"/>
        </w:rPr>
      </w:pPr>
      <w:r>
        <w:rPr>
          <w:rFonts w:cs="Tahoma" w:ascii="Tahoma" w:hAnsi="Tahoma"/>
          <w:b/>
          <w:sz w:val="22"/>
          <w:szCs w:val="22"/>
          <w:lang w:val="es-ES_tradnl"/>
        </w:rPr>
        <w:t>CLAUSULAS ADICIONALES OBLIGATORIAS</w:t>
      </w:r>
    </w:p>
    <w:p>
      <w:pPr>
        <w:pStyle w:val="Normal"/>
        <w:jc w:val="both"/>
        <w:rPr>
          <w:rFonts w:ascii="Tahoma" w:hAnsi="Tahoma" w:cs="Tahoma"/>
          <w:b/>
          <w:sz w:val="22"/>
          <w:szCs w:val="22"/>
          <w:lang w:val="es-ES_tradnl"/>
        </w:rPr>
      </w:pPr>
      <w:r>
        <w:rPr>
          <w:rFonts w:cs="Tahoma" w:ascii="Tahoma" w:hAnsi="Tahoma"/>
          <w:b/>
          <w:sz w:val="22"/>
          <w:szCs w:val="22"/>
          <w:lang w:val="es-ES_tradnl"/>
        </w:rPr>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Contratistas y subcontratistas independientes, sublimite hasta el 10% del límite asegurado.</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Gastos médicos, incluyendo personal del asegurado, sublimite hasta el 5% del límite asegurado por evento, 20% del límite asegurado por vigencia</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R.C. Parqueaderos, sublimite hasta el 5% del límite asegurado por evento, 30% del límite asegurado por vigencia</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R. C Patronal en exceso de las prestaciones sociales, sublimite hasta el 5% del límite asegurado por evento, 20% del límite asegurado por vigencia</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Responsabilidad civil cruzada</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 xml:space="preserve">Vehículos propios y no propios </w:t>
      </w:r>
    </w:p>
    <w:p>
      <w:pPr>
        <w:pStyle w:val="Normal"/>
        <w:numPr>
          <w:ilvl w:val="0"/>
          <w:numId w:val="2"/>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Bienes bajo cuidado, tenencia, control y custodia</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Amparo por  actos de empleados o funcionarios (en el desarrollo normal de las actividades del asegurado), excluye la responsabilidad civil personal</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Conocimiento del riesgo</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Designación de ajustadores</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Gastos de defensa – sublímite de $10.000.000 evento / vigencia</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 xml:space="preserve">Indemnización por clara evidencia sin que exista previo fallo judicial </w:t>
        <w:tab/>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Propietarios, arrendatarios o poseedores para cubrir cualquier gasto que legalmente deba pagar la Entidad, por la responsabilidad civil que llegare a imputársele en su calidad de arrendatario o poseedor</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Valor de cauciones requeridas por un proceso generado con ocasión de un evento cubierto por la póliza</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Valores de condenas en costas e intereses.</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Amparo automático de nuevos predios y operaciones</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Anticipo de Indemnización hasta el 50%</w:t>
      </w:r>
    </w:p>
    <w:p>
      <w:pPr>
        <w:pStyle w:val="Normal"/>
        <w:numPr>
          <w:ilvl w:val="0"/>
          <w:numId w:val="3"/>
        </w:numPr>
        <w:tabs>
          <w:tab w:val="clear" w:pos="708"/>
          <w:tab w:val="left" w:pos="0" w:leader="none"/>
        </w:tabs>
        <w:suppressAutoHyphens w:val="false"/>
        <w:ind w:hanging="567" w:left="567" w:right="0"/>
        <w:jc w:val="both"/>
        <w:rPr>
          <w:rFonts w:ascii="Tahoma" w:hAnsi="Tahoma" w:cs="Tahoma"/>
          <w:sz w:val="22"/>
          <w:szCs w:val="22"/>
          <w:lang w:val="es-ES_tradnl"/>
        </w:rPr>
      </w:pPr>
      <w:r>
        <w:rPr>
          <w:rFonts w:cs="Tahoma" w:ascii="Tahoma" w:hAnsi="Tahoma"/>
          <w:sz w:val="22"/>
          <w:szCs w:val="22"/>
          <w:lang w:val="es-ES_tradnl"/>
        </w:rPr>
        <w:t xml:space="preserve">Errores y omisiones no intencionales </w:t>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b/>
          <w:sz w:val="22"/>
          <w:szCs w:val="22"/>
          <w:lang w:val="es-ES_tradnl"/>
        </w:rPr>
      </w:pPr>
      <w:r>
        <w:rPr>
          <w:rFonts w:cs="Tahoma" w:ascii="Tahoma" w:hAnsi="Tahoma"/>
          <w:b/>
          <w:sz w:val="22"/>
          <w:szCs w:val="22"/>
          <w:lang w:val="es-ES_tradnl"/>
        </w:rPr>
        <w:t>LIMITES MAXIMOS DE VALORES ASEGURADOS</w:t>
      </w:r>
    </w:p>
    <w:p>
      <w:pPr>
        <w:pStyle w:val="Normal"/>
        <w:jc w:val="both"/>
        <w:rPr>
          <w:rFonts w:ascii="Tahoma" w:hAnsi="Tahoma" w:cs="Tahoma"/>
          <w:b/>
          <w:sz w:val="22"/>
          <w:szCs w:val="22"/>
          <w:lang w:val="es-ES_tradnl"/>
        </w:rPr>
      </w:pPr>
      <w:r>
        <w:rPr>
          <w:rFonts w:cs="Tahoma" w:ascii="Tahoma" w:hAnsi="Tahoma"/>
          <w:b/>
          <w:sz w:val="22"/>
          <w:szCs w:val="22"/>
          <w:lang w:val="es-ES_tradnl"/>
        </w:rPr>
      </w:r>
    </w:p>
    <w:p>
      <w:pPr>
        <w:pStyle w:val="Normal"/>
        <w:jc w:val="both"/>
        <w:rPr/>
      </w:pPr>
      <w:r>
        <w:t>LÍMITE VALOR ASEGURADO: $300.000.000.</w:t>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sz w:val="22"/>
          <w:szCs w:val="22"/>
          <w:lang w:val="es-ES_tradnl"/>
        </w:rPr>
      </w:pPr>
      <w:r>
        <w:rPr>
          <w:rFonts w:cs="Tahoma" w:ascii="Tahoma" w:hAnsi="Tahoma"/>
          <w:sz w:val="22"/>
          <w:szCs w:val="22"/>
          <w:lang w:val="es-ES_tradnl"/>
        </w:rPr>
      </w:r>
    </w:p>
    <w:p>
      <w:pPr>
        <w:pStyle w:val="Normal"/>
        <w:jc w:val="both"/>
        <w:rPr>
          <w:rFonts w:ascii="Tahoma" w:hAnsi="Tahoma" w:cs="Tahoma"/>
          <w:sz w:val="22"/>
          <w:szCs w:val="22"/>
          <w:lang w:val="es-ES_tradnl"/>
        </w:rPr>
      </w:pPr>
      <w:r>
        <w:rPr>
          <w:rFonts w:eastAsia="Tahoma" w:cs="Tahoma" w:ascii="Tahoma" w:hAnsi="Tahoma"/>
          <w:sz w:val="22"/>
          <w:szCs w:val="22"/>
          <w:lang w:val="es-ES_tradnl"/>
        </w:rPr>
        <w:t xml:space="preserve">    </w:t>
      </w:r>
    </w:p>
    <w:p>
      <w:pPr>
        <w:pStyle w:val="Normal"/>
        <w:jc w:val="both"/>
        <w:rPr>
          <w:rFonts w:ascii="Tahoma" w:hAnsi="Tahoma" w:cs="Tahoma"/>
          <w:b/>
          <w:sz w:val="22"/>
          <w:szCs w:val="22"/>
        </w:rPr>
      </w:pPr>
      <w:r>
        <w:rPr>
          <w:rFonts w:cs="Tahoma" w:ascii="Tahoma" w:hAnsi="Tahoma"/>
          <w:b/>
          <w:sz w:val="22"/>
          <w:szCs w:val="22"/>
        </w:rPr>
        <w:t>DEDUCIBLES</w:t>
      </w:r>
    </w:p>
    <w:p>
      <w:pPr>
        <w:pStyle w:val="Normal"/>
        <w:jc w:val="both"/>
        <w:rPr>
          <w:rFonts w:ascii="Tahoma" w:hAnsi="Tahoma" w:cs="Tahoma"/>
          <w:b/>
          <w:sz w:val="22"/>
          <w:szCs w:val="22"/>
        </w:rPr>
      </w:pPr>
      <w:r>
        <w:rPr>
          <w:rFonts w:cs="Tahoma" w:ascii="Tahoma" w:hAnsi="Tahoma"/>
          <w:b/>
          <w:sz w:val="22"/>
          <w:szCs w:val="22"/>
        </w:rPr>
      </w:r>
    </w:p>
    <w:p>
      <w:pPr>
        <w:pStyle w:val="Normal"/>
        <w:jc w:val="both"/>
        <w:rPr/>
      </w:pPr>
      <w:r>
        <w:rPr>
          <w:rFonts w:cs="Tahoma" w:ascii="Tahoma" w:hAnsi="Tahoma"/>
          <w:b/>
          <w:sz w:val="22"/>
          <w:szCs w:val="22"/>
        </w:rPr>
        <w:t>Responsabilidad Civil Extracontractual:</w:t>
      </w:r>
      <w:r>
        <w:rPr>
          <w:rFonts w:cs="Tahoma" w:ascii="Tahoma" w:hAnsi="Tahoma"/>
          <w:sz w:val="22"/>
          <w:szCs w:val="22"/>
        </w:rPr>
        <w:t xml:space="preserve"> 10% de la pérdida, mínimo 1 SMMLV, Gastos médicos: Sin Deducibles</w:t>
      </w:r>
    </w:p>
    <w:p>
      <w:r>
        <w:t>VIGENCIA TÉCNICA: La vigencia técnica de las pólizas será de trescientos sesenta y cinco (365) días, durante las veinticuatro (24) horas, contados desde la fecha y hora de inicio de cobertura establecida por IUSAI.</w:t>
      </w:r>
    </w:p>
    <w:p>
      <w:pPr>
        <w:pageBreakBefore/>
      </w:pPr>
      <w:r>
        <w:rPr>
          <w:b/>
        </w:rPr>
        <w:t>CONDICIONES ADMINISTRATIVAS</w:t>
      </w:r>
    </w:p>
    <w:p>
      <w:pPr>
        <w:jc w:val="both"/>
      </w:pPr>
      <w:r>
        <w:t>PLAZO DE EJECUCIÓN CONTRACTUAL: El plazo de ejecución contractual será de trescientos sesenta y cinco (365) días calendario, contados a partir de la fecha y hora de inicio de vigencia señalada en las pólizas, una vez cumplidos los requisitos de perfeccionamiento y ejecución. La aseguradora deberá expedir, suscribir y entregar las pólizas, carátulas, anexos y certificados dentro de los cinco (5) días hábiles siguientes al inicio de la ejecución contractual. Este término de entrega no reduce ni modifica la vigencia técnica de las coberturas, que será de trescientos sesenta y cinco (365) días.</w:t>
      </w:r>
    </w:p>
    <w:p>
      <w:pPr>
        <w:jc w:val="both"/>
      </w:pPr>
      <w:r>
        <w:t>FORMA DE PAGO: La INSTITUCIÓN UNIVERSITARIA DE SAN ANDRÉS, PROVIDENCIA Y SANTA CATALINA – IUSAI pagará al contratista en un (1) único pago equivalente al cien por ciento (100%) del valor del contrato, contra entrega, una vez la aseguradora haya expedido, suscrito y entregado a la Entidad la totalidad de las pólizas, carátulas, anexos, certificados y demás documentos exigidos, previa verificación y recibo a satisfacción por parte del supervisor. El pago se efectuará dentro de los treinta (30) días calendario siguientes a la radicación de la factura electrónica o documento equivalente, acompañada del recibo a satisfacción y de los soportes de cumplimiento de las obligaciones frente al Sistema de Seguridad Social Integral y aportes parafiscales, cuando haya lugar, y estará sujeto a la disponibilidad del Programa Anual Mensualizado de Caja – PAC. No se reconocerán anticipos ni pagos parciales por la mera expedición de notas de cobertura.</w:t>
      </w:r>
    </w:p>
    <w:sectPr>
      <w:footerReference w:type="default" r:id="rId2"/>
      <w:headerReference w:type="default" r:id="rId7"/>
      <w:type w:val="nextPage"/>
      <w:pgSz w:w="12240" w:h="15840"/>
      <w:pgMar w:left="1985" w:right="1701" w:gutter="0" w:header="0" w:top="1418" w:footer="23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Calibri">
    <w:charset w:val="00"/>
    <w:family w:val="swiss"/>
    <w:pitch w:val="variable"/>
  </w:font>
  <w:font w:name="Tahoma">
    <w:charset w:val="00"/>
    <w:family w:val="swiss"/>
    <w:pitch w:val="variable"/>
  </w:font>
  <w:font w:name="Liberation Sans">
    <w:altName w:val="Arial"/>
    <w:charset w:val="00"/>
    <w:family w:val="swiss"/>
    <w:pitch w:val="variable"/>
  </w:font>
  <w:font w:name="Arial Narrow">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w:t>
    </w:r>
    <w:r>
      <w:rPr/>
      <w:fldChar w:fldCharType="end"/>
    </w:r>
  </w:p>
  <w:p>
    <w:pPr>
      <w:pStyle w:val="Footer"/>
      <w:rPr/>
    </w:pPr>
    <w:r>
      <w:r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720" w:hanging="360"/>
      </w:pPr>
    </w:lvl>
    <w:lvl w:ilvl="1">
      <w:start w:val="1"/>
      <w:isLgl/>
      <w:numFmt w:val="decimal"/>
      <w:lvlText w:val="%1.%2."/>
      <w:lvlJc w:val="left"/>
      <w:pPr>
        <w:tabs>
          <w:tab w:val="num" w:pos="0"/>
        </w:tabs>
        <w:ind w:left="1080" w:hanging="720"/>
      </w:pPr>
      <w:rPr>
        <w:b/>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440" w:hanging="108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800" w:hanging="144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2160" w:hanging="1800"/>
      </w:pPr>
      <w:rPr/>
    </w:lvl>
    <w:lvl w:ilvl="8">
      <w:start w:val="1"/>
      <w:isLgl/>
      <w:numFmt w:val="decimal"/>
      <w:lvlText w:val="%1.%2.%3.%4.%5.%6.%7.%8.%9."/>
      <w:lvlJc w:val="left"/>
      <w:pPr>
        <w:tabs>
          <w:tab w:val="num" w:pos="0"/>
        </w:tabs>
        <w:ind w:left="2520" w:hanging="2160"/>
      </w:pPr>
      <w:rPr/>
    </w:lvl>
  </w:abstractNum>
  <w:abstractNum w:abstractNumId="2">
    <w:lvl w:ilvl="0">
      <w:start w:val="1"/>
      <w:numFmt w:val="bullet"/>
      <w:lvlText w:val=""/>
      <w:lvlJc w:val="left"/>
      <w:pPr>
        <w:tabs>
          <w:tab w:val="num" w:pos="720"/>
        </w:tabs>
        <w:ind w:left="720" w:hanging="360"/>
      </w:pPr>
      <w:rPr>
        <w:rFonts w:ascii="Symbol" w:hAnsi="Symbol" w:cs="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0"/>
      <w:szCs w:val="20"/>
      <w:lang w:val="es-CO" w:eastAsia="zh-CN" w:bidi="ar-SA"/>
    </w:rPr>
  </w:style>
  <w:style w:type="paragraph" w:styleId="Heading1">
    <w:name w:val="heading 1"/>
    <w:basedOn w:val="Normal"/>
    <w:next w:val="Normal"/>
    <w:qFormat/>
    <w:pPr>
      <w:keepNext w:val="true"/>
      <w:numPr>
        <w:ilvl w:val="0"/>
        <w:numId w:val="1"/>
      </w:numPr>
      <w:suppressAutoHyphens w:val="false"/>
      <w:spacing w:before="240" w:after="60"/>
      <w:outlineLvl w:val="0"/>
    </w:pPr>
    <w:rPr>
      <w:rFonts w:ascii="Arial" w:hAnsi="Arial" w:cs="Arial"/>
      <w:b/>
      <w:kern w:val="2"/>
      <w:sz w:val="24"/>
      <w:lang w:val="es-ES_tradnl"/>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style>
  <w:style w:type="character" w:styleId="WW8Num4z0">
    <w:name w:val="WW8Num4z0"/>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1">
    <w:name w:val="WW8Num8z1"/>
    <w:qFormat/>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style>
  <w:style w:type="character" w:styleId="WW8Num12z0">
    <w:name w:val="WW8Num12z0"/>
    <w:qFormat/>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rFonts w:ascii="Symbol" w:hAnsi="Symbol" w:cs="Symbol"/>
    </w:rPr>
  </w:style>
  <w:style w:type="character" w:styleId="WW8Num16z0">
    <w:name w:val="WW8Num16z0"/>
    <w:qFormat/>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ascii="Symbol" w:hAnsi="Symbol" w:cs="Symbol"/>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1">
    <w:name w:val="WW8Num22z1"/>
    <w:qFormat/>
    <w:rPr>
      <w:b/>
    </w:rPr>
  </w:style>
  <w:style w:type="character" w:styleId="WW8Num22z2">
    <w:name w:val="WW8Num22z2"/>
    <w:qFormat/>
    <w:rPr/>
  </w:style>
  <w:style w:type="character" w:styleId="WW8Num23z0">
    <w:name w:val="WW8Num23z0"/>
    <w:qFormat/>
    <w:rPr>
      <w:rFonts w:ascii="Symbol" w:hAnsi="Symbol" w:cs="Symbol"/>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7z0">
    <w:name w:val="WW8Num27z0"/>
    <w:qFormat/>
    <w:rPr>
      <w:rFonts w:ascii="Symbol" w:hAnsi="Symbol" w:cs="Symbol"/>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Fuentedeprrafopredeter">
    <w:name w:val="Fuente de párrafo predeter."/>
    <w:qFormat/>
    <w:rPr/>
  </w:style>
  <w:style w:type="character" w:styleId="Ttulo1Car">
    <w:name w:val="Título 1 Car"/>
    <w:qFormat/>
    <w:rPr>
      <w:rFonts w:ascii="Arial" w:hAnsi="Arial" w:eastAsia="Times New Roman" w:cs="Arial"/>
      <w:b/>
      <w:kern w:val="2"/>
      <w:sz w:val="24"/>
      <w:lang w:val="es-ES_tradnl"/>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EncabezadoCar">
    <w:name w:val="Encabezado Car"/>
    <w:qFormat/>
    <w:rPr>
      <w:rFonts w:ascii="Times New Roman" w:hAnsi="Times New Roman" w:eastAsia="Times New Roman" w:cs="Times New Roman"/>
      <w:sz w:val="20"/>
      <w:szCs w:val="20"/>
      <w:lang w:eastAsia="zh-CN"/>
    </w:rPr>
  </w:style>
  <w:style w:type="character" w:styleId="PiedepginaCar">
    <w:name w:val="Pie de página Car"/>
    <w:qFormat/>
    <w:rPr>
      <w:rFonts w:ascii="Times New Roman" w:hAnsi="Times New Roman" w:eastAsia="Times New Roman" w:cs="Times New Roman"/>
      <w:sz w:val="20"/>
      <w:szCs w:val="20"/>
      <w:lang w:eastAsia="zh-CN"/>
    </w:rPr>
  </w:style>
  <w:style w:type="character" w:styleId="Textoindependiente2Car">
    <w:name w:val="Texto independiente 2 Car"/>
    <w:qFormat/>
    <w:rPr>
      <w:rFonts w:ascii="Times New Roman" w:hAnsi="Times New Roman" w:eastAsia="Times New Roman" w:cs="Times New Roman"/>
      <w:sz w:val="20"/>
      <w:szCs w:val="20"/>
      <w:lang w:eastAsia="zh-CN"/>
    </w:rPr>
  </w:style>
  <w:style w:type="character" w:styleId="PrrafodelistaCar">
    <w:name w:val="Párrafo de lista Car"/>
    <w:qFormat/>
    <w:rPr>
      <w:rFonts w:ascii="Calibri" w:hAnsi="Calibri" w:eastAsia="Calibri" w:cs="Times New Roman"/>
    </w:rPr>
  </w:style>
  <w:style w:type="character" w:styleId="TextoindependienteCar">
    <w:name w:val="Texto independiente Car"/>
    <w:qFormat/>
    <w:rPr>
      <w:rFonts w:ascii="Times New Roman" w:hAnsi="Times New Roman" w:eastAsia="Times New Roman" w:cs="Times New Roman"/>
      <w:sz w:val="20"/>
      <w:szCs w:val="20"/>
      <w:lang w:eastAsia="zh-CN"/>
    </w:rPr>
  </w:style>
  <w:style w:type="character" w:styleId="CarCar3">
    <w:name w:val="Car Car3"/>
    <w:qFormat/>
    <w:rPr>
      <w:lang w:val="es-CO"/>
    </w:rPr>
  </w:style>
  <w:style w:type="character" w:styleId="TextodegloboCar">
    <w:name w:val="Texto de globo Car"/>
    <w:qFormat/>
    <w:rPr>
      <w:rFonts w:ascii="Tahoma" w:hAnsi="Tahoma" w:eastAsia="Times New Roman" w:cs="Times New Roman"/>
      <w:sz w:val="16"/>
      <w:szCs w:val="16"/>
      <w:lang w:val="es-ES"/>
    </w:rPr>
  </w:style>
  <w:style w:type="character" w:styleId="TextosinformatoCar">
    <w:name w:val="Texto sin formato Car"/>
    <w:qFormat/>
    <w:rPr>
      <w:rFonts w:ascii="Courier New" w:hAnsi="Courier New" w:eastAsia="Times New Roman" w:cs="Times New Roman"/>
      <w:sz w:val="20"/>
      <w:szCs w:val="20"/>
      <w:lang w:val="es-ES_tradnl"/>
    </w:rPr>
  </w:style>
  <w:style w:type="character" w:styleId="apple-converted-space">
    <w:name w:val="apple-converted-space"/>
    <w:basedOn w:val="Fuentedeprrafopredeter"/>
    <w:qFormat/>
    <w:rPr/>
  </w:style>
  <w:style w:type="character" w:styleId="Emphasis">
    <w:name w:val="Emphasis"/>
    <w:qFormat/>
    <w:rPr>
      <w:i/>
      <w:iCs/>
    </w:rPr>
  </w:style>
  <w:style w:type="character" w:styleId="WW8Num5z0">
    <w:name w:val="WW8Num5z0"/>
    <w:qFormat/>
    <w:rPr>
      <w:b/>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before="0" w:after="120"/>
    </w:pPr>
    <w:rPr/>
  </w:style>
  <w:style w:type="paragraph" w:styleId="List">
    <w:name w:val="List"/>
    <w:basedOn w:val="BodyText"/>
    <w:pPr>
      <w:spacing w:lineRule="auto" w:line="360" w:before="0" w:after="0"/>
      <w:jc w:val="both"/>
    </w:pPr>
    <w:rPr>
      <w:rFonts w:ascii="Arial" w:hAnsi="Arial" w:cs="Lohit Hindi;Times New Roman"/>
      <w:sz w:val="24"/>
      <w:szCs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Default">
    <w:name w:val="Default"/>
    <w:qFormat/>
    <w:pPr>
      <w:widowControl/>
      <w:suppressAutoHyphens w:val="true"/>
      <w:autoSpaceDE w:val="false"/>
      <w:bidi w:val="0"/>
    </w:pPr>
    <w:rPr>
      <w:rFonts w:ascii="Tahoma" w:hAnsi="Tahoma" w:eastAsia="Times New Roman" w:cs="Tahoma"/>
      <w:color w:val="000000"/>
      <w:sz w:val="24"/>
      <w:szCs w:val="24"/>
      <w:lang w:val="es-ES" w:eastAsia="zh-CN" w:bidi="ar-SA"/>
    </w:rPr>
  </w:style>
  <w:style w:type="paragraph" w:styleId="Prrafodelista">
    <w:name w:val="Párrafo de lista"/>
    <w:basedOn w:val="Normal"/>
    <w:qFormat/>
    <w:pPr>
      <w:suppressAutoHyphens w:val="false"/>
      <w:spacing w:before="0" w:after="200"/>
      <w:ind w:hanging="0" w:left="720" w:right="0"/>
      <w:contextualSpacing/>
      <w:jc w:val="both"/>
    </w:pPr>
    <w:rPr>
      <w:rFonts w:ascii="Calibri" w:hAnsi="Calibri" w:eastAsia="Calibri" w:cs="Calibri"/>
      <w:sz w:val="22"/>
      <w:szCs w:val="22"/>
    </w:rPr>
  </w:style>
  <w:style w:type="paragraph" w:styleId="Textoindependiente2">
    <w:name w:val="Texto independiente 2"/>
    <w:basedOn w:val="Normal"/>
    <w:qFormat/>
    <w:pPr>
      <w:spacing w:lineRule="auto" w:line="480" w:before="0" w:after="120"/>
    </w:pPr>
    <w:rPr/>
  </w:style>
  <w:style w:type="paragraph" w:styleId="Textopredeterminado">
    <w:name w:val="Texto predeterminado"/>
    <w:basedOn w:val="Normal"/>
    <w:qFormat/>
    <w:pPr>
      <w:suppressAutoHyphens w:val="false"/>
    </w:pPr>
    <w:rPr>
      <w:sz w:val="24"/>
    </w:rPr>
  </w:style>
  <w:style w:type="paragraph" w:styleId="Ttulo52">
    <w:name w:val="Título 52"/>
    <w:basedOn w:val="Normal"/>
    <w:qFormat/>
    <w:pPr>
      <w:keepNext w:val="true"/>
      <w:suppressAutoHyphens w:val="false"/>
      <w:jc w:val="center"/>
    </w:pPr>
    <w:rPr>
      <w:rFonts w:ascii="Arial" w:hAnsi="Arial" w:cs="Arial"/>
      <w:b/>
      <w:sz w:val="24"/>
    </w:rPr>
  </w:style>
  <w:style w:type="paragraph" w:styleId="Sinespaciado">
    <w:name w:val="Sin espaciado"/>
    <w:qFormat/>
    <w:pPr>
      <w:widowControl/>
      <w:bidi w:val="0"/>
    </w:pPr>
    <w:rPr>
      <w:rFonts w:ascii="Calibri" w:hAnsi="Calibri" w:eastAsia="Calibri" w:cs="Times New Roman"/>
      <w:color w:val="auto"/>
      <w:sz w:val="22"/>
      <w:szCs w:val="22"/>
      <w:lang w:val="es-CO" w:bidi="ar-SA" w:eastAsia="zh-CN"/>
    </w:rPr>
  </w:style>
  <w:style w:type="paragraph" w:styleId="Ttulo41">
    <w:name w:val="Título 41"/>
    <w:basedOn w:val="Normal"/>
    <w:qFormat/>
    <w:pPr>
      <w:keepNext w:val="true"/>
      <w:suppressAutoHyphens w:val="false"/>
      <w:ind w:hanging="0" w:left="285" w:right="0"/>
      <w:jc w:val="both"/>
    </w:pPr>
    <w:rPr>
      <w:rFonts w:ascii="Courier New" w:hAnsi="Courier New" w:cs="Courier New"/>
      <w:i/>
      <w:sz w:val="24"/>
    </w:rPr>
  </w:style>
  <w:style w:type="paragraph" w:styleId="Textodeglobo">
    <w:name w:val="Texto de globo"/>
    <w:basedOn w:val="Normal"/>
    <w:qFormat/>
    <w:pPr>
      <w:suppressAutoHyphens w:val="false"/>
    </w:pPr>
    <w:rPr>
      <w:rFonts w:ascii="Tahoma" w:hAnsi="Tahoma" w:cs="Tahoma"/>
      <w:sz w:val="16"/>
      <w:szCs w:val="16"/>
      <w:lang w:val="es-ES"/>
    </w:rPr>
  </w:style>
  <w:style w:type="paragraph" w:styleId="Sangra2detindependiente1">
    <w:name w:val="Sangría 2 de t. independiente1"/>
    <w:basedOn w:val="Normal"/>
    <w:qFormat/>
    <w:pPr>
      <w:suppressAutoHyphens w:val="false"/>
      <w:overflowPunct w:val="false"/>
      <w:autoSpaceDE w:val="false"/>
      <w:ind w:hanging="0" w:left="1410" w:right="0"/>
      <w:jc w:val="both"/>
      <w:textAlignment w:val="baseline"/>
    </w:pPr>
    <w:rPr>
      <w:rFonts w:ascii="Arial" w:hAnsi="Arial" w:cs="Arial"/>
      <w:sz w:val="24"/>
      <w:lang w:val="en-US"/>
    </w:rPr>
  </w:style>
  <w:style w:type="paragraph" w:styleId="Textosinformato">
    <w:name w:val="Texto sin formato"/>
    <w:basedOn w:val="Normal"/>
    <w:qFormat/>
    <w:pPr>
      <w:suppressAutoHyphens w:val="false"/>
    </w:pPr>
    <w:rPr>
      <w:rFonts w:ascii="Courier New" w:hAnsi="Courier New" w:cs="Courier New"/>
      <w:lang w:val="es-ES_tradnl"/>
    </w:rPr>
  </w:style>
  <w:style w:type="paragraph" w:styleId="NormalWeb">
    <w:name w:val="Normal (Web)"/>
    <w:basedOn w:val="Normal"/>
    <w:qFormat/>
    <w:pPr>
      <w:suppressAutoHyphens w:val="false"/>
      <w:spacing w:before="280" w:after="280"/>
    </w:pPr>
    <w:rPr>
      <w:sz w:val="24"/>
      <w:szCs w:val="24"/>
    </w:rPr>
  </w:style>
  <w:style w:type="paragraph" w:styleId="Ttulo31">
    <w:name w:val="Título 31"/>
    <w:basedOn w:val="Normal"/>
    <w:qFormat/>
    <w:pPr>
      <w:keepNext w:val="true"/>
      <w:suppressAutoHyphens w:val="false"/>
      <w:jc w:val="both"/>
    </w:pPr>
    <w:rPr>
      <w:rFonts w:ascii="Arial" w:hAnsi="Arial" w:cs="Arial"/>
      <w:b/>
      <w:sz w:val="24"/>
    </w:rPr>
  </w:style>
  <w:style w:type="paragraph" w:styleId="xxgmail-msolistparagraph">
    <w:name w:val="x_x_gmail-msolistparagraph"/>
    <w:basedOn w:val="Normal"/>
    <w:qFormat/>
    <w:pPr>
      <w:suppressAutoHyphens w:val="false"/>
      <w:spacing w:before="280" w:after="280"/>
    </w:pPr>
    <w:rPr>
      <w:sz w:val="24"/>
      <w:szCs w:val="24"/>
    </w:rPr>
  </w:style>
  <w:style w:type="paragraph" w:styleId="xxmsonormal">
    <w:name w:val="x_x_msonormal"/>
    <w:basedOn w:val="Normal"/>
    <w:qFormat/>
    <w:pPr>
      <w:suppressAutoHyphens w:val="false"/>
      <w:spacing w:before="280" w:after="280"/>
    </w:pPr>
    <w:rPr>
      <w:sz w:val="24"/>
      <w:szCs w:val="24"/>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header" Target="header1.xm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2023-05-26T22:11:00Z</dcterms:created>
  <dc:creator/>
  <dc:description/>
  <cp:keywords>IUSAI; seguros; contratación estatal; 2026</cp:keywords>
  <dc:language>en-US</dc:language>
  <cp:lastModifiedBy/>
  <cp:lastPrinted>2018-04-06T12:29:00Z</cp:lastPrinted>
  <dcterms:modified xsi:type="dcterms:W3CDTF">2024-07-23T18:23:00Z</dcterms:modified>
  <cp:revision>5</cp:revision>
  <dc:subject>Proceso de contratación de seguros IUSAI 2026</dc:subject>
  <dc:title>ANEXO TÉCNICO RCE – IUSAI 2026</dc:title>
  <cp:category>Contratación estatal</cp:category>
</cp:coreProperties>
</file>