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EE7C3" w14:textId="1E0CEF5B" w:rsidR="00CC295C" w:rsidRPr="00105187" w:rsidRDefault="00CC295C" w:rsidP="00437574">
      <w:pPr>
        <w:spacing w:after="0"/>
        <w:jc w:val="center"/>
        <w:rPr>
          <w:rFonts w:ascii="Verdana" w:hAnsi="Verdana"/>
          <w:b/>
          <w:bCs/>
          <w:color w:val="8A0000"/>
          <w:sz w:val="24"/>
          <w:szCs w:val="24"/>
          <w:lang w:val="es-CO"/>
        </w:rPr>
      </w:pPr>
      <w:bookmarkStart w:id="0" w:name="_Hlk225108813"/>
      <w:bookmarkEnd w:id="0"/>
      <w:r w:rsidRPr="00105187">
        <w:rPr>
          <w:rFonts w:ascii="Verdana" w:hAnsi="Verdana"/>
          <w:b/>
          <w:bCs/>
          <w:color w:val="8A0000"/>
          <w:sz w:val="24"/>
          <w:szCs w:val="24"/>
          <w:lang w:val="es-CO"/>
        </w:rPr>
        <w:t xml:space="preserve">Informe sobre línea de crédito Informe línea de crédito Cadena Productivas </w:t>
      </w:r>
      <w:r w:rsidR="008709D1" w:rsidRPr="00105187">
        <w:rPr>
          <w:rFonts w:ascii="Verdana" w:hAnsi="Verdana"/>
          <w:b/>
          <w:bCs/>
          <w:color w:val="8A0000"/>
          <w:sz w:val="24"/>
          <w:szCs w:val="24"/>
          <w:lang w:val="es-CO"/>
        </w:rPr>
        <w:t>MiPymes</w:t>
      </w:r>
    </w:p>
    <w:p w14:paraId="61DDD6CA" w14:textId="77777777" w:rsidR="00CC295C" w:rsidRPr="00105187" w:rsidRDefault="00CC295C" w:rsidP="00437574">
      <w:pPr>
        <w:spacing w:after="0"/>
        <w:jc w:val="center"/>
        <w:rPr>
          <w:rFonts w:ascii="Verdana" w:hAnsi="Verdana"/>
          <w:b/>
          <w:bCs/>
          <w:color w:val="8A0000"/>
          <w:sz w:val="24"/>
          <w:szCs w:val="24"/>
          <w:lang w:val="es-CO"/>
        </w:rPr>
      </w:pPr>
      <w:r w:rsidRPr="00105187">
        <w:rPr>
          <w:rFonts w:ascii="Verdana" w:hAnsi="Verdana"/>
          <w:b/>
          <w:bCs/>
          <w:color w:val="8A0000"/>
          <w:sz w:val="24"/>
          <w:szCs w:val="24"/>
          <w:lang w:val="es-CO"/>
        </w:rPr>
        <w:t>Dirección de MiPymes – Inclusión financiera</w:t>
      </w:r>
    </w:p>
    <w:p w14:paraId="1685F101" w14:textId="0753FF1B" w:rsidR="00CC295C" w:rsidRPr="00105187" w:rsidRDefault="003A0969" w:rsidP="00BF61E6">
      <w:pPr>
        <w:spacing w:after="0"/>
        <w:jc w:val="center"/>
        <w:rPr>
          <w:rFonts w:ascii="Verdana" w:hAnsi="Verdana"/>
          <w:b/>
          <w:bCs/>
          <w:color w:val="8A0000"/>
          <w:sz w:val="24"/>
          <w:szCs w:val="24"/>
          <w:lang w:val="es-CO"/>
        </w:rPr>
      </w:pPr>
      <w:r>
        <w:rPr>
          <w:rFonts w:ascii="Verdana" w:hAnsi="Verdana"/>
          <w:b/>
          <w:bCs/>
          <w:color w:val="8A0000"/>
          <w:sz w:val="24"/>
          <w:szCs w:val="24"/>
          <w:lang w:val="es-CO"/>
        </w:rPr>
        <w:t>Abril</w:t>
      </w:r>
      <w:r w:rsidR="00BF61E6">
        <w:rPr>
          <w:rFonts w:ascii="Verdana" w:hAnsi="Verdana"/>
          <w:b/>
          <w:bCs/>
          <w:color w:val="8A0000"/>
          <w:sz w:val="24"/>
          <w:szCs w:val="24"/>
          <w:lang w:val="es-CO"/>
        </w:rPr>
        <w:t xml:space="preserve"> </w:t>
      </w:r>
      <w:r w:rsidR="00CC295C" w:rsidRPr="00105187">
        <w:rPr>
          <w:rFonts w:ascii="Verdana" w:hAnsi="Verdana"/>
          <w:b/>
          <w:bCs/>
          <w:color w:val="8A0000"/>
          <w:sz w:val="24"/>
          <w:szCs w:val="24"/>
          <w:lang w:val="es-CO"/>
        </w:rPr>
        <w:t>de 2026</w:t>
      </w:r>
    </w:p>
    <w:p w14:paraId="6F57037A" w14:textId="77777777" w:rsidR="00437574" w:rsidRPr="00105187" w:rsidRDefault="00437574" w:rsidP="00437574">
      <w:pPr>
        <w:spacing w:after="0"/>
        <w:jc w:val="both"/>
        <w:rPr>
          <w:rFonts w:ascii="Verdana" w:hAnsi="Verdana" w:cs="Arial"/>
          <w:color w:val="000000" w:themeColor="text1"/>
        </w:rPr>
      </w:pPr>
    </w:p>
    <w:p w14:paraId="2B7B833D" w14:textId="4A3BAADD" w:rsidR="00CC295C" w:rsidRPr="00105187" w:rsidRDefault="00437574" w:rsidP="00437574">
      <w:pPr>
        <w:pStyle w:val="Sinespaciado"/>
        <w:jc w:val="both"/>
        <w:rPr>
          <w:rFonts w:ascii="Verdana" w:hAnsi="Verdana"/>
          <w:color w:val="000000" w:themeColor="text1"/>
        </w:rPr>
      </w:pPr>
      <w:r w:rsidRPr="6513F5D2">
        <w:rPr>
          <w:rFonts w:ascii="Verdana" w:hAnsi="Verdana"/>
          <w:color w:val="000000" w:themeColor="text1"/>
        </w:rPr>
        <w:t>Como parte de la estrategia de inclusión financiera a las cadenas productivas respaldadas por la Política Nacional de Reindustrialización, el MinCIT, desde la Dirección de MiPymes, ha destinado una inversión de $13.000 millones para una línea de redescuento con Bancóldex denominada “Cadenas Productivas MiPymes”. Esta línea está dirigida, a cadenas productivas vinculadas a las actividades de confecciones y textiles, metalmecánica, bioeconomía y comercio al por menor</w:t>
      </w:r>
      <w:r w:rsidR="5E9E143D" w:rsidRPr="6513F5D2">
        <w:rPr>
          <w:rFonts w:ascii="Verdana" w:hAnsi="Verdana"/>
          <w:color w:val="000000" w:themeColor="text1"/>
        </w:rPr>
        <w:t>.</w:t>
      </w:r>
    </w:p>
    <w:p w14:paraId="2C2BD96D" w14:textId="17A8F660" w:rsidR="6513F5D2" w:rsidRDefault="6513F5D2" w:rsidP="6513F5D2">
      <w:pPr>
        <w:pStyle w:val="Sinespaciado"/>
        <w:jc w:val="both"/>
        <w:rPr>
          <w:rFonts w:ascii="Verdana" w:hAnsi="Verdana"/>
          <w:color w:val="000000" w:themeColor="text1"/>
        </w:rPr>
      </w:pPr>
    </w:p>
    <w:p w14:paraId="7C88EDF3" w14:textId="510ECFD6" w:rsidR="00437574" w:rsidRDefault="00E757BA" w:rsidP="00437574">
      <w:pPr>
        <w:pStyle w:val="Sinespaciado"/>
        <w:jc w:val="both"/>
        <w:rPr>
          <w:rFonts w:ascii="Verdana" w:hAnsi="Verdana"/>
          <w:color w:val="000000" w:themeColor="text1"/>
        </w:rPr>
      </w:pPr>
      <w:r w:rsidRPr="00E757BA">
        <w:rPr>
          <w:rFonts w:ascii="Verdana" w:hAnsi="Verdana"/>
          <w:color w:val="000000" w:themeColor="text1"/>
        </w:rPr>
        <w:t xml:space="preserve">La inversión realizada por MinCIT </w:t>
      </w:r>
      <w:r w:rsidR="00A11BE7">
        <w:rPr>
          <w:rFonts w:ascii="Verdana" w:hAnsi="Verdana"/>
          <w:color w:val="000000" w:themeColor="text1"/>
        </w:rPr>
        <w:t>fue de</w:t>
      </w:r>
      <w:r w:rsidRPr="00E757BA">
        <w:rPr>
          <w:rFonts w:ascii="Verdana" w:hAnsi="Verdana"/>
          <w:color w:val="000000" w:themeColor="text1"/>
        </w:rPr>
        <w:t xml:space="preserve"> $13.000 millones. En el marco de la línea de crédito, se han desembolsado </w:t>
      </w:r>
      <w:r w:rsidR="00815B9B" w:rsidRPr="00815B9B">
        <w:rPr>
          <w:rFonts w:ascii="Verdana" w:hAnsi="Verdana"/>
          <w:color w:val="000000" w:themeColor="text1"/>
        </w:rPr>
        <w:t>$ 118.574</w:t>
      </w:r>
      <w:r w:rsidR="00815B9B">
        <w:rPr>
          <w:rFonts w:ascii="Verdana" w:hAnsi="Verdana"/>
          <w:color w:val="000000" w:themeColor="text1"/>
        </w:rPr>
        <w:t xml:space="preserve"> millones</w:t>
      </w:r>
      <w:r w:rsidRPr="00E757BA">
        <w:rPr>
          <w:rFonts w:ascii="Verdana" w:hAnsi="Verdana"/>
          <w:color w:val="000000" w:themeColor="text1"/>
        </w:rPr>
        <w:t xml:space="preserve">, correspondientes a </w:t>
      </w:r>
      <w:r w:rsidR="00815B9B" w:rsidRPr="00815B9B">
        <w:rPr>
          <w:rFonts w:ascii="Verdana" w:hAnsi="Verdana"/>
          <w:color w:val="000000" w:themeColor="text1"/>
        </w:rPr>
        <w:t>10.765</w:t>
      </w:r>
      <w:r w:rsidR="00815B9B">
        <w:rPr>
          <w:rFonts w:ascii="Verdana" w:hAnsi="Verdana"/>
          <w:color w:val="000000" w:themeColor="text1"/>
        </w:rPr>
        <w:t xml:space="preserve"> </w:t>
      </w:r>
      <w:r w:rsidRPr="00E757BA">
        <w:rPr>
          <w:rFonts w:ascii="Verdana" w:hAnsi="Verdana"/>
          <w:color w:val="000000" w:themeColor="text1"/>
        </w:rPr>
        <w:t>operaciones</w:t>
      </w:r>
      <w:r w:rsidR="00A11BE7">
        <w:rPr>
          <w:rFonts w:ascii="Verdana" w:hAnsi="Verdana"/>
          <w:color w:val="000000" w:themeColor="text1"/>
        </w:rPr>
        <w:t>.</w:t>
      </w:r>
    </w:p>
    <w:p w14:paraId="16E6A58C" w14:textId="29699A3E" w:rsidR="00A11BE7" w:rsidRDefault="00A11BE7" w:rsidP="00437574">
      <w:pPr>
        <w:pStyle w:val="Sinespaciado"/>
        <w:jc w:val="both"/>
        <w:rPr>
          <w:rFonts w:ascii="Verdana" w:hAnsi="Verdana"/>
          <w:color w:val="000000" w:themeColor="text1"/>
        </w:rPr>
      </w:pPr>
    </w:p>
    <w:p w14:paraId="534F00B5" w14:textId="01E46B56" w:rsidR="00A11BE7" w:rsidRDefault="00A11BE7" w:rsidP="00437574">
      <w:pPr>
        <w:pStyle w:val="Sinespaciado"/>
        <w:jc w:val="both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 xml:space="preserve">De </w:t>
      </w:r>
      <w:r w:rsidR="008F0CF2">
        <w:rPr>
          <w:rFonts w:ascii="Verdana" w:hAnsi="Verdana"/>
          <w:color w:val="000000" w:themeColor="text1"/>
        </w:rPr>
        <w:t xml:space="preserve">los </w:t>
      </w:r>
      <w:r w:rsidR="008F0CF2" w:rsidRPr="00E757BA">
        <w:rPr>
          <w:rFonts w:ascii="Verdana" w:hAnsi="Verdana"/>
          <w:color w:val="000000" w:themeColor="text1"/>
        </w:rPr>
        <w:t>$</w:t>
      </w:r>
      <w:r w:rsidRPr="00E757BA">
        <w:rPr>
          <w:rFonts w:ascii="Verdana" w:hAnsi="Verdana"/>
          <w:color w:val="000000" w:themeColor="text1"/>
        </w:rPr>
        <w:t>13.000 millones</w:t>
      </w:r>
      <w:r>
        <w:rPr>
          <w:rFonts w:ascii="Verdana" w:hAnsi="Verdana"/>
          <w:color w:val="000000" w:themeColor="text1"/>
        </w:rPr>
        <w:t xml:space="preserve"> aportados por MinCIT se han utilizado </w:t>
      </w:r>
      <w:r w:rsidRPr="00A11BE7">
        <w:rPr>
          <w:rFonts w:ascii="Verdana" w:hAnsi="Verdana"/>
          <w:color w:val="000000" w:themeColor="text1"/>
        </w:rPr>
        <w:t>$11.162.397.360</w:t>
      </w:r>
      <w:r w:rsidRPr="00E757BA">
        <w:rPr>
          <w:rFonts w:ascii="Verdana" w:hAnsi="Verdana"/>
          <w:color w:val="000000" w:themeColor="text1"/>
        </w:rPr>
        <w:t xml:space="preserve">, lo que equivale a un nivel de utilización del </w:t>
      </w:r>
      <w:r w:rsidRPr="00815B9B">
        <w:rPr>
          <w:rFonts w:ascii="Verdana" w:hAnsi="Verdana"/>
          <w:color w:val="000000" w:themeColor="text1"/>
        </w:rPr>
        <w:t>85,86%</w:t>
      </w:r>
      <w:r w:rsidRPr="00E757BA">
        <w:rPr>
          <w:rFonts w:ascii="Verdana" w:hAnsi="Verdana"/>
          <w:color w:val="000000" w:themeColor="text1"/>
        </w:rPr>
        <w:t>.</w:t>
      </w:r>
    </w:p>
    <w:p w14:paraId="51E757ED" w14:textId="77777777" w:rsidR="00E757BA" w:rsidRPr="00105187" w:rsidRDefault="00E757BA" w:rsidP="00437574">
      <w:pPr>
        <w:pStyle w:val="Sinespaciado"/>
        <w:jc w:val="both"/>
        <w:rPr>
          <w:rFonts w:ascii="Verdana" w:hAnsi="Verdana" w:cs="Arial"/>
          <w:b/>
          <w:bCs/>
          <w:color w:val="000000" w:themeColor="text1"/>
        </w:rPr>
      </w:pPr>
    </w:p>
    <w:p w14:paraId="5BDA9841" w14:textId="77777777" w:rsidR="00367F8E" w:rsidRPr="00105187" w:rsidRDefault="00CC295C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>ENTIDADES FINANCIERAS</w:t>
      </w:r>
    </w:p>
    <w:p w14:paraId="6C0FD8AB" w14:textId="0E246AD4" w:rsidR="00367F8E" w:rsidRDefault="00D100C6" w:rsidP="00367F8E">
      <w:pPr>
        <w:jc w:val="both"/>
        <w:rPr>
          <w:rFonts w:ascii="Verdana" w:hAnsi="Verdana" w:cs="Arial"/>
          <w:color w:val="000000" w:themeColor="text1"/>
        </w:rPr>
      </w:pPr>
      <w:bookmarkStart w:id="1" w:name="_Hlk223090840"/>
      <w:r>
        <w:rPr>
          <w:noProof/>
        </w:rPr>
        <w:drawing>
          <wp:anchor distT="0" distB="0" distL="114300" distR="114300" simplePos="0" relativeHeight="251679744" behindDoc="0" locked="0" layoutInCell="1" allowOverlap="1" wp14:anchorId="605811E5" wp14:editId="2BC2FD9E">
            <wp:simplePos x="0" y="0"/>
            <wp:positionH relativeFrom="margin">
              <wp:align>right</wp:align>
            </wp:positionH>
            <wp:positionV relativeFrom="paragraph">
              <wp:posOffset>837565</wp:posOffset>
            </wp:positionV>
            <wp:extent cx="5379720" cy="3794760"/>
            <wp:effectExtent l="0" t="0" r="11430" b="15240"/>
            <wp:wrapSquare wrapText="bothSides"/>
            <wp:docPr id="10" name="Gráfico 10">
              <a:extLst xmlns:a="http://schemas.openxmlformats.org/drawingml/2006/main">
                <a:ext uri="{FF2B5EF4-FFF2-40B4-BE49-F238E27FC236}">
                  <a16:creationId xmlns:a16="http://schemas.microsoft.com/office/drawing/2014/main" id="{B168F6AB-D7C7-4E4D-AE3C-06ACF4D413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7F8E" w:rsidRPr="6513F5D2">
        <w:rPr>
          <w:rFonts w:ascii="Verdana" w:hAnsi="Verdana" w:cs="Arial"/>
          <w:color w:val="000000" w:themeColor="text1"/>
        </w:rPr>
        <w:t xml:space="preserve">De los $ </w:t>
      </w:r>
      <w:r w:rsidR="00A109A4">
        <w:rPr>
          <w:rFonts w:ascii="Verdana" w:hAnsi="Verdana" w:cs="Arial"/>
          <w:color w:val="000000" w:themeColor="text1"/>
        </w:rPr>
        <w:t>118.574</w:t>
      </w:r>
      <w:r w:rsidR="3AF3A77E" w:rsidRPr="6513F5D2">
        <w:rPr>
          <w:rFonts w:ascii="Verdana" w:hAnsi="Verdana" w:cs="Arial"/>
          <w:color w:val="000000" w:themeColor="text1"/>
        </w:rPr>
        <w:t xml:space="preserve"> millones</w:t>
      </w:r>
      <w:r w:rsidR="00367F8E" w:rsidRPr="6513F5D2">
        <w:rPr>
          <w:rFonts w:ascii="Verdana" w:hAnsi="Verdana" w:cs="Arial"/>
          <w:color w:val="000000" w:themeColor="text1"/>
        </w:rPr>
        <w:t xml:space="preserve"> el </w:t>
      </w:r>
      <w:bookmarkEnd w:id="1"/>
      <w:r w:rsidR="00E627C3">
        <w:rPr>
          <w:rFonts w:ascii="Verdana" w:hAnsi="Verdana" w:cs="Arial"/>
          <w:color w:val="000000" w:themeColor="text1"/>
        </w:rPr>
        <w:t>3</w:t>
      </w:r>
      <w:r w:rsidR="00A109A4">
        <w:rPr>
          <w:rFonts w:ascii="Verdana" w:hAnsi="Verdana" w:cs="Arial"/>
          <w:color w:val="000000" w:themeColor="text1"/>
        </w:rPr>
        <w:t>8</w:t>
      </w:r>
      <w:r w:rsidR="00367F8E" w:rsidRPr="6513F5D2">
        <w:rPr>
          <w:rFonts w:ascii="Verdana" w:hAnsi="Verdana" w:cs="Arial"/>
          <w:color w:val="000000" w:themeColor="text1"/>
        </w:rPr>
        <w:t xml:space="preserve">% corresponde al Banco W S.A del total desembolsado, posicionándose como el principal intermediario financiero. En segundo lugar, se encuentra MiBanco </w:t>
      </w:r>
      <w:r w:rsidR="59FA63C3" w:rsidRPr="6513F5D2">
        <w:rPr>
          <w:rFonts w:ascii="Verdana" w:hAnsi="Verdana" w:cs="Arial"/>
          <w:color w:val="000000" w:themeColor="text1"/>
        </w:rPr>
        <w:t xml:space="preserve">Banco de la Microempresa de Colombia S.A </w:t>
      </w:r>
      <w:r w:rsidR="008160F1" w:rsidRPr="6513F5D2">
        <w:rPr>
          <w:rFonts w:ascii="Verdana" w:hAnsi="Verdana" w:cs="Arial"/>
          <w:color w:val="000000" w:themeColor="text1"/>
        </w:rPr>
        <w:t>con</w:t>
      </w:r>
      <w:r w:rsidR="00367F8E" w:rsidRPr="6513F5D2">
        <w:rPr>
          <w:rFonts w:ascii="Verdana" w:hAnsi="Verdana" w:cs="Arial"/>
          <w:color w:val="000000" w:themeColor="text1"/>
        </w:rPr>
        <w:t xml:space="preserve"> el </w:t>
      </w:r>
      <w:r w:rsidR="00A109A4">
        <w:rPr>
          <w:rFonts w:ascii="Verdana" w:hAnsi="Verdana" w:cs="Arial"/>
          <w:color w:val="000000" w:themeColor="text1"/>
        </w:rPr>
        <w:t>21</w:t>
      </w:r>
      <w:r w:rsidR="00367F8E" w:rsidRPr="6513F5D2">
        <w:rPr>
          <w:rFonts w:ascii="Verdana" w:hAnsi="Verdana" w:cs="Arial"/>
          <w:color w:val="000000" w:themeColor="text1"/>
        </w:rPr>
        <w:t>%</w:t>
      </w:r>
      <w:r w:rsidR="365EC7B7" w:rsidRPr="6513F5D2">
        <w:rPr>
          <w:rFonts w:ascii="Verdana" w:hAnsi="Verdana" w:cs="Arial"/>
          <w:color w:val="000000" w:themeColor="text1"/>
        </w:rPr>
        <w:t xml:space="preserve"> y </w:t>
      </w:r>
      <w:r w:rsidR="2946455C" w:rsidRPr="6513F5D2">
        <w:rPr>
          <w:rFonts w:ascii="Verdana" w:hAnsi="Verdana" w:cs="Arial"/>
          <w:color w:val="000000" w:themeColor="text1"/>
        </w:rPr>
        <w:t xml:space="preserve">BCO. </w:t>
      </w:r>
      <w:r w:rsidR="00A109A4">
        <w:rPr>
          <w:rFonts w:ascii="Verdana" w:hAnsi="Verdana" w:cs="Arial"/>
          <w:color w:val="000000" w:themeColor="text1"/>
        </w:rPr>
        <w:t>Bancolombia</w:t>
      </w:r>
      <w:r w:rsidR="00367F8E" w:rsidRPr="6513F5D2">
        <w:rPr>
          <w:rFonts w:ascii="Verdana" w:hAnsi="Verdana" w:cs="Arial"/>
          <w:color w:val="000000" w:themeColor="text1"/>
        </w:rPr>
        <w:t xml:space="preserve"> con el </w:t>
      </w:r>
      <w:r w:rsidR="00A109A4">
        <w:rPr>
          <w:rFonts w:ascii="Verdana" w:hAnsi="Verdana" w:cs="Arial"/>
          <w:color w:val="000000" w:themeColor="text1"/>
        </w:rPr>
        <w:t>15</w:t>
      </w:r>
      <w:r w:rsidR="00367F8E" w:rsidRPr="6513F5D2">
        <w:rPr>
          <w:rFonts w:ascii="Verdana" w:hAnsi="Verdana" w:cs="Arial"/>
          <w:color w:val="000000" w:themeColor="text1"/>
        </w:rPr>
        <w:t>%</w:t>
      </w:r>
      <w:r w:rsidR="3F18ED41" w:rsidRPr="6513F5D2">
        <w:rPr>
          <w:rFonts w:ascii="Verdana" w:hAnsi="Verdana" w:cs="Arial"/>
          <w:color w:val="000000" w:themeColor="text1"/>
        </w:rPr>
        <w:t xml:space="preserve">. </w:t>
      </w:r>
    </w:p>
    <w:p w14:paraId="0779E2D7" w14:textId="5934D92B" w:rsidR="00112E90" w:rsidRPr="00105187" w:rsidRDefault="00CC295C" w:rsidP="00437574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6513F5D2">
        <w:rPr>
          <w:rFonts w:ascii="Verdana" w:hAnsi="Verdana" w:cs="Arial"/>
          <w:i/>
          <w:iCs/>
          <w:color w:val="000000" w:themeColor="text1"/>
        </w:rPr>
        <w:t xml:space="preserve">Grafica 1: </w:t>
      </w:r>
      <w:r w:rsidR="00112E90" w:rsidRPr="6513F5D2">
        <w:rPr>
          <w:rFonts w:ascii="Verdana" w:hAnsi="Verdana" w:cs="Arial"/>
          <w:i/>
          <w:iCs/>
          <w:color w:val="000000" w:themeColor="text1"/>
        </w:rPr>
        <w:t>Total Desembolsado a entidades Financieras</w:t>
      </w:r>
    </w:p>
    <w:p w14:paraId="2874D4F8" w14:textId="6F9B6DF2" w:rsidR="004B50AD" w:rsidRDefault="004B50AD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bookmarkStart w:id="2" w:name="_Hlk223091027"/>
    </w:p>
    <w:p w14:paraId="3053EBFD" w14:textId="2629111B" w:rsidR="00CC295C" w:rsidRPr="00105187" w:rsidRDefault="00CE4C85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AEA8922" wp14:editId="1081F893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5589270" cy="2743200"/>
            <wp:effectExtent l="0" t="0" r="11430" b="0"/>
            <wp:wrapSquare wrapText="bothSides"/>
            <wp:docPr id="11" name="Gráfico 11">
              <a:extLst xmlns:a="http://schemas.openxmlformats.org/drawingml/2006/main">
                <a:ext uri="{FF2B5EF4-FFF2-40B4-BE49-F238E27FC236}">
                  <a16:creationId xmlns:a16="http://schemas.microsoft.com/office/drawing/2014/main" id="{8B3FE5A1-4608-402F-8686-88BF0A58045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</wp:anchor>
        </w:drawing>
      </w:r>
      <w:r w:rsidR="00CC295C" w:rsidRPr="00105187">
        <w:rPr>
          <w:rFonts w:ascii="Verdana" w:hAnsi="Verdana" w:cs="Arial"/>
          <w:b/>
          <w:bCs/>
          <w:color w:val="000000" w:themeColor="text1"/>
        </w:rPr>
        <w:t xml:space="preserve">DISTRIBUCIÓN </w:t>
      </w:r>
      <w:r w:rsidR="001B3C27">
        <w:rPr>
          <w:rFonts w:ascii="Verdana" w:hAnsi="Verdana" w:cs="Arial"/>
          <w:b/>
          <w:bCs/>
          <w:color w:val="000000" w:themeColor="text1"/>
        </w:rPr>
        <w:t>POR</w:t>
      </w:r>
      <w:r w:rsidR="00CC295C" w:rsidRPr="00105187">
        <w:rPr>
          <w:rFonts w:ascii="Verdana" w:hAnsi="Verdana" w:cs="Arial"/>
          <w:b/>
          <w:bCs/>
          <w:color w:val="000000" w:themeColor="text1"/>
        </w:rPr>
        <w:t xml:space="preserve"> DEPARTAMENTOS</w:t>
      </w:r>
    </w:p>
    <w:bookmarkEnd w:id="2"/>
    <w:p w14:paraId="7C86649A" w14:textId="4852A8F8" w:rsidR="00CC295C" w:rsidRPr="00105187" w:rsidRDefault="00EE5CB4" w:rsidP="00B51518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>Grafica 2</w:t>
      </w:r>
      <w:r w:rsidR="00CC295C"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552407" w:rsidRPr="00105187">
        <w:rPr>
          <w:rFonts w:ascii="Verdana" w:hAnsi="Verdana" w:cs="Arial"/>
          <w:i/>
          <w:iCs/>
          <w:color w:val="000000" w:themeColor="text1"/>
        </w:rPr>
        <w:t>Desembolso por Departamento</w:t>
      </w:r>
    </w:p>
    <w:p w14:paraId="421A1238" w14:textId="339E92DB" w:rsidR="001D3CC4" w:rsidRPr="00105187" w:rsidRDefault="001D3CC4" w:rsidP="00437574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t>El Valle concentra el mayor monto de desembolsos con $</w:t>
      </w:r>
      <w:r w:rsidR="00CE4C85">
        <w:rPr>
          <w:rFonts w:ascii="Verdana" w:hAnsi="Verdana" w:cs="Arial"/>
          <w:color w:val="000000" w:themeColor="text1"/>
        </w:rPr>
        <w:t>15.625</w:t>
      </w:r>
      <w:r w:rsidR="00E627C3">
        <w:rPr>
          <w:rFonts w:ascii="Verdana" w:hAnsi="Verdana" w:cs="Arial"/>
          <w:color w:val="000000" w:themeColor="text1"/>
        </w:rPr>
        <w:t xml:space="preserve"> </w:t>
      </w:r>
      <w:r w:rsidR="00B51518">
        <w:rPr>
          <w:rFonts w:ascii="Verdana" w:hAnsi="Verdana" w:cs="Arial"/>
          <w:color w:val="000000" w:themeColor="text1"/>
        </w:rPr>
        <w:t>millones</w:t>
      </w:r>
      <w:r w:rsidR="00E627C3">
        <w:rPr>
          <w:rFonts w:ascii="Verdana" w:hAnsi="Verdana" w:cs="Arial"/>
          <w:color w:val="000000" w:themeColor="text1"/>
        </w:rPr>
        <w:t>, en</w:t>
      </w:r>
      <w:r w:rsidRPr="00105187">
        <w:rPr>
          <w:rFonts w:ascii="Verdana" w:hAnsi="Verdana" w:cs="Arial"/>
          <w:color w:val="000000" w:themeColor="text1"/>
        </w:rPr>
        <w:t xml:space="preserve"> segundo nivel se ubican </w:t>
      </w:r>
      <w:r w:rsidR="004B50AD">
        <w:rPr>
          <w:rFonts w:ascii="Verdana" w:hAnsi="Verdana" w:cs="Arial"/>
          <w:color w:val="000000" w:themeColor="text1"/>
        </w:rPr>
        <w:t>Antioquia</w:t>
      </w:r>
      <w:r w:rsidRPr="00105187">
        <w:rPr>
          <w:rFonts w:ascii="Verdana" w:hAnsi="Verdana" w:cs="Arial"/>
          <w:color w:val="000000" w:themeColor="text1"/>
        </w:rPr>
        <w:t xml:space="preserve"> $</w:t>
      </w:r>
      <w:r w:rsidR="00CE4C85">
        <w:rPr>
          <w:rFonts w:ascii="Verdana" w:hAnsi="Verdana" w:cs="Arial"/>
          <w:color w:val="000000" w:themeColor="text1"/>
        </w:rPr>
        <w:t>1</w:t>
      </w:r>
      <w:r w:rsidR="00E627C3">
        <w:rPr>
          <w:rFonts w:ascii="Verdana" w:hAnsi="Verdana" w:cs="Arial"/>
          <w:color w:val="000000" w:themeColor="text1"/>
        </w:rPr>
        <w:t>2</w:t>
      </w:r>
      <w:r w:rsidR="00CE4C85">
        <w:rPr>
          <w:rFonts w:ascii="Verdana" w:hAnsi="Verdana" w:cs="Arial"/>
          <w:color w:val="000000" w:themeColor="text1"/>
        </w:rPr>
        <w:t>.532</w:t>
      </w:r>
      <w:r w:rsidR="00E627C3">
        <w:rPr>
          <w:rFonts w:ascii="Verdana" w:hAnsi="Verdana" w:cs="Arial"/>
          <w:color w:val="000000" w:themeColor="text1"/>
        </w:rPr>
        <w:t xml:space="preserve"> </w:t>
      </w:r>
      <w:r w:rsidR="007C726E">
        <w:rPr>
          <w:rFonts w:ascii="Verdana" w:hAnsi="Verdana" w:cs="Arial"/>
          <w:color w:val="000000" w:themeColor="text1"/>
        </w:rPr>
        <w:t>millones</w:t>
      </w:r>
      <w:r w:rsidRPr="00105187">
        <w:rPr>
          <w:rFonts w:ascii="Verdana" w:hAnsi="Verdana" w:cs="Arial"/>
          <w:color w:val="000000" w:themeColor="text1"/>
        </w:rPr>
        <w:t xml:space="preserve"> y </w:t>
      </w:r>
      <w:r w:rsidR="00E42FE9">
        <w:rPr>
          <w:rFonts w:ascii="Verdana" w:hAnsi="Verdana" w:cs="Arial"/>
          <w:color w:val="000000" w:themeColor="text1"/>
        </w:rPr>
        <w:t>Bogotá</w:t>
      </w:r>
      <w:r w:rsidRPr="00105187">
        <w:rPr>
          <w:rFonts w:ascii="Verdana" w:hAnsi="Verdana" w:cs="Arial"/>
          <w:color w:val="000000" w:themeColor="text1"/>
        </w:rPr>
        <w:t xml:space="preserve"> $</w:t>
      </w:r>
      <w:r w:rsidR="00CE4C85">
        <w:rPr>
          <w:rFonts w:ascii="Verdana" w:hAnsi="Verdana" w:cs="Arial"/>
          <w:color w:val="000000" w:themeColor="text1"/>
        </w:rPr>
        <w:t>10.528</w:t>
      </w:r>
      <w:r w:rsidR="00E42FE9">
        <w:rPr>
          <w:rFonts w:ascii="Verdana" w:hAnsi="Verdana" w:cs="Arial"/>
          <w:color w:val="000000" w:themeColor="text1"/>
        </w:rPr>
        <w:t xml:space="preserve"> millones</w:t>
      </w:r>
      <w:r w:rsidRPr="00105187">
        <w:rPr>
          <w:rFonts w:ascii="Verdana" w:hAnsi="Verdana" w:cs="Arial"/>
          <w:color w:val="000000" w:themeColor="text1"/>
        </w:rPr>
        <w:t xml:space="preserve">, seguidos por </w:t>
      </w:r>
      <w:r w:rsidR="004B50AD">
        <w:rPr>
          <w:rFonts w:ascii="Verdana" w:hAnsi="Verdana" w:cs="Arial"/>
          <w:color w:val="000000" w:themeColor="text1"/>
        </w:rPr>
        <w:t>Nariño</w:t>
      </w:r>
      <w:r w:rsidR="00CE4C85">
        <w:rPr>
          <w:rFonts w:ascii="Verdana" w:hAnsi="Verdana" w:cs="Arial"/>
          <w:color w:val="000000" w:themeColor="text1"/>
        </w:rPr>
        <w:t xml:space="preserve"> con $6.721</w:t>
      </w:r>
      <w:r w:rsidRPr="00105187">
        <w:rPr>
          <w:rFonts w:ascii="Verdana" w:hAnsi="Verdana" w:cs="Arial"/>
          <w:color w:val="000000" w:themeColor="text1"/>
        </w:rPr>
        <w:t>,</w:t>
      </w:r>
      <w:r w:rsidR="004B50AD">
        <w:rPr>
          <w:rFonts w:ascii="Verdana" w:hAnsi="Verdana" w:cs="Arial"/>
          <w:color w:val="000000" w:themeColor="text1"/>
        </w:rPr>
        <w:t xml:space="preserve"> Santander, </w:t>
      </w:r>
      <w:r w:rsidR="00CE4C85">
        <w:rPr>
          <w:rFonts w:ascii="Verdana" w:hAnsi="Verdana" w:cs="Arial"/>
          <w:color w:val="000000" w:themeColor="text1"/>
        </w:rPr>
        <w:t xml:space="preserve">Atlántico, Bolívar, </w:t>
      </w:r>
      <w:r w:rsidR="00E627C3">
        <w:rPr>
          <w:rFonts w:ascii="Verdana" w:hAnsi="Verdana" w:cs="Arial"/>
          <w:color w:val="000000" w:themeColor="text1"/>
        </w:rPr>
        <w:t>Cauc</w:t>
      </w:r>
      <w:r w:rsidR="00CE4C85">
        <w:rPr>
          <w:rFonts w:ascii="Verdana" w:hAnsi="Verdana" w:cs="Arial"/>
          <w:color w:val="000000" w:themeColor="text1"/>
        </w:rPr>
        <w:t xml:space="preserve">a, </w:t>
      </w:r>
      <w:r w:rsidR="00E42FE9">
        <w:rPr>
          <w:rFonts w:ascii="Verdana" w:hAnsi="Verdana" w:cs="Arial"/>
          <w:color w:val="000000" w:themeColor="text1"/>
        </w:rPr>
        <w:t>Risaralda</w:t>
      </w:r>
      <w:r w:rsidR="00CE4C85">
        <w:rPr>
          <w:rFonts w:ascii="Verdana" w:hAnsi="Verdana" w:cs="Arial"/>
          <w:color w:val="000000" w:themeColor="text1"/>
        </w:rPr>
        <w:t xml:space="preserve"> Boyacá y Caldas</w:t>
      </w:r>
      <w:r w:rsidR="00E42FE9">
        <w:rPr>
          <w:rFonts w:ascii="Verdana" w:hAnsi="Verdana" w:cs="Arial"/>
          <w:color w:val="000000" w:themeColor="text1"/>
        </w:rPr>
        <w:t xml:space="preserve"> </w:t>
      </w:r>
      <w:r w:rsidR="00E42FE9" w:rsidRPr="00105187">
        <w:rPr>
          <w:rFonts w:ascii="Verdana" w:hAnsi="Verdana" w:cs="Arial"/>
          <w:color w:val="000000" w:themeColor="text1"/>
        </w:rPr>
        <w:t>con</w:t>
      </w:r>
      <w:r w:rsidRPr="00105187">
        <w:rPr>
          <w:rFonts w:ascii="Verdana" w:hAnsi="Verdana" w:cs="Arial"/>
          <w:color w:val="000000" w:themeColor="text1"/>
        </w:rPr>
        <w:t xml:space="preserve"> valores entre $</w:t>
      </w:r>
      <w:r w:rsidR="004B50AD">
        <w:rPr>
          <w:rFonts w:ascii="Verdana" w:hAnsi="Verdana" w:cs="Arial"/>
          <w:color w:val="000000" w:themeColor="text1"/>
        </w:rPr>
        <w:t xml:space="preserve"> </w:t>
      </w:r>
      <w:r w:rsidR="00CE4C85">
        <w:rPr>
          <w:rFonts w:ascii="Verdana" w:hAnsi="Verdana" w:cs="Arial"/>
          <w:color w:val="000000" w:themeColor="text1"/>
        </w:rPr>
        <w:t>5</w:t>
      </w:r>
      <w:r w:rsidR="00E627C3">
        <w:rPr>
          <w:rFonts w:ascii="Verdana" w:hAnsi="Verdana" w:cs="Arial"/>
          <w:color w:val="000000" w:themeColor="text1"/>
        </w:rPr>
        <w:t>.000</w:t>
      </w:r>
      <w:r w:rsidR="00CE4C85">
        <w:rPr>
          <w:rFonts w:ascii="Verdana" w:hAnsi="Verdana" w:cs="Arial"/>
          <w:color w:val="000000" w:themeColor="text1"/>
        </w:rPr>
        <w:t xml:space="preserve"> y $3.000</w:t>
      </w:r>
      <w:r w:rsidR="007C726E">
        <w:rPr>
          <w:rFonts w:ascii="Verdana" w:hAnsi="Verdana" w:cs="Arial"/>
          <w:color w:val="000000" w:themeColor="text1"/>
        </w:rPr>
        <w:t xml:space="preserve"> millones</w:t>
      </w:r>
      <w:r w:rsidR="004B50AD">
        <w:rPr>
          <w:rFonts w:ascii="Verdana" w:hAnsi="Verdana" w:cs="Arial"/>
          <w:color w:val="000000" w:themeColor="text1"/>
        </w:rPr>
        <w:t xml:space="preserve"> </w:t>
      </w:r>
    </w:p>
    <w:p w14:paraId="6CF6DAAF" w14:textId="606403B7" w:rsidR="00CC295C" w:rsidRPr="00105187" w:rsidRDefault="00EA52A0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bookmarkStart w:id="3" w:name="_Hlk223092347"/>
      <w:r>
        <w:rPr>
          <w:noProof/>
        </w:rPr>
        <w:drawing>
          <wp:anchor distT="0" distB="0" distL="114300" distR="114300" simplePos="0" relativeHeight="251681792" behindDoc="0" locked="0" layoutInCell="1" allowOverlap="1" wp14:anchorId="0648768A" wp14:editId="1DC2641E">
            <wp:simplePos x="0" y="0"/>
            <wp:positionH relativeFrom="margin">
              <wp:align>right</wp:align>
            </wp:positionH>
            <wp:positionV relativeFrom="paragraph">
              <wp:posOffset>284480</wp:posOffset>
            </wp:positionV>
            <wp:extent cx="5398770" cy="2743200"/>
            <wp:effectExtent l="0" t="0" r="11430" b="0"/>
            <wp:wrapSquare wrapText="bothSides"/>
            <wp:docPr id="1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9915E2F2-D616-464B-96C5-B66C9CD8B4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</wp:anchor>
        </w:drawing>
      </w:r>
      <w:r w:rsidR="00CC295C" w:rsidRPr="00105187">
        <w:rPr>
          <w:rFonts w:ascii="Verdana" w:hAnsi="Verdana" w:cs="Arial"/>
          <w:b/>
          <w:bCs/>
          <w:color w:val="000000" w:themeColor="text1"/>
        </w:rPr>
        <w:t>DISTRIBUCIÓN POR MUNICIPIOS</w:t>
      </w:r>
    </w:p>
    <w:p w14:paraId="0E23F80E" w14:textId="41366F98" w:rsidR="00CC295C" w:rsidRPr="00105187" w:rsidRDefault="00CC295C" w:rsidP="00437574">
      <w:pPr>
        <w:jc w:val="both"/>
        <w:rPr>
          <w:rFonts w:ascii="Verdana" w:hAnsi="Verdana" w:cs="Arial"/>
          <w:i/>
          <w:iCs/>
          <w:color w:val="000000" w:themeColor="text1"/>
        </w:rPr>
      </w:pPr>
      <w:bookmarkStart w:id="4" w:name="_Hlk223092756"/>
      <w:bookmarkEnd w:id="3"/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EE5CB4" w:rsidRPr="00105187">
        <w:rPr>
          <w:rFonts w:ascii="Verdana" w:hAnsi="Verdana" w:cs="Arial"/>
          <w:i/>
          <w:iCs/>
          <w:color w:val="000000" w:themeColor="text1"/>
        </w:rPr>
        <w:t>3</w:t>
      </w:r>
      <w:r w:rsidRPr="00105187">
        <w:rPr>
          <w:rFonts w:ascii="Verdana" w:hAnsi="Verdana" w:cs="Arial"/>
          <w:i/>
          <w:iCs/>
          <w:color w:val="000000" w:themeColor="text1"/>
        </w:rPr>
        <w:t>: D</w:t>
      </w:r>
      <w:r w:rsidR="00073676" w:rsidRPr="00105187">
        <w:rPr>
          <w:rFonts w:ascii="Verdana" w:hAnsi="Verdana" w:cs="Arial"/>
          <w:i/>
          <w:iCs/>
          <w:color w:val="000000" w:themeColor="text1"/>
        </w:rPr>
        <w:t>esembolso por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 Municipios</w:t>
      </w:r>
    </w:p>
    <w:bookmarkEnd w:id="4"/>
    <w:p w14:paraId="5BF16776" w14:textId="67B794B8" w:rsidR="00EE5CB4" w:rsidRDefault="00EE5CB4" w:rsidP="00EE5CB4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t xml:space="preserve">A nivel municipal, </w:t>
      </w:r>
      <w:r w:rsidR="00EE35A1" w:rsidRPr="00105187">
        <w:rPr>
          <w:rFonts w:ascii="Verdana" w:hAnsi="Verdana" w:cs="Arial"/>
          <w:color w:val="000000" w:themeColor="text1"/>
        </w:rPr>
        <w:t xml:space="preserve">El municipio de </w:t>
      </w:r>
      <w:r w:rsidR="00694DC8">
        <w:rPr>
          <w:rFonts w:ascii="Verdana" w:hAnsi="Verdana" w:cs="Arial"/>
          <w:color w:val="000000" w:themeColor="text1"/>
        </w:rPr>
        <w:t>Bogotá</w:t>
      </w:r>
      <w:r w:rsidR="00EE35A1" w:rsidRPr="00105187">
        <w:rPr>
          <w:rFonts w:ascii="Verdana" w:hAnsi="Verdana" w:cs="Arial"/>
          <w:color w:val="000000" w:themeColor="text1"/>
        </w:rPr>
        <w:t xml:space="preserve"> </w:t>
      </w:r>
      <w:r w:rsidR="005D2E03">
        <w:rPr>
          <w:rFonts w:ascii="Verdana" w:hAnsi="Verdana" w:cs="Arial"/>
          <w:color w:val="000000" w:themeColor="text1"/>
        </w:rPr>
        <w:t>registra</w:t>
      </w:r>
      <w:r w:rsidR="00EE35A1" w:rsidRPr="00105187">
        <w:rPr>
          <w:rFonts w:ascii="Verdana" w:hAnsi="Verdana" w:cs="Arial"/>
          <w:color w:val="000000" w:themeColor="text1"/>
        </w:rPr>
        <w:t xml:space="preserve"> el mayor monto de desembolsos</w:t>
      </w:r>
      <w:r w:rsidR="006559E6">
        <w:rPr>
          <w:rFonts w:ascii="Verdana" w:hAnsi="Verdana" w:cs="Arial"/>
          <w:color w:val="000000" w:themeColor="text1"/>
        </w:rPr>
        <w:t xml:space="preserve">, con </w:t>
      </w:r>
      <w:r w:rsidR="00EE35A1" w:rsidRPr="00105187">
        <w:rPr>
          <w:rFonts w:ascii="Verdana" w:hAnsi="Verdana" w:cs="Arial"/>
          <w:color w:val="000000" w:themeColor="text1"/>
        </w:rPr>
        <w:t>$</w:t>
      </w:r>
      <w:r w:rsidR="00EA52A0">
        <w:rPr>
          <w:rFonts w:ascii="Verdana" w:hAnsi="Verdana" w:cs="Arial"/>
          <w:color w:val="000000" w:themeColor="text1"/>
        </w:rPr>
        <w:t>10.528</w:t>
      </w:r>
      <w:r w:rsidR="00EE35A1" w:rsidRPr="00105187">
        <w:rPr>
          <w:rFonts w:ascii="Verdana" w:hAnsi="Verdana" w:cs="Arial"/>
          <w:color w:val="000000" w:themeColor="text1"/>
        </w:rPr>
        <w:t xml:space="preserve"> millones, superando ampliamente a los demás municipios. En segundo lugar, se ubica </w:t>
      </w:r>
      <w:r w:rsidR="00694DC8">
        <w:rPr>
          <w:rFonts w:ascii="Verdana" w:hAnsi="Verdana" w:cs="Arial"/>
          <w:color w:val="000000" w:themeColor="text1"/>
        </w:rPr>
        <w:t>Cali</w:t>
      </w:r>
      <w:r w:rsidR="00EE35A1" w:rsidRPr="00105187">
        <w:rPr>
          <w:rFonts w:ascii="Verdana" w:hAnsi="Verdana" w:cs="Arial"/>
          <w:color w:val="000000" w:themeColor="text1"/>
        </w:rPr>
        <w:t xml:space="preserve"> con  $</w:t>
      </w:r>
      <w:r w:rsidR="00EA52A0">
        <w:rPr>
          <w:rFonts w:ascii="Verdana" w:hAnsi="Verdana" w:cs="Arial"/>
          <w:color w:val="000000" w:themeColor="text1"/>
        </w:rPr>
        <w:t>8.636</w:t>
      </w:r>
      <w:r w:rsidR="00EE35A1" w:rsidRPr="00105187">
        <w:rPr>
          <w:rFonts w:ascii="Verdana" w:hAnsi="Verdana" w:cs="Arial"/>
          <w:color w:val="000000" w:themeColor="text1"/>
        </w:rPr>
        <w:t xml:space="preserve"> </w:t>
      </w:r>
      <w:r w:rsidR="00562C8C" w:rsidRPr="00105187">
        <w:rPr>
          <w:rFonts w:ascii="Verdana" w:hAnsi="Verdana" w:cs="Arial"/>
          <w:color w:val="000000" w:themeColor="text1"/>
        </w:rPr>
        <w:t xml:space="preserve">millones, </w:t>
      </w:r>
      <w:r w:rsidR="00694DC8">
        <w:rPr>
          <w:rFonts w:ascii="Verdana" w:hAnsi="Verdana" w:cs="Arial"/>
          <w:color w:val="000000" w:themeColor="text1"/>
        </w:rPr>
        <w:t>Medellín</w:t>
      </w:r>
      <w:r w:rsidR="006559E6">
        <w:rPr>
          <w:rFonts w:ascii="Verdana" w:hAnsi="Verdana" w:cs="Arial"/>
          <w:color w:val="000000" w:themeColor="text1"/>
        </w:rPr>
        <w:t xml:space="preserve"> </w:t>
      </w:r>
      <w:r w:rsidR="00562C8C">
        <w:rPr>
          <w:rFonts w:ascii="Verdana" w:hAnsi="Verdana" w:cs="Arial"/>
          <w:color w:val="000000" w:themeColor="text1"/>
        </w:rPr>
        <w:t>con $</w:t>
      </w:r>
      <w:r w:rsidR="00EA52A0">
        <w:rPr>
          <w:rFonts w:ascii="Verdana" w:hAnsi="Verdana" w:cs="Arial"/>
          <w:color w:val="000000" w:themeColor="text1"/>
        </w:rPr>
        <w:t>4.990</w:t>
      </w:r>
      <w:r w:rsidR="00562C8C">
        <w:rPr>
          <w:rFonts w:ascii="Verdana" w:hAnsi="Verdana" w:cs="Arial"/>
          <w:color w:val="000000" w:themeColor="text1"/>
        </w:rPr>
        <w:t xml:space="preserve"> millones, seguido por</w:t>
      </w:r>
      <w:r w:rsidR="00EA52A0">
        <w:rPr>
          <w:rFonts w:ascii="Verdana" w:hAnsi="Verdana" w:cs="Arial"/>
          <w:color w:val="000000" w:themeColor="text1"/>
        </w:rPr>
        <w:t xml:space="preserve"> Barranquilla,</w:t>
      </w:r>
      <w:r w:rsidR="00562C8C">
        <w:rPr>
          <w:rFonts w:ascii="Verdana" w:hAnsi="Verdana" w:cs="Arial"/>
          <w:color w:val="000000" w:themeColor="text1"/>
        </w:rPr>
        <w:t xml:space="preserve"> </w:t>
      </w:r>
      <w:r w:rsidR="00694DC8">
        <w:rPr>
          <w:rFonts w:ascii="Verdana" w:hAnsi="Verdana" w:cs="Arial"/>
          <w:color w:val="000000" w:themeColor="text1"/>
        </w:rPr>
        <w:t xml:space="preserve">Pereira, </w:t>
      </w:r>
      <w:r w:rsidR="006559E6">
        <w:rPr>
          <w:rFonts w:ascii="Verdana" w:hAnsi="Verdana" w:cs="Arial"/>
          <w:color w:val="000000" w:themeColor="text1"/>
        </w:rPr>
        <w:t>Cartagena,</w:t>
      </w:r>
      <w:r w:rsidR="00EA52A0">
        <w:rPr>
          <w:rFonts w:ascii="Verdana" w:hAnsi="Verdana" w:cs="Arial"/>
          <w:color w:val="000000" w:themeColor="text1"/>
        </w:rPr>
        <w:t xml:space="preserve"> Pasto,</w:t>
      </w:r>
      <w:r w:rsidR="006559E6">
        <w:rPr>
          <w:rFonts w:ascii="Verdana" w:hAnsi="Verdana" w:cs="Arial"/>
          <w:color w:val="000000" w:themeColor="text1"/>
        </w:rPr>
        <w:t xml:space="preserve"> Bucaraman</w:t>
      </w:r>
      <w:r w:rsidR="00562C8C">
        <w:rPr>
          <w:rFonts w:ascii="Verdana" w:hAnsi="Verdana" w:cs="Arial"/>
          <w:color w:val="000000" w:themeColor="text1"/>
        </w:rPr>
        <w:t xml:space="preserve">ga, </w:t>
      </w:r>
      <w:r w:rsidR="006559E6">
        <w:rPr>
          <w:rFonts w:ascii="Verdana" w:hAnsi="Verdana" w:cs="Arial"/>
          <w:color w:val="000000" w:themeColor="text1"/>
        </w:rPr>
        <w:t>M</w:t>
      </w:r>
      <w:r w:rsidR="00EE35A1" w:rsidRPr="00105187">
        <w:rPr>
          <w:rFonts w:ascii="Verdana" w:hAnsi="Verdana" w:cs="Arial"/>
          <w:color w:val="000000" w:themeColor="text1"/>
        </w:rPr>
        <w:t>anizales</w:t>
      </w:r>
      <w:r w:rsidR="006559E6">
        <w:rPr>
          <w:rFonts w:ascii="Verdana" w:hAnsi="Verdana" w:cs="Arial"/>
          <w:color w:val="000000" w:themeColor="text1"/>
        </w:rPr>
        <w:t>,</w:t>
      </w:r>
      <w:r w:rsidR="00EA52A0">
        <w:rPr>
          <w:rFonts w:ascii="Verdana" w:hAnsi="Verdana" w:cs="Arial"/>
          <w:color w:val="000000" w:themeColor="text1"/>
        </w:rPr>
        <w:t xml:space="preserve"> Cúcuta, </w:t>
      </w:r>
      <w:r w:rsidR="006559E6">
        <w:rPr>
          <w:rFonts w:ascii="Verdana" w:hAnsi="Verdana" w:cs="Arial"/>
          <w:color w:val="000000" w:themeColor="text1"/>
        </w:rPr>
        <w:t>Itagüí</w:t>
      </w:r>
      <w:r w:rsidR="00EA52A0">
        <w:rPr>
          <w:rFonts w:ascii="Verdana" w:hAnsi="Verdana" w:cs="Arial"/>
          <w:color w:val="000000" w:themeColor="text1"/>
        </w:rPr>
        <w:t>, Santander de Quilichao y Valledupar</w:t>
      </w:r>
      <w:r w:rsidR="00562C8C">
        <w:rPr>
          <w:rFonts w:ascii="Verdana" w:hAnsi="Verdana" w:cs="Arial"/>
          <w:color w:val="000000" w:themeColor="text1"/>
        </w:rPr>
        <w:t xml:space="preserve"> </w:t>
      </w:r>
      <w:r w:rsidR="00EE35A1" w:rsidRPr="00105187">
        <w:rPr>
          <w:rFonts w:ascii="Verdana" w:hAnsi="Verdana" w:cs="Arial"/>
          <w:color w:val="000000" w:themeColor="text1"/>
        </w:rPr>
        <w:t>con valores intermedios entre $</w:t>
      </w:r>
      <w:r w:rsidR="008554F8">
        <w:rPr>
          <w:rFonts w:ascii="Verdana" w:hAnsi="Verdana" w:cs="Arial"/>
          <w:color w:val="000000" w:themeColor="text1"/>
        </w:rPr>
        <w:t>1.</w:t>
      </w:r>
      <w:r w:rsidR="00EA52A0">
        <w:rPr>
          <w:rFonts w:ascii="Verdana" w:hAnsi="Verdana" w:cs="Arial"/>
          <w:color w:val="000000" w:themeColor="text1"/>
        </w:rPr>
        <w:t>300</w:t>
      </w:r>
      <w:r w:rsidR="008554F8">
        <w:rPr>
          <w:rFonts w:ascii="Verdana" w:hAnsi="Verdana" w:cs="Arial"/>
          <w:color w:val="000000" w:themeColor="text1"/>
        </w:rPr>
        <w:t xml:space="preserve"> a $</w:t>
      </w:r>
      <w:r w:rsidR="00EA52A0">
        <w:rPr>
          <w:rFonts w:ascii="Verdana" w:hAnsi="Verdana" w:cs="Arial"/>
          <w:color w:val="000000" w:themeColor="text1"/>
        </w:rPr>
        <w:t>3</w:t>
      </w:r>
      <w:r w:rsidR="008554F8">
        <w:rPr>
          <w:rFonts w:ascii="Verdana" w:hAnsi="Verdana" w:cs="Arial"/>
          <w:color w:val="000000" w:themeColor="text1"/>
        </w:rPr>
        <w:t xml:space="preserve">.000 </w:t>
      </w:r>
      <w:r w:rsidR="00EE35A1" w:rsidRPr="00105187">
        <w:rPr>
          <w:rFonts w:ascii="Verdana" w:hAnsi="Verdana" w:cs="Arial"/>
          <w:color w:val="000000" w:themeColor="text1"/>
        </w:rPr>
        <w:t xml:space="preserve">millones. </w:t>
      </w:r>
    </w:p>
    <w:p w14:paraId="54E07A4C" w14:textId="19932917" w:rsidR="00CC295C" w:rsidRPr="00105187" w:rsidRDefault="00CC295C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lastRenderedPageBreak/>
        <w:t>SECTOR</w:t>
      </w:r>
      <w:r w:rsidR="00C62DBD">
        <w:rPr>
          <w:rFonts w:ascii="Verdana" w:hAnsi="Verdana" w:cs="Arial"/>
          <w:b/>
          <w:bCs/>
          <w:color w:val="000000" w:themeColor="text1"/>
        </w:rPr>
        <w:t xml:space="preserve"> ECONÓMICO – CLASIFICACIÓN CIIU</w:t>
      </w:r>
    </w:p>
    <w:p w14:paraId="7425F416" w14:textId="6D4CB92C" w:rsidR="00CC295C" w:rsidRPr="00105187" w:rsidRDefault="008D555F" w:rsidP="00437574">
      <w:pPr>
        <w:jc w:val="both"/>
        <w:rPr>
          <w:rFonts w:ascii="Verdana" w:hAnsi="Verdana" w:cs="Arial"/>
          <w:color w:val="000000" w:themeColor="text1"/>
        </w:rPr>
      </w:pPr>
      <w:r>
        <w:rPr>
          <w:noProof/>
        </w:rPr>
        <w:drawing>
          <wp:inline distT="0" distB="0" distL="0" distR="0" wp14:anchorId="3368D19C" wp14:editId="573E14A1">
            <wp:extent cx="5280660" cy="3333750"/>
            <wp:effectExtent l="0" t="0" r="15240" b="0"/>
            <wp:docPr id="21" name="Gráfico 21">
              <a:extLst xmlns:a="http://schemas.openxmlformats.org/drawingml/2006/main">
                <a:ext uri="{FF2B5EF4-FFF2-40B4-BE49-F238E27FC236}">
                  <a16:creationId xmlns:a16="http://schemas.microsoft.com/office/drawing/2014/main" id="{33151C1A-4C19-49A3-A123-6B304FD10D8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7F42B22" w14:textId="68ACDD3E" w:rsidR="00CC295C" w:rsidRPr="00105187" w:rsidRDefault="00CC295C" w:rsidP="00437574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613BF0">
        <w:rPr>
          <w:rFonts w:ascii="Verdana" w:hAnsi="Verdana" w:cs="Arial"/>
          <w:i/>
          <w:iCs/>
          <w:color w:val="000000" w:themeColor="text1"/>
        </w:rPr>
        <w:t>4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D627E7">
        <w:rPr>
          <w:rFonts w:ascii="Verdana" w:hAnsi="Verdana" w:cs="Arial"/>
          <w:i/>
          <w:iCs/>
          <w:color w:val="000000" w:themeColor="text1"/>
        </w:rPr>
        <w:t>Actividad Económica</w:t>
      </w:r>
    </w:p>
    <w:p w14:paraId="065458D3" w14:textId="4DDA7FBF" w:rsidR="005E7162" w:rsidRDefault="005E7162" w:rsidP="00437574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t xml:space="preserve">La mayor cantidad de beneficiarios </w:t>
      </w:r>
      <w:r w:rsidR="008D555F">
        <w:rPr>
          <w:rFonts w:ascii="Verdana" w:hAnsi="Verdana" w:cs="Arial"/>
          <w:color w:val="000000" w:themeColor="text1"/>
        </w:rPr>
        <w:t xml:space="preserve">se encuentran </w:t>
      </w:r>
      <w:r w:rsidR="008D555F" w:rsidRPr="008D555F">
        <w:rPr>
          <w:rFonts w:ascii="Verdana" w:hAnsi="Verdana" w:cs="Arial"/>
          <w:color w:val="000000" w:themeColor="text1"/>
        </w:rPr>
        <w:t xml:space="preserve">en actividades relacionadas con Comercio al por menor en establecimientos no especializados con surtido compuesto principalmente por alimentos, bebidas (alcohólicas y no alcohólicas) o tabaco, con 2.478 registros, seguida </w:t>
      </w:r>
      <w:r w:rsidR="00D97A8D" w:rsidRPr="00D97A8D">
        <w:rPr>
          <w:rFonts w:ascii="Verdana" w:hAnsi="Verdana" w:cs="Arial"/>
          <w:color w:val="000000" w:themeColor="text1"/>
        </w:rPr>
        <w:t>Comercio al por menor de productos agrícolas para el consumo en establecimientos especializados</w:t>
      </w:r>
      <w:r w:rsidR="00D97A8D">
        <w:rPr>
          <w:rFonts w:ascii="Verdana" w:hAnsi="Verdana" w:cs="Arial"/>
          <w:color w:val="000000" w:themeColor="text1"/>
        </w:rPr>
        <w:t xml:space="preserve"> </w:t>
      </w:r>
      <w:r w:rsidR="008D555F" w:rsidRPr="008D555F">
        <w:rPr>
          <w:rFonts w:ascii="Verdana" w:hAnsi="Verdana" w:cs="Arial"/>
          <w:color w:val="000000" w:themeColor="text1"/>
        </w:rPr>
        <w:t xml:space="preserve">con 2.083 registros y </w:t>
      </w:r>
      <w:r w:rsidR="00D97A8D" w:rsidRPr="00D97A8D">
        <w:rPr>
          <w:rFonts w:ascii="Verdana" w:hAnsi="Verdana" w:cs="Arial"/>
          <w:color w:val="000000" w:themeColor="text1"/>
        </w:rPr>
        <w:t>Comercio al por menor de carnes (incluye aves de corral), productos cárnicos, pescados y productos de mar, en establecimientos especializados</w:t>
      </w:r>
      <w:r w:rsidR="00D97A8D">
        <w:rPr>
          <w:rFonts w:ascii="Verdana" w:hAnsi="Verdana" w:cs="Arial"/>
          <w:color w:val="000000" w:themeColor="text1"/>
        </w:rPr>
        <w:t xml:space="preserve"> </w:t>
      </w:r>
      <w:r w:rsidR="008D555F" w:rsidRPr="008D555F">
        <w:rPr>
          <w:rFonts w:ascii="Verdana" w:hAnsi="Verdana" w:cs="Arial"/>
          <w:color w:val="000000" w:themeColor="text1"/>
        </w:rPr>
        <w:t>con 1.995 registros. Asimismo, se destaca la confección de prendas de vestir, excepto prendas de piel con 1.347 registros</w:t>
      </w:r>
      <w:r w:rsidR="00D97A8D">
        <w:rPr>
          <w:rFonts w:ascii="Verdana" w:hAnsi="Verdana" w:cs="Arial"/>
          <w:color w:val="000000" w:themeColor="text1"/>
        </w:rPr>
        <w:t xml:space="preserve">, seguido por el </w:t>
      </w:r>
      <w:r w:rsidR="00D97A8D" w:rsidRPr="00D97A8D">
        <w:rPr>
          <w:rFonts w:ascii="Verdana" w:hAnsi="Verdana" w:cs="Arial"/>
          <w:color w:val="000000" w:themeColor="text1"/>
        </w:rPr>
        <w:t>Comercio al por menor de leche, productos lácteos y huevos, en establecimientos especializados</w:t>
      </w:r>
      <w:r w:rsidR="00D97A8D">
        <w:rPr>
          <w:rFonts w:ascii="Verdana" w:hAnsi="Verdana" w:cs="Arial"/>
          <w:color w:val="000000" w:themeColor="text1"/>
        </w:rPr>
        <w:t xml:space="preserve"> con </w:t>
      </w:r>
      <w:r w:rsidR="008D555F" w:rsidRPr="008D555F">
        <w:rPr>
          <w:rFonts w:ascii="Verdana" w:hAnsi="Verdana" w:cs="Arial"/>
          <w:color w:val="000000" w:themeColor="text1"/>
        </w:rPr>
        <w:t xml:space="preserve">878 registros, el comercio en establecimientos no </w:t>
      </w:r>
      <w:r w:rsidR="00D97A8D" w:rsidRPr="008D555F">
        <w:rPr>
          <w:rFonts w:ascii="Verdana" w:hAnsi="Verdana" w:cs="Arial"/>
          <w:color w:val="000000" w:themeColor="text1"/>
        </w:rPr>
        <w:t xml:space="preserve">especializados </w:t>
      </w:r>
      <w:r w:rsidR="00D97A8D">
        <w:rPr>
          <w:rFonts w:ascii="Verdana" w:hAnsi="Verdana" w:cs="Arial"/>
          <w:color w:val="000000" w:themeColor="text1"/>
        </w:rPr>
        <w:t xml:space="preserve">con </w:t>
      </w:r>
      <w:r w:rsidR="008D555F" w:rsidRPr="008D555F">
        <w:rPr>
          <w:rFonts w:ascii="Verdana" w:hAnsi="Verdana" w:cs="Arial"/>
          <w:color w:val="000000" w:themeColor="text1"/>
        </w:rPr>
        <w:t xml:space="preserve">583 registros y el comercio de otros productos alimenticios </w:t>
      </w:r>
      <w:proofErr w:type="spellStart"/>
      <w:r w:rsidR="008D555F" w:rsidRPr="008D555F">
        <w:rPr>
          <w:rFonts w:ascii="Verdana" w:hAnsi="Verdana" w:cs="Arial"/>
          <w:color w:val="000000" w:themeColor="text1"/>
        </w:rPr>
        <w:t>n.c.p</w:t>
      </w:r>
      <w:proofErr w:type="spellEnd"/>
      <w:r w:rsidR="008D555F" w:rsidRPr="008D555F">
        <w:rPr>
          <w:rFonts w:ascii="Verdana" w:hAnsi="Verdana" w:cs="Arial"/>
          <w:color w:val="000000" w:themeColor="text1"/>
        </w:rPr>
        <w:t>. 375 registros, lo que refleja una predominancia de actividades económicas asociadas al sector comercial y alimentario.</w:t>
      </w:r>
    </w:p>
    <w:p w14:paraId="07B813FF" w14:textId="61188FDF" w:rsidR="00CC295C" w:rsidRPr="00105187" w:rsidRDefault="00CC295C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>DESTINO DE LOS RECURSOS</w:t>
      </w:r>
    </w:p>
    <w:p w14:paraId="17D5986E" w14:textId="28ED168C" w:rsidR="0032051A" w:rsidRDefault="00105187" w:rsidP="00437574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t xml:space="preserve">El </w:t>
      </w:r>
      <w:r w:rsidR="00246189">
        <w:rPr>
          <w:rFonts w:ascii="Verdana" w:hAnsi="Verdana" w:cs="Arial"/>
          <w:color w:val="000000" w:themeColor="text1"/>
        </w:rPr>
        <w:t>99</w:t>
      </w:r>
      <w:r w:rsidR="001D7EB6">
        <w:rPr>
          <w:rFonts w:ascii="Verdana" w:hAnsi="Verdana" w:cs="Arial"/>
          <w:color w:val="000000" w:themeColor="text1"/>
        </w:rPr>
        <w:t>,2</w:t>
      </w:r>
      <w:r w:rsidRPr="00105187">
        <w:rPr>
          <w:rFonts w:ascii="Verdana" w:hAnsi="Verdana" w:cs="Arial"/>
          <w:color w:val="000000" w:themeColor="text1"/>
        </w:rPr>
        <w:t>% de las operaciones está destinado a capital de trabajo, contribuyendo al fortalecimiento de la liquidez y a la sostenibilidad financiera de las empresas beneficiarias</w:t>
      </w:r>
      <w:r w:rsidR="00246189">
        <w:rPr>
          <w:rFonts w:ascii="Verdana" w:hAnsi="Verdana" w:cs="Arial"/>
          <w:color w:val="000000" w:themeColor="text1"/>
        </w:rPr>
        <w:t>, mientras que el 0,</w:t>
      </w:r>
      <w:r w:rsidR="001D7EB6">
        <w:rPr>
          <w:rFonts w:ascii="Verdana" w:hAnsi="Verdana" w:cs="Arial"/>
          <w:color w:val="000000" w:themeColor="text1"/>
        </w:rPr>
        <w:t>8</w:t>
      </w:r>
      <w:r w:rsidR="00246189">
        <w:rPr>
          <w:rFonts w:ascii="Verdana" w:hAnsi="Verdana" w:cs="Arial"/>
          <w:color w:val="000000" w:themeColor="text1"/>
        </w:rPr>
        <w:t xml:space="preserve">% restante </w:t>
      </w:r>
      <w:proofErr w:type="spellStart"/>
      <w:r w:rsidR="00246189">
        <w:rPr>
          <w:rFonts w:ascii="Verdana" w:hAnsi="Verdana" w:cs="Arial"/>
          <w:color w:val="000000" w:themeColor="text1"/>
        </w:rPr>
        <w:t>esta</w:t>
      </w:r>
      <w:proofErr w:type="spellEnd"/>
      <w:r w:rsidR="00246189">
        <w:rPr>
          <w:rFonts w:ascii="Verdana" w:hAnsi="Verdana" w:cs="Arial"/>
          <w:color w:val="000000" w:themeColor="text1"/>
        </w:rPr>
        <w:t xml:space="preserve"> destinado entre inversión Fija y Leasing.</w:t>
      </w:r>
    </w:p>
    <w:p w14:paraId="7ED7466D" w14:textId="3C53A6A2" w:rsidR="00D6508B" w:rsidRDefault="001D7EB6" w:rsidP="007A0228">
      <w:pPr>
        <w:jc w:val="center"/>
        <w:rPr>
          <w:rFonts w:ascii="Verdana" w:hAnsi="Verdana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702C5D3B" wp14:editId="71018C1A">
            <wp:extent cx="4572000" cy="2743200"/>
            <wp:effectExtent l="0" t="0" r="0" b="0"/>
            <wp:docPr id="12" name="Gráfico 12">
              <a:extLst xmlns:a="http://schemas.openxmlformats.org/drawingml/2006/main">
                <a:ext uri="{FF2B5EF4-FFF2-40B4-BE49-F238E27FC236}">
                  <a16:creationId xmlns:a16="http://schemas.microsoft.com/office/drawing/2014/main" id="{A1DB9E04-8EB8-4773-95F8-8F46AEE40FF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918B40A" w14:textId="713A4E18" w:rsidR="00D6508B" w:rsidRDefault="00D6508B" w:rsidP="00D6508B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613BF0">
        <w:rPr>
          <w:rFonts w:ascii="Verdana" w:hAnsi="Verdana" w:cs="Arial"/>
          <w:i/>
          <w:iCs/>
          <w:color w:val="000000" w:themeColor="text1"/>
        </w:rPr>
        <w:t>5</w:t>
      </w:r>
      <w:r>
        <w:rPr>
          <w:rFonts w:ascii="Verdana" w:hAnsi="Verdana" w:cs="Arial"/>
          <w:i/>
          <w:iCs/>
          <w:color w:val="000000" w:themeColor="text1"/>
        </w:rPr>
        <w:t>: Destino de los Recursos</w:t>
      </w:r>
    </w:p>
    <w:p w14:paraId="2607BB4F" w14:textId="79B335E6" w:rsidR="00613BF0" w:rsidRDefault="006A49C3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>TAMAÑO EMPRESAS BENEFICIADAS:</w:t>
      </w:r>
    </w:p>
    <w:p w14:paraId="11A989AA" w14:textId="0B72AB02" w:rsidR="00613BF0" w:rsidRDefault="00D152AA" w:rsidP="00613BF0">
      <w:pPr>
        <w:jc w:val="both"/>
        <w:rPr>
          <w:rFonts w:ascii="Verdana" w:hAnsi="Verdana"/>
          <w:noProof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122F7C5B" wp14:editId="6902D32F">
            <wp:simplePos x="0" y="0"/>
            <wp:positionH relativeFrom="margin">
              <wp:align>left</wp:align>
            </wp:positionH>
            <wp:positionV relativeFrom="paragraph">
              <wp:posOffset>1200785</wp:posOffset>
            </wp:positionV>
            <wp:extent cx="5316855" cy="2743200"/>
            <wp:effectExtent l="0" t="0" r="17145" b="0"/>
            <wp:wrapSquare wrapText="bothSides"/>
            <wp:docPr id="14" name="Gráfico 14">
              <a:extLst xmlns:a="http://schemas.openxmlformats.org/drawingml/2006/main">
                <a:ext uri="{FF2B5EF4-FFF2-40B4-BE49-F238E27FC236}">
                  <a16:creationId xmlns:a16="http://schemas.microsoft.com/office/drawing/2014/main" id="{9F15A4F7-7FD2-4BF0-BE81-2D1D3BC487B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margin">
              <wp14:pctWidth>0</wp14:pctWidth>
            </wp14:sizeRelH>
          </wp:anchor>
        </w:drawing>
      </w:r>
      <w:r w:rsidR="00613BF0" w:rsidRPr="00105187">
        <w:rPr>
          <w:rFonts w:ascii="Verdana" w:hAnsi="Verdana"/>
          <w:color w:val="000000" w:themeColor="text1"/>
        </w:rPr>
        <w:t xml:space="preserve">La mayor proporción de empresas beneficiadas corresponde a las microempresas, que representan aproximadamente el </w:t>
      </w:r>
      <w:r>
        <w:rPr>
          <w:rFonts w:ascii="Verdana" w:hAnsi="Verdana"/>
          <w:color w:val="000000" w:themeColor="text1"/>
        </w:rPr>
        <w:t>97,8</w:t>
      </w:r>
      <w:r w:rsidR="00613BF0" w:rsidRPr="00105187">
        <w:rPr>
          <w:rFonts w:ascii="Verdana" w:hAnsi="Verdana"/>
          <w:color w:val="000000" w:themeColor="text1"/>
        </w:rPr>
        <w:t xml:space="preserve">% del total, evidenciando que los recursos están principalmente orientados a unidades productivas de menor tamaño. En segundo lugar, se encuentran las pequeñas empresas, con cerca del </w:t>
      </w:r>
      <w:r>
        <w:rPr>
          <w:rFonts w:ascii="Verdana" w:hAnsi="Verdana"/>
          <w:color w:val="000000" w:themeColor="text1"/>
        </w:rPr>
        <w:t>2,1</w:t>
      </w:r>
      <w:r w:rsidR="00613BF0" w:rsidRPr="00105187">
        <w:rPr>
          <w:rFonts w:ascii="Verdana" w:hAnsi="Verdana"/>
          <w:color w:val="000000" w:themeColor="text1"/>
        </w:rPr>
        <w:t xml:space="preserve">%, mientras que la participación de las medianas empresas es mínima, alrededor del </w:t>
      </w:r>
      <w:r w:rsidR="00613BF0">
        <w:rPr>
          <w:rFonts w:ascii="Verdana" w:hAnsi="Verdana"/>
          <w:color w:val="000000" w:themeColor="text1"/>
        </w:rPr>
        <w:t>0,1</w:t>
      </w:r>
      <w:r w:rsidR="00613BF0" w:rsidRPr="00105187">
        <w:rPr>
          <w:rFonts w:ascii="Verdana" w:hAnsi="Verdana"/>
          <w:color w:val="000000" w:themeColor="text1"/>
        </w:rPr>
        <w:t>%.</w:t>
      </w:r>
      <w:r w:rsidR="00613BF0" w:rsidRPr="00105187">
        <w:rPr>
          <w:rFonts w:ascii="Verdana" w:hAnsi="Verdana"/>
          <w:noProof/>
          <w:color w:val="000000" w:themeColor="text1"/>
        </w:rPr>
        <w:t xml:space="preserve"> </w:t>
      </w:r>
    </w:p>
    <w:p w14:paraId="63A3DDE8" w14:textId="0AA2A77E" w:rsidR="00D152AA" w:rsidRPr="00105187" w:rsidRDefault="00D152AA" w:rsidP="00613BF0">
      <w:pPr>
        <w:jc w:val="both"/>
        <w:rPr>
          <w:rFonts w:ascii="Verdana" w:hAnsi="Verdana" w:cs="Arial"/>
          <w:color w:val="000000" w:themeColor="text1"/>
        </w:rPr>
      </w:pPr>
    </w:p>
    <w:p w14:paraId="16451724" w14:textId="255C1F07" w:rsidR="00B34172" w:rsidRDefault="006A49C3" w:rsidP="00437574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 xml:space="preserve"> </w:t>
      </w:r>
      <w:r w:rsidR="00B34172"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613BF0">
        <w:rPr>
          <w:rFonts w:ascii="Verdana" w:hAnsi="Verdana" w:cs="Arial"/>
          <w:i/>
          <w:iCs/>
          <w:color w:val="000000" w:themeColor="text1"/>
        </w:rPr>
        <w:t>6</w:t>
      </w:r>
      <w:r w:rsidR="00B34172" w:rsidRPr="00105187">
        <w:rPr>
          <w:rFonts w:ascii="Verdana" w:hAnsi="Verdana" w:cs="Arial"/>
          <w:i/>
          <w:iCs/>
          <w:color w:val="000000" w:themeColor="text1"/>
        </w:rPr>
        <w:t>: Porcentaje de Empresas Beneficiadas</w:t>
      </w:r>
    </w:p>
    <w:p w14:paraId="64C9DF8D" w14:textId="1F5CBC0C" w:rsidR="00C85E06" w:rsidRDefault="00CC295C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>ANÁLISIS DE LA TASA DE INTERÉS AL BENEFICIARIO FINAL</w:t>
      </w:r>
    </w:p>
    <w:p w14:paraId="328BA19F" w14:textId="5C568957" w:rsidR="005072F0" w:rsidRDefault="00F80FC1" w:rsidP="00E04BF7">
      <w:pPr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S</w:t>
      </w:r>
      <w:r w:rsidR="00014B08" w:rsidRPr="00014B08">
        <w:rPr>
          <w:rFonts w:ascii="Verdana" w:hAnsi="Verdana" w:cs="Arial"/>
          <w:color w:val="000000" w:themeColor="text1"/>
        </w:rPr>
        <w:t xml:space="preserve">e observa una alta concentración de operaciones en el rango superior al </w:t>
      </w:r>
      <w:r w:rsidR="00B1014B">
        <w:rPr>
          <w:rFonts w:ascii="Verdana" w:hAnsi="Verdana" w:cs="Arial"/>
          <w:color w:val="000000" w:themeColor="text1"/>
        </w:rPr>
        <w:t>5</w:t>
      </w:r>
      <w:r w:rsidR="00014B08" w:rsidRPr="00014B08">
        <w:rPr>
          <w:rFonts w:ascii="Verdana" w:hAnsi="Verdana" w:cs="Arial"/>
          <w:color w:val="000000" w:themeColor="text1"/>
        </w:rPr>
        <w:t xml:space="preserve">0%, con un total de </w:t>
      </w:r>
      <w:r w:rsidR="00B1014B">
        <w:rPr>
          <w:rFonts w:ascii="Verdana" w:hAnsi="Verdana" w:cs="Arial"/>
          <w:color w:val="000000" w:themeColor="text1"/>
        </w:rPr>
        <w:t>9.011</w:t>
      </w:r>
      <w:r w:rsidR="00014B08" w:rsidRPr="00014B08">
        <w:rPr>
          <w:rFonts w:ascii="Verdana" w:hAnsi="Verdana" w:cs="Arial"/>
          <w:color w:val="000000" w:themeColor="text1"/>
        </w:rPr>
        <w:t xml:space="preserve"> créditos, lo que evidencia una marcada tendencia hacia la colocación a tasas elevadas. Este comportamiento sugiere </w:t>
      </w:r>
      <w:r w:rsidR="00014B08" w:rsidRPr="00014B08">
        <w:rPr>
          <w:rFonts w:ascii="Verdana" w:hAnsi="Verdana" w:cs="Arial"/>
          <w:color w:val="000000" w:themeColor="text1"/>
        </w:rPr>
        <w:lastRenderedPageBreak/>
        <w:t xml:space="preserve">condiciones de financiamiento menos favorables para los beneficiarios. En segundo lugar, el rango entre el </w:t>
      </w:r>
      <w:r w:rsidR="00B1014B">
        <w:rPr>
          <w:rFonts w:ascii="Verdana" w:hAnsi="Verdana" w:cs="Arial"/>
          <w:color w:val="000000" w:themeColor="text1"/>
        </w:rPr>
        <w:t>2</w:t>
      </w:r>
      <w:r w:rsidR="00014B08" w:rsidRPr="00014B08">
        <w:rPr>
          <w:rFonts w:ascii="Verdana" w:hAnsi="Verdana" w:cs="Arial"/>
          <w:color w:val="000000" w:themeColor="text1"/>
        </w:rPr>
        <w:t xml:space="preserve">0% y el </w:t>
      </w:r>
      <w:r w:rsidR="00B1014B">
        <w:rPr>
          <w:rFonts w:ascii="Verdana" w:hAnsi="Verdana" w:cs="Arial"/>
          <w:color w:val="000000" w:themeColor="text1"/>
        </w:rPr>
        <w:t>3</w:t>
      </w:r>
      <w:r w:rsidR="00014B08" w:rsidRPr="00014B08">
        <w:rPr>
          <w:rFonts w:ascii="Verdana" w:hAnsi="Verdana" w:cs="Arial"/>
          <w:color w:val="000000" w:themeColor="text1"/>
        </w:rPr>
        <w:t xml:space="preserve">0% registra </w:t>
      </w:r>
      <w:r w:rsidR="00B1014B">
        <w:rPr>
          <w:rFonts w:ascii="Verdana" w:hAnsi="Verdana" w:cs="Arial"/>
          <w:color w:val="000000" w:themeColor="text1"/>
        </w:rPr>
        <w:t xml:space="preserve">674 </w:t>
      </w:r>
      <w:r w:rsidR="00014B08" w:rsidRPr="00014B08">
        <w:rPr>
          <w:rFonts w:ascii="Verdana" w:hAnsi="Verdana" w:cs="Arial"/>
          <w:color w:val="000000" w:themeColor="text1"/>
        </w:rPr>
        <w:t xml:space="preserve">operaciones, manteniendo una participación significativa dentro de la distribución. Por su parte, los rangos intermedios entre el </w:t>
      </w:r>
      <w:r w:rsidR="00B1014B">
        <w:rPr>
          <w:rFonts w:ascii="Verdana" w:hAnsi="Verdana" w:cs="Arial"/>
          <w:color w:val="000000" w:themeColor="text1"/>
        </w:rPr>
        <w:t>30</w:t>
      </w:r>
      <w:r w:rsidR="00014B08" w:rsidRPr="00014B08">
        <w:rPr>
          <w:rFonts w:ascii="Verdana" w:hAnsi="Verdana" w:cs="Arial"/>
          <w:color w:val="000000" w:themeColor="text1"/>
        </w:rPr>
        <w:t xml:space="preserve">% y el 40% concentran </w:t>
      </w:r>
      <w:r w:rsidR="00B1014B">
        <w:rPr>
          <w:rFonts w:ascii="Verdana" w:hAnsi="Verdana" w:cs="Arial"/>
          <w:color w:val="000000" w:themeColor="text1"/>
        </w:rPr>
        <w:t xml:space="preserve">417 </w:t>
      </w:r>
      <w:r w:rsidR="00014B08" w:rsidRPr="00014B08">
        <w:rPr>
          <w:rFonts w:ascii="Verdana" w:hAnsi="Verdana" w:cs="Arial"/>
          <w:color w:val="000000" w:themeColor="text1"/>
        </w:rPr>
        <w:t xml:space="preserve">operaciones, mientras que el segmento entre el </w:t>
      </w:r>
      <w:r w:rsidR="00B1014B">
        <w:rPr>
          <w:rFonts w:ascii="Verdana" w:hAnsi="Verdana" w:cs="Arial"/>
          <w:color w:val="000000" w:themeColor="text1"/>
        </w:rPr>
        <w:t>4</w:t>
      </w:r>
      <w:r w:rsidR="00014B08" w:rsidRPr="00014B08">
        <w:rPr>
          <w:rFonts w:ascii="Verdana" w:hAnsi="Verdana" w:cs="Arial"/>
          <w:color w:val="000000" w:themeColor="text1"/>
        </w:rPr>
        <w:t xml:space="preserve">% y el </w:t>
      </w:r>
      <w:r w:rsidR="00B1014B">
        <w:rPr>
          <w:rFonts w:ascii="Verdana" w:hAnsi="Verdana" w:cs="Arial"/>
          <w:color w:val="000000" w:themeColor="text1"/>
        </w:rPr>
        <w:t>1</w:t>
      </w:r>
      <w:r w:rsidR="00014B08" w:rsidRPr="00014B08">
        <w:rPr>
          <w:rFonts w:ascii="Verdana" w:hAnsi="Verdana" w:cs="Arial"/>
          <w:color w:val="000000" w:themeColor="text1"/>
        </w:rPr>
        <w:t xml:space="preserve">0% presenta una </w:t>
      </w:r>
      <w:r w:rsidR="006C5ED1">
        <w:rPr>
          <w:noProof/>
        </w:rPr>
        <w:drawing>
          <wp:anchor distT="0" distB="0" distL="114300" distR="114300" simplePos="0" relativeHeight="251684864" behindDoc="0" locked="0" layoutInCell="1" allowOverlap="1" wp14:anchorId="451438E7" wp14:editId="56D700D5">
            <wp:simplePos x="0" y="0"/>
            <wp:positionH relativeFrom="margin">
              <wp:align>right</wp:align>
            </wp:positionH>
            <wp:positionV relativeFrom="paragraph">
              <wp:posOffset>1199515</wp:posOffset>
            </wp:positionV>
            <wp:extent cx="5384800" cy="2743200"/>
            <wp:effectExtent l="0" t="0" r="6350" b="0"/>
            <wp:wrapSquare wrapText="bothSides"/>
            <wp:docPr id="16" name="Gráfico 16">
              <a:extLst xmlns:a="http://schemas.openxmlformats.org/drawingml/2006/main">
                <a:ext uri="{FF2B5EF4-FFF2-40B4-BE49-F238E27FC236}">
                  <a16:creationId xmlns:a16="http://schemas.microsoft.com/office/drawing/2014/main" id="{D62480E9-0897-41CB-A975-4FAA437633D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</wp:anchor>
        </w:drawing>
      </w:r>
      <w:r w:rsidR="00014B08" w:rsidRPr="00014B08">
        <w:rPr>
          <w:rFonts w:ascii="Verdana" w:hAnsi="Verdana" w:cs="Arial"/>
          <w:color w:val="000000" w:themeColor="text1"/>
        </w:rPr>
        <w:t xml:space="preserve">participación marginal, con solo </w:t>
      </w:r>
      <w:r w:rsidR="00B1014B">
        <w:rPr>
          <w:rFonts w:ascii="Verdana" w:hAnsi="Verdana" w:cs="Arial"/>
          <w:color w:val="000000" w:themeColor="text1"/>
        </w:rPr>
        <w:t xml:space="preserve">13 </w:t>
      </w:r>
      <w:r w:rsidR="00014B08" w:rsidRPr="00014B08">
        <w:rPr>
          <w:rFonts w:ascii="Verdana" w:hAnsi="Verdana" w:cs="Arial"/>
          <w:color w:val="000000" w:themeColor="text1"/>
        </w:rPr>
        <w:t>operaciones.</w:t>
      </w:r>
    </w:p>
    <w:p w14:paraId="6974F1A2" w14:textId="36255045" w:rsidR="00EE75F2" w:rsidRPr="00105187" w:rsidRDefault="00722E16" w:rsidP="00EE75F2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76FC9DDF" wp14:editId="1147D39B">
            <wp:simplePos x="0" y="0"/>
            <wp:positionH relativeFrom="margin">
              <wp:align>right</wp:align>
            </wp:positionH>
            <wp:positionV relativeFrom="paragraph">
              <wp:posOffset>3081020</wp:posOffset>
            </wp:positionV>
            <wp:extent cx="5384800" cy="3132455"/>
            <wp:effectExtent l="0" t="0" r="6350" b="10795"/>
            <wp:wrapSquare wrapText="bothSides"/>
            <wp:docPr id="17" name="Gráfico 17">
              <a:extLst xmlns:a="http://schemas.openxmlformats.org/drawingml/2006/main">
                <a:ext uri="{FF2B5EF4-FFF2-40B4-BE49-F238E27FC236}">
                  <a16:creationId xmlns:a16="http://schemas.microsoft.com/office/drawing/2014/main" id="{7B8F9F6D-13AA-42DA-9790-B3A6E66072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5F2"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613BF0">
        <w:rPr>
          <w:rFonts w:ascii="Verdana" w:hAnsi="Verdana" w:cs="Arial"/>
          <w:i/>
          <w:iCs/>
          <w:color w:val="000000" w:themeColor="text1"/>
        </w:rPr>
        <w:t>7</w:t>
      </w:r>
      <w:r w:rsidR="00EE75F2"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EE75F2">
        <w:rPr>
          <w:rFonts w:ascii="Verdana" w:hAnsi="Verdana" w:cs="Arial"/>
          <w:i/>
          <w:iCs/>
          <w:color w:val="000000" w:themeColor="text1"/>
        </w:rPr>
        <w:t xml:space="preserve">Número de operaciones por Tasa de Interés </w:t>
      </w:r>
    </w:p>
    <w:p w14:paraId="4DDF94AE" w14:textId="5186E290" w:rsidR="00E04BF7" w:rsidRDefault="00E04BF7" w:rsidP="00E04BF7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613BF0">
        <w:rPr>
          <w:rFonts w:ascii="Verdana" w:hAnsi="Verdana" w:cs="Arial"/>
          <w:i/>
          <w:iCs/>
          <w:color w:val="000000" w:themeColor="text1"/>
        </w:rPr>
        <w:t>8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>
        <w:rPr>
          <w:rFonts w:ascii="Verdana" w:hAnsi="Verdana" w:cs="Arial"/>
          <w:i/>
          <w:iCs/>
          <w:color w:val="000000" w:themeColor="text1"/>
        </w:rPr>
        <w:t xml:space="preserve">Concentración de tasas mayor a </w:t>
      </w:r>
      <w:r w:rsidR="000A687E">
        <w:rPr>
          <w:rFonts w:ascii="Verdana" w:hAnsi="Verdana" w:cs="Arial"/>
          <w:i/>
          <w:iCs/>
          <w:color w:val="000000" w:themeColor="text1"/>
        </w:rPr>
        <w:t>6</w:t>
      </w:r>
      <w:r>
        <w:rPr>
          <w:rFonts w:ascii="Verdana" w:hAnsi="Verdana" w:cs="Arial"/>
          <w:i/>
          <w:iCs/>
          <w:color w:val="000000" w:themeColor="text1"/>
        </w:rPr>
        <w:t>0% de interés.</w:t>
      </w:r>
    </w:p>
    <w:p w14:paraId="1557AFEE" w14:textId="2597E280" w:rsidR="00E04BF7" w:rsidRDefault="00C06180" w:rsidP="00E04BF7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Se identifico que de l</w:t>
      </w:r>
      <w:r w:rsidR="00E7184A">
        <w:rPr>
          <w:rFonts w:ascii="Verdana" w:hAnsi="Verdana" w:cs="Arial"/>
        </w:rPr>
        <w:t>as</w:t>
      </w:r>
      <w:r w:rsidR="00722E16">
        <w:rPr>
          <w:rFonts w:ascii="Verdana" w:hAnsi="Verdana" w:cs="Arial"/>
        </w:rPr>
        <w:t xml:space="preserve"> 9.011</w:t>
      </w:r>
      <w:r w:rsidR="00F20436">
        <w:rPr>
          <w:rFonts w:ascii="Verdana" w:hAnsi="Verdana" w:cs="Arial"/>
        </w:rPr>
        <w:t xml:space="preserve"> </w:t>
      </w:r>
      <w:r w:rsidR="00D85B33">
        <w:rPr>
          <w:rFonts w:ascii="Verdana" w:hAnsi="Verdana" w:cs="Arial"/>
        </w:rPr>
        <w:t xml:space="preserve">operaciones </w:t>
      </w:r>
      <w:r w:rsidR="00D85B33" w:rsidRPr="00C06180">
        <w:rPr>
          <w:rFonts w:ascii="Verdana" w:hAnsi="Verdana" w:cs="Arial"/>
        </w:rPr>
        <w:t>la</w:t>
      </w:r>
      <w:r w:rsidRPr="00C06180">
        <w:rPr>
          <w:rFonts w:ascii="Verdana" w:hAnsi="Verdana" w:cs="Arial"/>
        </w:rPr>
        <w:t xml:space="preserve"> concentración de las operaciones con tasas superiores al </w:t>
      </w:r>
      <w:r w:rsidR="00722E16">
        <w:rPr>
          <w:rFonts w:ascii="Verdana" w:hAnsi="Verdana" w:cs="Arial"/>
        </w:rPr>
        <w:t>5</w:t>
      </w:r>
      <w:r w:rsidRPr="00C06180">
        <w:rPr>
          <w:rFonts w:ascii="Verdana" w:hAnsi="Verdana" w:cs="Arial"/>
        </w:rPr>
        <w:t xml:space="preserve">0% se presenta principalmente en el BCO. W S.A. </w:t>
      </w:r>
      <w:r w:rsidR="00F20436" w:rsidRPr="00C06180">
        <w:rPr>
          <w:rFonts w:ascii="Verdana" w:hAnsi="Verdana" w:cs="Arial"/>
        </w:rPr>
        <w:t xml:space="preserve">con </w:t>
      </w:r>
      <w:r w:rsidR="00722E16">
        <w:rPr>
          <w:rFonts w:ascii="Verdana" w:hAnsi="Verdana" w:cs="Arial"/>
        </w:rPr>
        <w:t>4.850</w:t>
      </w:r>
      <w:r w:rsidR="00F20436">
        <w:rPr>
          <w:rFonts w:ascii="Verdana" w:hAnsi="Verdana" w:cs="Arial"/>
        </w:rPr>
        <w:t xml:space="preserve"> </w:t>
      </w:r>
      <w:r w:rsidRPr="00C06180">
        <w:rPr>
          <w:rFonts w:ascii="Verdana" w:hAnsi="Verdana" w:cs="Arial"/>
        </w:rPr>
        <w:t xml:space="preserve">operaciones y en el </w:t>
      </w:r>
      <w:r w:rsidR="00F20436">
        <w:rPr>
          <w:rFonts w:ascii="Verdana" w:hAnsi="Verdana" w:cs="Arial"/>
        </w:rPr>
        <w:t>MIN</w:t>
      </w:r>
      <w:r w:rsidRPr="00C06180">
        <w:rPr>
          <w:rFonts w:ascii="Verdana" w:hAnsi="Verdana" w:cs="Arial"/>
        </w:rPr>
        <w:t>B</w:t>
      </w:r>
      <w:r w:rsidR="00F20436">
        <w:rPr>
          <w:rFonts w:ascii="Verdana" w:hAnsi="Verdana" w:cs="Arial"/>
        </w:rPr>
        <w:t xml:space="preserve">ANCO Banco de la Microempresa de Colombia SA con </w:t>
      </w:r>
      <w:r w:rsidR="00722E16">
        <w:rPr>
          <w:rFonts w:ascii="Verdana" w:hAnsi="Verdana" w:cs="Arial"/>
        </w:rPr>
        <w:t>2.663</w:t>
      </w:r>
      <w:r w:rsidR="00F20436">
        <w:rPr>
          <w:rFonts w:ascii="Verdana" w:hAnsi="Verdana" w:cs="Arial"/>
        </w:rPr>
        <w:t xml:space="preserve"> operaciones mientras que el BCO </w:t>
      </w:r>
      <w:r w:rsidRPr="00C06180">
        <w:rPr>
          <w:rFonts w:ascii="Verdana" w:hAnsi="Verdana" w:cs="Arial"/>
        </w:rPr>
        <w:t xml:space="preserve">Santander de Negocios Colombia S.A. con </w:t>
      </w:r>
      <w:r w:rsidR="00722E16">
        <w:rPr>
          <w:rFonts w:ascii="Verdana" w:hAnsi="Verdana" w:cs="Arial"/>
        </w:rPr>
        <w:t>948</w:t>
      </w:r>
      <w:r w:rsidR="00E7184A">
        <w:rPr>
          <w:rFonts w:ascii="Verdana" w:hAnsi="Verdana" w:cs="Arial"/>
        </w:rPr>
        <w:t xml:space="preserve"> </w:t>
      </w:r>
      <w:r w:rsidRPr="00C06180">
        <w:rPr>
          <w:rFonts w:ascii="Verdana" w:hAnsi="Verdana" w:cs="Arial"/>
        </w:rPr>
        <w:t>operaciones, que en conjunto agrupan la mayor parte de este segmento.</w:t>
      </w:r>
    </w:p>
    <w:p w14:paraId="7DF313B4" w14:textId="77777777" w:rsidR="005E5DF8" w:rsidRDefault="005E5DF8" w:rsidP="00E04BF7">
      <w:pPr>
        <w:jc w:val="both"/>
        <w:rPr>
          <w:rFonts w:ascii="Verdana" w:hAnsi="Verdana" w:cs="Arial"/>
        </w:rPr>
      </w:pPr>
    </w:p>
    <w:p w14:paraId="509C8C76" w14:textId="27A40AD2" w:rsidR="00914C82" w:rsidRDefault="006C5ED1" w:rsidP="00437574">
      <w:pPr>
        <w:jc w:val="both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49F7B0C" wp14:editId="20AC17C0">
            <wp:simplePos x="0" y="0"/>
            <wp:positionH relativeFrom="margin">
              <wp:align>right</wp:align>
            </wp:positionH>
            <wp:positionV relativeFrom="paragraph">
              <wp:posOffset>285750</wp:posOffset>
            </wp:positionV>
            <wp:extent cx="5375910" cy="2743200"/>
            <wp:effectExtent l="0" t="0" r="15240" b="0"/>
            <wp:wrapSquare wrapText="bothSides"/>
            <wp:docPr id="15" name="Gráfico 15">
              <a:extLst xmlns:a="http://schemas.openxmlformats.org/drawingml/2006/main">
                <a:ext uri="{FF2B5EF4-FFF2-40B4-BE49-F238E27FC236}">
                  <a16:creationId xmlns:a16="http://schemas.microsoft.com/office/drawing/2014/main" id="{75D2CCE6-620F-4A84-A6A5-D097FACDCE6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</wp:anchor>
        </w:drawing>
      </w:r>
      <w:r w:rsidR="00914C82" w:rsidRPr="00914C82">
        <w:rPr>
          <w:b/>
          <w:bCs/>
        </w:rPr>
        <w:t>DESEMBOLSO</w:t>
      </w:r>
      <w:r w:rsidR="00914C82">
        <w:rPr>
          <w:b/>
          <w:bCs/>
        </w:rPr>
        <w:t xml:space="preserve"> ACUMULADO</w:t>
      </w:r>
    </w:p>
    <w:p w14:paraId="5652F320" w14:textId="4720438F" w:rsidR="00A13456" w:rsidRDefault="00A13456" w:rsidP="00A13456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613BF0">
        <w:rPr>
          <w:rFonts w:ascii="Verdana" w:hAnsi="Verdana" w:cs="Arial"/>
          <w:i/>
          <w:iCs/>
          <w:color w:val="000000" w:themeColor="text1"/>
        </w:rPr>
        <w:t>9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>
        <w:rPr>
          <w:rFonts w:ascii="Verdana" w:hAnsi="Verdana" w:cs="Arial"/>
          <w:i/>
          <w:iCs/>
          <w:color w:val="000000" w:themeColor="text1"/>
        </w:rPr>
        <w:t>Concentración de tasas mayor a 60% de interés</w:t>
      </w:r>
    </w:p>
    <w:p w14:paraId="7994C7F0" w14:textId="7DE7EA3B" w:rsidR="005D29F3" w:rsidRPr="00A13456" w:rsidRDefault="003D58B2" w:rsidP="00A13456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Se </w:t>
      </w:r>
      <w:r w:rsidR="00342502" w:rsidRPr="00342502">
        <w:rPr>
          <w:rFonts w:ascii="Verdana" w:hAnsi="Verdana" w:cs="Arial"/>
        </w:rPr>
        <w:t>evidencia un crecimiento entre diciembre de 2025 y abril de 2026, pasando de $82.711 millones a $118.575 millones, lo que refleja un avance en la ejecución de los recursos. Se observa un incremento mes a mes, con desembolsos que ascienden a $86.938 millones en enero de 2026 y $95.004 millones en febrero de 2026. Posteriormente, en marzo de 2026 se registra un aumento alcanzando los $107.318 millones, manteniendo una tendencia ascendente hasta abril de 2026, mes en el cual el desembolso acumulado llega a $118.575 millones</w:t>
      </w:r>
    </w:p>
    <w:p w14:paraId="30BFB4E5" w14:textId="77777777" w:rsidR="00914C82" w:rsidRDefault="00914C82" w:rsidP="00437574">
      <w:pPr>
        <w:jc w:val="both"/>
      </w:pPr>
    </w:p>
    <w:sectPr w:rsidR="00914C82" w:rsidSect="0019019D">
      <w:headerReference w:type="default" r:id="rId20"/>
      <w:pgSz w:w="11906" w:h="16838"/>
      <w:pgMar w:top="1417" w:right="1701" w:bottom="1417" w:left="1701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F88A0" w14:textId="77777777" w:rsidR="004F2E21" w:rsidRDefault="004F2E21" w:rsidP="0019019D">
      <w:pPr>
        <w:spacing w:after="0" w:line="240" w:lineRule="auto"/>
      </w:pPr>
      <w:r>
        <w:separator/>
      </w:r>
    </w:p>
  </w:endnote>
  <w:endnote w:type="continuationSeparator" w:id="0">
    <w:p w14:paraId="38446BB8" w14:textId="77777777" w:rsidR="004F2E21" w:rsidRDefault="004F2E21" w:rsidP="00190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14087" w14:textId="77777777" w:rsidR="004F2E21" w:rsidRDefault="004F2E21" w:rsidP="0019019D">
      <w:pPr>
        <w:spacing w:after="0" w:line="240" w:lineRule="auto"/>
      </w:pPr>
      <w:r>
        <w:separator/>
      </w:r>
    </w:p>
  </w:footnote>
  <w:footnote w:type="continuationSeparator" w:id="0">
    <w:p w14:paraId="2FB4A7EF" w14:textId="77777777" w:rsidR="004F2E21" w:rsidRDefault="004F2E21" w:rsidP="00190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FD543" w14:textId="7199B05B" w:rsidR="0019019D" w:rsidRDefault="0019019D" w:rsidP="0019019D">
    <w:pPr>
      <w:pStyle w:val="Encabezado"/>
      <w:jc w:val="center"/>
    </w:pPr>
    <w:r>
      <w:rPr>
        <w:noProof/>
      </w:rPr>
      <w:drawing>
        <wp:inline distT="0" distB="0" distL="0" distR="0" wp14:anchorId="300F8CBE" wp14:editId="1C54BD3D">
          <wp:extent cx="1028700" cy="619975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0164" cy="626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15A"/>
    <w:multiLevelType w:val="hybridMultilevel"/>
    <w:tmpl w:val="619E4E9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D46E7"/>
    <w:multiLevelType w:val="hybridMultilevel"/>
    <w:tmpl w:val="A1D0138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F0F09"/>
    <w:multiLevelType w:val="hybridMultilevel"/>
    <w:tmpl w:val="BB18362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24214"/>
    <w:multiLevelType w:val="hybridMultilevel"/>
    <w:tmpl w:val="5EE0440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3187E"/>
    <w:multiLevelType w:val="hybridMultilevel"/>
    <w:tmpl w:val="9BBE69B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765A6C"/>
    <w:multiLevelType w:val="hybridMultilevel"/>
    <w:tmpl w:val="67F2328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E1110"/>
    <w:multiLevelType w:val="hybridMultilevel"/>
    <w:tmpl w:val="0BAAC4E4"/>
    <w:lvl w:ilvl="0" w:tplc="EC8A06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F3FAE"/>
    <w:multiLevelType w:val="hybridMultilevel"/>
    <w:tmpl w:val="BEF67DCA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852AA"/>
    <w:multiLevelType w:val="hybridMultilevel"/>
    <w:tmpl w:val="DB7E20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41A7F"/>
    <w:multiLevelType w:val="hybridMultilevel"/>
    <w:tmpl w:val="CB0416EE"/>
    <w:lvl w:ilvl="0" w:tplc="C3BA41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F6F43"/>
    <w:multiLevelType w:val="hybridMultilevel"/>
    <w:tmpl w:val="200CE3E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3730B"/>
    <w:multiLevelType w:val="hybridMultilevel"/>
    <w:tmpl w:val="83D047C4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13A73F7"/>
    <w:multiLevelType w:val="hybridMultilevel"/>
    <w:tmpl w:val="9A48556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1653A8"/>
    <w:multiLevelType w:val="hybridMultilevel"/>
    <w:tmpl w:val="485431CC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CC3894"/>
    <w:multiLevelType w:val="multilevel"/>
    <w:tmpl w:val="8270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F36E8D"/>
    <w:multiLevelType w:val="hybridMultilevel"/>
    <w:tmpl w:val="DBC0F69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AA5899"/>
    <w:multiLevelType w:val="multilevel"/>
    <w:tmpl w:val="3B549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65F0732"/>
    <w:multiLevelType w:val="multilevel"/>
    <w:tmpl w:val="57EA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6F35A0"/>
    <w:multiLevelType w:val="hybridMultilevel"/>
    <w:tmpl w:val="A0D6CAEC"/>
    <w:lvl w:ilvl="0" w:tplc="256AB4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F257B3"/>
    <w:multiLevelType w:val="multilevel"/>
    <w:tmpl w:val="8AA0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5F4685"/>
    <w:multiLevelType w:val="hybridMultilevel"/>
    <w:tmpl w:val="35D82D8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C5107"/>
    <w:multiLevelType w:val="hybridMultilevel"/>
    <w:tmpl w:val="1A300646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E1964"/>
    <w:multiLevelType w:val="hybridMultilevel"/>
    <w:tmpl w:val="AE5ED41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D0672A"/>
    <w:multiLevelType w:val="hybridMultilevel"/>
    <w:tmpl w:val="A0D6CAEC"/>
    <w:lvl w:ilvl="0" w:tplc="256AB4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1"/>
  </w:num>
  <w:num w:numId="3">
    <w:abstractNumId w:val="13"/>
  </w:num>
  <w:num w:numId="4">
    <w:abstractNumId w:val="11"/>
  </w:num>
  <w:num w:numId="5">
    <w:abstractNumId w:val="22"/>
  </w:num>
  <w:num w:numId="6">
    <w:abstractNumId w:val="6"/>
  </w:num>
  <w:num w:numId="7">
    <w:abstractNumId w:val="18"/>
  </w:num>
  <w:num w:numId="8">
    <w:abstractNumId w:val="3"/>
  </w:num>
  <w:num w:numId="9">
    <w:abstractNumId w:val="23"/>
  </w:num>
  <w:num w:numId="10">
    <w:abstractNumId w:val="15"/>
  </w:num>
  <w:num w:numId="11">
    <w:abstractNumId w:val="5"/>
  </w:num>
  <w:num w:numId="12">
    <w:abstractNumId w:val="14"/>
  </w:num>
  <w:num w:numId="13">
    <w:abstractNumId w:val="17"/>
  </w:num>
  <w:num w:numId="14">
    <w:abstractNumId w:val="19"/>
  </w:num>
  <w:num w:numId="15">
    <w:abstractNumId w:val="7"/>
  </w:num>
  <w:num w:numId="16">
    <w:abstractNumId w:val="9"/>
  </w:num>
  <w:num w:numId="17">
    <w:abstractNumId w:val="4"/>
  </w:num>
  <w:num w:numId="18">
    <w:abstractNumId w:val="20"/>
  </w:num>
  <w:num w:numId="19">
    <w:abstractNumId w:val="8"/>
  </w:num>
  <w:num w:numId="20">
    <w:abstractNumId w:val="10"/>
  </w:num>
  <w:num w:numId="21">
    <w:abstractNumId w:val="2"/>
  </w:num>
  <w:num w:numId="22">
    <w:abstractNumId w:val="0"/>
  </w:num>
  <w:num w:numId="23">
    <w:abstractNumId w:val="16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19D"/>
    <w:rsid w:val="00004C98"/>
    <w:rsid w:val="00007A11"/>
    <w:rsid w:val="000137C9"/>
    <w:rsid w:val="00014B08"/>
    <w:rsid w:val="000234DE"/>
    <w:rsid w:val="000265E9"/>
    <w:rsid w:val="00037256"/>
    <w:rsid w:val="0004309F"/>
    <w:rsid w:val="00045C4C"/>
    <w:rsid w:val="00050B79"/>
    <w:rsid w:val="00063DE8"/>
    <w:rsid w:val="00065EC7"/>
    <w:rsid w:val="0006604E"/>
    <w:rsid w:val="00066F43"/>
    <w:rsid w:val="000733FE"/>
    <w:rsid w:val="00073676"/>
    <w:rsid w:val="00087018"/>
    <w:rsid w:val="000873B2"/>
    <w:rsid w:val="000930BD"/>
    <w:rsid w:val="000A39AF"/>
    <w:rsid w:val="000A5B12"/>
    <w:rsid w:val="000A687E"/>
    <w:rsid w:val="000B2469"/>
    <w:rsid w:val="000B4EF2"/>
    <w:rsid w:val="000C17DA"/>
    <w:rsid w:val="000D5005"/>
    <w:rsid w:val="000E2E37"/>
    <w:rsid w:val="000F0B11"/>
    <w:rsid w:val="00102EB2"/>
    <w:rsid w:val="00105187"/>
    <w:rsid w:val="00110A4C"/>
    <w:rsid w:val="00112E90"/>
    <w:rsid w:val="0012519C"/>
    <w:rsid w:val="00126851"/>
    <w:rsid w:val="001400B3"/>
    <w:rsid w:val="001411F3"/>
    <w:rsid w:val="00142A67"/>
    <w:rsid w:val="001453A1"/>
    <w:rsid w:val="00151F43"/>
    <w:rsid w:val="00154284"/>
    <w:rsid w:val="00155D56"/>
    <w:rsid w:val="001719B4"/>
    <w:rsid w:val="00176749"/>
    <w:rsid w:val="0017674C"/>
    <w:rsid w:val="00177899"/>
    <w:rsid w:val="001841B0"/>
    <w:rsid w:val="0019019D"/>
    <w:rsid w:val="0019283E"/>
    <w:rsid w:val="001933CF"/>
    <w:rsid w:val="00197B66"/>
    <w:rsid w:val="001A4397"/>
    <w:rsid w:val="001B2CBA"/>
    <w:rsid w:val="001B3C27"/>
    <w:rsid w:val="001C0F2D"/>
    <w:rsid w:val="001D3CC4"/>
    <w:rsid w:val="001D6586"/>
    <w:rsid w:val="001D7BB5"/>
    <w:rsid w:val="001D7EB6"/>
    <w:rsid w:val="001E0175"/>
    <w:rsid w:val="001E774B"/>
    <w:rsid w:val="00202639"/>
    <w:rsid w:val="002149B8"/>
    <w:rsid w:val="00214DFD"/>
    <w:rsid w:val="002153F0"/>
    <w:rsid w:val="0022505D"/>
    <w:rsid w:val="002375E5"/>
    <w:rsid w:val="00241BFC"/>
    <w:rsid w:val="002426AD"/>
    <w:rsid w:val="00246189"/>
    <w:rsid w:val="00253779"/>
    <w:rsid w:val="002547D1"/>
    <w:rsid w:val="00257080"/>
    <w:rsid w:val="002626D0"/>
    <w:rsid w:val="0026694B"/>
    <w:rsid w:val="00273BC7"/>
    <w:rsid w:val="00280ECB"/>
    <w:rsid w:val="002831CA"/>
    <w:rsid w:val="00292BEB"/>
    <w:rsid w:val="0029574E"/>
    <w:rsid w:val="002A248A"/>
    <w:rsid w:val="002A5366"/>
    <w:rsid w:val="002B0F01"/>
    <w:rsid w:val="002B605B"/>
    <w:rsid w:val="002D0F92"/>
    <w:rsid w:val="002D7198"/>
    <w:rsid w:val="002E2C2F"/>
    <w:rsid w:val="002E67CA"/>
    <w:rsid w:val="002F37D3"/>
    <w:rsid w:val="00300538"/>
    <w:rsid w:val="00302475"/>
    <w:rsid w:val="0030678D"/>
    <w:rsid w:val="00306EAF"/>
    <w:rsid w:val="00307D7F"/>
    <w:rsid w:val="003155DD"/>
    <w:rsid w:val="00315D6E"/>
    <w:rsid w:val="0032051A"/>
    <w:rsid w:val="00323A90"/>
    <w:rsid w:val="00324E60"/>
    <w:rsid w:val="00326873"/>
    <w:rsid w:val="00326C0D"/>
    <w:rsid w:val="00340AB5"/>
    <w:rsid w:val="00342502"/>
    <w:rsid w:val="003426EA"/>
    <w:rsid w:val="00354850"/>
    <w:rsid w:val="00362685"/>
    <w:rsid w:val="00364F64"/>
    <w:rsid w:val="00366CEC"/>
    <w:rsid w:val="00367F8E"/>
    <w:rsid w:val="00375FF5"/>
    <w:rsid w:val="0038201D"/>
    <w:rsid w:val="00384D27"/>
    <w:rsid w:val="0038520F"/>
    <w:rsid w:val="003A0969"/>
    <w:rsid w:val="003A1545"/>
    <w:rsid w:val="003A6F00"/>
    <w:rsid w:val="003B0F70"/>
    <w:rsid w:val="003B4487"/>
    <w:rsid w:val="003C081B"/>
    <w:rsid w:val="003D42CF"/>
    <w:rsid w:val="003D58B2"/>
    <w:rsid w:val="003D6B72"/>
    <w:rsid w:val="003E2494"/>
    <w:rsid w:val="003E50F9"/>
    <w:rsid w:val="003E6384"/>
    <w:rsid w:val="003E6523"/>
    <w:rsid w:val="003F1AF6"/>
    <w:rsid w:val="003F77F9"/>
    <w:rsid w:val="004108FE"/>
    <w:rsid w:val="00412F02"/>
    <w:rsid w:val="0042373A"/>
    <w:rsid w:val="00427BF8"/>
    <w:rsid w:val="00431332"/>
    <w:rsid w:val="00431D3C"/>
    <w:rsid w:val="00437574"/>
    <w:rsid w:val="004410A9"/>
    <w:rsid w:val="00453444"/>
    <w:rsid w:val="004729FC"/>
    <w:rsid w:val="00472EE9"/>
    <w:rsid w:val="00480A0C"/>
    <w:rsid w:val="00485905"/>
    <w:rsid w:val="0049350E"/>
    <w:rsid w:val="00493952"/>
    <w:rsid w:val="0049669C"/>
    <w:rsid w:val="004A01F7"/>
    <w:rsid w:val="004B50AD"/>
    <w:rsid w:val="004C7BC3"/>
    <w:rsid w:val="004D271B"/>
    <w:rsid w:val="004D5E23"/>
    <w:rsid w:val="004E06C4"/>
    <w:rsid w:val="004E283E"/>
    <w:rsid w:val="004E5D5B"/>
    <w:rsid w:val="004F2E21"/>
    <w:rsid w:val="004F5341"/>
    <w:rsid w:val="00500ABE"/>
    <w:rsid w:val="00500C72"/>
    <w:rsid w:val="00502219"/>
    <w:rsid w:val="00502A50"/>
    <w:rsid w:val="005072F0"/>
    <w:rsid w:val="00507B92"/>
    <w:rsid w:val="00512071"/>
    <w:rsid w:val="00512CEA"/>
    <w:rsid w:val="005173E9"/>
    <w:rsid w:val="00517C35"/>
    <w:rsid w:val="00521F38"/>
    <w:rsid w:val="00533E04"/>
    <w:rsid w:val="005373D9"/>
    <w:rsid w:val="00540EC4"/>
    <w:rsid w:val="00544137"/>
    <w:rsid w:val="00544B84"/>
    <w:rsid w:val="00547157"/>
    <w:rsid w:val="00552407"/>
    <w:rsid w:val="00555422"/>
    <w:rsid w:val="00562C8C"/>
    <w:rsid w:val="00563408"/>
    <w:rsid w:val="0057233B"/>
    <w:rsid w:val="005775BA"/>
    <w:rsid w:val="005838A6"/>
    <w:rsid w:val="00584210"/>
    <w:rsid w:val="0059572F"/>
    <w:rsid w:val="005A4071"/>
    <w:rsid w:val="005A5F40"/>
    <w:rsid w:val="005A76DD"/>
    <w:rsid w:val="005B4F6F"/>
    <w:rsid w:val="005B62BA"/>
    <w:rsid w:val="005B6E7A"/>
    <w:rsid w:val="005C02E3"/>
    <w:rsid w:val="005D1CBE"/>
    <w:rsid w:val="005D29F3"/>
    <w:rsid w:val="005D2E03"/>
    <w:rsid w:val="005D2FE2"/>
    <w:rsid w:val="005E5DF8"/>
    <w:rsid w:val="005E7162"/>
    <w:rsid w:val="005E72B1"/>
    <w:rsid w:val="005F31D9"/>
    <w:rsid w:val="005F5ACC"/>
    <w:rsid w:val="005F690F"/>
    <w:rsid w:val="00603F13"/>
    <w:rsid w:val="00605218"/>
    <w:rsid w:val="006116F0"/>
    <w:rsid w:val="00613BF0"/>
    <w:rsid w:val="00615A50"/>
    <w:rsid w:val="006217B8"/>
    <w:rsid w:val="00634EA2"/>
    <w:rsid w:val="00637B4B"/>
    <w:rsid w:val="00643F33"/>
    <w:rsid w:val="0065496C"/>
    <w:rsid w:val="006550AB"/>
    <w:rsid w:val="006559E6"/>
    <w:rsid w:val="00666B6C"/>
    <w:rsid w:val="0067101C"/>
    <w:rsid w:val="006716F2"/>
    <w:rsid w:val="00672371"/>
    <w:rsid w:val="00677629"/>
    <w:rsid w:val="00692765"/>
    <w:rsid w:val="00694DC8"/>
    <w:rsid w:val="006A2C59"/>
    <w:rsid w:val="006A35F6"/>
    <w:rsid w:val="006A49C3"/>
    <w:rsid w:val="006A53FD"/>
    <w:rsid w:val="006B2908"/>
    <w:rsid w:val="006B6221"/>
    <w:rsid w:val="006C3462"/>
    <w:rsid w:val="006C5ED1"/>
    <w:rsid w:val="006D3E0F"/>
    <w:rsid w:val="006D45E0"/>
    <w:rsid w:val="006D76AB"/>
    <w:rsid w:val="006D799F"/>
    <w:rsid w:val="0070312A"/>
    <w:rsid w:val="00707271"/>
    <w:rsid w:val="00707426"/>
    <w:rsid w:val="0071020F"/>
    <w:rsid w:val="00720AA2"/>
    <w:rsid w:val="00722925"/>
    <w:rsid w:val="00722E16"/>
    <w:rsid w:val="007254AE"/>
    <w:rsid w:val="007314F9"/>
    <w:rsid w:val="00731A9D"/>
    <w:rsid w:val="00740875"/>
    <w:rsid w:val="00757412"/>
    <w:rsid w:val="00764CFE"/>
    <w:rsid w:val="00767FBB"/>
    <w:rsid w:val="0077242C"/>
    <w:rsid w:val="00775E3C"/>
    <w:rsid w:val="007768F9"/>
    <w:rsid w:val="00777A44"/>
    <w:rsid w:val="007821BF"/>
    <w:rsid w:val="00787ADA"/>
    <w:rsid w:val="007A0228"/>
    <w:rsid w:val="007B1E11"/>
    <w:rsid w:val="007B245F"/>
    <w:rsid w:val="007B269E"/>
    <w:rsid w:val="007C726E"/>
    <w:rsid w:val="007D3608"/>
    <w:rsid w:val="007D486E"/>
    <w:rsid w:val="007D547F"/>
    <w:rsid w:val="007D621D"/>
    <w:rsid w:val="007D79C7"/>
    <w:rsid w:val="007E556B"/>
    <w:rsid w:val="007F53F0"/>
    <w:rsid w:val="007F6DA8"/>
    <w:rsid w:val="00811EE2"/>
    <w:rsid w:val="00815B9B"/>
    <w:rsid w:val="008160F1"/>
    <w:rsid w:val="0082077C"/>
    <w:rsid w:val="008215CB"/>
    <w:rsid w:val="00821AAC"/>
    <w:rsid w:val="00822F8F"/>
    <w:rsid w:val="008261C9"/>
    <w:rsid w:val="00842322"/>
    <w:rsid w:val="0084382E"/>
    <w:rsid w:val="00846CC8"/>
    <w:rsid w:val="0085525E"/>
    <w:rsid w:val="008554F8"/>
    <w:rsid w:val="008635EE"/>
    <w:rsid w:val="00863656"/>
    <w:rsid w:val="008659FC"/>
    <w:rsid w:val="008709D1"/>
    <w:rsid w:val="00872546"/>
    <w:rsid w:val="008725CB"/>
    <w:rsid w:val="00875427"/>
    <w:rsid w:val="00876745"/>
    <w:rsid w:val="008819A1"/>
    <w:rsid w:val="00882C83"/>
    <w:rsid w:val="00883FA5"/>
    <w:rsid w:val="00896154"/>
    <w:rsid w:val="008A3591"/>
    <w:rsid w:val="008A7655"/>
    <w:rsid w:val="008A7E3B"/>
    <w:rsid w:val="008B6238"/>
    <w:rsid w:val="008C1559"/>
    <w:rsid w:val="008C2FE9"/>
    <w:rsid w:val="008C46FC"/>
    <w:rsid w:val="008D09EC"/>
    <w:rsid w:val="008D555F"/>
    <w:rsid w:val="008D684B"/>
    <w:rsid w:val="008D7889"/>
    <w:rsid w:val="008E0062"/>
    <w:rsid w:val="008E144C"/>
    <w:rsid w:val="008E6B9E"/>
    <w:rsid w:val="008F0B3D"/>
    <w:rsid w:val="008F0CF2"/>
    <w:rsid w:val="008F4255"/>
    <w:rsid w:val="009066CD"/>
    <w:rsid w:val="00914C82"/>
    <w:rsid w:val="00923DE9"/>
    <w:rsid w:val="00925548"/>
    <w:rsid w:val="009278F4"/>
    <w:rsid w:val="0094519F"/>
    <w:rsid w:val="009475E6"/>
    <w:rsid w:val="00950782"/>
    <w:rsid w:val="00951DE4"/>
    <w:rsid w:val="00952333"/>
    <w:rsid w:val="00952E6E"/>
    <w:rsid w:val="00955015"/>
    <w:rsid w:val="00956FB1"/>
    <w:rsid w:val="009577C5"/>
    <w:rsid w:val="009676CD"/>
    <w:rsid w:val="00967FFD"/>
    <w:rsid w:val="009711C3"/>
    <w:rsid w:val="00972039"/>
    <w:rsid w:val="00975D44"/>
    <w:rsid w:val="0097796F"/>
    <w:rsid w:val="009869CA"/>
    <w:rsid w:val="0099289D"/>
    <w:rsid w:val="009A01E1"/>
    <w:rsid w:val="009A772C"/>
    <w:rsid w:val="009B05FC"/>
    <w:rsid w:val="009C25CE"/>
    <w:rsid w:val="009C4C57"/>
    <w:rsid w:val="009C5A32"/>
    <w:rsid w:val="009C7843"/>
    <w:rsid w:val="009D7903"/>
    <w:rsid w:val="009E0EB0"/>
    <w:rsid w:val="009E29D3"/>
    <w:rsid w:val="009E5736"/>
    <w:rsid w:val="009E69EB"/>
    <w:rsid w:val="009F2FF3"/>
    <w:rsid w:val="009F724E"/>
    <w:rsid w:val="00A109A4"/>
    <w:rsid w:val="00A10F53"/>
    <w:rsid w:val="00A119D4"/>
    <w:rsid w:val="00A11BE7"/>
    <w:rsid w:val="00A13456"/>
    <w:rsid w:val="00A149FC"/>
    <w:rsid w:val="00A42452"/>
    <w:rsid w:val="00A42E29"/>
    <w:rsid w:val="00A50898"/>
    <w:rsid w:val="00A517E9"/>
    <w:rsid w:val="00A521E1"/>
    <w:rsid w:val="00A57BF5"/>
    <w:rsid w:val="00A606C9"/>
    <w:rsid w:val="00A7267F"/>
    <w:rsid w:val="00A7759A"/>
    <w:rsid w:val="00A8081C"/>
    <w:rsid w:val="00A8478C"/>
    <w:rsid w:val="00A85747"/>
    <w:rsid w:val="00A9372B"/>
    <w:rsid w:val="00AA54B1"/>
    <w:rsid w:val="00AB4F6C"/>
    <w:rsid w:val="00AB709B"/>
    <w:rsid w:val="00AB7914"/>
    <w:rsid w:val="00AC0A15"/>
    <w:rsid w:val="00AC37B6"/>
    <w:rsid w:val="00AE3AC2"/>
    <w:rsid w:val="00AE6104"/>
    <w:rsid w:val="00AE6923"/>
    <w:rsid w:val="00AE79A9"/>
    <w:rsid w:val="00AF01D3"/>
    <w:rsid w:val="00B01289"/>
    <w:rsid w:val="00B02534"/>
    <w:rsid w:val="00B1014B"/>
    <w:rsid w:val="00B129BC"/>
    <w:rsid w:val="00B143CB"/>
    <w:rsid w:val="00B31682"/>
    <w:rsid w:val="00B34172"/>
    <w:rsid w:val="00B439EF"/>
    <w:rsid w:val="00B501FC"/>
    <w:rsid w:val="00B51518"/>
    <w:rsid w:val="00B527BC"/>
    <w:rsid w:val="00B52A59"/>
    <w:rsid w:val="00B61FF9"/>
    <w:rsid w:val="00B70748"/>
    <w:rsid w:val="00B70FF3"/>
    <w:rsid w:val="00B7517C"/>
    <w:rsid w:val="00B85988"/>
    <w:rsid w:val="00B86E71"/>
    <w:rsid w:val="00B909E8"/>
    <w:rsid w:val="00BA6388"/>
    <w:rsid w:val="00BA6814"/>
    <w:rsid w:val="00BB0639"/>
    <w:rsid w:val="00BB27AD"/>
    <w:rsid w:val="00BB4968"/>
    <w:rsid w:val="00BB4B42"/>
    <w:rsid w:val="00BC2CA5"/>
    <w:rsid w:val="00BC40DD"/>
    <w:rsid w:val="00BD7644"/>
    <w:rsid w:val="00BE0E73"/>
    <w:rsid w:val="00BE2AF7"/>
    <w:rsid w:val="00BE339F"/>
    <w:rsid w:val="00BF35D2"/>
    <w:rsid w:val="00BF61E6"/>
    <w:rsid w:val="00C06180"/>
    <w:rsid w:val="00C06610"/>
    <w:rsid w:val="00C073EA"/>
    <w:rsid w:val="00C1327D"/>
    <w:rsid w:val="00C23482"/>
    <w:rsid w:val="00C2497B"/>
    <w:rsid w:val="00C33E9E"/>
    <w:rsid w:val="00C35200"/>
    <w:rsid w:val="00C41EB3"/>
    <w:rsid w:val="00C517E5"/>
    <w:rsid w:val="00C52ADB"/>
    <w:rsid w:val="00C5568A"/>
    <w:rsid w:val="00C56519"/>
    <w:rsid w:val="00C56D81"/>
    <w:rsid w:val="00C60D54"/>
    <w:rsid w:val="00C62DBD"/>
    <w:rsid w:val="00C65D05"/>
    <w:rsid w:val="00C6657C"/>
    <w:rsid w:val="00C67B03"/>
    <w:rsid w:val="00C71748"/>
    <w:rsid w:val="00C85E06"/>
    <w:rsid w:val="00C95427"/>
    <w:rsid w:val="00CA0C69"/>
    <w:rsid w:val="00CA1E54"/>
    <w:rsid w:val="00CA4F27"/>
    <w:rsid w:val="00CA7514"/>
    <w:rsid w:val="00CA7F87"/>
    <w:rsid w:val="00CB0C97"/>
    <w:rsid w:val="00CB22DA"/>
    <w:rsid w:val="00CC295C"/>
    <w:rsid w:val="00CC2F54"/>
    <w:rsid w:val="00CC3F49"/>
    <w:rsid w:val="00CD1FBB"/>
    <w:rsid w:val="00CD3338"/>
    <w:rsid w:val="00CD77D8"/>
    <w:rsid w:val="00CE2BC4"/>
    <w:rsid w:val="00CE3792"/>
    <w:rsid w:val="00CE4C85"/>
    <w:rsid w:val="00CE4D37"/>
    <w:rsid w:val="00CE7D8D"/>
    <w:rsid w:val="00CF0988"/>
    <w:rsid w:val="00CF11EF"/>
    <w:rsid w:val="00CF34CA"/>
    <w:rsid w:val="00CF38CD"/>
    <w:rsid w:val="00D074A4"/>
    <w:rsid w:val="00D100C6"/>
    <w:rsid w:val="00D152AA"/>
    <w:rsid w:val="00D1630F"/>
    <w:rsid w:val="00D245EB"/>
    <w:rsid w:val="00D2776F"/>
    <w:rsid w:val="00D27AF1"/>
    <w:rsid w:val="00D42235"/>
    <w:rsid w:val="00D4258F"/>
    <w:rsid w:val="00D627E7"/>
    <w:rsid w:val="00D644C7"/>
    <w:rsid w:val="00D6508B"/>
    <w:rsid w:val="00D65A1E"/>
    <w:rsid w:val="00D707DE"/>
    <w:rsid w:val="00D71C9E"/>
    <w:rsid w:val="00D73A82"/>
    <w:rsid w:val="00D7509B"/>
    <w:rsid w:val="00D83970"/>
    <w:rsid w:val="00D848E8"/>
    <w:rsid w:val="00D85B33"/>
    <w:rsid w:val="00D85D8E"/>
    <w:rsid w:val="00D875CD"/>
    <w:rsid w:val="00D90DD5"/>
    <w:rsid w:val="00D92FB7"/>
    <w:rsid w:val="00D97A8D"/>
    <w:rsid w:val="00DD2B5A"/>
    <w:rsid w:val="00DE0182"/>
    <w:rsid w:val="00DE04CA"/>
    <w:rsid w:val="00E04BF7"/>
    <w:rsid w:val="00E06A2C"/>
    <w:rsid w:val="00E071EC"/>
    <w:rsid w:val="00E20A4E"/>
    <w:rsid w:val="00E25E91"/>
    <w:rsid w:val="00E278F2"/>
    <w:rsid w:val="00E35A60"/>
    <w:rsid w:val="00E4024C"/>
    <w:rsid w:val="00E42FE9"/>
    <w:rsid w:val="00E43C0F"/>
    <w:rsid w:val="00E531BD"/>
    <w:rsid w:val="00E614E9"/>
    <w:rsid w:val="00E61F49"/>
    <w:rsid w:val="00E627C3"/>
    <w:rsid w:val="00E663AE"/>
    <w:rsid w:val="00E7184A"/>
    <w:rsid w:val="00E728CA"/>
    <w:rsid w:val="00E7366B"/>
    <w:rsid w:val="00E757BA"/>
    <w:rsid w:val="00E8355F"/>
    <w:rsid w:val="00E90C53"/>
    <w:rsid w:val="00E91EC9"/>
    <w:rsid w:val="00E95E6E"/>
    <w:rsid w:val="00EA52A0"/>
    <w:rsid w:val="00EA7EA3"/>
    <w:rsid w:val="00EB2FF2"/>
    <w:rsid w:val="00EB4E35"/>
    <w:rsid w:val="00EC1AA4"/>
    <w:rsid w:val="00ED2F9F"/>
    <w:rsid w:val="00ED314D"/>
    <w:rsid w:val="00ED33FA"/>
    <w:rsid w:val="00EE35A1"/>
    <w:rsid w:val="00EE5CB4"/>
    <w:rsid w:val="00EE637F"/>
    <w:rsid w:val="00EE75F2"/>
    <w:rsid w:val="00EF3C2A"/>
    <w:rsid w:val="00F020F3"/>
    <w:rsid w:val="00F06F51"/>
    <w:rsid w:val="00F17A5F"/>
    <w:rsid w:val="00F20436"/>
    <w:rsid w:val="00F25001"/>
    <w:rsid w:val="00F26C36"/>
    <w:rsid w:val="00F31A67"/>
    <w:rsid w:val="00F3396B"/>
    <w:rsid w:val="00F33A1D"/>
    <w:rsid w:val="00F4307C"/>
    <w:rsid w:val="00F52D6C"/>
    <w:rsid w:val="00F539EE"/>
    <w:rsid w:val="00F55F46"/>
    <w:rsid w:val="00F62ED8"/>
    <w:rsid w:val="00F654AF"/>
    <w:rsid w:val="00F66EE7"/>
    <w:rsid w:val="00F71D33"/>
    <w:rsid w:val="00F7702E"/>
    <w:rsid w:val="00F80FC1"/>
    <w:rsid w:val="00F927A8"/>
    <w:rsid w:val="00F945C0"/>
    <w:rsid w:val="00F95B0A"/>
    <w:rsid w:val="00FA06CF"/>
    <w:rsid w:val="00FA3821"/>
    <w:rsid w:val="00FA3B89"/>
    <w:rsid w:val="00FC3D5C"/>
    <w:rsid w:val="00FC3F22"/>
    <w:rsid w:val="00FD2A13"/>
    <w:rsid w:val="00FD59D2"/>
    <w:rsid w:val="00FE0857"/>
    <w:rsid w:val="00FE7912"/>
    <w:rsid w:val="00FF06F4"/>
    <w:rsid w:val="00FF1390"/>
    <w:rsid w:val="00FF246D"/>
    <w:rsid w:val="00FF4733"/>
    <w:rsid w:val="0FA1DB35"/>
    <w:rsid w:val="0FE14ED2"/>
    <w:rsid w:val="13004FF8"/>
    <w:rsid w:val="21AB0F63"/>
    <w:rsid w:val="2946455C"/>
    <w:rsid w:val="303B7097"/>
    <w:rsid w:val="365EC7B7"/>
    <w:rsid w:val="3AF3A77E"/>
    <w:rsid w:val="3F18ED41"/>
    <w:rsid w:val="4BEE0208"/>
    <w:rsid w:val="59FA63C3"/>
    <w:rsid w:val="5E9E143D"/>
    <w:rsid w:val="6358CD1E"/>
    <w:rsid w:val="63C71264"/>
    <w:rsid w:val="6513F5D2"/>
    <w:rsid w:val="7B72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AA1A1"/>
  <w15:chartTrackingRefBased/>
  <w15:docId w15:val="{8ED04E50-0438-4EE8-820C-F224A27F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9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019D"/>
  </w:style>
  <w:style w:type="paragraph" w:styleId="Piedepgina">
    <w:name w:val="footer"/>
    <w:basedOn w:val="Normal"/>
    <w:link w:val="PiedepginaCar"/>
    <w:uiPriority w:val="99"/>
    <w:unhideWhenUsed/>
    <w:rsid w:val="0019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019D"/>
  </w:style>
  <w:style w:type="paragraph" w:customStyle="1" w:styleId="Default">
    <w:name w:val="Default"/>
    <w:rsid w:val="000B24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0B246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074A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074A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26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character" w:styleId="Textoennegrita">
    <w:name w:val="Strong"/>
    <w:basedOn w:val="Fuentedeprrafopredeter"/>
    <w:uiPriority w:val="22"/>
    <w:qFormat/>
    <w:rsid w:val="00126851"/>
    <w:rPr>
      <w:b/>
      <w:bCs/>
    </w:rPr>
  </w:style>
  <w:style w:type="paragraph" w:styleId="Sinespaciado">
    <w:name w:val="No Spacing"/>
    <w:uiPriority w:val="1"/>
    <w:qFormat/>
    <w:rsid w:val="00CC295C"/>
    <w:pPr>
      <w:spacing w:after="0" w:line="240" w:lineRule="auto"/>
    </w:pPr>
    <w:rPr>
      <w:lang w:val="es-CO"/>
    </w:rPr>
  </w:style>
  <w:style w:type="table" w:styleId="Tablaconcuadrcula">
    <w:name w:val="Table Grid"/>
    <w:basedOn w:val="Tablanormal"/>
    <w:uiPriority w:val="39"/>
    <w:rsid w:val="00CC295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14B0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14B0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14B0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14B0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14B08"/>
    <w:rPr>
      <w:b/>
      <w:bCs/>
      <w:sz w:val="20"/>
      <w:szCs w:val="20"/>
    </w:rPr>
  </w:style>
  <w:style w:type="character" w:customStyle="1" w:styleId="fui-buttonicon">
    <w:name w:val="fui-button__icon"/>
    <w:basedOn w:val="Fuentedeprrafopredeter"/>
    <w:rsid w:val="005E5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7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0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9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83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44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4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46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customXml" Target="../customXml/item2.xml"/><Relationship Id="rId16" Type="http://schemas.openxmlformats.org/officeDocument/2006/relationships/chart" Target="charts/chart6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chart" Target="charts/chart5.xml"/><Relationship Id="rId10" Type="http://schemas.openxmlformats.org/officeDocument/2006/relationships/endnotes" Target="endnotes.xml"/><Relationship Id="rId19" Type="http://schemas.openxmlformats.org/officeDocument/2006/relationships/chart" Target="charts/chart9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4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5.%20LINEA%20DE%20CREDITO%20CADENAS%20PRODUCTIVAS%20ABRIL%202026%20(1)%20(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5.%20LINEA%20DE%20CREDITO%20CADENAS%20PRODUCTIVAS%20ABRIL%202026%20(1)%20(1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5.%20LINEA%20DE%20CREDITO%20CADENAS%20PRODUCTIVAS%20ABRIL%202026%20(1)%20(1)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5.%20LINEA%20DE%20CREDITO%20CADENAS%20PRODUCTIVAS%20ABRIL%202026%20(1)%20(1)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5.%20LINEA%20DE%20CREDITO%20CADENAS%20PRODUCTIVAS%20ABRIL%202026%20(1)%20(1)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5.%20LINEA%20DE%20CREDITO%20CADENAS%20PRODUCTIVAS%20ABRIL%202026%20(1)%20(1)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5.%20LINEA%20DE%20CREDITO%20CADENAS%20PRODUCTIVAS%20ABRIL%202026%20(1)%20(1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5.%20LINEA%20DE%20CREDITO%20CADENAS%20PRODUCTIVAS%20ABRIL%202026%20(1)%20(1)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5.%20LINEA%20DE%20CREDITO%20CADENAS%20PRODUCTIVAS%20ABRIL%202026%20(1)%20(1)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Desmbolso Entidades Financieras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ENTIDADES!$C$2</c:f>
              <c:strCache>
                <c:ptCount val="1"/>
                <c:pt idx="0">
                  <c:v>DESEMBOLSO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ENTIDADES!$B$3:$B$12</c:f>
              <c:strCache>
                <c:ptCount val="10"/>
                <c:pt idx="0">
                  <c:v> BCO. W S.A </c:v>
                </c:pt>
                <c:pt idx="1">
                  <c:v> MIBANCO BANCO DE LA MICROEMPRESA DE COLOMBIA SA </c:v>
                </c:pt>
                <c:pt idx="2">
                  <c:v> BCO. BANCOLOMBIA S.A </c:v>
                </c:pt>
                <c:pt idx="3">
                  <c:v> BCO. DE BOGOTA </c:v>
                </c:pt>
                <c:pt idx="4">
                  <c:v> BCO. DAVIVIENDA S.A. </c:v>
                </c:pt>
                <c:pt idx="5">
                  <c:v> BCO. BILBAO VIZCAYA ARGENTARIA COLOMBIA S.A. </c:v>
                </c:pt>
                <c:pt idx="6">
                  <c:v> BCO. SANTANDER DE NEGOCIOS COLOMBIA S.A. </c:v>
                </c:pt>
                <c:pt idx="7">
                  <c:v> CREZCAMOS S.A. COMPAÑIA DE FINANCIAMIENTO </c:v>
                </c:pt>
                <c:pt idx="8">
                  <c:v> BCO. DE OCCIDENTE </c:v>
                </c:pt>
                <c:pt idx="9">
                  <c:v> CORPORACIÓN PARA EL DESARROLLO EMPRESARIAL-FINANFU </c:v>
                </c:pt>
              </c:strCache>
            </c:strRef>
          </c:cat>
          <c:val>
            <c:numRef>
              <c:f>ENTIDADES!$C$3:$C$12</c:f>
              <c:numCache>
                <c:formatCode>_-"$"\ * #,##0_-;\-"$"\ * #,##0_-;_-"$"\ * "-"??_-;_-@_-</c:formatCode>
                <c:ptCount val="10"/>
                <c:pt idx="0">
                  <c:v>45100500398</c:v>
                </c:pt>
                <c:pt idx="1">
                  <c:v>25000000000</c:v>
                </c:pt>
                <c:pt idx="2">
                  <c:v>17747657727</c:v>
                </c:pt>
                <c:pt idx="3">
                  <c:v>5625150000</c:v>
                </c:pt>
                <c:pt idx="4">
                  <c:v>5056000000</c:v>
                </c:pt>
                <c:pt idx="5">
                  <c:v>5039560000</c:v>
                </c:pt>
                <c:pt idx="6">
                  <c:v>5000000000</c:v>
                </c:pt>
                <c:pt idx="7">
                  <c:v>3800000000</c:v>
                </c:pt>
                <c:pt idx="8">
                  <c:v>2251000000</c:v>
                </c:pt>
                <c:pt idx="9">
                  <c:v>2002873000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CF0-41D2-9EEC-5C167011AA2B}"/>
            </c:ext>
          </c:extLst>
        </c:ser>
        <c:ser>
          <c:idx val="1"/>
          <c:order val="1"/>
          <c:tx>
            <c:strRef>
              <c:f>ENTIDADES!$D$2</c:f>
              <c:strCache>
                <c:ptCount val="1"/>
                <c:pt idx="0">
                  <c:v>PORCENTAJE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9.8911968348170121E-3"/>
                  <c:y val="-4.441729552017918E-2"/>
                </c:manualLayout>
              </c:layout>
              <c:tx>
                <c:rich>
                  <a:bodyPr/>
                  <a:lstStyle/>
                  <a:p>
                    <a:fld id="{8DD4AC73-4BC1-4D00-9CFA-1FDF6DD4D363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1-0CF0-41D2-9EEC-5C167011AA2B}"/>
                </c:ext>
              </c:extLst>
            </c:dLbl>
            <c:dLbl>
              <c:idx val="1"/>
              <c:layout>
                <c:manualLayout>
                  <c:x val="0"/>
                  <c:y val="-4.0996531062756227E-2"/>
                </c:manualLayout>
              </c:layout>
              <c:tx>
                <c:rich>
                  <a:bodyPr/>
                  <a:lstStyle/>
                  <a:p>
                    <a:fld id="{581ED8B5-DE09-480F-BEB5-DBCF4F087541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2-0CF0-41D2-9EEC-5C167011AA2B}"/>
                </c:ext>
              </c:extLst>
            </c:dLbl>
            <c:dLbl>
              <c:idx val="2"/>
              <c:layout>
                <c:manualLayout>
                  <c:x val="-4.5334128455857543E-17"/>
                  <c:y val="-4.4150110375275997E-2"/>
                </c:manualLayout>
              </c:layout>
              <c:tx>
                <c:rich>
                  <a:bodyPr/>
                  <a:lstStyle/>
                  <a:p>
                    <a:fld id="{CD4D5579-A39A-4E87-A137-C038787BBC59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3-0CF0-41D2-9EEC-5C167011AA2B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CF0-41D2-9EEC-5C167011AA2B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CF0-41D2-9EEC-5C167011AA2B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CF0-41D2-9EEC-5C167011AA2B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CF0-41D2-9EEC-5C167011AA2B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CF0-41D2-9EEC-5C167011AA2B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CF0-41D2-9EEC-5C167011AA2B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CF0-41D2-9EEC-5C167011AA2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0"/>
              </c:ext>
            </c:extLst>
          </c:dLbls>
          <c:cat>
            <c:strRef>
              <c:f>ENTIDADES!$B$3:$B$12</c:f>
              <c:strCache>
                <c:ptCount val="10"/>
                <c:pt idx="0">
                  <c:v> BCO. W S.A </c:v>
                </c:pt>
                <c:pt idx="1">
                  <c:v> MIBANCO BANCO DE LA MICROEMPRESA DE COLOMBIA SA </c:v>
                </c:pt>
                <c:pt idx="2">
                  <c:v> BCO. BANCOLOMBIA S.A </c:v>
                </c:pt>
                <c:pt idx="3">
                  <c:v> BCO. DE BOGOTA </c:v>
                </c:pt>
                <c:pt idx="4">
                  <c:v> BCO. DAVIVIENDA S.A. </c:v>
                </c:pt>
                <c:pt idx="5">
                  <c:v> BCO. BILBAO VIZCAYA ARGENTARIA COLOMBIA S.A. </c:v>
                </c:pt>
                <c:pt idx="6">
                  <c:v> BCO. SANTANDER DE NEGOCIOS COLOMBIA S.A. </c:v>
                </c:pt>
                <c:pt idx="7">
                  <c:v> CREZCAMOS S.A. COMPAÑIA DE FINANCIAMIENTO </c:v>
                </c:pt>
                <c:pt idx="8">
                  <c:v> BCO. DE OCCIDENTE </c:v>
                </c:pt>
                <c:pt idx="9">
                  <c:v> CORPORACIÓN PARA EL DESARROLLO EMPRESARIAL-FINANFU </c:v>
                </c:pt>
              </c:strCache>
            </c:strRef>
          </c:cat>
          <c:val>
            <c:numRef>
              <c:f>ENTIDADES!$D$3:$D$12</c:f>
              <c:numCache>
                <c:formatCode>0%</c:formatCode>
                <c:ptCount val="10"/>
                <c:pt idx="0">
                  <c:v>0.38035481201855137</c:v>
                </c:pt>
                <c:pt idx="1">
                  <c:v>0.21083735693729597</c:v>
                </c:pt>
                <c:pt idx="2">
                  <c:v>0.14967476987953832</c:v>
                </c:pt>
                <c:pt idx="3">
                  <c:v>4.7439670335033213E-2</c:v>
                </c:pt>
                <c:pt idx="4">
                  <c:v>4.2639747066998732E-2</c:v>
                </c:pt>
                <c:pt idx="5">
                  <c:v>4.2501100421076771E-2</c:v>
                </c:pt>
                <c:pt idx="6">
                  <c:v>4.2167471387459188E-2</c:v>
                </c:pt>
                <c:pt idx="7">
                  <c:v>3.2047278254468986E-2</c:v>
                </c:pt>
                <c:pt idx="8">
                  <c:v>1.8983795618634128E-2</c:v>
                </c:pt>
                <c:pt idx="9">
                  <c:v>1.689121798404291E-2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ENTIDADES!$D$3:$D$13</c15:f>
                <c15:dlblRangeCache>
                  <c:ptCount val="11"/>
                  <c:pt idx="0">
                    <c:v>38%</c:v>
                  </c:pt>
                  <c:pt idx="1">
                    <c:v>21%</c:v>
                  </c:pt>
                  <c:pt idx="2">
                    <c:v>15%</c:v>
                  </c:pt>
                  <c:pt idx="3">
                    <c:v>5%</c:v>
                  </c:pt>
                  <c:pt idx="4">
                    <c:v>4%</c:v>
                  </c:pt>
                  <c:pt idx="5">
                    <c:v>4%</c:v>
                  </c:pt>
                  <c:pt idx="6">
                    <c:v>4%</c:v>
                  </c:pt>
                  <c:pt idx="7">
                    <c:v>3%</c:v>
                  </c:pt>
                  <c:pt idx="8">
                    <c:v>2%</c:v>
                  </c:pt>
                  <c:pt idx="9">
                    <c:v>2%</c:v>
                  </c:pt>
                  <c:pt idx="10">
                    <c:v>1%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B-0CF0-41D2-9EEC-5C167011AA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5470799"/>
        <c:axId val="365471215"/>
        <c:axId val="0"/>
      </c:bar3DChart>
      <c:catAx>
        <c:axId val="36547079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65471215"/>
        <c:crosses val="autoZero"/>
        <c:auto val="1"/>
        <c:lblAlgn val="ctr"/>
        <c:lblOffset val="100"/>
        <c:noMultiLvlLbl val="0"/>
      </c:catAx>
      <c:valAx>
        <c:axId val="3654712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&quot;$&quot;\ * #,##0_-;\-&quot;$&quot;\ * #,##0_-;_-&quot;$&quot;\ 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65470799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Desembolso por Departamentos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DEPARTAM!$D$1</c:f>
              <c:strCache>
                <c:ptCount val="1"/>
                <c:pt idx="0">
                  <c:v> DESEMBOLSO 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8.0000000000000245E-3"/>
                  <c:y val="-0.2962962962962962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CA0-4076-9F7D-B0F5DCEAB300}"/>
                </c:ext>
              </c:extLst>
            </c:dLbl>
            <c:dLbl>
              <c:idx val="1"/>
              <c:layout>
                <c:manualLayout>
                  <c:x val="1.0666666666666666E-2"/>
                  <c:y val="-0.2685185185185185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CA0-4076-9F7D-B0F5DCEAB300}"/>
                </c:ext>
              </c:extLst>
            </c:dLbl>
            <c:dLbl>
              <c:idx val="2"/>
              <c:layout>
                <c:manualLayout>
                  <c:x val="1.0666666666666666E-2"/>
                  <c:y val="-0.2083333333333333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CA0-4076-9F7D-B0F5DCEAB30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DEPARTAM!$C$2:$C$13</c:f>
              <c:strCache>
                <c:ptCount val="12"/>
                <c:pt idx="0">
                  <c:v>Valle</c:v>
                </c:pt>
                <c:pt idx="1">
                  <c:v>Antioquia</c:v>
                </c:pt>
                <c:pt idx="2">
                  <c:v>BOGOTA D.C.</c:v>
                </c:pt>
                <c:pt idx="3">
                  <c:v>Narino</c:v>
                </c:pt>
                <c:pt idx="4">
                  <c:v>Cundinamarca</c:v>
                </c:pt>
                <c:pt idx="5">
                  <c:v>Santander</c:v>
                </c:pt>
                <c:pt idx="6">
                  <c:v>Atlantico</c:v>
                </c:pt>
                <c:pt idx="7">
                  <c:v>Bolivar</c:v>
                </c:pt>
                <c:pt idx="8">
                  <c:v>Cauca</c:v>
                </c:pt>
                <c:pt idx="9">
                  <c:v>Risaralda</c:v>
                </c:pt>
                <c:pt idx="10">
                  <c:v>Boyaca</c:v>
                </c:pt>
                <c:pt idx="11">
                  <c:v>Caldas</c:v>
                </c:pt>
              </c:strCache>
            </c:strRef>
          </c:cat>
          <c:val>
            <c:numRef>
              <c:f>DEPARTAM!$D$2:$D$13</c:f>
              <c:numCache>
                <c:formatCode>_-"$"\ * #,##0_-;\-"$"\ * #,##0_-;_-"$"\ * "-"??_-;_-@_-</c:formatCode>
                <c:ptCount val="12"/>
                <c:pt idx="0">
                  <c:v>15624976064</c:v>
                </c:pt>
                <c:pt idx="1">
                  <c:v>12531603142</c:v>
                </c:pt>
                <c:pt idx="2">
                  <c:v>10528020416</c:v>
                </c:pt>
                <c:pt idx="3">
                  <c:v>6721208033</c:v>
                </c:pt>
                <c:pt idx="4">
                  <c:v>5356757231</c:v>
                </c:pt>
                <c:pt idx="5">
                  <c:v>5325388984</c:v>
                </c:pt>
                <c:pt idx="6">
                  <c:v>5128180863</c:v>
                </c:pt>
                <c:pt idx="7">
                  <c:v>5006706937</c:v>
                </c:pt>
                <c:pt idx="8">
                  <c:v>4997292580</c:v>
                </c:pt>
                <c:pt idx="9">
                  <c:v>4866590530</c:v>
                </c:pt>
                <c:pt idx="10">
                  <c:v>4746137287</c:v>
                </c:pt>
                <c:pt idx="11">
                  <c:v>3746531443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CA0-4076-9F7D-B0F5DCEAB300}"/>
            </c:ext>
          </c:extLst>
        </c:ser>
        <c:ser>
          <c:idx val="1"/>
          <c:order val="1"/>
          <c:tx>
            <c:strRef>
              <c:f>DEPARTAM!$E$1</c:f>
              <c:strCache>
                <c:ptCount val="1"/>
                <c:pt idx="0">
                  <c:v>PORCENTAJE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DEPARTAM!$C$2:$C$13</c:f>
              <c:strCache>
                <c:ptCount val="12"/>
                <c:pt idx="0">
                  <c:v>Valle</c:v>
                </c:pt>
                <c:pt idx="1">
                  <c:v>Antioquia</c:v>
                </c:pt>
                <c:pt idx="2">
                  <c:v>BOGOTA D.C.</c:v>
                </c:pt>
                <c:pt idx="3">
                  <c:v>Narino</c:v>
                </c:pt>
                <c:pt idx="4">
                  <c:v>Cundinamarca</c:v>
                </c:pt>
                <c:pt idx="5">
                  <c:v>Santander</c:v>
                </c:pt>
                <c:pt idx="6">
                  <c:v>Atlantico</c:v>
                </c:pt>
                <c:pt idx="7">
                  <c:v>Bolivar</c:v>
                </c:pt>
                <c:pt idx="8">
                  <c:v>Cauca</c:v>
                </c:pt>
                <c:pt idx="9">
                  <c:v>Risaralda</c:v>
                </c:pt>
                <c:pt idx="10">
                  <c:v>Boyaca</c:v>
                </c:pt>
                <c:pt idx="11">
                  <c:v>Caldas</c:v>
                </c:pt>
              </c:strCache>
            </c:strRef>
          </c:cat>
          <c:val>
            <c:numRef>
              <c:f>DEPARTAM!$E$2:$E$13</c:f>
              <c:numCache>
                <c:formatCode>0%</c:formatCode>
                <c:ptCount val="12"/>
                <c:pt idx="0">
                  <c:v>0.13177314622169095</c:v>
                </c:pt>
                <c:pt idx="1">
                  <c:v>0.10568520338585574</c:v>
                </c:pt>
                <c:pt idx="2">
                  <c:v>8.8787999931653247E-2</c:v>
                </c:pt>
                <c:pt idx="3">
                  <c:v>5.6683269484137676E-2</c:v>
                </c:pt>
                <c:pt idx="4">
                  <c:v>4.5176181453551525E-2</c:v>
                </c:pt>
                <c:pt idx="5">
                  <c:v>4.4911637521982073E-2</c:v>
                </c:pt>
                <c:pt idx="6">
                  <c:v>4.3248483962053656E-2</c:v>
                </c:pt>
                <c:pt idx="7">
                  <c:v>4.222403430226819E-2</c:v>
                </c:pt>
                <c:pt idx="8">
                  <c:v>4.2144638376382423E-2</c:v>
                </c:pt>
                <c:pt idx="9">
                  <c:v>4.1042363385650975E-2</c:v>
                </c:pt>
                <c:pt idx="10">
                  <c:v>4.0026521650105139E-2</c:v>
                </c:pt>
                <c:pt idx="11">
                  <c:v>3.1596351484983742E-2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CA0-4076-9F7D-B0F5DCEAB3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51155759"/>
        <c:axId val="451157007"/>
        <c:axId val="0"/>
      </c:bar3DChart>
      <c:catAx>
        <c:axId val="451155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51157007"/>
        <c:crosses val="autoZero"/>
        <c:auto val="1"/>
        <c:lblAlgn val="ctr"/>
        <c:lblOffset val="100"/>
        <c:noMultiLvlLbl val="0"/>
      </c:catAx>
      <c:valAx>
        <c:axId val="4511570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&quot;$&quot;\ * #,##0_-;\-&quot;$&quot;\ * #,##0_-;_-&quot;$&quot;\ 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51155759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Desembolso Por Municipios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MUNICIPIOS!$D$2</c:f>
              <c:strCache>
                <c:ptCount val="1"/>
                <c:pt idx="0">
                  <c:v> desembolso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8.3333333333333332E-3"/>
                  <c:y val="-0.2592592592592592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EC7-4ABE-B761-D42A4FABD40F}"/>
                </c:ext>
              </c:extLst>
            </c:dLbl>
            <c:dLbl>
              <c:idx val="1"/>
              <c:layout>
                <c:manualLayout>
                  <c:x val="1.3888888888888888E-2"/>
                  <c:y val="-0.2129629629629629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EC7-4ABE-B761-D42A4FABD40F}"/>
                </c:ext>
              </c:extLst>
            </c:dLbl>
            <c:dLbl>
              <c:idx val="2"/>
              <c:layout>
                <c:manualLayout>
                  <c:x val="0"/>
                  <c:y val="-0.1435185185185185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EC7-4ABE-B761-D42A4FABD4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MUNICIPIOS!$C$3:$C$15</c:f>
              <c:strCache>
                <c:ptCount val="13"/>
                <c:pt idx="0">
                  <c:v> BOGOTA  </c:v>
                </c:pt>
                <c:pt idx="1">
                  <c:v> CALI  </c:v>
                </c:pt>
                <c:pt idx="2">
                  <c:v> MEDELLIN  </c:v>
                </c:pt>
                <c:pt idx="3">
                  <c:v> BARRANQUILLA  </c:v>
                </c:pt>
                <c:pt idx="4">
                  <c:v> PEREIRA  </c:v>
                </c:pt>
                <c:pt idx="5">
                  <c:v> CARTAGENA  </c:v>
                </c:pt>
                <c:pt idx="6">
                  <c:v> PASTO  </c:v>
                </c:pt>
                <c:pt idx="7">
                  <c:v> BUCARAMANGA  </c:v>
                </c:pt>
                <c:pt idx="8">
                  <c:v> MANIZALES  </c:v>
                </c:pt>
                <c:pt idx="9">
                  <c:v> CUCUTA  </c:v>
                </c:pt>
                <c:pt idx="10">
                  <c:v> ITAGUI  </c:v>
                </c:pt>
                <c:pt idx="11">
                  <c:v> SANTANDER DE QUILICHAO  </c:v>
                </c:pt>
                <c:pt idx="12">
                  <c:v> VALLEDUPAR  </c:v>
                </c:pt>
              </c:strCache>
            </c:strRef>
          </c:cat>
          <c:val>
            <c:numRef>
              <c:f>MUNICIPIOS!$D$3:$D$15</c:f>
              <c:numCache>
                <c:formatCode>_-"$"\ * #,##0_-;\-"$"\ * #,##0_-;_-"$"\ * "-"??_-;_-@_-</c:formatCode>
                <c:ptCount val="13"/>
                <c:pt idx="0">
                  <c:v>10528020416</c:v>
                </c:pt>
                <c:pt idx="1">
                  <c:v>8636018137</c:v>
                </c:pt>
                <c:pt idx="2">
                  <c:v>4990206152</c:v>
                </c:pt>
                <c:pt idx="3">
                  <c:v>3372493370</c:v>
                </c:pt>
                <c:pt idx="4">
                  <c:v>3161351281</c:v>
                </c:pt>
                <c:pt idx="5">
                  <c:v>2868718872</c:v>
                </c:pt>
                <c:pt idx="6">
                  <c:v>2119703308</c:v>
                </c:pt>
                <c:pt idx="7">
                  <c:v>1924923922</c:v>
                </c:pt>
                <c:pt idx="8">
                  <c:v>1834416186</c:v>
                </c:pt>
                <c:pt idx="9">
                  <c:v>1620612248</c:v>
                </c:pt>
                <c:pt idx="10">
                  <c:v>1506831360</c:v>
                </c:pt>
                <c:pt idx="11">
                  <c:v>1401230040</c:v>
                </c:pt>
                <c:pt idx="12">
                  <c:v>1342196139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EC7-4ABE-B761-D42A4FABD4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5901103"/>
        <c:axId val="365901519"/>
        <c:axId val="0"/>
      </c:bar3DChart>
      <c:catAx>
        <c:axId val="3659011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65901519"/>
        <c:crosses val="autoZero"/>
        <c:auto val="1"/>
        <c:lblAlgn val="ctr"/>
        <c:lblOffset val="100"/>
        <c:noMultiLvlLbl val="0"/>
      </c:catAx>
      <c:valAx>
        <c:axId val="3659015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&quot;$&quot;\ * #,##0_-;\-&quot;$&quot;\ * #,##0_-;_-&quot;$&quot;\ 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65901103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Actividad Economica CIIU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Hoja10!$K$3</c:f>
              <c:strCache>
                <c:ptCount val="1"/>
                <c:pt idx="0">
                  <c:v>oper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Hoja10!$J$4:$J$10</c:f>
              <c:strCache>
                <c:ptCount val="7"/>
                <c:pt idx="0">
                  <c:v>Comercio al por menor de otros productos alimenticios n.c.p., en establecimientos especializados</c:v>
                </c:pt>
                <c:pt idx="1">
                  <c:v>Comercio al por menor en establecimientos no especializados, con surtido compuesto principalmente por productos diferentes de alimentos (víveres en general), bebidas (alcohólicas y no alcohólicas) y tabaco</c:v>
                </c:pt>
                <c:pt idx="2">
                  <c:v>Comercio al por menor de leche, productos lácteos y huevos, en establecimientos especializados</c:v>
                </c:pt>
                <c:pt idx="3">
                  <c:v>Confección de prendas de vestir, excepto prendas de piel</c:v>
                </c:pt>
                <c:pt idx="4">
                  <c:v>Comercio al por menor de carnes (incluye aves de corral), productos cárnicos, pescados y productos de mar, en establecimientos especializados</c:v>
                </c:pt>
                <c:pt idx="5">
                  <c:v>Comercio al por menor de productos agrícolas para el consumo en establecimientos especializados</c:v>
                </c:pt>
                <c:pt idx="6">
                  <c:v>Comercio al por menor en establecimientos no especializados con surtido compuesto principalmente por alimentos, bebidas (alcohólicas y no alcohólicas) o tabaco</c:v>
                </c:pt>
              </c:strCache>
            </c:strRef>
          </c:cat>
          <c:val>
            <c:numRef>
              <c:f>Hoja10!$K$4:$K$10</c:f>
              <c:numCache>
                <c:formatCode>General</c:formatCode>
                <c:ptCount val="7"/>
                <c:pt idx="0">
                  <c:v>375</c:v>
                </c:pt>
                <c:pt idx="1">
                  <c:v>583</c:v>
                </c:pt>
                <c:pt idx="2">
                  <c:v>878</c:v>
                </c:pt>
                <c:pt idx="3">
                  <c:v>1347</c:v>
                </c:pt>
                <c:pt idx="4">
                  <c:v>1995</c:v>
                </c:pt>
                <c:pt idx="5">
                  <c:v>2083</c:v>
                </c:pt>
                <c:pt idx="6">
                  <c:v>2478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A16-49AE-81BB-5090D82C01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73709167"/>
        <c:axId val="373713327"/>
        <c:axId val="0"/>
      </c:bar3DChart>
      <c:catAx>
        <c:axId val="37370916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73713327"/>
        <c:crosses val="autoZero"/>
        <c:auto val="1"/>
        <c:lblAlgn val="ctr"/>
        <c:lblOffset val="100"/>
        <c:noMultiLvlLbl val="0"/>
      </c:catAx>
      <c:valAx>
        <c:axId val="37371332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7370916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Destino de los</a:t>
            </a:r>
            <a:r>
              <a:rPr lang="en-US" baseline="0"/>
              <a:t> Recursos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DESTINO!$C$2</c:f>
              <c:strCache>
                <c:ptCount val="1"/>
                <c:pt idx="0">
                  <c:v>OPER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DESTINO!$B$3:$B$5</c:f>
              <c:strCache>
                <c:ptCount val="3"/>
                <c:pt idx="0">
                  <c:v>LEASING</c:v>
                </c:pt>
                <c:pt idx="1">
                  <c:v>INVERSION FIJA</c:v>
                </c:pt>
                <c:pt idx="2">
                  <c:v>CAPITAL DE TRABAJO</c:v>
                </c:pt>
              </c:strCache>
            </c:strRef>
          </c:cat>
          <c:val>
            <c:numRef>
              <c:f>DESTINO!$C$3:$C$5</c:f>
            </c:numRef>
          </c:val>
          <c:extLst>
            <c:ext xmlns:c16="http://schemas.microsoft.com/office/drawing/2014/chart" uri="{C3380CC4-5D6E-409C-BE32-E72D297353CC}">
              <c16:uniqueId val="{00000000-D8FF-41BF-9194-5E583AA0E097}"/>
            </c:ext>
          </c:extLst>
        </c:ser>
        <c:ser>
          <c:idx val="1"/>
          <c:order val="1"/>
          <c:tx>
            <c:strRef>
              <c:f>DESTINO!$D$2</c:f>
              <c:strCache>
                <c:ptCount val="1"/>
                <c:pt idx="0">
                  <c:v>PORCEN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4999999999999949E-2"/>
                  <c:y val="-3.24074074074074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8FF-41BF-9194-5E583AA0E097}"/>
                </c:ext>
              </c:extLst>
            </c:dLbl>
            <c:dLbl>
              <c:idx val="1"/>
              <c:layout>
                <c:manualLayout>
                  <c:x val="2.7777777777777728E-2"/>
                  <c:y val="-3.24074074074074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8FF-41BF-9194-5E583AA0E097}"/>
                </c:ext>
              </c:extLst>
            </c:dLbl>
            <c:dLbl>
              <c:idx val="2"/>
              <c:layout>
                <c:manualLayout>
                  <c:x val="3.0555555555555555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8FF-41BF-9194-5E583AA0E09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DESTINO!$B$3:$B$5</c:f>
              <c:strCache>
                <c:ptCount val="3"/>
                <c:pt idx="0">
                  <c:v>LEASING</c:v>
                </c:pt>
                <c:pt idx="1">
                  <c:v>INVERSION FIJA</c:v>
                </c:pt>
                <c:pt idx="2">
                  <c:v>CAPITAL DE TRABAJO</c:v>
                </c:pt>
              </c:strCache>
            </c:strRef>
          </c:cat>
          <c:val>
            <c:numRef>
              <c:f>DESTINO!$D$3:$D$5</c:f>
              <c:numCache>
                <c:formatCode>0.0%</c:formatCode>
                <c:ptCount val="3"/>
                <c:pt idx="0">
                  <c:v>9.2893636785880169E-4</c:v>
                </c:pt>
                <c:pt idx="1">
                  <c:v>6.5954482117974922E-3</c:v>
                </c:pt>
                <c:pt idx="2">
                  <c:v>0.99247561542034368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8FF-41BF-9194-5E583AA0E0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24956831"/>
        <c:axId val="524957247"/>
        <c:axId val="0"/>
      </c:bar3DChart>
      <c:catAx>
        <c:axId val="52495683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524957247"/>
        <c:crosses val="autoZero"/>
        <c:auto val="1"/>
        <c:lblAlgn val="ctr"/>
        <c:lblOffset val="100"/>
        <c:noMultiLvlLbl val="0"/>
      </c:catAx>
      <c:valAx>
        <c:axId val="52495724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52495683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N° de Desembolsos</a:t>
            </a:r>
            <a:r>
              <a:rPr lang="en-US" baseline="0"/>
              <a:t> por Tamaño Empresarial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TAMAÑO!$E$3</c:f>
              <c:strCache>
                <c:ptCount val="1"/>
                <c:pt idx="0">
                  <c:v>oper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TAMAÑO!$D$4:$D$6</c:f>
              <c:strCache>
                <c:ptCount val="3"/>
                <c:pt idx="0">
                  <c:v>MEDIANA</c:v>
                </c:pt>
                <c:pt idx="1">
                  <c:v>MICROEMPRESA</c:v>
                </c:pt>
                <c:pt idx="2">
                  <c:v>PEQUEÑA</c:v>
                </c:pt>
              </c:strCache>
            </c:strRef>
          </c:cat>
          <c:val>
            <c:numRef>
              <c:f>TAMAÑO!$E$4:$E$6</c:f>
            </c:numRef>
          </c:val>
          <c:extLst>
            <c:ext xmlns:c16="http://schemas.microsoft.com/office/drawing/2014/chart" uri="{C3380CC4-5D6E-409C-BE32-E72D297353CC}">
              <c16:uniqueId val="{00000000-3AD0-4C63-8D8E-A13882C99A23}"/>
            </c:ext>
          </c:extLst>
        </c:ser>
        <c:ser>
          <c:idx val="1"/>
          <c:order val="1"/>
          <c:tx>
            <c:strRef>
              <c:f>TAMAÑO!$F$3</c:f>
              <c:strCache>
                <c:ptCount val="1"/>
                <c:pt idx="0">
                  <c:v>porce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3AD0-4C63-8D8E-A13882C99A2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4-3AD0-4C63-8D8E-A13882C99A2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3AD0-4C63-8D8E-A13882C99A23}"/>
              </c:ext>
            </c:extLst>
          </c:dPt>
          <c:dLbls>
            <c:dLbl>
              <c:idx val="0"/>
              <c:layout>
                <c:manualLayout>
                  <c:x val="0.1209851268591426"/>
                  <c:y val="1.82312627588218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AD0-4C63-8D8E-A13882C99A23}"/>
                </c:ext>
              </c:extLst>
            </c:dLbl>
            <c:dLbl>
              <c:idx val="1"/>
              <c:layout>
                <c:manualLayout>
                  <c:x val="-0.22196697287839026"/>
                  <c:y val="-0.1078565179352580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AD0-4C63-8D8E-A13882C99A23}"/>
                </c:ext>
              </c:extLst>
            </c:dLbl>
            <c:dLbl>
              <c:idx val="2"/>
              <c:layout>
                <c:manualLayout>
                  <c:x val="-8.2849300087489058E-2"/>
                  <c:y val="-1.01877369495479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3AD0-4C63-8D8E-A13882C99A2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TAMAÑO!$D$4:$D$6</c:f>
              <c:strCache>
                <c:ptCount val="3"/>
                <c:pt idx="0">
                  <c:v>MEDIANA</c:v>
                </c:pt>
                <c:pt idx="1">
                  <c:v>MICROEMPRESA</c:v>
                </c:pt>
                <c:pt idx="2">
                  <c:v>PEQUEÑA</c:v>
                </c:pt>
              </c:strCache>
            </c:strRef>
          </c:cat>
          <c:val>
            <c:numRef>
              <c:f>TAMAÑO!$F$4:$F$6</c:f>
              <c:numCache>
                <c:formatCode>0.0%</c:formatCode>
                <c:ptCount val="3"/>
                <c:pt idx="0">
                  <c:v>1.3934045517882026E-3</c:v>
                </c:pt>
                <c:pt idx="1">
                  <c:v>0.97770552717138881</c:v>
                </c:pt>
                <c:pt idx="2">
                  <c:v>2.0901068276823039E-2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3AD0-4C63-8D8E-A13882C99A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N° de Operaciones por Tasa de Interes</a:t>
            </a:r>
          </a:p>
        </c:rich>
      </c:tx>
      <c:layout>
        <c:manualLayout>
          <c:xMode val="edge"/>
          <c:yMode val="edge"/>
          <c:x val="0.22079155730533681"/>
          <c:y val="3.703703703703703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122641509433958E-2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284-4AE9-9631-CD18C769A906}"/>
                </c:ext>
              </c:extLst>
            </c:dLbl>
            <c:dLbl>
              <c:idx val="1"/>
              <c:layout>
                <c:manualLayout>
                  <c:x val="9.433962264150943E-3"/>
                  <c:y val="-7.407407407407415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284-4AE9-9631-CD18C769A906}"/>
                </c:ext>
              </c:extLst>
            </c:dLbl>
            <c:dLbl>
              <c:idx val="2"/>
              <c:layout>
                <c:manualLayout>
                  <c:x val="6.2368147377803327E-3"/>
                  <c:y val="-8.33333333333334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284-4AE9-9631-CD18C769A906}"/>
                </c:ext>
              </c:extLst>
            </c:dLbl>
            <c:dLbl>
              <c:idx val="3"/>
              <c:layout>
                <c:manualLayout>
                  <c:x val="2.1645743574505931E-2"/>
                  <c:y val="-6.94444444444445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284-4AE9-9631-CD18C769A906}"/>
                </c:ext>
              </c:extLst>
            </c:dLbl>
            <c:dLbl>
              <c:idx val="4"/>
              <c:layout>
                <c:manualLayout>
                  <c:x val="2.358490566037736E-2"/>
                  <c:y val="-8.33333333333333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284-4AE9-9631-CD18C769A906}"/>
                </c:ext>
              </c:extLst>
            </c:dLbl>
            <c:dLbl>
              <c:idx val="5"/>
              <c:layout>
                <c:manualLayout>
                  <c:x val="1.6666666666666666E-2"/>
                  <c:y val="-0.3287037037037037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284-4AE9-9631-CD18C769A90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tasa!$G$2:$G$7</c:f>
              <c:strCache>
                <c:ptCount val="6"/>
                <c:pt idx="0">
                  <c:v>ENTRE 4% Y 10%</c:v>
                </c:pt>
                <c:pt idx="1">
                  <c:v>ENTRE 10% Y 20%</c:v>
                </c:pt>
                <c:pt idx="2">
                  <c:v>ENTRE 20% Y 30%</c:v>
                </c:pt>
                <c:pt idx="3">
                  <c:v>ENTRE 30% Y 40%</c:v>
                </c:pt>
                <c:pt idx="4">
                  <c:v>ENTRE 40% Y 50%</c:v>
                </c:pt>
                <c:pt idx="5">
                  <c:v>MAYOR A 50%</c:v>
                </c:pt>
              </c:strCache>
            </c:strRef>
          </c:cat>
          <c:val>
            <c:numRef>
              <c:f>tasa!$H$2:$H$7</c:f>
              <c:numCache>
                <c:formatCode>General</c:formatCode>
                <c:ptCount val="6"/>
                <c:pt idx="0">
                  <c:v>13</c:v>
                </c:pt>
                <c:pt idx="1">
                  <c:v>241</c:v>
                </c:pt>
                <c:pt idx="2">
                  <c:v>674</c:v>
                </c:pt>
                <c:pt idx="3">
                  <c:v>409</c:v>
                </c:pt>
                <c:pt idx="4">
                  <c:v>417</c:v>
                </c:pt>
                <c:pt idx="5">
                  <c:v>9011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284-4AE9-9631-CD18C769A9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24954751"/>
        <c:axId val="524960575"/>
        <c:axId val="0"/>
      </c:bar3DChart>
      <c:catAx>
        <c:axId val="5249547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524960575"/>
        <c:crosses val="autoZero"/>
        <c:auto val="1"/>
        <c:lblAlgn val="ctr"/>
        <c:lblOffset val="100"/>
        <c:noMultiLvlLbl val="0"/>
      </c:catAx>
      <c:valAx>
        <c:axId val="52496057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52495475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Concentración de</a:t>
            </a:r>
            <a:r>
              <a:rPr lang="en-US" baseline="0"/>
              <a:t> la Tasa Superior a 50%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'tasa in'!$J$1</c:f>
              <c:strCache>
                <c:ptCount val="1"/>
                <c:pt idx="0">
                  <c:v>opera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'tasa in'!$I$2:$I$7</c:f>
              <c:strCache>
                <c:ptCount val="6"/>
                <c:pt idx="0">
                  <c:v>BCO. W S.A</c:v>
                </c:pt>
                <c:pt idx="1">
                  <c:v>MIBANCO BANCO DE LA MICROEMPRESA DE COLOMBIA SA</c:v>
                </c:pt>
                <c:pt idx="2">
                  <c:v>BCO. SANTANDER DE NEGOCIOS COLOMBIA S.A.</c:v>
                </c:pt>
                <c:pt idx="3">
                  <c:v>CORPORACIÓN PARA EL DESARROLLO EMPRESARIAL-FINANFU</c:v>
                </c:pt>
                <c:pt idx="4">
                  <c:v>CREZCAMOS S.A. COMPAÑIA DE FINANCIAMIENTO</c:v>
                </c:pt>
                <c:pt idx="5">
                  <c:v>UNI2 MICROCREDITO SAS</c:v>
                </c:pt>
              </c:strCache>
            </c:strRef>
          </c:cat>
          <c:val>
            <c:numRef>
              <c:f>'tasa in'!$J$2:$J$7</c:f>
              <c:numCache>
                <c:formatCode>General</c:formatCode>
                <c:ptCount val="6"/>
                <c:pt idx="0">
                  <c:v>4850</c:v>
                </c:pt>
                <c:pt idx="1">
                  <c:v>2663</c:v>
                </c:pt>
                <c:pt idx="2">
                  <c:v>948</c:v>
                </c:pt>
                <c:pt idx="3">
                  <c:v>294</c:v>
                </c:pt>
                <c:pt idx="4">
                  <c:v>54</c:v>
                </c:pt>
                <c:pt idx="5">
                  <c:v>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80-4396-9DB7-DC6005051D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51156591"/>
        <c:axId val="451157423"/>
        <c:axId val="0"/>
      </c:bar3DChart>
      <c:catAx>
        <c:axId val="45115659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51157423"/>
        <c:crosses val="autoZero"/>
        <c:auto val="1"/>
        <c:lblAlgn val="ctr"/>
        <c:lblOffset val="100"/>
        <c:noMultiLvlLbl val="0"/>
      </c:catAx>
      <c:valAx>
        <c:axId val="4511574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5115659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Desembolso Acumulado</a:t>
            </a:r>
          </a:p>
        </c:rich>
      </c:tx>
      <c:layout>
        <c:manualLayout>
          <c:xMode val="edge"/>
          <c:yMode val="edge"/>
          <c:x val="0.40445613729563423"/>
          <c:y val="1.851851851851851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ACUMULADO!$D$2</c:f>
              <c:strCache>
                <c:ptCount val="1"/>
                <c:pt idx="0">
                  <c:v> desembolso 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ACUMULADO!$C$3:$C$7</c:f>
              <c:strCache>
                <c:ptCount val="5"/>
                <c:pt idx="0">
                  <c:v>dic-2025</c:v>
                </c:pt>
                <c:pt idx="1">
                  <c:v>ene-2026</c:v>
                </c:pt>
                <c:pt idx="2">
                  <c:v>feb-2026</c:v>
                </c:pt>
                <c:pt idx="3">
                  <c:v>mar-2026</c:v>
                </c:pt>
                <c:pt idx="4">
                  <c:v>abr-2026</c:v>
                </c:pt>
              </c:strCache>
            </c:strRef>
          </c:cat>
          <c:val>
            <c:numRef>
              <c:f>ACUMULADO!$D$3:$D$7</c:f>
            </c:numRef>
          </c:val>
          <c:smooth val="0"/>
          <c:extLst>
            <c:ext xmlns:c16="http://schemas.microsoft.com/office/drawing/2014/chart" uri="{C3380CC4-5D6E-409C-BE32-E72D297353CC}">
              <c16:uniqueId val="{00000000-7FD7-4399-B0EC-66063B830D44}"/>
            </c:ext>
          </c:extLst>
        </c:ser>
        <c:ser>
          <c:idx val="1"/>
          <c:order val="1"/>
          <c:tx>
            <c:strRef>
              <c:f>ACUMULADO!$E$2</c:f>
              <c:strCache>
                <c:ptCount val="1"/>
                <c:pt idx="0">
                  <c:v>Acumulado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5.0925337632079971E-17"/>
                  <c:y val="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FD7-4399-B0EC-66063B830D44}"/>
                </c:ext>
              </c:extLst>
            </c:dLbl>
            <c:dLbl>
              <c:idx val="1"/>
              <c:layout>
                <c:manualLayout>
                  <c:x val="-3.8888888888888938E-2"/>
                  <c:y val="-6.9444444444444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FD7-4399-B0EC-66063B830D44}"/>
                </c:ext>
              </c:extLst>
            </c:dLbl>
            <c:dLbl>
              <c:idx val="2"/>
              <c:layout>
                <c:manualLayout>
                  <c:x val="-1.3473439845533215E-2"/>
                  <c:y val="7.4074074074074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FD7-4399-B0EC-66063B830D44}"/>
                </c:ext>
              </c:extLst>
            </c:dLbl>
            <c:dLbl>
              <c:idx val="3"/>
              <c:layout>
                <c:manualLayout>
                  <c:x val="-4.1666666666666768E-2"/>
                  <c:y val="-8.3333333333333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FD7-4399-B0EC-66063B830D44}"/>
                </c:ext>
              </c:extLst>
            </c:dLbl>
            <c:dLbl>
              <c:idx val="4"/>
              <c:layout>
                <c:manualLayout>
                  <c:x val="0"/>
                  <c:y val="4.16666666666666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FD7-4399-B0EC-66063B830D4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ACUMULADO!$C$3:$C$7</c:f>
              <c:strCache>
                <c:ptCount val="5"/>
                <c:pt idx="0">
                  <c:v>dic-2025</c:v>
                </c:pt>
                <c:pt idx="1">
                  <c:v>ene-2026</c:v>
                </c:pt>
                <c:pt idx="2">
                  <c:v>feb-2026</c:v>
                </c:pt>
                <c:pt idx="3">
                  <c:v>mar-2026</c:v>
                </c:pt>
                <c:pt idx="4">
                  <c:v>abr-2026</c:v>
                </c:pt>
              </c:strCache>
            </c:strRef>
          </c:cat>
          <c:val>
            <c:numRef>
              <c:f>ACUMULADO!$E$3:$E$7</c:f>
              <c:numCache>
                <c:formatCode>_-"$"\ * #,##0_-;\-"$"\ * #,##0_-;_-"$"\ * "-"??_-;_-@_-</c:formatCode>
                <c:ptCount val="5"/>
                <c:pt idx="0">
                  <c:v>82711393137</c:v>
                </c:pt>
                <c:pt idx="1">
                  <c:v>86937866137</c:v>
                </c:pt>
                <c:pt idx="2">
                  <c:v>95003726137</c:v>
                </c:pt>
                <c:pt idx="3">
                  <c:v>107318239864</c:v>
                </c:pt>
                <c:pt idx="4">
                  <c:v>118574812183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7FD7-4399-B0EC-66063B830D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43628767"/>
        <c:axId val="443627519"/>
      </c:lineChart>
      <c:catAx>
        <c:axId val="443628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43627519"/>
        <c:crosses val="autoZero"/>
        <c:auto val="1"/>
        <c:lblAlgn val="ctr"/>
        <c:lblOffset val="100"/>
        <c:noMultiLvlLbl val="0"/>
      </c:catAx>
      <c:valAx>
        <c:axId val="4436275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&quot;$&quot;\ * #,##0_-;\-&quot;$&quot;\ * #,##0_-;_-&quot;$&quot;\ 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43628767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D30D1D9A08B6B489401890484F375CC" ma:contentTypeVersion="11" ma:contentTypeDescription="Crear nuevo documento." ma:contentTypeScope="" ma:versionID="6538e334e7de8826856c8f34e46cdf82">
  <xsd:schema xmlns:xsd="http://www.w3.org/2001/XMLSchema" xmlns:xs="http://www.w3.org/2001/XMLSchema" xmlns:p="http://schemas.microsoft.com/office/2006/metadata/properties" xmlns:ns3="98f7d871-4d63-483b-a6ad-a1365443ddb7" targetNamespace="http://schemas.microsoft.com/office/2006/metadata/properties" ma:root="true" ma:fieldsID="238ced4b2b07ff26de7e49d3104c2e89" ns3:_="">
    <xsd:import namespace="98f7d871-4d63-483b-a6ad-a1365443dd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7d871-4d63-483b-a6ad-a1365443dd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f7d871-4d63-483b-a6ad-a1365443ddb7" xsi:nil="true"/>
  </documentManagement>
</p:properties>
</file>

<file path=customXml/itemProps1.xml><?xml version="1.0" encoding="utf-8"?>
<ds:datastoreItem xmlns:ds="http://schemas.openxmlformats.org/officeDocument/2006/customXml" ds:itemID="{C2E3994F-0E58-49A7-876C-C39DB0F3C6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8610A6-1162-4D70-AD64-5FD32B3EE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f7d871-4d63-483b-a6ad-a1365443d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F569A2-218A-4376-9D96-B6FD319A21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3563A9-F1BD-4ACD-8BB6-C3FD9C945BA4}">
  <ds:schemaRefs>
    <ds:schemaRef ds:uri="http://schemas.microsoft.com/office/2006/metadata/properties"/>
    <ds:schemaRef ds:uri="http://schemas.microsoft.com/office/infopath/2007/PartnerControls"/>
    <ds:schemaRef ds:uri="98f7d871-4d63-483b-a6ad-a1365443dd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6</Pages>
  <Words>891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Orozco Giraldo</dc:creator>
  <cp:keywords/>
  <dc:description/>
  <cp:lastModifiedBy>Angie Lorena Murcia Currea - Cont</cp:lastModifiedBy>
  <cp:revision>54</cp:revision>
  <cp:lastPrinted>2026-05-28T20:16:00Z</cp:lastPrinted>
  <dcterms:created xsi:type="dcterms:W3CDTF">2026-03-26T12:35:00Z</dcterms:created>
  <dcterms:modified xsi:type="dcterms:W3CDTF">2026-05-28T20:19:00Z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30ae86aa-7763-4a15-b993-0884f858e0a5</vt:lpwstr>
  </property>
  <property fmtid="{D5CDD505-2E9C-101B-9397-08002B2CF9AE}" pid="3" name="ContentTypeId">
    <vt:lpwstr>0x010100BD30D1D9A08B6B489401890484F375CC</vt:lpwstr>
  </property>
</Properties>
</file>