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EE7C3" w14:textId="77777777" w:rsidR="00CC295C" w:rsidRPr="00105187" w:rsidRDefault="00CC295C" w:rsidP="00437574">
      <w:pPr>
        <w:spacing w:after="0"/>
        <w:jc w:val="center"/>
        <w:rPr>
          <w:rFonts w:ascii="Verdana" w:hAnsi="Verdana"/>
          <w:b/>
          <w:bCs/>
          <w:color w:val="8A0000"/>
          <w:sz w:val="24"/>
          <w:szCs w:val="24"/>
          <w:lang w:val="es-CO"/>
        </w:rPr>
      </w:pPr>
      <w:bookmarkStart w:id="0" w:name="_Hlk225108813"/>
      <w:bookmarkEnd w:id="0"/>
      <w:r w:rsidRPr="00105187">
        <w:rPr>
          <w:rFonts w:ascii="Verdana" w:hAnsi="Verdana"/>
          <w:b/>
          <w:bCs/>
          <w:color w:val="8A0000"/>
          <w:sz w:val="24"/>
          <w:szCs w:val="24"/>
          <w:lang w:val="es-CO"/>
        </w:rPr>
        <w:t>Informe sobre línea de crédito Informe línea de crédito Cadena Productivas Mipymes</w:t>
      </w:r>
    </w:p>
    <w:p w14:paraId="61DDD6CA" w14:textId="77777777" w:rsidR="00CC295C" w:rsidRPr="00105187" w:rsidRDefault="00CC295C" w:rsidP="00437574">
      <w:pPr>
        <w:spacing w:after="0"/>
        <w:jc w:val="center"/>
        <w:rPr>
          <w:rFonts w:ascii="Verdana" w:hAnsi="Verdana"/>
          <w:b/>
          <w:bCs/>
          <w:color w:val="8A0000"/>
          <w:sz w:val="24"/>
          <w:szCs w:val="24"/>
          <w:lang w:val="es-CO"/>
        </w:rPr>
      </w:pPr>
      <w:r w:rsidRPr="00105187">
        <w:rPr>
          <w:rFonts w:ascii="Verdana" w:hAnsi="Verdana"/>
          <w:b/>
          <w:bCs/>
          <w:color w:val="8A0000"/>
          <w:sz w:val="24"/>
          <w:szCs w:val="24"/>
          <w:lang w:val="es-CO"/>
        </w:rPr>
        <w:t>Dirección de MiPymes – Inclusión financiera</w:t>
      </w:r>
    </w:p>
    <w:p w14:paraId="1685F101" w14:textId="77777777" w:rsidR="00CC295C" w:rsidRPr="00105187" w:rsidRDefault="00CC295C" w:rsidP="00437574">
      <w:pPr>
        <w:spacing w:after="0"/>
        <w:jc w:val="center"/>
        <w:rPr>
          <w:rFonts w:ascii="Verdana" w:hAnsi="Verdana"/>
          <w:b/>
          <w:bCs/>
          <w:color w:val="8A0000"/>
          <w:sz w:val="24"/>
          <w:szCs w:val="24"/>
          <w:lang w:val="es-CO"/>
        </w:rPr>
      </w:pPr>
      <w:r w:rsidRPr="00105187">
        <w:rPr>
          <w:rFonts w:ascii="Verdana" w:hAnsi="Verdana"/>
          <w:b/>
          <w:bCs/>
          <w:color w:val="8A0000"/>
          <w:sz w:val="24"/>
          <w:szCs w:val="24"/>
          <w:lang w:val="es-CO"/>
        </w:rPr>
        <w:t>enero de 2026</w:t>
      </w:r>
    </w:p>
    <w:p w14:paraId="6F57037A" w14:textId="77777777" w:rsidR="00437574" w:rsidRPr="00105187" w:rsidRDefault="00437574" w:rsidP="00437574">
      <w:pPr>
        <w:spacing w:after="0"/>
        <w:jc w:val="both"/>
        <w:rPr>
          <w:rFonts w:ascii="Verdana" w:hAnsi="Verdana" w:cs="Arial"/>
          <w:color w:val="000000" w:themeColor="text1"/>
        </w:rPr>
      </w:pPr>
    </w:p>
    <w:p w14:paraId="2B7B833D" w14:textId="4A3BAADD" w:rsidR="00CC295C" w:rsidRPr="00105187" w:rsidRDefault="00437574" w:rsidP="00437574">
      <w:pPr>
        <w:pStyle w:val="Sinespaciado"/>
        <w:jc w:val="both"/>
        <w:rPr>
          <w:rFonts w:ascii="Verdana" w:hAnsi="Verdana"/>
          <w:color w:val="000000" w:themeColor="text1"/>
        </w:rPr>
      </w:pPr>
      <w:r w:rsidRPr="6513F5D2">
        <w:rPr>
          <w:rFonts w:ascii="Verdana" w:hAnsi="Verdana"/>
          <w:color w:val="000000" w:themeColor="text1"/>
        </w:rPr>
        <w:t>Como parte de la estrategia de inclusión financiera a las cadenas productivas respaldadas por la Política Nacional de Reindustrialización, el MinCIT, desde la Dirección de MiPymes, ha destinado una inversión de $13.000 millones para una línea de redescuento con Bancóldex denominada “Cadenas Productivas MiPymes”. Esta línea está dirigida, a cadenas productivas vinculadas a las actividades de confecciones y textiles, metalmecánica, bioeconomía y comercio al por menor</w:t>
      </w:r>
      <w:r w:rsidR="5E9E143D" w:rsidRPr="6513F5D2">
        <w:rPr>
          <w:rFonts w:ascii="Verdana" w:hAnsi="Verdana"/>
          <w:color w:val="000000" w:themeColor="text1"/>
        </w:rPr>
        <w:t>.</w:t>
      </w:r>
    </w:p>
    <w:p w14:paraId="2C2BD96D" w14:textId="17A8F660" w:rsidR="6513F5D2" w:rsidRDefault="6513F5D2" w:rsidP="6513F5D2">
      <w:pPr>
        <w:pStyle w:val="Sinespaciado"/>
        <w:jc w:val="both"/>
        <w:rPr>
          <w:rFonts w:ascii="Verdana" w:hAnsi="Verdana"/>
          <w:color w:val="000000" w:themeColor="text1"/>
        </w:rPr>
      </w:pPr>
    </w:p>
    <w:p w14:paraId="6B9657D9" w14:textId="6EE04E34" w:rsidR="00F67DF9" w:rsidRDefault="5E9E143D" w:rsidP="6513F5D2">
      <w:pPr>
        <w:pStyle w:val="Sinespaciado"/>
        <w:jc w:val="both"/>
        <w:rPr>
          <w:rFonts w:ascii="Verdana" w:hAnsi="Verdana"/>
          <w:color w:val="000000" w:themeColor="text1"/>
        </w:rPr>
      </w:pPr>
      <w:r w:rsidRPr="6513F5D2">
        <w:rPr>
          <w:rFonts w:ascii="Verdana" w:hAnsi="Verdana"/>
          <w:color w:val="000000" w:themeColor="text1"/>
        </w:rPr>
        <w:t xml:space="preserve">La inversión realizada por </w:t>
      </w:r>
      <w:r w:rsidR="303B7097" w:rsidRPr="6513F5D2">
        <w:rPr>
          <w:rFonts w:ascii="Verdana" w:hAnsi="Verdana"/>
          <w:color w:val="000000" w:themeColor="text1"/>
        </w:rPr>
        <w:t>MinCIT es</w:t>
      </w:r>
      <w:r w:rsidRPr="6513F5D2">
        <w:rPr>
          <w:rFonts w:ascii="Verdana" w:hAnsi="Verdana"/>
          <w:color w:val="000000" w:themeColor="text1"/>
        </w:rPr>
        <w:t xml:space="preserve"> de $ 13.000 millones </w:t>
      </w:r>
      <w:r w:rsidR="0044140E">
        <w:rPr>
          <w:rFonts w:ascii="Verdana" w:hAnsi="Verdana"/>
          <w:color w:val="000000" w:themeColor="text1"/>
        </w:rPr>
        <w:t xml:space="preserve">generando </w:t>
      </w:r>
      <w:r w:rsidRPr="6513F5D2">
        <w:rPr>
          <w:rFonts w:ascii="Verdana" w:hAnsi="Verdana"/>
          <w:color w:val="000000" w:themeColor="text1"/>
        </w:rPr>
        <w:t xml:space="preserve">desembolsados </w:t>
      </w:r>
      <w:r w:rsidR="00202639" w:rsidRPr="00202639">
        <w:rPr>
          <w:rFonts w:ascii="Verdana" w:hAnsi="Verdana"/>
          <w:color w:val="000000" w:themeColor="text1"/>
        </w:rPr>
        <w:t>$ 118.059</w:t>
      </w:r>
      <w:r w:rsidR="00202639">
        <w:rPr>
          <w:rFonts w:ascii="Verdana" w:hAnsi="Verdana"/>
          <w:color w:val="000000" w:themeColor="text1"/>
        </w:rPr>
        <w:t xml:space="preserve"> millones </w:t>
      </w:r>
      <w:r w:rsidR="0044140E">
        <w:rPr>
          <w:rFonts w:ascii="Verdana" w:hAnsi="Verdana"/>
          <w:color w:val="000000" w:themeColor="text1"/>
        </w:rPr>
        <w:t>a través de</w:t>
      </w:r>
      <w:r w:rsidRPr="6513F5D2">
        <w:rPr>
          <w:rFonts w:ascii="Verdana" w:hAnsi="Verdana"/>
          <w:color w:val="000000" w:themeColor="text1"/>
        </w:rPr>
        <w:t xml:space="preserve"> 2.17</w:t>
      </w:r>
      <w:r w:rsidR="00562C8C">
        <w:rPr>
          <w:rFonts w:ascii="Verdana" w:hAnsi="Verdana"/>
          <w:color w:val="000000" w:themeColor="text1"/>
        </w:rPr>
        <w:t>1</w:t>
      </w:r>
      <w:r w:rsidR="6358CD1E" w:rsidRPr="6513F5D2">
        <w:rPr>
          <w:rFonts w:ascii="Verdana" w:hAnsi="Verdana"/>
          <w:color w:val="000000" w:themeColor="text1"/>
        </w:rPr>
        <w:t xml:space="preserve"> operaciones de crédito </w:t>
      </w:r>
      <w:r w:rsidR="00F67DF9">
        <w:rPr>
          <w:rFonts w:ascii="Verdana" w:hAnsi="Verdana"/>
          <w:color w:val="000000" w:themeColor="text1"/>
        </w:rPr>
        <w:t>Del aporte el MinCIT se ha utilizado 6.945</w:t>
      </w:r>
      <w:r w:rsidR="00263A95">
        <w:rPr>
          <w:rFonts w:ascii="Verdana" w:hAnsi="Verdana"/>
          <w:color w:val="000000" w:themeColor="text1"/>
        </w:rPr>
        <w:t xml:space="preserve"> millones</w:t>
      </w:r>
      <w:r w:rsidR="00F67DF9" w:rsidRPr="00F67DF9">
        <w:rPr>
          <w:rFonts w:ascii="Verdana" w:hAnsi="Verdana"/>
          <w:color w:val="000000" w:themeColor="text1"/>
        </w:rPr>
        <w:t xml:space="preserve"> </w:t>
      </w:r>
      <w:r w:rsidR="00F67DF9">
        <w:rPr>
          <w:rFonts w:ascii="Verdana" w:hAnsi="Verdana"/>
          <w:color w:val="000000" w:themeColor="text1"/>
        </w:rPr>
        <w:t>lo que representa el</w:t>
      </w:r>
      <w:r w:rsidR="00F67DF9" w:rsidRPr="6513F5D2">
        <w:rPr>
          <w:rFonts w:ascii="Verdana" w:hAnsi="Verdana"/>
          <w:color w:val="000000" w:themeColor="text1"/>
        </w:rPr>
        <w:t xml:space="preserve"> 53</w:t>
      </w:r>
      <w:r w:rsidR="00F67DF9">
        <w:rPr>
          <w:rFonts w:ascii="Verdana" w:hAnsi="Verdana"/>
          <w:color w:val="000000" w:themeColor="text1"/>
        </w:rPr>
        <w:t>,</w:t>
      </w:r>
      <w:r w:rsidR="00F67DF9" w:rsidRPr="6513F5D2">
        <w:rPr>
          <w:rFonts w:ascii="Verdana" w:hAnsi="Verdana"/>
          <w:color w:val="000000" w:themeColor="text1"/>
        </w:rPr>
        <w:t>43%</w:t>
      </w:r>
      <w:r w:rsidR="00F67DF9">
        <w:rPr>
          <w:rFonts w:ascii="Verdana" w:hAnsi="Verdana"/>
          <w:color w:val="000000" w:themeColor="text1"/>
        </w:rPr>
        <w:t xml:space="preserve"> del total aportado</w:t>
      </w:r>
      <w:r w:rsidR="00F67DF9" w:rsidRPr="6513F5D2">
        <w:rPr>
          <w:rFonts w:ascii="Verdana" w:hAnsi="Verdana"/>
          <w:color w:val="000000" w:themeColor="text1"/>
        </w:rPr>
        <w:t>.</w:t>
      </w:r>
    </w:p>
    <w:p w14:paraId="7C88EDF3" w14:textId="77777777" w:rsidR="00437574" w:rsidRPr="00105187" w:rsidRDefault="00437574" w:rsidP="00437574">
      <w:pPr>
        <w:pStyle w:val="Sinespaciado"/>
        <w:jc w:val="both"/>
        <w:rPr>
          <w:rFonts w:ascii="Verdana" w:hAnsi="Verdana" w:cs="Arial"/>
          <w:b/>
          <w:bCs/>
          <w:color w:val="000000" w:themeColor="text1"/>
        </w:rPr>
      </w:pPr>
    </w:p>
    <w:p w14:paraId="5BDA9841" w14:textId="77777777" w:rsidR="00367F8E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ENTIDADES FINANCIERAS</w:t>
      </w:r>
    </w:p>
    <w:p w14:paraId="6C0FD8AB" w14:textId="6ED0DC53" w:rsidR="00367F8E" w:rsidRPr="00105187" w:rsidRDefault="00367F8E" w:rsidP="00367F8E">
      <w:pPr>
        <w:jc w:val="both"/>
        <w:rPr>
          <w:rFonts w:ascii="Verdana" w:hAnsi="Verdana" w:cs="Arial"/>
          <w:color w:val="000000" w:themeColor="text1"/>
        </w:rPr>
      </w:pPr>
      <w:bookmarkStart w:id="1" w:name="_Hlk223090840"/>
      <w:r w:rsidRPr="6513F5D2">
        <w:rPr>
          <w:rFonts w:ascii="Verdana" w:hAnsi="Verdana" w:cs="Arial"/>
          <w:color w:val="000000" w:themeColor="text1"/>
        </w:rPr>
        <w:t>De los $ 118.059</w:t>
      </w:r>
      <w:r w:rsidR="3AF3A77E" w:rsidRPr="6513F5D2">
        <w:rPr>
          <w:rFonts w:ascii="Verdana" w:hAnsi="Verdana" w:cs="Arial"/>
          <w:color w:val="000000" w:themeColor="text1"/>
        </w:rPr>
        <w:t xml:space="preserve"> millones</w:t>
      </w:r>
      <w:r w:rsidRPr="6513F5D2">
        <w:rPr>
          <w:rFonts w:ascii="Verdana" w:hAnsi="Verdana" w:cs="Arial"/>
          <w:color w:val="000000" w:themeColor="text1"/>
        </w:rPr>
        <w:t xml:space="preserve"> el </w:t>
      </w:r>
      <w:bookmarkEnd w:id="1"/>
      <w:r w:rsidRPr="6513F5D2">
        <w:rPr>
          <w:rFonts w:ascii="Verdana" w:hAnsi="Verdana" w:cs="Arial"/>
          <w:color w:val="000000" w:themeColor="text1"/>
        </w:rPr>
        <w:t>4</w:t>
      </w:r>
      <w:r w:rsidR="63C71264" w:rsidRPr="6513F5D2">
        <w:rPr>
          <w:rFonts w:ascii="Verdana" w:hAnsi="Verdana" w:cs="Arial"/>
          <w:color w:val="000000" w:themeColor="text1"/>
        </w:rPr>
        <w:t>7</w:t>
      </w:r>
      <w:r w:rsidRPr="6513F5D2">
        <w:rPr>
          <w:rFonts w:ascii="Verdana" w:hAnsi="Verdana" w:cs="Arial"/>
          <w:color w:val="000000" w:themeColor="text1"/>
        </w:rPr>
        <w:t xml:space="preserve">% corresponde al Banco W S.A del total desembolsado, posicionándose como el principal intermediario financiero. En segundo lugar, se encuentra MiBanco </w:t>
      </w:r>
      <w:r w:rsidR="59FA63C3" w:rsidRPr="6513F5D2">
        <w:rPr>
          <w:rFonts w:ascii="Verdana" w:hAnsi="Verdana" w:cs="Arial"/>
          <w:color w:val="000000" w:themeColor="text1"/>
        </w:rPr>
        <w:t xml:space="preserve">Banco de la Microempresa de Colombia S.A </w:t>
      </w:r>
      <w:r w:rsidR="008160F1" w:rsidRPr="6513F5D2">
        <w:rPr>
          <w:rFonts w:ascii="Verdana" w:hAnsi="Verdana" w:cs="Arial"/>
          <w:color w:val="000000" w:themeColor="text1"/>
        </w:rPr>
        <w:t>con</w:t>
      </w:r>
      <w:r w:rsidRPr="6513F5D2">
        <w:rPr>
          <w:rFonts w:ascii="Verdana" w:hAnsi="Verdana" w:cs="Arial"/>
          <w:color w:val="000000" w:themeColor="text1"/>
        </w:rPr>
        <w:t xml:space="preserve"> el 21%</w:t>
      </w:r>
      <w:r w:rsidR="365EC7B7" w:rsidRPr="6513F5D2">
        <w:rPr>
          <w:rFonts w:ascii="Verdana" w:hAnsi="Verdana" w:cs="Arial"/>
          <w:color w:val="000000" w:themeColor="text1"/>
        </w:rPr>
        <w:t xml:space="preserve"> y </w:t>
      </w:r>
      <w:r w:rsidR="2946455C" w:rsidRPr="6513F5D2">
        <w:rPr>
          <w:rFonts w:ascii="Verdana" w:hAnsi="Verdana" w:cs="Arial"/>
          <w:color w:val="000000" w:themeColor="text1"/>
        </w:rPr>
        <w:t>BCO. Contactar</w:t>
      </w:r>
      <w:r w:rsidRPr="6513F5D2">
        <w:rPr>
          <w:rFonts w:ascii="Verdana" w:hAnsi="Verdana" w:cs="Arial"/>
          <w:color w:val="000000" w:themeColor="text1"/>
        </w:rPr>
        <w:t xml:space="preserve"> S.A. con el 10%</w:t>
      </w:r>
      <w:r w:rsidR="3F18ED41" w:rsidRPr="6513F5D2">
        <w:rPr>
          <w:rFonts w:ascii="Verdana" w:hAnsi="Verdana" w:cs="Arial"/>
          <w:color w:val="000000" w:themeColor="text1"/>
        </w:rPr>
        <w:t xml:space="preserve">. </w:t>
      </w:r>
    </w:p>
    <w:p w14:paraId="6AA71B96" w14:textId="4EA16E98" w:rsidR="00CC295C" w:rsidRPr="00105187" w:rsidRDefault="000733FE" w:rsidP="0FE14ED2">
      <w:pPr>
        <w:jc w:val="both"/>
      </w:pPr>
      <w:r>
        <w:rPr>
          <w:noProof/>
        </w:rPr>
        <w:drawing>
          <wp:inline distT="0" distB="0" distL="0" distR="0" wp14:anchorId="221C8A19" wp14:editId="75C38EA6">
            <wp:extent cx="5303520" cy="3745230"/>
            <wp:effectExtent l="0" t="0" r="11430" b="7620"/>
            <wp:docPr id="4" name="Gráfico 4">
              <a:extLst xmlns:a="http://schemas.openxmlformats.org/drawingml/2006/main">
                <a:ext uri="{FF2B5EF4-FFF2-40B4-BE49-F238E27FC236}">
                  <a16:creationId xmlns:a16="http://schemas.microsoft.com/office/drawing/2014/main" id="{2D130309-7874-4A6C-A83F-56E5645498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779E2D7" w14:textId="5934D92B" w:rsidR="00112E90" w:rsidRPr="00105187" w:rsidRDefault="00CC295C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6513F5D2">
        <w:rPr>
          <w:rFonts w:ascii="Verdana" w:hAnsi="Verdana" w:cs="Arial"/>
          <w:i/>
          <w:iCs/>
          <w:color w:val="000000" w:themeColor="text1"/>
        </w:rPr>
        <w:t xml:space="preserve">Grafica 1: </w:t>
      </w:r>
      <w:r w:rsidR="00112E90" w:rsidRPr="6513F5D2">
        <w:rPr>
          <w:rFonts w:ascii="Verdana" w:hAnsi="Verdana" w:cs="Arial"/>
          <w:i/>
          <w:iCs/>
          <w:color w:val="000000" w:themeColor="text1"/>
        </w:rPr>
        <w:t>Total Desembolsado a entidades Financieras</w:t>
      </w:r>
    </w:p>
    <w:p w14:paraId="036BA674" w14:textId="77777777" w:rsidR="001B3C27" w:rsidRDefault="001B3C27" w:rsidP="00437574">
      <w:pPr>
        <w:jc w:val="both"/>
        <w:rPr>
          <w:rFonts w:ascii="Verdana" w:hAnsi="Verdana" w:cs="Arial"/>
          <w:color w:val="000000" w:themeColor="text1"/>
        </w:rPr>
      </w:pPr>
    </w:p>
    <w:p w14:paraId="4CFA07F9" w14:textId="77777777" w:rsidR="00E61F49" w:rsidRDefault="00E61F49" w:rsidP="00437574">
      <w:pPr>
        <w:jc w:val="both"/>
        <w:rPr>
          <w:rFonts w:ascii="Verdana" w:hAnsi="Verdana" w:cs="Arial"/>
          <w:color w:val="000000" w:themeColor="text1"/>
        </w:rPr>
      </w:pPr>
    </w:p>
    <w:p w14:paraId="109F11DE" w14:textId="77777777" w:rsidR="00E61F49" w:rsidRPr="00105187" w:rsidRDefault="00E61F49" w:rsidP="00437574">
      <w:pPr>
        <w:jc w:val="both"/>
        <w:rPr>
          <w:rFonts w:ascii="Verdana" w:hAnsi="Verdana" w:cs="Arial"/>
          <w:color w:val="000000" w:themeColor="text1"/>
        </w:rPr>
      </w:pPr>
    </w:p>
    <w:p w14:paraId="3053EBFD" w14:textId="118C81B6" w:rsidR="00CC295C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bookmarkStart w:id="2" w:name="_Hlk223091027"/>
      <w:r w:rsidRPr="00105187">
        <w:rPr>
          <w:rFonts w:ascii="Verdana" w:hAnsi="Verdana" w:cs="Arial"/>
          <w:b/>
          <w:bCs/>
          <w:color w:val="000000" w:themeColor="text1"/>
        </w:rPr>
        <w:t xml:space="preserve">DISTRIBUCIÓN </w:t>
      </w:r>
      <w:r w:rsidR="001B3C27">
        <w:rPr>
          <w:rFonts w:ascii="Verdana" w:hAnsi="Verdana" w:cs="Arial"/>
          <w:b/>
          <w:bCs/>
          <w:color w:val="000000" w:themeColor="text1"/>
        </w:rPr>
        <w:t>POR</w:t>
      </w:r>
      <w:r w:rsidRPr="00105187">
        <w:rPr>
          <w:rFonts w:ascii="Verdana" w:hAnsi="Verdana" w:cs="Arial"/>
          <w:b/>
          <w:bCs/>
          <w:color w:val="000000" w:themeColor="text1"/>
        </w:rPr>
        <w:t xml:space="preserve"> DEPARTAMENTOS</w:t>
      </w:r>
    </w:p>
    <w:bookmarkEnd w:id="2"/>
    <w:p w14:paraId="7C86649A" w14:textId="04E3E3B8" w:rsidR="00CC295C" w:rsidRPr="00105187" w:rsidRDefault="00B51518" w:rsidP="00B51518">
      <w:pPr>
        <w:jc w:val="both"/>
        <w:rPr>
          <w:rFonts w:ascii="Verdana" w:hAnsi="Verdana" w:cs="Arial"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03720E48" wp14:editId="6A447AB3">
            <wp:extent cx="5400040" cy="2816860"/>
            <wp:effectExtent l="0" t="0" r="10160" b="2540"/>
            <wp:docPr id="6" name="Gráfico 6">
              <a:extLst xmlns:a="http://schemas.openxmlformats.org/drawingml/2006/main">
                <a:ext uri="{FF2B5EF4-FFF2-40B4-BE49-F238E27FC236}">
                  <a16:creationId xmlns:a16="http://schemas.microsoft.com/office/drawing/2014/main" id="{D8493AEF-47A1-4EC8-A887-014021F7967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EE5CB4" w:rsidRPr="00105187">
        <w:rPr>
          <w:rFonts w:ascii="Verdana" w:hAnsi="Verdana" w:cs="Arial"/>
          <w:i/>
          <w:iCs/>
          <w:color w:val="000000" w:themeColor="text1"/>
        </w:rPr>
        <w:t>Grafica 2</w:t>
      </w:r>
      <w:r w:rsidR="00CC295C"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552407" w:rsidRPr="00105187">
        <w:rPr>
          <w:rFonts w:ascii="Verdana" w:hAnsi="Verdana" w:cs="Arial"/>
          <w:i/>
          <w:iCs/>
          <w:color w:val="000000" w:themeColor="text1"/>
        </w:rPr>
        <w:t>Desembolso por Departamento</w:t>
      </w:r>
    </w:p>
    <w:p w14:paraId="421A1238" w14:textId="76C59BC3" w:rsidR="001D3CC4" w:rsidRPr="00105187" w:rsidRDefault="001D3CC4" w:rsidP="0043757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>El Valle concentra el mayor monto de desembolsos con $4.200</w:t>
      </w:r>
      <w:r w:rsidR="00B51518">
        <w:rPr>
          <w:rFonts w:ascii="Verdana" w:hAnsi="Verdana" w:cs="Arial"/>
          <w:color w:val="000000" w:themeColor="text1"/>
        </w:rPr>
        <w:t xml:space="preserve"> millones</w:t>
      </w:r>
      <w:r w:rsidRPr="00105187">
        <w:rPr>
          <w:rFonts w:ascii="Verdana" w:hAnsi="Verdana" w:cs="Arial"/>
          <w:color w:val="000000" w:themeColor="text1"/>
        </w:rPr>
        <w:t xml:space="preserve"> superando ampliamente a los demás departamentos. En un segundo nivel se ubican Santander $1.66</w:t>
      </w:r>
      <w:r w:rsidR="000930BD">
        <w:rPr>
          <w:rFonts w:ascii="Verdana" w:hAnsi="Verdana" w:cs="Arial"/>
          <w:color w:val="000000" w:themeColor="text1"/>
        </w:rPr>
        <w:t>5</w:t>
      </w:r>
      <w:r w:rsidR="007C726E">
        <w:rPr>
          <w:rFonts w:ascii="Verdana" w:hAnsi="Verdana" w:cs="Arial"/>
          <w:color w:val="000000" w:themeColor="text1"/>
        </w:rPr>
        <w:t xml:space="preserve"> millones</w:t>
      </w:r>
      <w:r w:rsidRPr="00105187">
        <w:rPr>
          <w:rFonts w:ascii="Verdana" w:hAnsi="Verdana" w:cs="Arial"/>
          <w:color w:val="000000" w:themeColor="text1"/>
        </w:rPr>
        <w:t xml:space="preserve"> y Antioquia $1.642</w:t>
      </w:r>
      <w:r w:rsidR="007C726E">
        <w:rPr>
          <w:rFonts w:ascii="Verdana" w:hAnsi="Verdana" w:cs="Arial"/>
          <w:color w:val="000000" w:themeColor="text1"/>
        </w:rPr>
        <w:t xml:space="preserve"> millones</w:t>
      </w:r>
      <w:r w:rsidRPr="00105187">
        <w:rPr>
          <w:rFonts w:ascii="Verdana" w:hAnsi="Verdana" w:cs="Arial"/>
          <w:color w:val="000000" w:themeColor="text1"/>
        </w:rPr>
        <w:t>, seguidos por Cauca, Cundinamarca y Caldas con valores entre $1.200</w:t>
      </w:r>
      <w:r w:rsidR="007C726E">
        <w:rPr>
          <w:rFonts w:ascii="Verdana" w:hAnsi="Verdana" w:cs="Arial"/>
          <w:color w:val="000000" w:themeColor="text1"/>
        </w:rPr>
        <w:t xml:space="preserve"> millones</w:t>
      </w:r>
      <w:r w:rsidRPr="00105187">
        <w:rPr>
          <w:rFonts w:ascii="Verdana" w:hAnsi="Verdana" w:cs="Arial"/>
          <w:color w:val="000000" w:themeColor="text1"/>
        </w:rPr>
        <w:t xml:space="preserve"> y $1.300</w:t>
      </w:r>
      <w:r w:rsidR="007C726E">
        <w:rPr>
          <w:rFonts w:ascii="Verdana" w:hAnsi="Verdana" w:cs="Arial"/>
          <w:color w:val="000000" w:themeColor="text1"/>
        </w:rPr>
        <w:t xml:space="preserve"> millones</w:t>
      </w:r>
      <w:r w:rsidRPr="00105187">
        <w:rPr>
          <w:rFonts w:ascii="Verdana" w:hAnsi="Verdana" w:cs="Arial"/>
          <w:color w:val="000000" w:themeColor="text1"/>
        </w:rPr>
        <w:t>. Por su parte, Risaralda, Bogotá D.C., Nariño y Bolívar presentan montos cercanos a $900–$1.050</w:t>
      </w:r>
      <w:r w:rsidR="007C726E">
        <w:rPr>
          <w:rFonts w:ascii="Verdana" w:hAnsi="Verdana" w:cs="Arial"/>
          <w:color w:val="000000" w:themeColor="text1"/>
        </w:rPr>
        <w:t xml:space="preserve"> millones</w:t>
      </w:r>
    </w:p>
    <w:p w14:paraId="6CF6DAAF" w14:textId="7D39C94E" w:rsidR="00CC295C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bookmarkStart w:id="3" w:name="_Hlk223092347"/>
      <w:r w:rsidRPr="00105187">
        <w:rPr>
          <w:rFonts w:ascii="Verdana" w:hAnsi="Verdana" w:cs="Arial"/>
          <w:b/>
          <w:bCs/>
          <w:color w:val="000000" w:themeColor="text1"/>
        </w:rPr>
        <w:t>DISTRIBUCIÓN POR MUNICIPIOS</w:t>
      </w:r>
    </w:p>
    <w:bookmarkEnd w:id="3"/>
    <w:p w14:paraId="044F5388" w14:textId="723B8353" w:rsidR="00BC2CA5" w:rsidRPr="00105187" w:rsidRDefault="008819A1" w:rsidP="00BC2CA5">
      <w:pPr>
        <w:jc w:val="center"/>
        <w:rPr>
          <w:rFonts w:ascii="Verdana" w:hAnsi="Verdana" w:cs="Arial"/>
          <w:color w:val="000000" w:themeColor="text1"/>
        </w:rPr>
      </w:pPr>
      <w:r>
        <w:rPr>
          <w:noProof/>
        </w:rPr>
        <w:drawing>
          <wp:inline distT="0" distB="0" distL="0" distR="0" wp14:anchorId="702A0494" wp14:editId="56ED4CF4">
            <wp:extent cx="4572000" cy="3337560"/>
            <wp:effectExtent l="0" t="0" r="0" b="15240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EAD4E68E-E39E-4248-9519-37AC046E518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E23F80E" w14:textId="091E3255" w:rsidR="00CC295C" w:rsidRPr="00105187" w:rsidRDefault="00CC295C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bookmarkStart w:id="4" w:name="_Hlk223092756"/>
      <w:r w:rsidRPr="00105187">
        <w:rPr>
          <w:rFonts w:ascii="Verdana" w:hAnsi="Verdana" w:cs="Arial"/>
          <w:i/>
          <w:iCs/>
          <w:color w:val="000000" w:themeColor="text1"/>
        </w:rPr>
        <w:lastRenderedPageBreak/>
        <w:t xml:space="preserve">Grafica </w:t>
      </w:r>
      <w:r w:rsidR="00EE5CB4" w:rsidRPr="00105187">
        <w:rPr>
          <w:rFonts w:ascii="Verdana" w:hAnsi="Verdana" w:cs="Arial"/>
          <w:i/>
          <w:iCs/>
          <w:color w:val="000000" w:themeColor="text1"/>
        </w:rPr>
        <w:t>3</w:t>
      </w:r>
      <w:r w:rsidRPr="00105187">
        <w:rPr>
          <w:rFonts w:ascii="Verdana" w:hAnsi="Verdana" w:cs="Arial"/>
          <w:i/>
          <w:iCs/>
          <w:color w:val="000000" w:themeColor="text1"/>
        </w:rPr>
        <w:t>: D</w:t>
      </w:r>
      <w:r w:rsidR="00073676" w:rsidRPr="00105187">
        <w:rPr>
          <w:rFonts w:ascii="Verdana" w:hAnsi="Verdana" w:cs="Arial"/>
          <w:i/>
          <w:iCs/>
          <w:color w:val="000000" w:themeColor="text1"/>
        </w:rPr>
        <w:t>esembolso por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 Municipios</w:t>
      </w:r>
    </w:p>
    <w:bookmarkEnd w:id="4"/>
    <w:p w14:paraId="5BF16776" w14:textId="16B07522" w:rsidR="00EE5CB4" w:rsidRDefault="00EE5CB4" w:rsidP="00EE5CB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 xml:space="preserve">A nivel municipal, </w:t>
      </w:r>
      <w:r w:rsidR="00EE35A1" w:rsidRPr="00105187">
        <w:rPr>
          <w:rFonts w:ascii="Verdana" w:hAnsi="Verdana" w:cs="Arial"/>
          <w:color w:val="000000" w:themeColor="text1"/>
        </w:rPr>
        <w:t xml:space="preserve">El municipio de Cali </w:t>
      </w:r>
      <w:r w:rsidR="005D2E03">
        <w:rPr>
          <w:rFonts w:ascii="Verdana" w:hAnsi="Verdana" w:cs="Arial"/>
          <w:color w:val="000000" w:themeColor="text1"/>
        </w:rPr>
        <w:t>registra</w:t>
      </w:r>
      <w:r w:rsidR="00EE35A1" w:rsidRPr="00105187">
        <w:rPr>
          <w:rFonts w:ascii="Verdana" w:hAnsi="Verdana" w:cs="Arial"/>
          <w:color w:val="000000" w:themeColor="text1"/>
        </w:rPr>
        <w:t xml:space="preserve"> el mayor monto de desembolsos, con aproximadamente $2.</w:t>
      </w:r>
      <w:r w:rsidR="00AE3AC2">
        <w:rPr>
          <w:rFonts w:ascii="Verdana" w:hAnsi="Verdana" w:cs="Arial"/>
          <w:color w:val="000000" w:themeColor="text1"/>
        </w:rPr>
        <w:t>357</w:t>
      </w:r>
      <w:r w:rsidR="00EE35A1" w:rsidRPr="00105187">
        <w:rPr>
          <w:rFonts w:ascii="Verdana" w:hAnsi="Verdana" w:cs="Arial"/>
          <w:color w:val="000000" w:themeColor="text1"/>
        </w:rPr>
        <w:t xml:space="preserve"> millones, superand</w:t>
      </w:r>
      <w:r w:rsidR="00263A95">
        <w:rPr>
          <w:rFonts w:ascii="Verdana" w:hAnsi="Verdana" w:cs="Arial"/>
          <w:color w:val="000000" w:themeColor="text1"/>
        </w:rPr>
        <w:t>o</w:t>
      </w:r>
      <w:r w:rsidR="00EE35A1" w:rsidRPr="00105187">
        <w:rPr>
          <w:rFonts w:ascii="Verdana" w:hAnsi="Verdana" w:cs="Arial"/>
          <w:color w:val="000000" w:themeColor="text1"/>
        </w:rPr>
        <w:t xml:space="preserve"> a los demás municipios. En segundo lugar, se ubica Bogotá con cerca de $</w:t>
      </w:r>
      <w:r w:rsidR="00AE3AC2">
        <w:rPr>
          <w:rFonts w:ascii="Verdana" w:hAnsi="Verdana" w:cs="Arial"/>
          <w:color w:val="000000" w:themeColor="text1"/>
        </w:rPr>
        <w:t>999</w:t>
      </w:r>
      <w:r w:rsidR="00EE35A1" w:rsidRPr="00105187">
        <w:rPr>
          <w:rFonts w:ascii="Verdana" w:hAnsi="Verdana" w:cs="Arial"/>
          <w:color w:val="000000" w:themeColor="text1"/>
        </w:rPr>
        <w:t xml:space="preserve"> </w:t>
      </w:r>
      <w:r w:rsidR="00562C8C" w:rsidRPr="00105187">
        <w:rPr>
          <w:rFonts w:ascii="Verdana" w:hAnsi="Verdana" w:cs="Arial"/>
          <w:color w:val="000000" w:themeColor="text1"/>
        </w:rPr>
        <w:t xml:space="preserve">millones, </w:t>
      </w:r>
      <w:r w:rsidR="00562C8C">
        <w:rPr>
          <w:rFonts w:ascii="Verdana" w:hAnsi="Verdana" w:cs="Arial"/>
          <w:color w:val="000000" w:themeColor="text1"/>
        </w:rPr>
        <w:t>Cartagena con $ 671 millones, seguido por Pereira</w:t>
      </w:r>
      <w:r w:rsidR="00EE35A1" w:rsidRPr="00105187">
        <w:rPr>
          <w:rFonts w:ascii="Verdana" w:hAnsi="Verdana" w:cs="Arial"/>
          <w:color w:val="000000" w:themeColor="text1"/>
        </w:rPr>
        <w:t>,</w:t>
      </w:r>
      <w:r w:rsidR="00562C8C">
        <w:rPr>
          <w:rFonts w:ascii="Verdana" w:hAnsi="Verdana" w:cs="Arial"/>
          <w:color w:val="000000" w:themeColor="text1"/>
        </w:rPr>
        <w:t xml:space="preserve"> Bucaramanga, Itagüí,</w:t>
      </w:r>
      <w:r w:rsidR="00EE35A1" w:rsidRPr="00105187">
        <w:rPr>
          <w:rFonts w:ascii="Verdana" w:hAnsi="Verdana" w:cs="Arial"/>
          <w:color w:val="000000" w:themeColor="text1"/>
        </w:rPr>
        <w:t xml:space="preserve"> Manizales</w:t>
      </w:r>
      <w:r w:rsidR="00562C8C">
        <w:rPr>
          <w:rFonts w:ascii="Verdana" w:hAnsi="Verdana" w:cs="Arial"/>
          <w:color w:val="000000" w:themeColor="text1"/>
        </w:rPr>
        <w:t xml:space="preserve"> y Sincelejo </w:t>
      </w:r>
      <w:r w:rsidR="00EE35A1" w:rsidRPr="00105187">
        <w:rPr>
          <w:rFonts w:ascii="Verdana" w:hAnsi="Verdana" w:cs="Arial"/>
          <w:color w:val="000000" w:themeColor="text1"/>
        </w:rPr>
        <w:t xml:space="preserve">con valores intermedios entre $400 y $800 millones. Por su parte, Popayán, </w:t>
      </w:r>
      <w:r w:rsidR="00562C8C">
        <w:rPr>
          <w:rFonts w:ascii="Verdana" w:hAnsi="Verdana" w:cs="Arial"/>
          <w:color w:val="000000" w:themeColor="text1"/>
        </w:rPr>
        <w:t>Medellín, Palmira, Riosucio y</w:t>
      </w:r>
      <w:r w:rsidR="00EE35A1" w:rsidRPr="00105187">
        <w:rPr>
          <w:rFonts w:ascii="Verdana" w:hAnsi="Verdana" w:cs="Arial"/>
          <w:color w:val="000000" w:themeColor="text1"/>
        </w:rPr>
        <w:t xml:space="preserve"> Barrancabermeja presentan los menores montos, todos por debajo de $500 millones</w:t>
      </w:r>
      <w:r w:rsidR="00AE3AC2">
        <w:rPr>
          <w:rFonts w:ascii="Verdana" w:hAnsi="Verdana" w:cs="Arial"/>
          <w:color w:val="000000" w:themeColor="text1"/>
        </w:rPr>
        <w:t>.</w:t>
      </w:r>
      <w:r w:rsidR="00603F13" w:rsidRPr="00105187">
        <w:rPr>
          <w:rFonts w:ascii="Verdana" w:hAnsi="Verdana" w:cs="Arial"/>
          <w:color w:val="000000" w:themeColor="text1"/>
        </w:rPr>
        <w:t xml:space="preserve"> </w:t>
      </w:r>
    </w:p>
    <w:p w14:paraId="54E07A4C" w14:textId="19932917" w:rsidR="00CC295C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SECTOR</w:t>
      </w:r>
      <w:r w:rsidR="00C62DBD">
        <w:rPr>
          <w:rFonts w:ascii="Verdana" w:hAnsi="Verdana" w:cs="Arial"/>
          <w:b/>
          <w:bCs/>
          <w:color w:val="000000" w:themeColor="text1"/>
        </w:rPr>
        <w:t xml:space="preserve"> ECONÓMICO – CLASIFICACIÓN CIIU</w:t>
      </w:r>
    </w:p>
    <w:p w14:paraId="7425F416" w14:textId="4572C525" w:rsidR="00CC295C" w:rsidRPr="00105187" w:rsidRDefault="00D627E7" w:rsidP="00437574">
      <w:pPr>
        <w:jc w:val="both"/>
        <w:rPr>
          <w:rFonts w:ascii="Verdana" w:hAnsi="Verdana" w:cs="Arial"/>
          <w:color w:val="000000" w:themeColor="text1"/>
        </w:rPr>
      </w:pPr>
      <w:r>
        <w:rPr>
          <w:noProof/>
        </w:rPr>
        <w:drawing>
          <wp:inline distT="0" distB="0" distL="0" distR="0" wp14:anchorId="5F01E352" wp14:editId="780DF5F4">
            <wp:extent cx="5786120" cy="3706585"/>
            <wp:effectExtent l="0" t="0" r="5080" b="8255"/>
            <wp:docPr id="8" name="Gráfico 8">
              <a:extLst xmlns:a="http://schemas.openxmlformats.org/drawingml/2006/main">
                <a:ext uri="{FF2B5EF4-FFF2-40B4-BE49-F238E27FC236}">
                  <a16:creationId xmlns:a16="http://schemas.microsoft.com/office/drawing/2014/main" id="{078A4F74-7A2C-4FF7-B202-3A457E1A78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7F42B22" w14:textId="4B545D6F" w:rsidR="00CC295C" w:rsidRPr="00105187" w:rsidRDefault="00CC295C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3: </w:t>
      </w:r>
      <w:r w:rsidR="00D627E7">
        <w:rPr>
          <w:rFonts w:ascii="Verdana" w:hAnsi="Verdana" w:cs="Arial"/>
          <w:i/>
          <w:iCs/>
          <w:color w:val="000000" w:themeColor="text1"/>
        </w:rPr>
        <w:t>Actividad Económica</w:t>
      </w:r>
    </w:p>
    <w:p w14:paraId="065458D3" w14:textId="4AA194EB" w:rsidR="005E7162" w:rsidRDefault="005E7162" w:rsidP="0043757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 xml:space="preserve">La mayor cantidad de beneficiarios se concentra en la actividad de </w:t>
      </w:r>
      <w:r w:rsidR="00FA3B89" w:rsidRPr="00105187">
        <w:rPr>
          <w:rFonts w:ascii="Verdana" w:hAnsi="Verdana" w:cs="Arial"/>
          <w:color w:val="000000" w:themeColor="text1"/>
        </w:rPr>
        <w:t>Comercio al por menor de bebidas y productos del tabaco, en establecimientos especializados</w:t>
      </w:r>
      <w:r w:rsidRPr="00105187">
        <w:rPr>
          <w:rFonts w:ascii="Verdana" w:hAnsi="Verdana" w:cs="Arial"/>
          <w:color w:val="000000" w:themeColor="text1"/>
        </w:rPr>
        <w:t xml:space="preserve">, con 671 beneficiarios, evidenciando una alta participación de este sector. Le siguen el comercio al por menor de productos agrícolas y el comercio de carnes, ambos con 341 beneficiarios, así como la confección de prendas de vestir con 263. Finalmente, el comercio al por menor de leche, productos lácteos y huevos presenta la menor participación con 160 beneficiarios. </w:t>
      </w:r>
    </w:p>
    <w:p w14:paraId="07B813FF" w14:textId="61188FDF" w:rsidR="00CC295C" w:rsidRPr="00105187" w:rsidRDefault="00CC295C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DESTINO DE LOS RECURSOS</w:t>
      </w:r>
    </w:p>
    <w:p w14:paraId="17D5986E" w14:textId="7207F8B8" w:rsidR="0032051A" w:rsidRDefault="00105187" w:rsidP="0043757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>El 100% de las operaciones está destinado a capital de trabajo, contribuyendo al fortalecimiento de la liquidez y a la sostenibilidad financiera de las empresas beneficiarias.</w:t>
      </w:r>
    </w:p>
    <w:p w14:paraId="4C10E380" w14:textId="1519A463" w:rsidR="00AB709B" w:rsidRDefault="007714E2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13C421DE" wp14:editId="1FE28778">
            <wp:simplePos x="0" y="0"/>
            <wp:positionH relativeFrom="column">
              <wp:posOffset>466725</wp:posOffset>
            </wp:positionH>
            <wp:positionV relativeFrom="paragraph">
              <wp:posOffset>0</wp:posOffset>
            </wp:positionV>
            <wp:extent cx="4206240" cy="1805940"/>
            <wp:effectExtent l="0" t="0" r="3810" b="3810"/>
            <wp:wrapTight wrapText="bothSides">
              <wp:wrapPolygon edited="0">
                <wp:start x="0" y="0"/>
                <wp:lineTo x="0" y="21418"/>
                <wp:lineTo x="21522" y="21418"/>
                <wp:lineTo x="21522" y="0"/>
                <wp:lineTo x="0" y="0"/>
              </wp:wrapPolygon>
            </wp:wrapTight>
            <wp:docPr id="14" name="Gráfico 14">
              <a:extLst xmlns:a="http://schemas.openxmlformats.org/drawingml/2006/main">
                <a:ext uri="{FF2B5EF4-FFF2-40B4-BE49-F238E27FC236}">
                  <a16:creationId xmlns:a16="http://schemas.microsoft.com/office/drawing/2014/main" id="{B4280A57-8D51-4B0C-A1D7-89951E58F9F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C6724" w14:textId="6A9D7F35" w:rsidR="007714E2" w:rsidRDefault="007714E2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</w:p>
    <w:p w14:paraId="3725F7C2" w14:textId="469EAFB5" w:rsidR="007714E2" w:rsidRDefault="007714E2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</w:p>
    <w:p w14:paraId="50C7919D" w14:textId="132A0C3B" w:rsidR="007714E2" w:rsidRDefault="007714E2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</w:p>
    <w:p w14:paraId="4F23DEE4" w14:textId="2E2AB828" w:rsidR="007714E2" w:rsidRDefault="007714E2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</w:p>
    <w:p w14:paraId="37E79C84" w14:textId="4B6C4074" w:rsidR="007714E2" w:rsidRDefault="007714E2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</w:p>
    <w:p w14:paraId="12F18D71" w14:textId="57CBDFB9" w:rsidR="007714E2" w:rsidRDefault="007714E2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</w:p>
    <w:p w14:paraId="43529479" w14:textId="2D6DF7BF" w:rsidR="007714E2" w:rsidRPr="007714E2" w:rsidRDefault="007714E2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>
        <w:rPr>
          <w:rFonts w:ascii="Verdana" w:hAnsi="Verdana" w:cs="Arial"/>
          <w:i/>
          <w:iCs/>
          <w:color w:val="000000" w:themeColor="text1"/>
        </w:rPr>
        <w:t>4: Destino de los Recursos</w:t>
      </w:r>
    </w:p>
    <w:p w14:paraId="1D751922" w14:textId="5073D558" w:rsidR="0032051A" w:rsidRPr="00105187" w:rsidRDefault="006A49C3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 xml:space="preserve">TAMAÑO EMPRESAS BENEFICIADAS: </w:t>
      </w:r>
    </w:p>
    <w:p w14:paraId="3CE8DA68" w14:textId="721DA8D8" w:rsidR="000873B2" w:rsidRPr="00105187" w:rsidRDefault="00105187" w:rsidP="00437574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/>
          <w:noProof/>
          <w:color w:val="000000" w:themeColor="text1"/>
        </w:rPr>
        <w:drawing>
          <wp:anchor distT="0" distB="0" distL="114300" distR="114300" simplePos="0" relativeHeight="251665408" behindDoc="1" locked="0" layoutInCell="1" allowOverlap="1" wp14:anchorId="3667BBAA" wp14:editId="09A7AD3C">
            <wp:simplePos x="0" y="0"/>
            <wp:positionH relativeFrom="column">
              <wp:posOffset>459105</wp:posOffset>
            </wp:positionH>
            <wp:positionV relativeFrom="paragraph">
              <wp:posOffset>8255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18" name="Gráfico 18">
              <a:extLst xmlns:a="http://schemas.openxmlformats.org/drawingml/2006/main">
                <a:ext uri="{FF2B5EF4-FFF2-40B4-BE49-F238E27FC236}">
                  <a16:creationId xmlns:a16="http://schemas.microsoft.com/office/drawing/2014/main" id="{8EBC9DA3-C5B6-4AD5-BFE4-A3739F9A95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14:paraId="11D60E72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466BC303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40EE3B77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66B0345A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63FED438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6B472EDB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5E6F5B09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4DB08397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4982DF2E" w14:textId="77777777" w:rsidR="00B34172" w:rsidRPr="00105187" w:rsidRDefault="00B34172" w:rsidP="00437574">
      <w:pPr>
        <w:jc w:val="both"/>
        <w:rPr>
          <w:rFonts w:ascii="Verdana" w:hAnsi="Verdana" w:cs="Arial"/>
          <w:color w:val="000000" w:themeColor="text1"/>
        </w:rPr>
      </w:pPr>
    </w:p>
    <w:p w14:paraId="16451724" w14:textId="4455AC2D" w:rsidR="00B34172" w:rsidRDefault="00B34172" w:rsidP="00437574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7714E2">
        <w:rPr>
          <w:rFonts w:ascii="Verdana" w:hAnsi="Verdana" w:cs="Arial"/>
          <w:i/>
          <w:iCs/>
          <w:color w:val="000000" w:themeColor="text1"/>
        </w:rPr>
        <w:t>5</w:t>
      </w:r>
      <w:r w:rsidRPr="00105187">
        <w:rPr>
          <w:rFonts w:ascii="Verdana" w:hAnsi="Verdana" w:cs="Arial"/>
          <w:i/>
          <w:iCs/>
          <w:color w:val="000000" w:themeColor="text1"/>
        </w:rPr>
        <w:t>: Porcentaje de Empresas Beneficiadas</w:t>
      </w:r>
    </w:p>
    <w:p w14:paraId="1C0954D2" w14:textId="7772A509" w:rsidR="00C85E06" w:rsidRPr="00105187" w:rsidRDefault="00C85E06" w:rsidP="00C85E06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/>
          <w:color w:val="000000" w:themeColor="text1"/>
        </w:rPr>
        <w:t>La mayor proporción de empresas beneficiadas corresponde a las microempresas, que representan aproximadamente el 7</w:t>
      </w:r>
      <w:r w:rsidR="00C67B03">
        <w:rPr>
          <w:rFonts w:ascii="Verdana" w:hAnsi="Verdana"/>
          <w:color w:val="000000" w:themeColor="text1"/>
        </w:rPr>
        <w:t>4,9</w:t>
      </w:r>
      <w:r w:rsidRPr="00105187">
        <w:rPr>
          <w:rFonts w:ascii="Verdana" w:hAnsi="Verdana"/>
          <w:color w:val="000000" w:themeColor="text1"/>
        </w:rPr>
        <w:t xml:space="preserve">% del total, evidenciando que los recursos están principalmente orientados a unidades productivas de menor tamaño. En segundo </w:t>
      </w:r>
      <w:r w:rsidR="00453444" w:rsidRPr="00105187">
        <w:rPr>
          <w:rFonts w:ascii="Verdana" w:hAnsi="Verdana"/>
          <w:color w:val="000000" w:themeColor="text1"/>
        </w:rPr>
        <w:t>lugar,</w:t>
      </w:r>
      <w:r w:rsidRPr="00105187">
        <w:rPr>
          <w:rFonts w:ascii="Verdana" w:hAnsi="Verdana"/>
          <w:color w:val="000000" w:themeColor="text1"/>
        </w:rPr>
        <w:t xml:space="preserve"> se encuentran las pequeñas empresas, con cerca del 22</w:t>
      </w:r>
      <w:r w:rsidR="00C67B03">
        <w:rPr>
          <w:rFonts w:ascii="Verdana" w:hAnsi="Verdana"/>
          <w:color w:val="000000" w:themeColor="text1"/>
        </w:rPr>
        <w:t>,5</w:t>
      </w:r>
      <w:r w:rsidRPr="00105187">
        <w:rPr>
          <w:rFonts w:ascii="Verdana" w:hAnsi="Verdana"/>
          <w:color w:val="000000" w:themeColor="text1"/>
        </w:rPr>
        <w:t xml:space="preserve">%, mientras que la participación de las medianas empresas es mínima, alrededor del </w:t>
      </w:r>
      <w:r w:rsidR="00C67B03">
        <w:rPr>
          <w:rFonts w:ascii="Verdana" w:hAnsi="Verdana"/>
          <w:color w:val="000000" w:themeColor="text1"/>
        </w:rPr>
        <w:t>1,9</w:t>
      </w:r>
      <w:r w:rsidRPr="00105187">
        <w:rPr>
          <w:rFonts w:ascii="Verdana" w:hAnsi="Verdana"/>
          <w:color w:val="000000" w:themeColor="text1"/>
        </w:rPr>
        <w:t>%. Esto refleja una clara focalización de los desembolsos en el fortalecimiento de micro y pequeñas empresas, que constituyen la base del tejido empresarial.</w:t>
      </w:r>
      <w:r w:rsidRPr="00105187">
        <w:rPr>
          <w:rFonts w:ascii="Verdana" w:hAnsi="Verdana"/>
          <w:noProof/>
          <w:color w:val="000000" w:themeColor="text1"/>
        </w:rPr>
        <w:t xml:space="preserve"> </w:t>
      </w:r>
    </w:p>
    <w:p w14:paraId="64C9DF8D" w14:textId="014D3204" w:rsidR="00C85E06" w:rsidRDefault="00453444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4A5293C" wp14:editId="652351BA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5148580" cy="2895600"/>
            <wp:effectExtent l="0" t="0" r="13970" b="0"/>
            <wp:wrapSquare wrapText="bothSides"/>
            <wp:docPr id="3" name="Gráfico 3">
              <a:extLst xmlns:a="http://schemas.openxmlformats.org/drawingml/2006/main">
                <a:ext uri="{FF2B5EF4-FFF2-40B4-BE49-F238E27FC236}">
                  <a16:creationId xmlns:a16="http://schemas.microsoft.com/office/drawing/2014/main" id="{27B68B9E-FA69-40FD-BE39-E6AB7AE86AB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295C" w:rsidRPr="00105187">
        <w:rPr>
          <w:rFonts w:ascii="Verdana" w:hAnsi="Verdana" w:cs="Arial"/>
          <w:b/>
          <w:bCs/>
          <w:color w:val="000000" w:themeColor="text1"/>
        </w:rPr>
        <w:t>ANÁLISIS DE LA TASA DE INTERÉS AL BENEFICIARIO FINAL</w:t>
      </w:r>
    </w:p>
    <w:p w14:paraId="1B242771" w14:textId="74DA99DA" w:rsidR="00C85E06" w:rsidRPr="00105187" w:rsidRDefault="00C85E06" w:rsidP="00437574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>
        <w:rPr>
          <w:rFonts w:ascii="Verdana" w:hAnsi="Verdana" w:cs="Arial"/>
          <w:i/>
          <w:iCs/>
          <w:color w:val="000000" w:themeColor="text1"/>
        </w:rPr>
        <w:t>5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>
        <w:rPr>
          <w:rFonts w:ascii="Verdana" w:hAnsi="Verdana" w:cs="Arial"/>
          <w:i/>
          <w:iCs/>
          <w:color w:val="000000" w:themeColor="text1"/>
        </w:rPr>
        <w:t xml:space="preserve">Tasa Beneficiario </w:t>
      </w:r>
    </w:p>
    <w:p w14:paraId="628A7914" w14:textId="61A42BBD" w:rsidR="008E6B9E" w:rsidRDefault="00BF1446" w:rsidP="00437574">
      <w:pPr>
        <w:jc w:val="both"/>
      </w:pPr>
      <w:r w:rsidRPr="00872546">
        <w:rPr>
          <w:rFonts w:ascii="Verdana" w:hAnsi="Verdana" w:cs="Arial"/>
          <w:noProof/>
          <w:color w:val="000000" w:themeColor="text1"/>
        </w:rPr>
        <w:drawing>
          <wp:anchor distT="0" distB="0" distL="114300" distR="114300" simplePos="0" relativeHeight="251669504" behindDoc="1" locked="0" layoutInCell="1" allowOverlap="1" wp14:anchorId="495408A9" wp14:editId="722ECABF">
            <wp:simplePos x="0" y="0"/>
            <wp:positionH relativeFrom="margin">
              <wp:align>center</wp:align>
            </wp:positionH>
            <wp:positionV relativeFrom="paragraph">
              <wp:posOffset>1226185</wp:posOffset>
            </wp:positionV>
            <wp:extent cx="49149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6" y="21450"/>
                <wp:lineTo x="21516" y="0"/>
                <wp:lineTo x="0" y="0"/>
              </wp:wrapPolygon>
            </wp:wrapTight>
            <wp:docPr id="5" name="Gráfico 5">
              <a:extLst xmlns:a="http://schemas.openxmlformats.org/drawingml/2006/main">
                <a:ext uri="{FF2B5EF4-FFF2-40B4-BE49-F238E27FC236}">
                  <a16:creationId xmlns:a16="http://schemas.microsoft.com/office/drawing/2014/main" id="{71910195-7C12-433A-932B-6603398B9AB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  <w:r w:rsidR="00F80FC1">
        <w:rPr>
          <w:rFonts w:ascii="Verdana" w:hAnsi="Verdana" w:cs="Arial"/>
          <w:color w:val="000000" w:themeColor="text1"/>
        </w:rPr>
        <w:t xml:space="preserve">Se evidencia que la mayor concentración se encuentra en el rango mayor 50%, con </w:t>
      </w:r>
      <w:r w:rsidR="00872546">
        <w:rPr>
          <w:rFonts w:ascii="Verdana" w:hAnsi="Verdana" w:cs="Arial"/>
          <w:color w:val="000000" w:themeColor="text1"/>
        </w:rPr>
        <w:t>1.811</w:t>
      </w:r>
      <w:r w:rsidR="00F80FC1">
        <w:rPr>
          <w:rFonts w:ascii="Verdana" w:hAnsi="Verdana" w:cs="Arial"/>
          <w:color w:val="000000" w:themeColor="text1"/>
        </w:rPr>
        <w:t>,</w:t>
      </w:r>
      <w:r w:rsidR="00F80FC1" w:rsidRPr="00F80FC1">
        <w:rPr>
          <w:rFonts w:ascii="Verdana" w:hAnsi="Verdana" w:cs="Arial"/>
        </w:rPr>
        <w:t xml:space="preserve"> </w:t>
      </w:r>
      <w:r w:rsidR="00F80FC1" w:rsidRPr="00F52957">
        <w:rPr>
          <w:rFonts w:ascii="Verdana" w:hAnsi="Verdana" w:cs="Arial"/>
        </w:rPr>
        <w:t>lo que evidencia que la mayoría de los créditos se otorgan a tasas altas</w:t>
      </w:r>
      <w:r w:rsidR="00F80FC1">
        <w:rPr>
          <w:rFonts w:ascii="Verdana" w:hAnsi="Verdana" w:cs="Arial"/>
        </w:rPr>
        <w:t xml:space="preserve">. </w:t>
      </w:r>
      <w:r w:rsidR="00872546" w:rsidRPr="00872546">
        <w:rPr>
          <w:rFonts w:ascii="Verdana" w:hAnsi="Verdana" w:cs="Arial"/>
          <w:color w:val="000000" w:themeColor="text1"/>
        </w:rPr>
        <w:t xml:space="preserve"> </w:t>
      </w:r>
      <w:r w:rsidR="00F80FC1">
        <w:rPr>
          <w:rFonts w:ascii="Verdana" w:hAnsi="Verdana" w:cs="Arial"/>
          <w:color w:val="000000" w:themeColor="text1"/>
        </w:rPr>
        <w:t>Así mismo</w:t>
      </w:r>
      <w:r w:rsidR="00872546" w:rsidRPr="00872546">
        <w:rPr>
          <w:rFonts w:ascii="Verdana" w:hAnsi="Verdana" w:cs="Arial"/>
          <w:color w:val="000000" w:themeColor="text1"/>
        </w:rPr>
        <w:t xml:space="preserve">, los rangos inferiores presentan una participación mucho menor: entre 20% y 30% se registran 174 operaciones, entre 40% y 50% un total de 118, entre 9% y 20% apenas 40, y el rango entre 30% y 40% muestra la menor participación con solo 28 operaciones. </w:t>
      </w:r>
      <w:r w:rsidR="00110A4C" w:rsidRPr="00872546">
        <w:rPr>
          <w:rFonts w:ascii="Verdana" w:hAnsi="Verdana" w:cs="Arial"/>
          <w:color w:val="000000" w:themeColor="text1"/>
        </w:rPr>
        <w:t xml:space="preserve"> </w:t>
      </w:r>
    </w:p>
    <w:p w14:paraId="4DDF94AE" w14:textId="57452B61" w:rsidR="00E04BF7" w:rsidRDefault="00E04BF7" w:rsidP="00E04BF7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>
        <w:rPr>
          <w:rFonts w:ascii="Verdana" w:hAnsi="Verdana" w:cs="Arial"/>
          <w:i/>
          <w:iCs/>
          <w:color w:val="000000" w:themeColor="text1"/>
        </w:rPr>
        <w:t>7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>
        <w:rPr>
          <w:rFonts w:ascii="Verdana" w:hAnsi="Verdana" w:cs="Arial"/>
          <w:i/>
          <w:iCs/>
          <w:color w:val="000000" w:themeColor="text1"/>
        </w:rPr>
        <w:t>Concentración de tasas mayor a 50% de interés.</w:t>
      </w:r>
    </w:p>
    <w:p w14:paraId="1557AFEE" w14:textId="2FFAFDDE" w:rsidR="00E04BF7" w:rsidRDefault="00C06180" w:rsidP="00E04BF7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Se identifico que de las 1.811 </w:t>
      </w:r>
      <w:r w:rsidR="00D85B33">
        <w:rPr>
          <w:rFonts w:ascii="Verdana" w:hAnsi="Verdana" w:cs="Arial"/>
        </w:rPr>
        <w:t xml:space="preserve">operaciones </w:t>
      </w:r>
      <w:r w:rsidR="00D85B33" w:rsidRPr="00C06180">
        <w:rPr>
          <w:rFonts w:ascii="Verdana" w:hAnsi="Verdana" w:cs="Arial"/>
        </w:rPr>
        <w:t>la</w:t>
      </w:r>
      <w:r w:rsidRPr="00C06180">
        <w:rPr>
          <w:rFonts w:ascii="Verdana" w:hAnsi="Verdana" w:cs="Arial"/>
        </w:rPr>
        <w:t xml:space="preserve"> concentración de las operaciones con tasas superiores al 50% se presenta principalmente en el BCO. W S.A. con 1.116 operaciones y en el BCO. Santander de Negocios Colombia S.A. con 552 operaciones, que en conjunto agrupan la mayor parte de este segmento.</w:t>
      </w:r>
    </w:p>
    <w:p w14:paraId="509C8C76" w14:textId="0D69450E" w:rsidR="00914C82" w:rsidRDefault="00D4258F" w:rsidP="00437574">
      <w:pPr>
        <w:jc w:val="both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5CC3DD9C" wp14:editId="31739BA7">
            <wp:simplePos x="0" y="0"/>
            <wp:positionH relativeFrom="margin">
              <wp:posOffset>-257175</wp:posOffset>
            </wp:positionH>
            <wp:positionV relativeFrom="paragraph">
              <wp:posOffset>301625</wp:posOffset>
            </wp:positionV>
            <wp:extent cx="5919470" cy="3222625"/>
            <wp:effectExtent l="0" t="0" r="5080" b="15875"/>
            <wp:wrapTight wrapText="bothSides">
              <wp:wrapPolygon edited="0">
                <wp:start x="0" y="0"/>
                <wp:lineTo x="0" y="21579"/>
                <wp:lineTo x="21549" y="21579"/>
                <wp:lineTo x="21549" y="0"/>
                <wp:lineTo x="0" y="0"/>
              </wp:wrapPolygon>
            </wp:wrapTight>
            <wp:docPr id="7" name="Gráfico 7">
              <a:extLst xmlns:a="http://schemas.openxmlformats.org/drawingml/2006/main">
                <a:ext uri="{FF2B5EF4-FFF2-40B4-BE49-F238E27FC236}">
                  <a16:creationId xmlns:a16="http://schemas.microsoft.com/office/drawing/2014/main" id="{B547C053-89F4-4414-B8A1-6E4EE6A613D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V relativeFrom="margin">
              <wp14:pctHeight>0</wp14:pctHeight>
            </wp14:sizeRelV>
          </wp:anchor>
        </w:drawing>
      </w:r>
      <w:r w:rsidR="00914C82" w:rsidRPr="00914C82">
        <w:rPr>
          <w:b/>
          <w:bCs/>
        </w:rPr>
        <w:t>DESEMBOLSO</w:t>
      </w:r>
      <w:r w:rsidR="00914C82">
        <w:rPr>
          <w:b/>
          <w:bCs/>
        </w:rPr>
        <w:t xml:space="preserve"> ACUMULADO</w:t>
      </w:r>
    </w:p>
    <w:p w14:paraId="31B4A800" w14:textId="2F6D79D2" w:rsidR="005D29F3" w:rsidRDefault="005D29F3" w:rsidP="00437574">
      <w:pPr>
        <w:jc w:val="both"/>
        <w:rPr>
          <w:b/>
          <w:bCs/>
        </w:rPr>
      </w:pPr>
    </w:p>
    <w:p w14:paraId="7994C7F0" w14:textId="27BCB631" w:rsidR="005D29F3" w:rsidRPr="005D29F3" w:rsidRDefault="005D29F3" w:rsidP="005D29F3">
      <w:pPr>
        <w:spacing w:before="100" w:beforeAutospacing="1" w:after="100" w:afterAutospacing="1" w:line="240" w:lineRule="auto"/>
        <w:jc w:val="both"/>
      </w:pPr>
      <w:r>
        <w:t>Se evidencia</w:t>
      </w:r>
      <w:r w:rsidRPr="005D29F3">
        <w:t xml:space="preserve"> tendencia creciente en el desembolso acumulado, que inicia con aproximadamente $10.000 millones el 18 de diciembre y presenta un incremento significativo hasta cerca de $15.000 millones el 22 de diciembre, evidenciando una fuerte ejecución en ese periodo. Posteriormente, el crecimiento continúa de manera gradual y sostenida durante finales de diciembre y enero, alcanzando alrededor de $18.000 millones a inicios de enero y superando los $20.000 millones hacia finales de enero. En general, se observa un comportamiento positivo y continuo en la colocación de recursos, con un crecimiento más acelerado al inicio y una estabilización progresiva en las semanas siguientes.</w:t>
      </w:r>
    </w:p>
    <w:p w14:paraId="124790D0" w14:textId="77777777" w:rsidR="005D29F3" w:rsidRPr="00914C82" w:rsidRDefault="005D29F3" w:rsidP="00437574">
      <w:pPr>
        <w:jc w:val="both"/>
        <w:rPr>
          <w:b/>
          <w:bCs/>
        </w:rPr>
      </w:pPr>
    </w:p>
    <w:p w14:paraId="4335129C" w14:textId="6F1C6E48" w:rsidR="00914C82" w:rsidRDefault="00914C82" w:rsidP="00437574">
      <w:pPr>
        <w:jc w:val="both"/>
      </w:pPr>
    </w:p>
    <w:p w14:paraId="30BFB4E5" w14:textId="77777777" w:rsidR="00914C82" w:rsidRDefault="00914C82" w:rsidP="00437574">
      <w:pPr>
        <w:jc w:val="both"/>
      </w:pPr>
    </w:p>
    <w:sectPr w:rsidR="00914C82" w:rsidSect="0019019D">
      <w:headerReference w:type="default" r:id="rId20"/>
      <w:pgSz w:w="11906" w:h="16838"/>
      <w:pgMar w:top="1417" w:right="1701" w:bottom="1417" w:left="1701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F211B" w14:textId="77777777" w:rsidR="005730BD" w:rsidRDefault="005730BD" w:rsidP="0019019D">
      <w:pPr>
        <w:spacing w:after="0" w:line="240" w:lineRule="auto"/>
      </w:pPr>
      <w:r>
        <w:separator/>
      </w:r>
    </w:p>
  </w:endnote>
  <w:endnote w:type="continuationSeparator" w:id="0">
    <w:p w14:paraId="3B792D49" w14:textId="77777777" w:rsidR="005730BD" w:rsidRDefault="005730BD" w:rsidP="00190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ED965" w14:textId="77777777" w:rsidR="005730BD" w:rsidRDefault="005730BD" w:rsidP="0019019D">
      <w:pPr>
        <w:spacing w:after="0" w:line="240" w:lineRule="auto"/>
      </w:pPr>
      <w:r>
        <w:separator/>
      </w:r>
    </w:p>
  </w:footnote>
  <w:footnote w:type="continuationSeparator" w:id="0">
    <w:p w14:paraId="79852A5D" w14:textId="77777777" w:rsidR="005730BD" w:rsidRDefault="005730BD" w:rsidP="00190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D543" w14:textId="7199B05B" w:rsidR="0019019D" w:rsidRDefault="0019019D" w:rsidP="0019019D">
    <w:pPr>
      <w:pStyle w:val="Encabezado"/>
      <w:jc w:val="center"/>
    </w:pPr>
    <w:r>
      <w:rPr>
        <w:noProof/>
      </w:rPr>
      <w:drawing>
        <wp:inline distT="0" distB="0" distL="0" distR="0" wp14:anchorId="300F8CBE" wp14:editId="1C54BD3D">
          <wp:extent cx="1028700" cy="619975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164" cy="626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15A"/>
    <w:multiLevelType w:val="hybridMultilevel"/>
    <w:tmpl w:val="619E4E9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D46E7"/>
    <w:multiLevelType w:val="hybridMultilevel"/>
    <w:tmpl w:val="A1D0138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F0F09"/>
    <w:multiLevelType w:val="hybridMultilevel"/>
    <w:tmpl w:val="BB18362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24214"/>
    <w:multiLevelType w:val="hybridMultilevel"/>
    <w:tmpl w:val="5EE0440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3187E"/>
    <w:multiLevelType w:val="hybridMultilevel"/>
    <w:tmpl w:val="9BBE69B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65A6C"/>
    <w:multiLevelType w:val="hybridMultilevel"/>
    <w:tmpl w:val="67F2328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E1110"/>
    <w:multiLevelType w:val="hybridMultilevel"/>
    <w:tmpl w:val="0BAAC4E4"/>
    <w:lvl w:ilvl="0" w:tplc="EC8A06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F3FAE"/>
    <w:multiLevelType w:val="hybridMultilevel"/>
    <w:tmpl w:val="BEF67DC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852AA"/>
    <w:multiLevelType w:val="hybridMultilevel"/>
    <w:tmpl w:val="DB7E20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41A7F"/>
    <w:multiLevelType w:val="hybridMultilevel"/>
    <w:tmpl w:val="CB0416EE"/>
    <w:lvl w:ilvl="0" w:tplc="C3BA41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F6F43"/>
    <w:multiLevelType w:val="hybridMultilevel"/>
    <w:tmpl w:val="200CE3E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730B"/>
    <w:multiLevelType w:val="hybridMultilevel"/>
    <w:tmpl w:val="83D047C4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1653A8"/>
    <w:multiLevelType w:val="hybridMultilevel"/>
    <w:tmpl w:val="485431CC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9CC3894"/>
    <w:multiLevelType w:val="multilevel"/>
    <w:tmpl w:val="8270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F36E8D"/>
    <w:multiLevelType w:val="hybridMultilevel"/>
    <w:tmpl w:val="DBC0F69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5F0732"/>
    <w:multiLevelType w:val="multilevel"/>
    <w:tmpl w:val="57EA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6F35A0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F257B3"/>
    <w:multiLevelType w:val="multilevel"/>
    <w:tmpl w:val="8AA0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5F4685"/>
    <w:multiLevelType w:val="hybridMultilevel"/>
    <w:tmpl w:val="35D82D8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DC5107"/>
    <w:multiLevelType w:val="hybridMultilevel"/>
    <w:tmpl w:val="1A300646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E1964"/>
    <w:multiLevelType w:val="hybridMultilevel"/>
    <w:tmpl w:val="AE5ED41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D0672A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2"/>
  </w:num>
  <w:num w:numId="4">
    <w:abstractNumId w:val="11"/>
  </w:num>
  <w:num w:numId="5">
    <w:abstractNumId w:val="20"/>
  </w:num>
  <w:num w:numId="6">
    <w:abstractNumId w:val="6"/>
  </w:num>
  <w:num w:numId="7">
    <w:abstractNumId w:val="16"/>
  </w:num>
  <w:num w:numId="8">
    <w:abstractNumId w:val="3"/>
  </w:num>
  <w:num w:numId="9">
    <w:abstractNumId w:val="21"/>
  </w:num>
  <w:num w:numId="10">
    <w:abstractNumId w:val="14"/>
  </w:num>
  <w:num w:numId="11">
    <w:abstractNumId w:val="5"/>
  </w:num>
  <w:num w:numId="12">
    <w:abstractNumId w:val="13"/>
  </w:num>
  <w:num w:numId="13">
    <w:abstractNumId w:val="15"/>
  </w:num>
  <w:num w:numId="14">
    <w:abstractNumId w:val="17"/>
  </w:num>
  <w:num w:numId="15">
    <w:abstractNumId w:val="7"/>
  </w:num>
  <w:num w:numId="16">
    <w:abstractNumId w:val="9"/>
  </w:num>
  <w:num w:numId="17">
    <w:abstractNumId w:val="4"/>
  </w:num>
  <w:num w:numId="18">
    <w:abstractNumId w:val="18"/>
  </w:num>
  <w:num w:numId="19">
    <w:abstractNumId w:val="8"/>
  </w:num>
  <w:num w:numId="20">
    <w:abstractNumId w:val="10"/>
  </w:num>
  <w:num w:numId="21">
    <w:abstractNumId w:val="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9D"/>
    <w:rsid w:val="00004C98"/>
    <w:rsid w:val="00007A11"/>
    <w:rsid w:val="000137C9"/>
    <w:rsid w:val="000234DE"/>
    <w:rsid w:val="000265E9"/>
    <w:rsid w:val="00037256"/>
    <w:rsid w:val="0004309F"/>
    <w:rsid w:val="00045C4C"/>
    <w:rsid w:val="00050B79"/>
    <w:rsid w:val="00063DE8"/>
    <w:rsid w:val="00065EC7"/>
    <w:rsid w:val="0006604E"/>
    <w:rsid w:val="00066F43"/>
    <w:rsid w:val="000733FE"/>
    <w:rsid w:val="00073676"/>
    <w:rsid w:val="00087018"/>
    <w:rsid w:val="000873B2"/>
    <w:rsid w:val="000930BD"/>
    <w:rsid w:val="000A39AF"/>
    <w:rsid w:val="000A5B12"/>
    <w:rsid w:val="000B2469"/>
    <w:rsid w:val="000B4EF2"/>
    <w:rsid w:val="000C17DA"/>
    <w:rsid w:val="000D5005"/>
    <w:rsid w:val="000E1DFB"/>
    <w:rsid w:val="000E2E37"/>
    <w:rsid w:val="000F0B11"/>
    <w:rsid w:val="00102EB2"/>
    <w:rsid w:val="00105187"/>
    <w:rsid w:val="00110A4C"/>
    <w:rsid w:val="00112E90"/>
    <w:rsid w:val="0012519C"/>
    <w:rsid w:val="00126851"/>
    <w:rsid w:val="001400B3"/>
    <w:rsid w:val="001411F3"/>
    <w:rsid w:val="00142A67"/>
    <w:rsid w:val="001453A1"/>
    <w:rsid w:val="00151F43"/>
    <w:rsid w:val="00154284"/>
    <w:rsid w:val="00155D56"/>
    <w:rsid w:val="001719B4"/>
    <w:rsid w:val="00176749"/>
    <w:rsid w:val="0017674C"/>
    <w:rsid w:val="00177899"/>
    <w:rsid w:val="001841B0"/>
    <w:rsid w:val="0019019D"/>
    <w:rsid w:val="0019283E"/>
    <w:rsid w:val="001933CF"/>
    <w:rsid w:val="00197B66"/>
    <w:rsid w:val="001A4397"/>
    <w:rsid w:val="001B2CBA"/>
    <w:rsid w:val="001B3C27"/>
    <w:rsid w:val="001C0F2D"/>
    <w:rsid w:val="001D3CC4"/>
    <w:rsid w:val="001D6586"/>
    <w:rsid w:val="001D7BB5"/>
    <w:rsid w:val="001E0175"/>
    <w:rsid w:val="001E774B"/>
    <w:rsid w:val="00202639"/>
    <w:rsid w:val="002149B8"/>
    <w:rsid w:val="00214DFD"/>
    <w:rsid w:val="002153F0"/>
    <w:rsid w:val="0022505D"/>
    <w:rsid w:val="002375E5"/>
    <w:rsid w:val="00241BFC"/>
    <w:rsid w:val="002426AD"/>
    <w:rsid w:val="002547D1"/>
    <w:rsid w:val="00257080"/>
    <w:rsid w:val="002626D0"/>
    <w:rsid w:val="00263A95"/>
    <w:rsid w:val="0026694B"/>
    <w:rsid w:val="00273BC7"/>
    <w:rsid w:val="00280ECB"/>
    <w:rsid w:val="002831CA"/>
    <w:rsid w:val="00292BEB"/>
    <w:rsid w:val="0029574E"/>
    <w:rsid w:val="002A248A"/>
    <w:rsid w:val="002B0F01"/>
    <w:rsid w:val="002B605B"/>
    <w:rsid w:val="002D0F92"/>
    <w:rsid w:val="002D7198"/>
    <w:rsid w:val="002E67CA"/>
    <w:rsid w:val="002F37D3"/>
    <w:rsid w:val="00300538"/>
    <w:rsid w:val="00302475"/>
    <w:rsid w:val="0030678D"/>
    <w:rsid w:val="00307D7F"/>
    <w:rsid w:val="003155DD"/>
    <w:rsid w:val="00315D6E"/>
    <w:rsid w:val="0032051A"/>
    <w:rsid w:val="00324E60"/>
    <w:rsid w:val="00326873"/>
    <w:rsid w:val="00326C0D"/>
    <w:rsid w:val="00340AB5"/>
    <w:rsid w:val="003426EA"/>
    <w:rsid w:val="00354850"/>
    <w:rsid w:val="00362685"/>
    <w:rsid w:val="00364F64"/>
    <w:rsid w:val="00366CEC"/>
    <w:rsid w:val="00367F8E"/>
    <w:rsid w:val="00375FF5"/>
    <w:rsid w:val="0038201D"/>
    <w:rsid w:val="00384D27"/>
    <w:rsid w:val="0038520F"/>
    <w:rsid w:val="003A1545"/>
    <w:rsid w:val="003A6F00"/>
    <w:rsid w:val="003B0F70"/>
    <w:rsid w:val="003B4487"/>
    <w:rsid w:val="003C081B"/>
    <w:rsid w:val="003D42CF"/>
    <w:rsid w:val="003E2494"/>
    <w:rsid w:val="003E50F9"/>
    <w:rsid w:val="003E6384"/>
    <w:rsid w:val="003E6523"/>
    <w:rsid w:val="003F1AF6"/>
    <w:rsid w:val="003F77F9"/>
    <w:rsid w:val="004108FE"/>
    <w:rsid w:val="00412F02"/>
    <w:rsid w:val="0042373A"/>
    <w:rsid w:val="00427BF8"/>
    <w:rsid w:val="00431332"/>
    <w:rsid w:val="00431D3C"/>
    <w:rsid w:val="00437574"/>
    <w:rsid w:val="004410A9"/>
    <w:rsid w:val="0044140E"/>
    <w:rsid w:val="00453444"/>
    <w:rsid w:val="004729FC"/>
    <w:rsid w:val="00472EE9"/>
    <w:rsid w:val="00480A0C"/>
    <w:rsid w:val="0049350E"/>
    <w:rsid w:val="0049669C"/>
    <w:rsid w:val="004C7BC3"/>
    <w:rsid w:val="004D271B"/>
    <w:rsid w:val="004D5E23"/>
    <w:rsid w:val="004E06C4"/>
    <w:rsid w:val="004E283E"/>
    <w:rsid w:val="004E5D5B"/>
    <w:rsid w:val="004F5341"/>
    <w:rsid w:val="00500ABE"/>
    <w:rsid w:val="00500C72"/>
    <w:rsid w:val="00502219"/>
    <w:rsid w:val="00502A50"/>
    <w:rsid w:val="00507B92"/>
    <w:rsid w:val="00512071"/>
    <w:rsid w:val="00512CEA"/>
    <w:rsid w:val="005173E9"/>
    <w:rsid w:val="00517C35"/>
    <w:rsid w:val="00521F38"/>
    <w:rsid w:val="00533E04"/>
    <w:rsid w:val="005373D9"/>
    <w:rsid w:val="00540EC4"/>
    <w:rsid w:val="00544137"/>
    <w:rsid w:val="00544B84"/>
    <w:rsid w:val="00547157"/>
    <w:rsid w:val="00552407"/>
    <w:rsid w:val="00555422"/>
    <w:rsid w:val="00562C8C"/>
    <w:rsid w:val="00563408"/>
    <w:rsid w:val="0057233B"/>
    <w:rsid w:val="005730BD"/>
    <w:rsid w:val="005775BA"/>
    <w:rsid w:val="005838A6"/>
    <w:rsid w:val="00584210"/>
    <w:rsid w:val="005A4071"/>
    <w:rsid w:val="005A5F40"/>
    <w:rsid w:val="005A76DD"/>
    <w:rsid w:val="005B4F6F"/>
    <w:rsid w:val="005B62BA"/>
    <w:rsid w:val="005B6E7A"/>
    <w:rsid w:val="005C02E3"/>
    <w:rsid w:val="005D1CBE"/>
    <w:rsid w:val="005D29F3"/>
    <w:rsid w:val="005D2E03"/>
    <w:rsid w:val="005D2FE2"/>
    <w:rsid w:val="005E7162"/>
    <w:rsid w:val="005E72B1"/>
    <w:rsid w:val="005F31D9"/>
    <w:rsid w:val="005F5ACC"/>
    <w:rsid w:val="005F690F"/>
    <w:rsid w:val="00603F13"/>
    <w:rsid w:val="00605218"/>
    <w:rsid w:val="006116F0"/>
    <w:rsid w:val="00615A50"/>
    <w:rsid w:val="006217B8"/>
    <w:rsid w:val="00634EA2"/>
    <w:rsid w:val="00637B4B"/>
    <w:rsid w:val="0065496C"/>
    <w:rsid w:val="006550AB"/>
    <w:rsid w:val="00666B6C"/>
    <w:rsid w:val="0067101C"/>
    <w:rsid w:val="006716F2"/>
    <w:rsid w:val="00672371"/>
    <w:rsid w:val="00677629"/>
    <w:rsid w:val="00692765"/>
    <w:rsid w:val="006A2C59"/>
    <w:rsid w:val="006A35F6"/>
    <w:rsid w:val="006A49C3"/>
    <w:rsid w:val="006A53FD"/>
    <w:rsid w:val="006B2908"/>
    <w:rsid w:val="006B6221"/>
    <w:rsid w:val="006C3462"/>
    <w:rsid w:val="006D3E0F"/>
    <w:rsid w:val="006D45E0"/>
    <w:rsid w:val="006D76AB"/>
    <w:rsid w:val="006D799F"/>
    <w:rsid w:val="0070312A"/>
    <w:rsid w:val="00707426"/>
    <w:rsid w:val="0071020F"/>
    <w:rsid w:val="00720AA2"/>
    <w:rsid w:val="00722925"/>
    <w:rsid w:val="007254AE"/>
    <w:rsid w:val="00731A9D"/>
    <w:rsid w:val="00740875"/>
    <w:rsid w:val="00757412"/>
    <w:rsid w:val="00767FBB"/>
    <w:rsid w:val="007714E2"/>
    <w:rsid w:val="0077242C"/>
    <w:rsid w:val="00775E3C"/>
    <w:rsid w:val="007768F9"/>
    <w:rsid w:val="00777A44"/>
    <w:rsid w:val="007821BF"/>
    <w:rsid w:val="00787ADA"/>
    <w:rsid w:val="007B1E11"/>
    <w:rsid w:val="007B245F"/>
    <w:rsid w:val="007B269E"/>
    <w:rsid w:val="007C726E"/>
    <w:rsid w:val="007D3608"/>
    <w:rsid w:val="007D486E"/>
    <w:rsid w:val="007D547F"/>
    <w:rsid w:val="007D79C7"/>
    <w:rsid w:val="007E556B"/>
    <w:rsid w:val="007F53F0"/>
    <w:rsid w:val="007F6DA8"/>
    <w:rsid w:val="00811EE2"/>
    <w:rsid w:val="008160F1"/>
    <w:rsid w:val="0082077C"/>
    <w:rsid w:val="008215CB"/>
    <w:rsid w:val="00821AAC"/>
    <w:rsid w:val="00822F8F"/>
    <w:rsid w:val="00842322"/>
    <w:rsid w:val="0084382E"/>
    <w:rsid w:val="00846CC8"/>
    <w:rsid w:val="0085525E"/>
    <w:rsid w:val="008635EE"/>
    <w:rsid w:val="008659FC"/>
    <w:rsid w:val="00872546"/>
    <w:rsid w:val="008725CB"/>
    <w:rsid w:val="00875427"/>
    <w:rsid w:val="00876745"/>
    <w:rsid w:val="008819A1"/>
    <w:rsid w:val="00882C83"/>
    <w:rsid w:val="00883FA5"/>
    <w:rsid w:val="00896154"/>
    <w:rsid w:val="008A3591"/>
    <w:rsid w:val="008A7655"/>
    <w:rsid w:val="008A7E3B"/>
    <w:rsid w:val="008B6238"/>
    <w:rsid w:val="008C1559"/>
    <w:rsid w:val="008C46FC"/>
    <w:rsid w:val="008D09EC"/>
    <w:rsid w:val="008D684B"/>
    <w:rsid w:val="008D7889"/>
    <w:rsid w:val="008E0062"/>
    <w:rsid w:val="008E144C"/>
    <w:rsid w:val="008E6B9E"/>
    <w:rsid w:val="008F0B3D"/>
    <w:rsid w:val="008F4255"/>
    <w:rsid w:val="009066CD"/>
    <w:rsid w:val="00914C82"/>
    <w:rsid w:val="00923DE9"/>
    <w:rsid w:val="00925548"/>
    <w:rsid w:val="009278F4"/>
    <w:rsid w:val="0094519F"/>
    <w:rsid w:val="009475E6"/>
    <w:rsid w:val="00950782"/>
    <w:rsid w:val="00951DE4"/>
    <w:rsid w:val="00952333"/>
    <w:rsid w:val="00952E6E"/>
    <w:rsid w:val="00955015"/>
    <w:rsid w:val="00956FB1"/>
    <w:rsid w:val="009577C5"/>
    <w:rsid w:val="009676CD"/>
    <w:rsid w:val="00967FFD"/>
    <w:rsid w:val="009711C3"/>
    <w:rsid w:val="00972039"/>
    <w:rsid w:val="00975D44"/>
    <w:rsid w:val="0097796F"/>
    <w:rsid w:val="009869CA"/>
    <w:rsid w:val="0099289D"/>
    <w:rsid w:val="009A01E1"/>
    <w:rsid w:val="009A772C"/>
    <w:rsid w:val="009B05FC"/>
    <w:rsid w:val="009C25CE"/>
    <w:rsid w:val="009C4C57"/>
    <w:rsid w:val="009C5A32"/>
    <w:rsid w:val="009C7843"/>
    <w:rsid w:val="009D7903"/>
    <w:rsid w:val="009E0EB0"/>
    <w:rsid w:val="009E29D3"/>
    <w:rsid w:val="009E5736"/>
    <w:rsid w:val="009E69EB"/>
    <w:rsid w:val="009F2FF3"/>
    <w:rsid w:val="009F724E"/>
    <w:rsid w:val="00A10F53"/>
    <w:rsid w:val="00A119D4"/>
    <w:rsid w:val="00A149FC"/>
    <w:rsid w:val="00A42452"/>
    <w:rsid w:val="00A42E29"/>
    <w:rsid w:val="00A517E9"/>
    <w:rsid w:val="00A521E1"/>
    <w:rsid w:val="00A57BF5"/>
    <w:rsid w:val="00A606C9"/>
    <w:rsid w:val="00A7267F"/>
    <w:rsid w:val="00A7759A"/>
    <w:rsid w:val="00A8081C"/>
    <w:rsid w:val="00A8478C"/>
    <w:rsid w:val="00A85747"/>
    <w:rsid w:val="00A9372B"/>
    <w:rsid w:val="00AA54B1"/>
    <w:rsid w:val="00AB4F6C"/>
    <w:rsid w:val="00AB709B"/>
    <w:rsid w:val="00AB7914"/>
    <w:rsid w:val="00AC0A15"/>
    <w:rsid w:val="00AE3AC2"/>
    <w:rsid w:val="00AE6104"/>
    <w:rsid w:val="00AE6923"/>
    <w:rsid w:val="00AE79A9"/>
    <w:rsid w:val="00AF01D3"/>
    <w:rsid w:val="00B01289"/>
    <w:rsid w:val="00B02534"/>
    <w:rsid w:val="00B129BC"/>
    <w:rsid w:val="00B143CB"/>
    <w:rsid w:val="00B31682"/>
    <w:rsid w:val="00B34172"/>
    <w:rsid w:val="00B439EF"/>
    <w:rsid w:val="00B501FC"/>
    <w:rsid w:val="00B51518"/>
    <w:rsid w:val="00B527BC"/>
    <w:rsid w:val="00B52A59"/>
    <w:rsid w:val="00B61FF9"/>
    <w:rsid w:val="00B70748"/>
    <w:rsid w:val="00B70FF3"/>
    <w:rsid w:val="00B7517C"/>
    <w:rsid w:val="00B85988"/>
    <w:rsid w:val="00B86E71"/>
    <w:rsid w:val="00B909E8"/>
    <w:rsid w:val="00BA6388"/>
    <w:rsid w:val="00BA6814"/>
    <w:rsid w:val="00BB0639"/>
    <w:rsid w:val="00BB27AD"/>
    <w:rsid w:val="00BB4968"/>
    <w:rsid w:val="00BB4B42"/>
    <w:rsid w:val="00BC2CA5"/>
    <w:rsid w:val="00BC40DD"/>
    <w:rsid w:val="00BD7644"/>
    <w:rsid w:val="00BE0E73"/>
    <w:rsid w:val="00BE2AF7"/>
    <w:rsid w:val="00BE339F"/>
    <w:rsid w:val="00BF1446"/>
    <w:rsid w:val="00BF35D2"/>
    <w:rsid w:val="00C06180"/>
    <w:rsid w:val="00C06610"/>
    <w:rsid w:val="00C073EA"/>
    <w:rsid w:val="00C1327D"/>
    <w:rsid w:val="00C23482"/>
    <w:rsid w:val="00C2497B"/>
    <w:rsid w:val="00C33E9E"/>
    <w:rsid w:val="00C35200"/>
    <w:rsid w:val="00C41EB3"/>
    <w:rsid w:val="00C517E5"/>
    <w:rsid w:val="00C52ADB"/>
    <w:rsid w:val="00C5568A"/>
    <w:rsid w:val="00C56D81"/>
    <w:rsid w:val="00C62DBD"/>
    <w:rsid w:val="00C65D05"/>
    <w:rsid w:val="00C6657C"/>
    <w:rsid w:val="00C67B03"/>
    <w:rsid w:val="00C71748"/>
    <w:rsid w:val="00C85E06"/>
    <w:rsid w:val="00C95427"/>
    <w:rsid w:val="00CA0C69"/>
    <w:rsid w:val="00CA1E54"/>
    <w:rsid w:val="00CA4F27"/>
    <w:rsid w:val="00CA7514"/>
    <w:rsid w:val="00CB0C97"/>
    <w:rsid w:val="00CB22DA"/>
    <w:rsid w:val="00CC295C"/>
    <w:rsid w:val="00CC2F54"/>
    <w:rsid w:val="00CC3F49"/>
    <w:rsid w:val="00CD1FBB"/>
    <w:rsid w:val="00CD3338"/>
    <w:rsid w:val="00CE2BC4"/>
    <w:rsid w:val="00CE3792"/>
    <w:rsid w:val="00CE4D37"/>
    <w:rsid w:val="00CE7D8D"/>
    <w:rsid w:val="00CF0988"/>
    <w:rsid w:val="00CF11EF"/>
    <w:rsid w:val="00CF34CA"/>
    <w:rsid w:val="00CF38CD"/>
    <w:rsid w:val="00D074A4"/>
    <w:rsid w:val="00D1630F"/>
    <w:rsid w:val="00D245EB"/>
    <w:rsid w:val="00D2776F"/>
    <w:rsid w:val="00D27AF1"/>
    <w:rsid w:val="00D42235"/>
    <w:rsid w:val="00D4258F"/>
    <w:rsid w:val="00D627E7"/>
    <w:rsid w:val="00D644C7"/>
    <w:rsid w:val="00D65A1E"/>
    <w:rsid w:val="00D707DE"/>
    <w:rsid w:val="00D71C9E"/>
    <w:rsid w:val="00D73A82"/>
    <w:rsid w:val="00D7509B"/>
    <w:rsid w:val="00D83970"/>
    <w:rsid w:val="00D848E8"/>
    <w:rsid w:val="00D85B33"/>
    <w:rsid w:val="00D85D8E"/>
    <w:rsid w:val="00D875CD"/>
    <w:rsid w:val="00D90DD5"/>
    <w:rsid w:val="00D92FB7"/>
    <w:rsid w:val="00DB6F10"/>
    <w:rsid w:val="00DD2B5A"/>
    <w:rsid w:val="00DE0182"/>
    <w:rsid w:val="00E04BF7"/>
    <w:rsid w:val="00E06A2C"/>
    <w:rsid w:val="00E071EC"/>
    <w:rsid w:val="00E20A4E"/>
    <w:rsid w:val="00E25E91"/>
    <w:rsid w:val="00E278F2"/>
    <w:rsid w:val="00E35A60"/>
    <w:rsid w:val="00E4024C"/>
    <w:rsid w:val="00E43C0F"/>
    <w:rsid w:val="00E531BD"/>
    <w:rsid w:val="00E614E9"/>
    <w:rsid w:val="00E61F49"/>
    <w:rsid w:val="00E663AE"/>
    <w:rsid w:val="00E728CA"/>
    <w:rsid w:val="00E7366B"/>
    <w:rsid w:val="00E8355F"/>
    <w:rsid w:val="00E90C53"/>
    <w:rsid w:val="00E91EC9"/>
    <w:rsid w:val="00E95E6E"/>
    <w:rsid w:val="00EA7EA3"/>
    <w:rsid w:val="00EB2FF2"/>
    <w:rsid w:val="00EB4E35"/>
    <w:rsid w:val="00ED2F9F"/>
    <w:rsid w:val="00ED314D"/>
    <w:rsid w:val="00ED33FA"/>
    <w:rsid w:val="00EE35A1"/>
    <w:rsid w:val="00EE5CB4"/>
    <w:rsid w:val="00EE637F"/>
    <w:rsid w:val="00EF3C2A"/>
    <w:rsid w:val="00F020F3"/>
    <w:rsid w:val="00F06F51"/>
    <w:rsid w:val="00F17A5F"/>
    <w:rsid w:val="00F25001"/>
    <w:rsid w:val="00F26C36"/>
    <w:rsid w:val="00F31A67"/>
    <w:rsid w:val="00F3396B"/>
    <w:rsid w:val="00F33A1D"/>
    <w:rsid w:val="00F4307C"/>
    <w:rsid w:val="00F52D6C"/>
    <w:rsid w:val="00F539EE"/>
    <w:rsid w:val="00F55F46"/>
    <w:rsid w:val="00F62ED8"/>
    <w:rsid w:val="00F654AF"/>
    <w:rsid w:val="00F66EE7"/>
    <w:rsid w:val="00F67DF9"/>
    <w:rsid w:val="00F71D33"/>
    <w:rsid w:val="00F80FC1"/>
    <w:rsid w:val="00F927A8"/>
    <w:rsid w:val="00F945C0"/>
    <w:rsid w:val="00F95B0A"/>
    <w:rsid w:val="00FA06CF"/>
    <w:rsid w:val="00FA3821"/>
    <w:rsid w:val="00FA3B89"/>
    <w:rsid w:val="00FC3D5C"/>
    <w:rsid w:val="00FC3F22"/>
    <w:rsid w:val="00FD2A13"/>
    <w:rsid w:val="00FD59D2"/>
    <w:rsid w:val="00FE0857"/>
    <w:rsid w:val="00FE7912"/>
    <w:rsid w:val="00FF06F4"/>
    <w:rsid w:val="00FF1390"/>
    <w:rsid w:val="00FF246D"/>
    <w:rsid w:val="00FF4733"/>
    <w:rsid w:val="0FA1DB35"/>
    <w:rsid w:val="0FE14ED2"/>
    <w:rsid w:val="13004FF8"/>
    <w:rsid w:val="21AB0F63"/>
    <w:rsid w:val="2946455C"/>
    <w:rsid w:val="303B7097"/>
    <w:rsid w:val="365EC7B7"/>
    <w:rsid w:val="3AF3A77E"/>
    <w:rsid w:val="3F18ED41"/>
    <w:rsid w:val="4BEE0208"/>
    <w:rsid w:val="59FA63C3"/>
    <w:rsid w:val="5E9E143D"/>
    <w:rsid w:val="6358CD1E"/>
    <w:rsid w:val="63C71264"/>
    <w:rsid w:val="6513F5D2"/>
    <w:rsid w:val="7B72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AA1A1"/>
  <w15:chartTrackingRefBased/>
  <w15:docId w15:val="{8ED04E50-0438-4EE8-820C-F224A27F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9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019D"/>
  </w:style>
  <w:style w:type="paragraph" w:styleId="Piedepgina">
    <w:name w:val="footer"/>
    <w:basedOn w:val="Normal"/>
    <w:link w:val="Piedepgina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019D"/>
  </w:style>
  <w:style w:type="paragraph" w:customStyle="1" w:styleId="Default">
    <w:name w:val="Default"/>
    <w:rsid w:val="000B24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B246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074A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74A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6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character" w:styleId="Textoennegrita">
    <w:name w:val="Strong"/>
    <w:basedOn w:val="Fuentedeprrafopredeter"/>
    <w:uiPriority w:val="22"/>
    <w:qFormat/>
    <w:rsid w:val="00126851"/>
    <w:rPr>
      <w:b/>
      <w:bCs/>
    </w:rPr>
  </w:style>
  <w:style w:type="paragraph" w:styleId="Sinespaciado">
    <w:name w:val="No Spacing"/>
    <w:uiPriority w:val="1"/>
    <w:qFormat/>
    <w:rsid w:val="00CC295C"/>
    <w:pPr>
      <w:spacing w:after="0" w:line="240" w:lineRule="auto"/>
    </w:pPr>
    <w:rPr>
      <w:lang w:val="es-CO"/>
    </w:rPr>
  </w:style>
  <w:style w:type="table" w:styleId="Tablaconcuadrcula">
    <w:name w:val="Table Grid"/>
    <w:basedOn w:val="Tablanormal"/>
    <w:uiPriority w:val="39"/>
    <w:rsid w:val="00CC295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customXml" Target="../customXml/item2.xml"/><Relationship Id="rId16" Type="http://schemas.openxmlformats.org/officeDocument/2006/relationships/chart" Target="charts/chart6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chart" Target="charts/chart5.xml"/><Relationship Id="rId10" Type="http://schemas.openxmlformats.org/officeDocument/2006/relationships/endnotes" Target="endnotes.xml"/><Relationship Id="rId19" Type="http://schemas.openxmlformats.org/officeDocument/2006/relationships/chart" Target="charts/chart9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4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LINEAS%20DE%20CREDITO-%202026-02\BANCOLDEX\2026\ENERO\L&#205;NEA%20DE%20CR&#201;DITO%20DE%20CADENAS%20PRODUCTIVAS%20ENE%20202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LINEAS%20DE%20CREDITO-%202026-02\BANCOLDEX\2026\ENERO\L&#205;NEA%20DE%20CR&#201;DITO%20DE%20CADENAS%20PRODUCTIVAS%20ENE%20202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LINEAS%20DE%20CREDITO-%202026-02\BANCOLDEX\2026\ENERO\L&#205;NEA%20DE%20CR&#201;DITO%20DE%20CADENAS%20PRODUCTIVAS%20ENE%20202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2.%20L&#205;NEA%20DE%20CR&#201;DITO%20DE%20CADENAS%20PRODUCTIVAS%20ENE%202026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MARZO\3.%20L&#205;NEA%20DE%20CR&#201;DITO%20DE%20CADENAS%20PRODUCTIVAS%20FEB%202026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mincitco-my.sharepoint.com/personal/amurcia_mincit_gov_co/Documents/Reporte%20seguimiento-Inclusi&#243;n%20Financiera/Lineas%20de%20Credito/Enero/L&#205;NEA%20DE%20CR&#201;DITO%20DE%20CADENAS%20PRODUCTIVAS%20ENE%202026%20(1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2.%20L&#205;NEA%20DE%20CR&#201;DITO%20DE%20CADENAS%20PRODUCTIVAS%20ENE%202026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2.%20L&#205;NEA%20DE%20CR&#201;DITO%20DE%20CADENAS%20PRODUCTIVAS%20ENE%202026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wnloads\2.%20L&#205;NEA%20DE%20CR&#201;DITO%20DE%20CADENAS%20PRODUCTIVAS%20ENE%202026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Desembolsado a Entidades Financieras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Hoja2!$B$2</c:f>
              <c:strCache>
                <c:ptCount val="1"/>
                <c:pt idx="0">
                  <c:v>Desembolso COP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Hoja2!$A$3:$A$9</c:f>
              <c:strCache>
                <c:ptCount val="7"/>
                <c:pt idx="0">
                  <c:v>BCO. W S.A</c:v>
                </c:pt>
                <c:pt idx="1">
                  <c:v>MIBANCO BANCO DE LA MICROEMPRESA DE COLOMBIA SA</c:v>
                </c:pt>
                <c:pt idx="2">
                  <c:v>BCO. CONTACTAR SA</c:v>
                </c:pt>
                <c:pt idx="3">
                  <c:v>CREZCAMOS S.A. COMPAÑIA DE FINANCIAMIENTO</c:v>
                </c:pt>
                <c:pt idx="4">
                  <c:v>BCO. SANTANDER DE NEGOCIOS COLOMBIA</c:v>
                </c:pt>
                <c:pt idx="5">
                  <c:v>CORPORACIÓN PARA EL DESARROLLO EMPRESARIAL-FINANFU</c:v>
                </c:pt>
                <c:pt idx="6">
                  <c:v>BCO. BANCOLOMBIA S.A</c:v>
                </c:pt>
              </c:strCache>
            </c:strRef>
          </c:cat>
          <c:val>
            <c:numRef>
              <c:f>Hoja2!$B$3:$B$9</c:f>
              <c:numCache>
                <c:formatCode>_("$"* #,##0.00_);_("$"* \(#,##0.00\);_("$"* "-"??_);_(@_)</c:formatCode>
                <c:ptCount val="7"/>
                <c:pt idx="0">
                  <c:v>55000000000</c:v>
                </c:pt>
                <c:pt idx="1">
                  <c:v>25000000000</c:v>
                </c:pt>
                <c:pt idx="2">
                  <c:v>12000000000</c:v>
                </c:pt>
                <c:pt idx="3">
                  <c:v>8800000000</c:v>
                </c:pt>
                <c:pt idx="4">
                  <c:v>5000000000</c:v>
                </c:pt>
                <c:pt idx="5">
                  <c:v>3500000000</c:v>
                </c:pt>
                <c:pt idx="6">
                  <c:v>2377400000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33-449F-87C4-15AEAD2CF5EE}"/>
            </c:ext>
          </c:extLst>
        </c:ser>
        <c:ser>
          <c:idx val="1"/>
          <c:order val="1"/>
          <c:tx>
            <c:strRef>
              <c:f>Hoja2!$C$2</c:f>
              <c:strCache>
                <c:ptCount val="1"/>
                <c:pt idx="0">
                  <c:v>porcentaje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3946360153256703E-3"/>
                  <c:y val="-5.4255679891488641E-2"/>
                </c:manualLayout>
              </c:layout>
              <c:tx>
                <c:rich>
                  <a:bodyPr/>
                  <a:lstStyle/>
                  <a:p>
                    <a:fld id="{B0624BEF-D20B-41EE-8BB0-18188C5F0B9A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1-B033-449F-87C4-15AEAD2CF5EE}"/>
                </c:ext>
              </c:extLst>
            </c:dLbl>
            <c:dLbl>
              <c:idx val="1"/>
              <c:layout>
                <c:manualLayout>
                  <c:x val="0"/>
                  <c:y val="-4.4082739911834583E-2"/>
                </c:manualLayout>
              </c:layout>
              <c:tx>
                <c:rich>
                  <a:bodyPr/>
                  <a:lstStyle/>
                  <a:p>
                    <a:fld id="{00E9D972-A9B0-4D24-AB30-F31190B38D82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2-B033-449F-87C4-15AEAD2CF5EE}"/>
                </c:ext>
              </c:extLst>
            </c:dLbl>
            <c:dLbl>
              <c:idx val="2"/>
              <c:layout>
                <c:manualLayout>
                  <c:x val="7.1839080459770114E-3"/>
                  <c:y val="-5.0864699898270603E-2"/>
                </c:manualLayout>
              </c:layout>
              <c:tx>
                <c:rich>
                  <a:bodyPr/>
                  <a:lstStyle/>
                  <a:p>
                    <a:fld id="{E3FA4622-C432-4936-8589-C599186C917D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3-B033-449F-87C4-15AEAD2CF5EE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033-449F-87C4-15AEAD2CF5EE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033-449F-87C4-15AEAD2CF5EE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033-449F-87C4-15AEAD2CF5EE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033-449F-87C4-15AEAD2CF5E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Hoja2!$A$3:$A$9</c:f>
              <c:strCache>
                <c:ptCount val="7"/>
                <c:pt idx="0">
                  <c:v>BCO. W S.A</c:v>
                </c:pt>
                <c:pt idx="1">
                  <c:v>MIBANCO BANCO DE LA MICROEMPRESA DE COLOMBIA SA</c:v>
                </c:pt>
                <c:pt idx="2">
                  <c:v>BCO. CONTACTAR SA</c:v>
                </c:pt>
                <c:pt idx="3">
                  <c:v>CREZCAMOS S.A. COMPAÑIA DE FINANCIAMIENTO</c:v>
                </c:pt>
                <c:pt idx="4">
                  <c:v>BCO. SANTANDER DE NEGOCIOS COLOMBIA</c:v>
                </c:pt>
                <c:pt idx="5">
                  <c:v>CORPORACIÓN PARA EL DESARROLLO EMPRESARIAL-FINANFU</c:v>
                </c:pt>
                <c:pt idx="6">
                  <c:v>BCO. BANCOLOMBIA S.A</c:v>
                </c:pt>
              </c:strCache>
            </c:strRef>
          </c:cat>
          <c:val>
            <c:numRef>
              <c:f>Hoja2!$C$3:$C$9</c:f>
              <c:numCache>
                <c:formatCode>0%</c:formatCode>
                <c:ptCount val="7"/>
                <c:pt idx="0">
                  <c:v>0.46586836592858999</c:v>
                </c:pt>
                <c:pt idx="1">
                  <c:v>0.21175834814935909</c:v>
                </c:pt>
                <c:pt idx="2">
                  <c:v>0.10164400711169236</c:v>
                </c:pt>
                <c:pt idx="3">
                  <c:v>7.4538938548574407E-2</c:v>
                </c:pt>
                <c:pt idx="4">
                  <c:v>4.2351669629871816E-2</c:v>
                </c:pt>
                <c:pt idx="5">
                  <c:v>2.9646168740910275E-2</c:v>
                </c:pt>
                <c:pt idx="6">
                  <c:v>2.0137371875611453E-2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Hoja2!$C$3:$C$9</c15:f>
                <c15:dlblRangeCache>
                  <c:ptCount val="7"/>
                  <c:pt idx="0">
                    <c:v>47%</c:v>
                  </c:pt>
                  <c:pt idx="1">
                    <c:v>21%</c:v>
                  </c:pt>
                  <c:pt idx="2">
                    <c:v>10%</c:v>
                  </c:pt>
                  <c:pt idx="3">
                    <c:v>7%</c:v>
                  </c:pt>
                  <c:pt idx="4">
                    <c:v>4%</c:v>
                  </c:pt>
                  <c:pt idx="5">
                    <c:v>3%</c:v>
                  </c:pt>
                  <c:pt idx="6">
                    <c:v>2%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8-B033-449F-87C4-15AEAD2CF5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04890880"/>
        <c:axId val="1604886304"/>
        <c:axId val="0"/>
      </c:bar3DChart>
      <c:catAx>
        <c:axId val="1604890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604886304"/>
        <c:crosses val="autoZero"/>
        <c:auto val="1"/>
        <c:lblAlgn val="ctr"/>
        <c:lblOffset val="100"/>
        <c:noMultiLvlLbl val="0"/>
      </c:catAx>
      <c:valAx>
        <c:axId val="1604886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&quot;$&quot;* #,##0_);_(&quot;$&quot;* \(#,##0\);_(&quot;$&quot;* &quot;-&quot;_);_(@_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604890880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Desembolso por Departamento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Hoja3!$B$2</c:f>
              <c:strCache>
                <c:ptCount val="1"/>
                <c:pt idx="0">
                  <c:v>Operaciones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Hoja3!$A$3:$A$13</c:f>
              <c:strCache>
                <c:ptCount val="11"/>
                <c:pt idx="0">
                  <c:v>Valle</c:v>
                </c:pt>
                <c:pt idx="1">
                  <c:v>Santander</c:v>
                </c:pt>
                <c:pt idx="2">
                  <c:v>Antioquia</c:v>
                </c:pt>
                <c:pt idx="3">
                  <c:v>Cauca</c:v>
                </c:pt>
                <c:pt idx="4">
                  <c:v>Cundinamarca</c:v>
                </c:pt>
                <c:pt idx="5">
                  <c:v>Caldas</c:v>
                </c:pt>
                <c:pt idx="6">
                  <c:v>Risaralda</c:v>
                </c:pt>
                <c:pt idx="7">
                  <c:v>BOGOTA D.C.</c:v>
                </c:pt>
                <c:pt idx="8">
                  <c:v>Narino</c:v>
                </c:pt>
                <c:pt idx="9">
                  <c:v>Bolivar</c:v>
                </c:pt>
                <c:pt idx="10">
                  <c:v>Boyaca</c:v>
                </c:pt>
              </c:strCache>
            </c:strRef>
          </c:cat>
          <c:val>
            <c:numRef>
              <c:f>Hoja3!$B$3:$B$13</c:f>
              <c:numCache>
                <c:formatCode>General</c:formatCode>
                <c:ptCount val="11"/>
                <c:pt idx="0">
                  <c:v>315</c:v>
                </c:pt>
                <c:pt idx="1">
                  <c:v>165</c:v>
                </c:pt>
                <c:pt idx="2">
                  <c:v>131</c:v>
                </c:pt>
                <c:pt idx="3">
                  <c:v>153</c:v>
                </c:pt>
                <c:pt idx="4">
                  <c:v>180</c:v>
                </c:pt>
                <c:pt idx="5">
                  <c:v>132</c:v>
                </c:pt>
                <c:pt idx="6">
                  <c:v>74</c:v>
                </c:pt>
                <c:pt idx="7">
                  <c:v>80</c:v>
                </c:pt>
                <c:pt idx="8">
                  <c:v>112</c:v>
                </c:pt>
                <c:pt idx="9">
                  <c:v>34</c:v>
                </c:pt>
                <c:pt idx="10">
                  <c:v>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11-4E84-AED7-797B8DE839A8}"/>
            </c:ext>
          </c:extLst>
        </c:ser>
        <c:ser>
          <c:idx val="1"/>
          <c:order val="1"/>
          <c:tx>
            <c:strRef>
              <c:f>Hoja3!$C$2</c:f>
              <c:strCache>
                <c:ptCount val="1"/>
                <c:pt idx="0">
                  <c:v> Suma de Desembolso COP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9.8739585289008905E-3"/>
                  <c:y val="-0.2795840682734572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211-4E84-AED7-797B8DE839A8}"/>
                </c:ext>
              </c:extLst>
            </c:dLbl>
            <c:dLbl>
              <c:idx val="1"/>
              <c:layout>
                <c:manualLayout>
                  <c:x val="-1.2021980345166517E-2"/>
                  <c:y val="-0.1322973680005765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211-4E84-AED7-797B8DE839A8}"/>
                </c:ext>
              </c:extLst>
            </c:dLbl>
            <c:dLbl>
              <c:idx val="2"/>
              <c:layout>
                <c:manualLayout>
                  <c:x val="1.2068335717253052E-2"/>
                  <c:y val="-0.1193657127946637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211-4E84-AED7-797B8DE839A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Hoja3!$A$3:$A$13</c:f>
              <c:strCache>
                <c:ptCount val="11"/>
                <c:pt idx="0">
                  <c:v>Valle</c:v>
                </c:pt>
                <c:pt idx="1">
                  <c:v>Santander</c:v>
                </c:pt>
                <c:pt idx="2">
                  <c:v>Antioquia</c:v>
                </c:pt>
                <c:pt idx="3">
                  <c:v>Cauca</c:v>
                </c:pt>
                <c:pt idx="4">
                  <c:v>Cundinamarca</c:v>
                </c:pt>
                <c:pt idx="5">
                  <c:v>Caldas</c:v>
                </c:pt>
                <c:pt idx="6">
                  <c:v>Risaralda</c:v>
                </c:pt>
                <c:pt idx="7">
                  <c:v>BOGOTA D.C.</c:v>
                </c:pt>
                <c:pt idx="8">
                  <c:v>Narino</c:v>
                </c:pt>
                <c:pt idx="9">
                  <c:v>Bolivar</c:v>
                </c:pt>
                <c:pt idx="10">
                  <c:v>Boyaca</c:v>
                </c:pt>
              </c:strCache>
            </c:strRef>
          </c:cat>
          <c:val>
            <c:numRef>
              <c:f>Hoja3!$C$3:$C$13</c:f>
              <c:numCache>
                <c:formatCode>_-"$"\ * #,##0_-;\-"$"\ * #,##0_-;_-"$"\ * "-"??_-;_-@_-</c:formatCode>
                <c:ptCount val="11"/>
                <c:pt idx="0">
                  <c:v>4200698982</c:v>
                </c:pt>
                <c:pt idx="1">
                  <c:v>1664950255</c:v>
                </c:pt>
                <c:pt idx="2">
                  <c:v>1642300679</c:v>
                </c:pt>
                <c:pt idx="3">
                  <c:v>1336895564</c:v>
                </c:pt>
                <c:pt idx="4">
                  <c:v>1263875739</c:v>
                </c:pt>
                <c:pt idx="5">
                  <c:v>1214360923</c:v>
                </c:pt>
                <c:pt idx="6">
                  <c:v>1045757025</c:v>
                </c:pt>
                <c:pt idx="7">
                  <c:v>998563805</c:v>
                </c:pt>
                <c:pt idx="8">
                  <c:v>960078511</c:v>
                </c:pt>
                <c:pt idx="9">
                  <c:v>934935268</c:v>
                </c:pt>
                <c:pt idx="10">
                  <c:v>718605574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211-4E84-AED7-797B8DE839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57737872"/>
        <c:axId val="457741200"/>
        <c:axId val="0"/>
      </c:bar3DChart>
      <c:catAx>
        <c:axId val="457737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57741200"/>
        <c:crosses val="autoZero"/>
        <c:auto val="1"/>
        <c:lblAlgn val="ctr"/>
        <c:lblOffset val="100"/>
        <c:noMultiLvlLbl val="0"/>
      </c:catAx>
      <c:valAx>
        <c:axId val="457741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$&quot;\ #,##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57737872"/>
        <c:crosses val="autoZero"/>
        <c:crossBetween val="between"/>
        <c:dispUnits>
          <c:builtInUnit val="millions"/>
          <c:dispUnitsLbl>
            <c:layout>
              <c:manualLayout>
                <c:xMode val="edge"/>
                <c:yMode val="edge"/>
                <c:x val="4.5192660442499873E-2"/>
                <c:y val="0.35546758076993651"/>
              </c:manualLayout>
            </c:layout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Desembolso por Municipios</a:t>
            </a:r>
          </a:p>
        </c:rich>
      </c:tx>
      <c:layout>
        <c:manualLayout>
          <c:xMode val="edge"/>
          <c:yMode val="edge"/>
          <c:x val="0.35690266841644797"/>
          <c:y val="3.018372346955959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Municipios!$B$2</c:f>
              <c:strCache>
                <c:ptCount val="1"/>
                <c:pt idx="0">
                  <c:v> Suma de Desembolso COP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8.3009651555569722E-3"/>
                  <c:y val="-0.2886872509531448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99B-46A8-95E9-ABD96B5BC39E}"/>
                </c:ext>
              </c:extLst>
            </c:dLbl>
            <c:dLbl>
              <c:idx val="1"/>
              <c:layout>
                <c:manualLayout>
                  <c:x val="-5.5717064360009446E-3"/>
                  <c:y val="-0.1464997276729028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99B-46A8-95E9-ABD96B5BC39E}"/>
                </c:ext>
              </c:extLst>
            </c:dLbl>
            <c:dLbl>
              <c:idx val="2"/>
              <c:layout>
                <c:manualLayout>
                  <c:x val="1.3913033559440785E-2"/>
                  <c:y val="-0.1112548071112966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99B-46A8-95E9-ABD96B5BC3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Municipios!$A$3:$A$15</c:f>
              <c:strCache>
                <c:ptCount val="13"/>
                <c:pt idx="0">
                  <c:v>CALI </c:v>
                </c:pt>
                <c:pt idx="1">
                  <c:v>BOGOTA </c:v>
                </c:pt>
                <c:pt idx="2">
                  <c:v>CARTAGENA </c:v>
                </c:pt>
                <c:pt idx="3">
                  <c:v>PEREIRA </c:v>
                </c:pt>
                <c:pt idx="4">
                  <c:v>BUCARAMANGA </c:v>
                </c:pt>
                <c:pt idx="5">
                  <c:v>ITAGUI </c:v>
                </c:pt>
                <c:pt idx="6">
                  <c:v>MANIZALES </c:v>
                </c:pt>
                <c:pt idx="7">
                  <c:v>SINCELEJO </c:v>
                </c:pt>
                <c:pt idx="8">
                  <c:v>POPAYAN </c:v>
                </c:pt>
                <c:pt idx="9">
                  <c:v>MEDELLIN </c:v>
                </c:pt>
                <c:pt idx="10">
                  <c:v>PALMIRA </c:v>
                </c:pt>
                <c:pt idx="11">
                  <c:v>RIOSUCIO </c:v>
                </c:pt>
                <c:pt idx="12">
                  <c:v>BARRANCABERMEJA </c:v>
                </c:pt>
              </c:strCache>
            </c:strRef>
          </c:cat>
          <c:val>
            <c:numRef>
              <c:f>Municipios!$B$3:$B$15</c:f>
              <c:numCache>
                <c:formatCode>_-"$"\ * #,##0_-;\-"$"\ * #,##0_-;_-"$"\ * "-"??_-;_-@_-</c:formatCode>
                <c:ptCount val="13"/>
                <c:pt idx="0">
                  <c:v>2356870834</c:v>
                </c:pt>
                <c:pt idx="1">
                  <c:v>998563805</c:v>
                </c:pt>
                <c:pt idx="2">
                  <c:v>670853318</c:v>
                </c:pt>
                <c:pt idx="3">
                  <c:v>642900447</c:v>
                </c:pt>
                <c:pt idx="4">
                  <c:v>603455937</c:v>
                </c:pt>
                <c:pt idx="5">
                  <c:v>490901936</c:v>
                </c:pt>
                <c:pt idx="6">
                  <c:v>465186918</c:v>
                </c:pt>
                <c:pt idx="7">
                  <c:v>460507744</c:v>
                </c:pt>
                <c:pt idx="8">
                  <c:v>392629522</c:v>
                </c:pt>
                <c:pt idx="9">
                  <c:v>370536106</c:v>
                </c:pt>
                <c:pt idx="10">
                  <c:v>290074152</c:v>
                </c:pt>
                <c:pt idx="11">
                  <c:v>268975658</c:v>
                </c:pt>
                <c:pt idx="12">
                  <c:v>264759827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99B-46A8-95E9-ABD96B5BC39E}"/>
            </c:ext>
          </c:extLst>
        </c:ser>
        <c:ser>
          <c:idx val="1"/>
          <c:order val="1"/>
          <c:tx>
            <c:strRef>
              <c:f>Municipios!$C$2</c:f>
              <c:strCache>
                <c:ptCount val="1"/>
                <c:pt idx="0">
                  <c:v>Operaciones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Municipios!$A$3:$A$15</c:f>
              <c:strCache>
                <c:ptCount val="13"/>
                <c:pt idx="0">
                  <c:v>CALI </c:v>
                </c:pt>
                <c:pt idx="1">
                  <c:v>BOGOTA </c:v>
                </c:pt>
                <c:pt idx="2">
                  <c:v>CARTAGENA </c:v>
                </c:pt>
                <c:pt idx="3">
                  <c:v>PEREIRA </c:v>
                </c:pt>
                <c:pt idx="4">
                  <c:v>BUCARAMANGA </c:v>
                </c:pt>
                <c:pt idx="5">
                  <c:v>ITAGUI </c:v>
                </c:pt>
                <c:pt idx="6">
                  <c:v>MANIZALES </c:v>
                </c:pt>
                <c:pt idx="7">
                  <c:v>SINCELEJO </c:v>
                </c:pt>
                <c:pt idx="8">
                  <c:v>POPAYAN </c:v>
                </c:pt>
                <c:pt idx="9">
                  <c:v>MEDELLIN </c:v>
                </c:pt>
                <c:pt idx="10">
                  <c:v>PALMIRA </c:v>
                </c:pt>
                <c:pt idx="11">
                  <c:v>RIOSUCIO </c:v>
                </c:pt>
                <c:pt idx="12">
                  <c:v>BARRANCABERMEJA </c:v>
                </c:pt>
              </c:strCache>
            </c:strRef>
          </c:cat>
          <c:val>
            <c:numRef>
              <c:f>Municipios!$C$3:$C$15</c:f>
              <c:numCache>
                <c:formatCode>General</c:formatCode>
                <c:ptCount val="13"/>
                <c:pt idx="0">
                  <c:v>118</c:v>
                </c:pt>
                <c:pt idx="1">
                  <c:v>80</c:v>
                </c:pt>
                <c:pt idx="2">
                  <c:v>12</c:v>
                </c:pt>
                <c:pt idx="3">
                  <c:v>37</c:v>
                </c:pt>
                <c:pt idx="4">
                  <c:v>23</c:v>
                </c:pt>
                <c:pt idx="5">
                  <c:v>11</c:v>
                </c:pt>
                <c:pt idx="6">
                  <c:v>37</c:v>
                </c:pt>
                <c:pt idx="7">
                  <c:v>16</c:v>
                </c:pt>
                <c:pt idx="8">
                  <c:v>41</c:v>
                </c:pt>
                <c:pt idx="9">
                  <c:v>27</c:v>
                </c:pt>
                <c:pt idx="10">
                  <c:v>17</c:v>
                </c:pt>
                <c:pt idx="11">
                  <c:v>24</c:v>
                </c:pt>
                <c:pt idx="12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99B-46A8-95E9-ABD96B5BC3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04890048"/>
        <c:axId val="1604883808"/>
        <c:axId val="0"/>
      </c:bar3DChart>
      <c:catAx>
        <c:axId val="1604890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604883808"/>
        <c:crosses val="autoZero"/>
        <c:auto val="1"/>
        <c:lblAlgn val="ctr"/>
        <c:lblOffset val="100"/>
        <c:noMultiLvlLbl val="0"/>
      </c:catAx>
      <c:valAx>
        <c:axId val="1604883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$&quot;\ #,##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604890048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Actividad</a:t>
            </a:r>
            <a:r>
              <a:rPr lang="es-CO" baseline="0"/>
              <a:t> Económica</a:t>
            </a:r>
            <a:endParaRPr lang="es-CO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Hoja10!$E$2:$E$6</c:f>
              <c:strCache>
                <c:ptCount val="5"/>
                <c:pt idx="0">
                  <c:v>Comercio al por menor de leche, productos lácteos y huevos, en establecimientos especializados</c:v>
                </c:pt>
                <c:pt idx="1">
                  <c:v>Confección de prendas de vestir, excepto prendas de piel</c:v>
                </c:pt>
                <c:pt idx="2">
                  <c:v>Comercio al por menor de carnes (incluye aves de corral), productos cárnicos, pescados y productos de mar, en establecimientos especializados</c:v>
                </c:pt>
                <c:pt idx="3">
                  <c:v>Comercio al por menor de productos agrícolas para el consumo en establecimientos especializados</c:v>
                </c:pt>
                <c:pt idx="4">
                  <c:v>Comercio al por menor en establecimientos no especializados con surtido compuesto principalmente por alimentos, bebidas (alcohólicas y no alcohólicas) o tabaco</c:v>
                </c:pt>
              </c:strCache>
            </c:strRef>
          </c:cat>
          <c:val>
            <c:numRef>
              <c:f>Hoja10!$F$2:$F$6</c:f>
              <c:numCache>
                <c:formatCode>General</c:formatCode>
                <c:ptCount val="5"/>
                <c:pt idx="0">
                  <c:v>160</c:v>
                </c:pt>
                <c:pt idx="1">
                  <c:v>263</c:v>
                </c:pt>
                <c:pt idx="2">
                  <c:v>341</c:v>
                </c:pt>
                <c:pt idx="3">
                  <c:v>341</c:v>
                </c:pt>
                <c:pt idx="4">
                  <c:v>671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A5C-40EF-BFFC-51C333FD55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465776304"/>
        <c:axId val="465780880"/>
      </c:barChart>
      <c:catAx>
        <c:axId val="4657763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65780880"/>
        <c:crosses val="autoZero"/>
        <c:auto val="1"/>
        <c:lblAlgn val="ctr"/>
        <c:lblOffset val="100"/>
        <c:noMultiLvlLbl val="0"/>
      </c:catAx>
      <c:valAx>
        <c:axId val="4657808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4657763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Destino de los Recursos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FA1-4E8A-AF4F-A5A1A8E99D1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DESTINO!$A$1</c:f>
              <c:strCache>
                <c:ptCount val="1"/>
                <c:pt idx="0">
                  <c:v>CAPITAL DE TRABAJO</c:v>
                </c:pt>
              </c:strCache>
            </c:strRef>
          </c:cat>
          <c:val>
            <c:numRef>
              <c:f>DESTINO!$B$1</c:f>
              <c:numCache>
                <c:formatCode>0%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A1-4E8A-AF4F-A5A1A8E99D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031147312"/>
        <c:axId val="1031144400"/>
      </c:barChart>
      <c:catAx>
        <c:axId val="10311473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031144400"/>
        <c:crosses val="autoZero"/>
        <c:auto val="1"/>
        <c:lblAlgn val="ctr"/>
        <c:lblOffset val="100"/>
        <c:noMultiLvlLbl val="0"/>
      </c:catAx>
      <c:valAx>
        <c:axId val="10311444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0311473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Porcentaje de Empresas Beneficiadas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pieChart>
        <c:varyColors val="1"/>
        <c:ser>
          <c:idx val="0"/>
          <c:order val="0"/>
          <c:cat>
            <c:strRef>
              <c:f>Hoja4!$B$29:$B$31</c:f>
              <c:strCache>
                <c:ptCount val="3"/>
                <c:pt idx="0">
                  <c:v>MICROEMPRESA</c:v>
                </c:pt>
                <c:pt idx="1">
                  <c:v>PEQUEÑA</c:v>
                </c:pt>
                <c:pt idx="2">
                  <c:v>MEDIANA</c:v>
                </c:pt>
              </c:strCache>
            </c:strRef>
          </c:cat>
          <c:val>
            <c:numRef>
              <c:f>Hoja4!$C$29:$C$31</c:f>
            </c:numRef>
          </c:val>
          <c:extLst>
            <c:ext xmlns:c16="http://schemas.microsoft.com/office/drawing/2014/chart" uri="{C3380CC4-5D6E-409C-BE32-E72D297353CC}">
              <c16:uniqueId val="{00000000-38D6-4E2B-B07B-B20C01B57684}"/>
            </c:ext>
          </c:extLst>
        </c:ser>
        <c:ser>
          <c:idx val="1"/>
          <c:order val="1"/>
          <c:dPt>
            <c:idx val="0"/>
            <c:bubble3D val="0"/>
            <c:explosion val="19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38D6-4E2B-B07B-B20C01B57684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38D6-4E2B-B07B-B20C01B57684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38D6-4E2B-B07B-B20C01B57684}"/>
              </c:ext>
            </c:extLst>
          </c:dPt>
          <c:dLbls>
            <c:dLbl>
              <c:idx val="0"/>
              <c:layout>
                <c:manualLayout>
                  <c:x val="5.5467410323709533E-2"/>
                  <c:y val="-5.82695392242636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8D6-4E2B-B07B-B20C01B5768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Hoja4!$B$29:$B$31</c:f>
              <c:strCache>
                <c:ptCount val="3"/>
                <c:pt idx="0">
                  <c:v>MICROEMPRESA</c:v>
                </c:pt>
                <c:pt idx="1">
                  <c:v>PEQUEÑA</c:v>
                </c:pt>
                <c:pt idx="2">
                  <c:v>MEDIANA</c:v>
                </c:pt>
              </c:strCache>
            </c:strRef>
          </c:cat>
          <c:val>
            <c:numRef>
              <c:f>Hoja4!$D$29:$D$31</c:f>
              <c:numCache>
                <c:formatCode>0.0%</c:formatCode>
                <c:ptCount val="3"/>
                <c:pt idx="0">
                  <c:v>0.74939705874007501</c:v>
                </c:pt>
                <c:pt idx="1">
                  <c:v>0.225362795760987</c:v>
                </c:pt>
                <c:pt idx="2">
                  <c:v>1.8870200930729983E-2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8D6-4E2B-B07B-B20C01B5768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 sz="1800" b="1" i="0" baseline="0">
                <a:effectLst/>
              </a:rPr>
              <a:t>N° Operaciones por tasa de interes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2.7777777777777779E-3"/>
                  <c:y val="-7.4074074074074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460-497C-89D6-596E7FB80258}"/>
                </c:ext>
              </c:extLst>
            </c:dLbl>
            <c:dLbl>
              <c:idx val="1"/>
              <c:layout>
                <c:manualLayout>
                  <c:x val="-5.0925337632079971E-17"/>
                  <c:y val="-9.72222222222223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460-497C-89D6-596E7FB80258}"/>
                </c:ext>
              </c:extLst>
            </c:dLbl>
            <c:dLbl>
              <c:idx val="2"/>
              <c:layout>
                <c:manualLayout>
                  <c:x val="1.6666666666666666E-2"/>
                  <c:y val="-8.79629629629628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460-497C-89D6-596E7FB80258}"/>
                </c:ext>
              </c:extLst>
            </c:dLbl>
            <c:dLbl>
              <c:idx val="3"/>
              <c:layout>
                <c:manualLayout>
                  <c:x val="1.1111111111111112E-2"/>
                  <c:y val="-7.8703703703703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460-497C-89D6-596E7FB80258}"/>
                </c:ext>
              </c:extLst>
            </c:dLbl>
            <c:dLbl>
              <c:idx val="4"/>
              <c:layout>
                <c:manualLayout>
                  <c:x val="-3.0555555555555555E-2"/>
                  <c:y val="-0.3379629629629629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460-497C-89D6-596E7FB8025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'TASA DE INTERES'!$E$2:$E$6</c:f>
              <c:strCache>
                <c:ptCount val="5"/>
                <c:pt idx="0">
                  <c:v>Entre 9% y 20%</c:v>
                </c:pt>
                <c:pt idx="1">
                  <c:v>Entre 20% y 30%</c:v>
                </c:pt>
                <c:pt idx="2">
                  <c:v>Entre 30% y 40%</c:v>
                </c:pt>
                <c:pt idx="3">
                  <c:v>Entre 40% y 50%</c:v>
                </c:pt>
                <c:pt idx="4">
                  <c:v>Mayor a 50%</c:v>
                </c:pt>
              </c:strCache>
            </c:strRef>
          </c:cat>
          <c:val>
            <c:numRef>
              <c:f>'TASA DE INTERES'!$F$2:$F$6</c:f>
              <c:numCache>
                <c:formatCode>General</c:formatCode>
                <c:ptCount val="5"/>
                <c:pt idx="0">
                  <c:v>40</c:v>
                </c:pt>
                <c:pt idx="1">
                  <c:v>174</c:v>
                </c:pt>
                <c:pt idx="2">
                  <c:v>28</c:v>
                </c:pt>
                <c:pt idx="3">
                  <c:v>118</c:v>
                </c:pt>
                <c:pt idx="4">
                  <c:v>1811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460-497C-89D6-596E7FB802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15473520"/>
        <c:axId val="1815476848"/>
        <c:axId val="0"/>
      </c:bar3DChart>
      <c:catAx>
        <c:axId val="1815473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815476848"/>
        <c:crosses val="autoZero"/>
        <c:auto val="1"/>
        <c:lblAlgn val="ctr"/>
        <c:lblOffset val="100"/>
        <c:noMultiLvlLbl val="0"/>
      </c:catAx>
      <c:valAx>
        <c:axId val="1815476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8154735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Concentración Tasa &gt; 50%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Hoja14!$E$1:$E$3</c:f>
              <c:strCache>
                <c:ptCount val="3"/>
                <c:pt idx="0">
                  <c:v>CORPORACIÓN PARA EL DESARROLLO EMPRESARIAL-FINANFU</c:v>
                </c:pt>
                <c:pt idx="1">
                  <c:v>BCO. SANTANDER DE NEGOCIOS COLOMBIA S.A.</c:v>
                </c:pt>
                <c:pt idx="2">
                  <c:v>BCO. W S.A</c:v>
                </c:pt>
              </c:strCache>
            </c:strRef>
          </c:cat>
          <c:val>
            <c:numRef>
              <c:f>Hoja14!$F$1:$F$3</c:f>
              <c:numCache>
                <c:formatCode>General</c:formatCode>
                <c:ptCount val="3"/>
                <c:pt idx="0">
                  <c:v>143</c:v>
                </c:pt>
                <c:pt idx="1">
                  <c:v>552</c:v>
                </c:pt>
                <c:pt idx="2">
                  <c:v>1116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50-44C6-9B56-8462F01F89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815451056"/>
        <c:axId val="1815453968"/>
      </c:barChart>
      <c:catAx>
        <c:axId val="1815451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815453968"/>
        <c:crosses val="autoZero"/>
        <c:auto val="1"/>
        <c:lblAlgn val="ctr"/>
        <c:lblOffset val="100"/>
        <c:noMultiLvlLbl val="0"/>
      </c:catAx>
      <c:valAx>
        <c:axId val="18154539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8154510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ACUMULADO DESEMBOLSO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lineChart>
        <c:grouping val="standard"/>
        <c:varyColors val="0"/>
        <c:ser>
          <c:idx val="1"/>
          <c:order val="1"/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3.5700864336715522E-2"/>
                  <c:y val="6.337135614702096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0B9-493C-84D2-B43E638FD155}"/>
                </c:ext>
              </c:extLst>
            </c:dLbl>
            <c:dLbl>
              <c:idx val="1"/>
              <c:layout>
                <c:manualLayout>
                  <c:x val="-6.0679081066379273E-2"/>
                  <c:y val="-6.87153751510994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0B9-493C-84D2-B43E638FD155}"/>
                </c:ext>
              </c:extLst>
            </c:dLbl>
            <c:dLbl>
              <c:idx val="2"/>
              <c:layout>
                <c:manualLayout>
                  <c:x val="-7.9489042093295548E-2"/>
                  <c:y val="-2.04541136106061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0B9-493C-84D2-B43E638FD155}"/>
                </c:ext>
              </c:extLst>
            </c:dLbl>
            <c:dLbl>
              <c:idx val="3"/>
              <c:layout>
                <c:manualLayout>
                  <c:x val="0"/>
                  <c:y val="5.06970849176172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0B9-493C-84D2-B43E638FD155}"/>
                </c:ext>
              </c:extLst>
            </c:dLbl>
            <c:dLbl>
              <c:idx val="4"/>
              <c:layout>
                <c:manualLayout>
                  <c:x val="-5.986127136382146E-2"/>
                  <c:y val="-0.1039375469132591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0B9-493C-84D2-B43E638FD155}"/>
                </c:ext>
              </c:extLst>
            </c:dLbl>
            <c:dLbl>
              <c:idx val="5"/>
              <c:layout>
                <c:manualLayout>
                  <c:x val="-3.6361025564788776E-2"/>
                  <c:y val="-3.88733540773602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0B9-493C-84D2-B43E638FD155}"/>
                </c:ext>
              </c:extLst>
            </c:dLbl>
            <c:dLbl>
              <c:idx val="6"/>
              <c:layout>
                <c:manualLayout>
                  <c:x val="0"/>
                  <c:y val="-6.07351298381867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0B9-493C-84D2-B43E638FD155}"/>
                </c:ext>
              </c:extLst>
            </c:dLbl>
            <c:dLbl>
              <c:idx val="7"/>
              <c:layout>
                <c:manualLayout>
                  <c:x val="-3.8618322248444616E-2"/>
                  <c:y val="6.75809670633546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0B9-493C-84D2-B43E638FD155}"/>
                </c:ext>
              </c:extLst>
            </c:dLbl>
            <c:dLbl>
              <c:idx val="8"/>
              <c:layout>
                <c:manualLayout>
                  <c:x val="-8.053085833697949E-3"/>
                  <c:y val="8.73443018835378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0B9-493C-84D2-B43E638FD155}"/>
                </c:ext>
              </c:extLst>
            </c:dLbl>
            <c:dLbl>
              <c:idx val="9"/>
              <c:layout>
                <c:manualLayout>
                  <c:x val="6.4363870414074235E-3"/>
                  <c:y val="6.05114673861043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0B9-493C-84D2-B43E638FD155}"/>
                </c:ext>
              </c:extLst>
            </c:dLbl>
            <c:dLbl>
              <c:idx val="10"/>
              <c:layout>
                <c:manualLayout>
                  <c:x val="-7.0546349588730073E-2"/>
                  <c:y val="-6.34958581572134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0B9-493C-84D2-B43E638FD155}"/>
                </c:ext>
              </c:extLst>
            </c:dLbl>
            <c:dLbl>
              <c:idx val="11"/>
              <c:layout>
                <c:manualLayout>
                  <c:x val="9.1106129433884339E-3"/>
                  <c:y val="-5.24531002168285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0B9-493C-84D2-B43E638FD155}"/>
                </c:ext>
              </c:extLst>
            </c:dLbl>
            <c:dLbl>
              <c:idx val="12"/>
              <c:layout>
                <c:manualLayout>
                  <c:x val="1.1367909627044235E-2"/>
                  <c:y val="3.57771126632446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60B9-493C-84D2-B43E638FD155}"/>
                </c:ext>
              </c:extLst>
            </c:dLbl>
            <c:dLbl>
              <c:idx val="13"/>
              <c:layout>
                <c:manualLayout>
                  <c:x val="-1.4794567756910747E-2"/>
                  <c:y val="-5.91870479650594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60B9-493C-84D2-B43E638FD155}"/>
                </c:ext>
              </c:extLst>
            </c:dLbl>
            <c:dLbl>
              <c:idx val="14"/>
              <c:layout>
                <c:manualLayout>
                  <c:x val="-8.3582086932830202E-3"/>
                  <c:y val="6.07351298381867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60B9-493C-84D2-B43E638FD155}"/>
                </c:ext>
              </c:extLst>
            </c:dLbl>
            <c:dLbl>
              <c:idx val="15"/>
              <c:layout>
                <c:manualLayout>
                  <c:x val="-4.2350075260116193E-2"/>
                  <c:y val="-4.56073018255911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60B9-493C-84D2-B43E638FD155}"/>
                </c:ext>
              </c:extLst>
            </c:dLbl>
            <c:dLbl>
              <c:idx val="16"/>
              <c:layout>
                <c:manualLayout>
                  <c:x val="-3.7113457792674005E-2"/>
                  <c:y val="6.07351686721172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60B9-493C-84D2-B43E638FD155}"/>
                </c:ext>
              </c:extLst>
            </c:dLbl>
            <c:dLbl>
              <c:idx val="17"/>
              <c:layout>
                <c:manualLayout>
                  <c:x val="-8.3582086932829178E-3"/>
                  <c:y val="-3.31282526390109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60B9-493C-84D2-B43E638FD155}"/>
                </c:ext>
              </c:extLst>
            </c:dLbl>
            <c:dLbl>
              <c:idx val="18"/>
              <c:layout>
                <c:manualLayout>
                  <c:x val="-3.3127627980207686E-2"/>
                  <c:y val="8.1934773556351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60B9-493C-84D2-B43E638FD155}"/>
                </c:ext>
              </c:extLst>
            </c:dLbl>
            <c:dLbl>
              <c:idx val="19"/>
              <c:layout>
                <c:manualLayout>
                  <c:x val="1.3930347822136153E-3"/>
                  <c:y val="3.86496280788460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60B9-493C-84D2-B43E638FD155}"/>
                </c:ext>
              </c:extLst>
            </c:dLbl>
            <c:dLbl>
              <c:idx val="20"/>
              <c:layout>
                <c:manualLayout>
                  <c:x val="-3.4825869555345494E-2"/>
                  <c:y val="-6.62565052780219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60B9-493C-84D2-B43E638FD155}"/>
                </c:ext>
              </c:extLst>
            </c:dLbl>
            <c:numFmt formatCode="&quot;$&quot;\ 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Hoja8!$B$2:$B$22</c:f>
              <c:numCache>
                <c:formatCode>[$-240A]d" de "mmmm" de "yyyy;@</c:formatCode>
                <c:ptCount val="21"/>
                <c:pt idx="0">
                  <c:v>46009</c:v>
                </c:pt>
                <c:pt idx="1">
                  <c:v>46010</c:v>
                </c:pt>
                <c:pt idx="2">
                  <c:v>46013</c:v>
                </c:pt>
                <c:pt idx="3">
                  <c:v>46014</c:v>
                </c:pt>
                <c:pt idx="4">
                  <c:v>46015</c:v>
                </c:pt>
                <c:pt idx="5">
                  <c:v>46017</c:v>
                </c:pt>
                <c:pt idx="6">
                  <c:v>46020</c:v>
                </c:pt>
                <c:pt idx="7">
                  <c:v>46021</c:v>
                </c:pt>
                <c:pt idx="8">
                  <c:v>46024</c:v>
                </c:pt>
                <c:pt idx="9">
                  <c:v>46027</c:v>
                </c:pt>
                <c:pt idx="10">
                  <c:v>46028</c:v>
                </c:pt>
                <c:pt idx="11">
                  <c:v>46029</c:v>
                </c:pt>
                <c:pt idx="12">
                  <c:v>46031</c:v>
                </c:pt>
                <c:pt idx="13">
                  <c:v>46035</c:v>
                </c:pt>
                <c:pt idx="14">
                  <c:v>46038</c:v>
                </c:pt>
                <c:pt idx="15">
                  <c:v>46042</c:v>
                </c:pt>
                <c:pt idx="16">
                  <c:v>46044</c:v>
                </c:pt>
                <c:pt idx="17">
                  <c:v>46045</c:v>
                </c:pt>
                <c:pt idx="18">
                  <c:v>46049</c:v>
                </c:pt>
                <c:pt idx="19">
                  <c:v>46050</c:v>
                </c:pt>
                <c:pt idx="20">
                  <c:v>46052</c:v>
                </c:pt>
              </c:numCache>
            </c:numRef>
          </c:cat>
          <c:val>
            <c:numRef>
              <c:f>Hoja8!$D$2:$D$22</c:f>
              <c:numCache>
                <c:formatCode>_("$"* #,##0.00_);_("$"* \(#,##0.00\);_("$"* "-"??_);_(@_)</c:formatCode>
                <c:ptCount val="21"/>
                <c:pt idx="0">
                  <c:v>9861935369</c:v>
                </c:pt>
                <c:pt idx="1">
                  <c:v>10355935369</c:v>
                </c:pt>
                <c:pt idx="2">
                  <c:v>15555935369</c:v>
                </c:pt>
                <c:pt idx="3">
                  <c:v>15835935369</c:v>
                </c:pt>
                <c:pt idx="4">
                  <c:v>15867435369</c:v>
                </c:pt>
                <c:pt idx="5">
                  <c:v>16942720369</c:v>
                </c:pt>
                <c:pt idx="6">
                  <c:v>17330720369</c:v>
                </c:pt>
                <c:pt idx="7">
                  <c:v>17812720369</c:v>
                </c:pt>
                <c:pt idx="8">
                  <c:v>17962720369</c:v>
                </c:pt>
                <c:pt idx="9">
                  <c:v>18260720369</c:v>
                </c:pt>
                <c:pt idx="10">
                  <c:v>18500720369</c:v>
                </c:pt>
                <c:pt idx="11">
                  <c:v>18633720369</c:v>
                </c:pt>
                <c:pt idx="12">
                  <c:v>18833720369</c:v>
                </c:pt>
                <c:pt idx="13">
                  <c:v>19033720369</c:v>
                </c:pt>
                <c:pt idx="14">
                  <c:v>19400420369</c:v>
                </c:pt>
                <c:pt idx="15">
                  <c:v>19582420369</c:v>
                </c:pt>
                <c:pt idx="16">
                  <c:v>19852420369</c:v>
                </c:pt>
                <c:pt idx="17">
                  <c:v>20298420369</c:v>
                </c:pt>
                <c:pt idx="18">
                  <c:v>20648420369</c:v>
                </c:pt>
                <c:pt idx="19">
                  <c:v>21186020369</c:v>
                </c:pt>
                <c:pt idx="20">
                  <c:v>21536320369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5-60B9-493C-84D2-B43E638FD1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59236719"/>
        <c:axId val="1559238383"/>
        <c:extLst>
          <c:ext xmlns:c15="http://schemas.microsoft.com/office/drawing/2012/chart" uri="{02D57815-91ED-43cb-92C2-25804820EDAC}">
            <c15:filteredLineSeries>
              <c15:ser>
                <c:idx val="0"/>
                <c:order val="0"/>
                <c:spPr>
                  <a:ln w="28575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>
                      <c:ext uri="{02D57815-91ED-43cb-92C2-25804820EDAC}">
                        <c15:formulaRef>
                          <c15:sqref>Hoja8!$B$2:$B$22</c15:sqref>
                        </c15:formulaRef>
                      </c:ext>
                    </c:extLst>
                    <c:numCache>
                      <c:formatCode>[$-240A]d" de "mmmm" de "yyyy;@</c:formatCode>
                      <c:ptCount val="21"/>
                      <c:pt idx="0">
                        <c:v>46009</c:v>
                      </c:pt>
                      <c:pt idx="1">
                        <c:v>46010</c:v>
                      </c:pt>
                      <c:pt idx="2">
                        <c:v>46013</c:v>
                      </c:pt>
                      <c:pt idx="3">
                        <c:v>46014</c:v>
                      </c:pt>
                      <c:pt idx="4">
                        <c:v>46015</c:v>
                      </c:pt>
                      <c:pt idx="5">
                        <c:v>46017</c:v>
                      </c:pt>
                      <c:pt idx="6">
                        <c:v>46020</c:v>
                      </c:pt>
                      <c:pt idx="7">
                        <c:v>46021</c:v>
                      </c:pt>
                      <c:pt idx="8">
                        <c:v>46024</c:v>
                      </c:pt>
                      <c:pt idx="9">
                        <c:v>46027</c:v>
                      </c:pt>
                      <c:pt idx="10">
                        <c:v>46028</c:v>
                      </c:pt>
                      <c:pt idx="11">
                        <c:v>46029</c:v>
                      </c:pt>
                      <c:pt idx="12">
                        <c:v>46031</c:v>
                      </c:pt>
                      <c:pt idx="13">
                        <c:v>46035</c:v>
                      </c:pt>
                      <c:pt idx="14">
                        <c:v>46038</c:v>
                      </c:pt>
                      <c:pt idx="15">
                        <c:v>46042</c:v>
                      </c:pt>
                      <c:pt idx="16">
                        <c:v>46044</c:v>
                      </c:pt>
                      <c:pt idx="17">
                        <c:v>46045</c:v>
                      </c:pt>
                      <c:pt idx="18">
                        <c:v>46049</c:v>
                      </c:pt>
                      <c:pt idx="19">
                        <c:v>46050</c:v>
                      </c:pt>
                      <c:pt idx="20">
                        <c:v>46052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Hoja8!$C$2:$C$22</c15:sqref>
                        </c15:formulaRef>
                      </c:ext>
                    </c:extLst>
                    <c:numCache>
                      <c:formatCode>_("$"* #,##0.00_);_("$"* \(#,##0.00\);_("$"* "-"??_);_(@_)</c:formatCode>
                      <c:ptCount val="21"/>
                      <c:pt idx="0">
                        <c:v>9861935369</c:v>
                      </c:pt>
                      <c:pt idx="1">
                        <c:v>494000000</c:v>
                      </c:pt>
                      <c:pt idx="2">
                        <c:v>5200000000</c:v>
                      </c:pt>
                      <c:pt idx="3">
                        <c:v>280000000</c:v>
                      </c:pt>
                      <c:pt idx="4">
                        <c:v>31500000</c:v>
                      </c:pt>
                      <c:pt idx="5">
                        <c:v>1075285000</c:v>
                      </c:pt>
                      <c:pt idx="6">
                        <c:v>388000000</c:v>
                      </c:pt>
                      <c:pt idx="7">
                        <c:v>482000000</c:v>
                      </c:pt>
                      <c:pt idx="8">
                        <c:v>150000000</c:v>
                      </c:pt>
                      <c:pt idx="9">
                        <c:v>298000000</c:v>
                      </c:pt>
                      <c:pt idx="10">
                        <c:v>240000000</c:v>
                      </c:pt>
                      <c:pt idx="11">
                        <c:v>133000000</c:v>
                      </c:pt>
                      <c:pt idx="12">
                        <c:v>200000000</c:v>
                      </c:pt>
                      <c:pt idx="13">
                        <c:v>200000000</c:v>
                      </c:pt>
                      <c:pt idx="14">
                        <c:v>366700000</c:v>
                      </c:pt>
                      <c:pt idx="15">
                        <c:v>182000000</c:v>
                      </c:pt>
                      <c:pt idx="16">
                        <c:v>270000000</c:v>
                      </c:pt>
                      <c:pt idx="17">
                        <c:v>446000000</c:v>
                      </c:pt>
                      <c:pt idx="18">
                        <c:v>350000000</c:v>
                      </c:pt>
                      <c:pt idx="19">
                        <c:v>537600000</c:v>
                      </c:pt>
                      <c:pt idx="20">
                        <c:v>350300000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16-60B9-493C-84D2-B43E638FD155}"/>
                  </c:ext>
                </c:extLst>
              </c15:ser>
            </c15:filteredLineSeries>
          </c:ext>
        </c:extLst>
      </c:lineChart>
      <c:dateAx>
        <c:axId val="1559236719"/>
        <c:scaling>
          <c:orientation val="minMax"/>
        </c:scaling>
        <c:delete val="0"/>
        <c:axPos val="b"/>
        <c:numFmt formatCode="[$-240A]d&quot; de &quot;mmmm&quot; de &quot;yyyy;@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559238383"/>
        <c:crosses val="autoZero"/>
        <c:auto val="1"/>
        <c:lblOffset val="100"/>
        <c:baseTimeUnit val="days"/>
      </c:dateAx>
      <c:valAx>
        <c:axId val="15592383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_(&quot;$&quot;* #,##0_);_(&quot;$&quot;* \(#,##0\);_(&quot;$&quot;* &quot;-&quot;_);_(@_)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1559236719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D30D1D9A08B6B489401890484F375CC" ma:contentTypeVersion="11" ma:contentTypeDescription="Crear nuevo documento." ma:contentTypeScope="" ma:versionID="6538e334e7de8826856c8f34e46cdf82">
  <xsd:schema xmlns:xsd="http://www.w3.org/2001/XMLSchema" xmlns:xs="http://www.w3.org/2001/XMLSchema" xmlns:p="http://schemas.microsoft.com/office/2006/metadata/properties" xmlns:ns3="98f7d871-4d63-483b-a6ad-a1365443ddb7" targetNamespace="http://schemas.microsoft.com/office/2006/metadata/properties" ma:root="true" ma:fieldsID="238ced4b2b07ff26de7e49d3104c2e89" ns3:_="">
    <xsd:import namespace="98f7d871-4d63-483b-a6ad-a1365443dd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7d871-4d63-483b-a6ad-a1365443dd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f7d871-4d63-483b-a6ad-a1365443ddb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8610A6-1162-4D70-AD64-5FD32B3EE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f7d871-4d63-483b-a6ad-a1365443d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E3994F-0E58-49A7-876C-C39DB0F3C61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3563A9-F1BD-4ACD-8BB6-C3FD9C945BA4}">
  <ds:schemaRefs>
    <ds:schemaRef ds:uri="http://schemas.microsoft.com/office/2006/metadata/properties"/>
    <ds:schemaRef ds:uri="http://schemas.microsoft.com/office/infopath/2007/PartnerControls"/>
    <ds:schemaRef ds:uri="98f7d871-4d63-483b-a6ad-a1365443ddb7"/>
  </ds:schemaRefs>
</ds:datastoreItem>
</file>

<file path=customXml/itemProps4.xml><?xml version="1.0" encoding="utf-8"?>
<ds:datastoreItem xmlns:ds="http://schemas.openxmlformats.org/officeDocument/2006/customXml" ds:itemID="{3BF569A2-218A-4376-9D96-B6FD319A21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816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Orozco Giraldo</dc:creator>
  <cp:keywords/>
  <dc:description/>
  <cp:lastModifiedBy>Angie Lorena Murcia Currea - Cont</cp:lastModifiedBy>
  <cp:revision>8</cp:revision>
  <dcterms:created xsi:type="dcterms:W3CDTF">2026-03-26T12:35:00Z</dcterms:created>
  <dcterms:modified xsi:type="dcterms:W3CDTF">2026-04-07T15:02:00Z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30ae86aa-7763-4a15-b993-0884f858e0a5</vt:lpwstr>
  </property>
  <property fmtid="{D5CDD505-2E9C-101B-9397-08002B2CF9AE}" pid="3" name="ContentTypeId">
    <vt:lpwstr>0x010100BD30D1D9A08B6B489401890484F375CC</vt:lpwstr>
  </property>
</Properties>
</file>