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F708E" w14:textId="25534CC4" w:rsidR="00B829C1" w:rsidRDefault="00B829C1" w:rsidP="0019019D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</w:p>
    <w:p w14:paraId="34FF6A08" w14:textId="06D29AC1" w:rsidR="007B269E" w:rsidRPr="0009005D" w:rsidRDefault="00AB5259" w:rsidP="0019019D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  <w:r w:rsidRPr="0009005D">
        <w:rPr>
          <w:rFonts w:ascii="Verdana" w:hAnsi="Verdana"/>
          <w:b/>
          <w:bCs/>
          <w:color w:val="8A0000"/>
          <w:lang w:val="es-CO"/>
        </w:rPr>
        <w:t>Infor</w:t>
      </w:r>
      <w:r w:rsidR="00812073" w:rsidRPr="0009005D">
        <w:rPr>
          <w:rFonts w:ascii="Verdana" w:hAnsi="Verdana"/>
          <w:b/>
          <w:bCs/>
          <w:color w:val="8A0000"/>
          <w:lang w:val="es-CO"/>
        </w:rPr>
        <w:t>me</w:t>
      </w:r>
      <w:r w:rsidRPr="0009005D">
        <w:rPr>
          <w:rFonts w:ascii="Verdana" w:hAnsi="Verdana"/>
          <w:b/>
          <w:bCs/>
          <w:color w:val="8A0000"/>
          <w:lang w:val="es-CO"/>
        </w:rPr>
        <w:t xml:space="preserve"> sobre línea</w:t>
      </w:r>
      <w:r w:rsidR="00812073" w:rsidRPr="0009005D">
        <w:rPr>
          <w:rFonts w:ascii="Verdana" w:hAnsi="Verdana"/>
          <w:b/>
          <w:bCs/>
          <w:color w:val="8A0000"/>
          <w:lang w:val="es-CO"/>
        </w:rPr>
        <w:t xml:space="preserve"> de crédito sector Agroindustrial se Transforma</w:t>
      </w:r>
    </w:p>
    <w:p w14:paraId="0AE79906" w14:textId="768E261B" w:rsidR="0049350E" w:rsidRPr="0009005D" w:rsidRDefault="0049350E" w:rsidP="0019019D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  <w:r w:rsidRPr="0009005D">
        <w:rPr>
          <w:rFonts w:ascii="Verdana" w:hAnsi="Verdana"/>
          <w:b/>
          <w:bCs/>
          <w:color w:val="8A0000"/>
          <w:lang w:val="es-CO"/>
        </w:rPr>
        <w:t>Dirección de MiPymes</w:t>
      </w:r>
      <w:r w:rsidR="00AB5259" w:rsidRPr="0009005D">
        <w:rPr>
          <w:rFonts w:ascii="Verdana" w:hAnsi="Verdana"/>
          <w:b/>
          <w:bCs/>
          <w:color w:val="8A0000"/>
          <w:lang w:val="es-CO"/>
        </w:rPr>
        <w:t xml:space="preserve"> – Inclusión financiera</w:t>
      </w:r>
    </w:p>
    <w:p w14:paraId="38E31133" w14:textId="6250EEFA" w:rsidR="00812073" w:rsidRDefault="007E6F56" w:rsidP="00812073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  <w:r>
        <w:rPr>
          <w:rFonts w:ascii="Verdana" w:hAnsi="Verdana"/>
          <w:b/>
          <w:bCs/>
          <w:color w:val="8A0000"/>
          <w:lang w:val="es-CO"/>
        </w:rPr>
        <w:t>marzo</w:t>
      </w:r>
      <w:r w:rsidR="00812073" w:rsidRPr="0009005D">
        <w:rPr>
          <w:rFonts w:ascii="Verdana" w:hAnsi="Verdana"/>
          <w:b/>
          <w:bCs/>
          <w:color w:val="8A0000"/>
          <w:lang w:val="es-CO"/>
        </w:rPr>
        <w:t xml:space="preserve"> de 2026</w:t>
      </w:r>
    </w:p>
    <w:p w14:paraId="1AC73C80" w14:textId="77777777" w:rsidR="00BC7570" w:rsidRDefault="00BC7570" w:rsidP="00812073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</w:p>
    <w:p w14:paraId="0BA0A2B9" w14:textId="77777777" w:rsidR="006657C1" w:rsidRPr="006657C1" w:rsidRDefault="006657C1" w:rsidP="006657C1">
      <w:pPr>
        <w:spacing w:after="0"/>
        <w:jc w:val="both"/>
        <w:rPr>
          <w:rFonts w:ascii="Verdana" w:hAnsi="Verdana" w:cs="Arial"/>
        </w:rPr>
      </w:pPr>
      <w:r w:rsidRPr="006657C1">
        <w:rPr>
          <w:rFonts w:ascii="Verdana" w:hAnsi="Verdana" w:cs="Arial"/>
        </w:rPr>
        <w:t>Esta línea de crédito tiene como propósito ofrecer una solución financiera que apoye la actividad del sector agroindustrial, promoviendo la adopción tecnológica y el aumento de la capacidad productiva del tejido empresarial, en el marco de los procesos de sofisticación de productos y con miras a fortalecer su participación en el mercado internacional.</w:t>
      </w:r>
    </w:p>
    <w:p w14:paraId="2C8F397F" w14:textId="311AD7A6" w:rsidR="006657C1" w:rsidRPr="006657C1" w:rsidRDefault="006657C1" w:rsidP="006657C1">
      <w:pPr>
        <w:spacing w:after="0"/>
        <w:jc w:val="both"/>
        <w:rPr>
          <w:rFonts w:ascii="Verdana" w:hAnsi="Verdana" w:cs="Arial"/>
        </w:rPr>
      </w:pPr>
    </w:p>
    <w:p w14:paraId="0D9D9003" w14:textId="6319ACC9" w:rsidR="006657C1" w:rsidRPr="006657C1" w:rsidRDefault="006657C1" w:rsidP="006657C1">
      <w:pPr>
        <w:spacing w:after="0"/>
        <w:jc w:val="both"/>
        <w:rPr>
          <w:rFonts w:ascii="Verdana" w:hAnsi="Verdana" w:cs="Arial"/>
        </w:rPr>
      </w:pPr>
      <w:r w:rsidRPr="006657C1">
        <w:rPr>
          <w:rFonts w:ascii="Verdana" w:hAnsi="Verdana" w:cs="Arial"/>
        </w:rPr>
        <w:t>Los beneficiarios pueden ser personas naturales o jurídicas clasificadas como micro, pequeñas y medianas empresas (</w:t>
      </w:r>
      <w:r w:rsidR="009A5A34" w:rsidRPr="006657C1">
        <w:rPr>
          <w:rFonts w:ascii="Verdana" w:hAnsi="Verdana" w:cs="Arial"/>
        </w:rPr>
        <w:t>MiPymes</w:t>
      </w:r>
      <w:r w:rsidRPr="006657C1">
        <w:rPr>
          <w:rFonts w:ascii="Verdana" w:hAnsi="Verdana" w:cs="Arial"/>
        </w:rPr>
        <w:t>), pertenecientes a los códigos CIIU específicos del sector agroindustrial.</w:t>
      </w:r>
    </w:p>
    <w:p w14:paraId="6FC1F4DC" w14:textId="6D728691" w:rsidR="00C67741" w:rsidRDefault="00D112C6" w:rsidP="006657C1">
      <w:pPr>
        <w:spacing w:after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44314711" w14:textId="4CE74760" w:rsidR="00FC5534" w:rsidRDefault="006657C1" w:rsidP="00FC5534">
      <w:pPr>
        <w:spacing w:after="0"/>
        <w:jc w:val="both"/>
        <w:rPr>
          <w:rFonts w:ascii="Verdana" w:hAnsi="Verdana" w:cs="Arial"/>
        </w:rPr>
      </w:pPr>
      <w:r w:rsidRPr="006657C1">
        <w:rPr>
          <w:rFonts w:ascii="Verdana" w:hAnsi="Verdana" w:cs="Arial"/>
        </w:rPr>
        <w:t>La inversión realizada por el MinCIT asciende a $</w:t>
      </w:r>
      <w:r w:rsidR="00C67741" w:rsidRPr="00C67741">
        <w:rPr>
          <w:rFonts w:ascii="Verdana" w:hAnsi="Verdana" w:cs="Arial"/>
        </w:rPr>
        <w:t xml:space="preserve"> 4.645</w:t>
      </w:r>
      <w:r w:rsidR="00A2276A">
        <w:rPr>
          <w:rFonts w:ascii="Verdana" w:hAnsi="Verdana" w:cs="Arial"/>
        </w:rPr>
        <w:t xml:space="preserve"> </w:t>
      </w:r>
      <w:r w:rsidRPr="006657C1">
        <w:rPr>
          <w:rFonts w:ascii="Verdana" w:hAnsi="Verdana" w:cs="Arial"/>
        </w:rPr>
        <w:t>millones</w:t>
      </w:r>
      <w:r w:rsidR="00FC5534">
        <w:rPr>
          <w:rFonts w:ascii="Verdana" w:hAnsi="Verdana"/>
          <w:color w:val="000000" w:themeColor="text1"/>
        </w:rPr>
        <w:t xml:space="preserve">. En </w:t>
      </w:r>
      <w:r w:rsidR="00FC5534" w:rsidRPr="00E757BA">
        <w:rPr>
          <w:rFonts w:ascii="Verdana" w:hAnsi="Verdana"/>
          <w:color w:val="000000" w:themeColor="text1"/>
        </w:rPr>
        <w:t>el marco de la línea de crédito, se han desembolsado</w:t>
      </w:r>
      <w:r w:rsidR="00C67741">
        <w:rPr>
          <w:rFonts w:ascii="Verdana" w:hAnsi="Verdana" w:cs="Arial"/>
        </w:rPr>
        <w:t xml:space="preserve"> $</w:t>
      </w:r>
      <w:r w:rsidR="007E6F56">
        <w:rPr>
          <w:rFonts w:ascii="Verdana" w:hAnsi="Verdana" w:cs="Arial"/>
        </w:rPr>
        <w:t xml:space="preserve">58.913 </w:t>
      </w:r>
      <w:r w:rsidR="00A2276A">
        <w:rPr>
          <w:rFonts w:ascii="Verdana" w:hAnsi="Verdana" w:cs="Arial"/>
        </w:rPr>
        <w:t>millones</w:t>
      </w:r>
      <w:r w:rsidR="00C67741">
        <w:rPr>
          <w:rFonts w:ascii="Verdana" w:hAnsi="Verdana" w:cs="Arial"/>
        </w:rPr>
        <w:t xml:space="preserve"> </w:t>
      </w:r>
      <w:r w:rsidR="00FC5534">
        <w:rPr>
          <w:rFonts w:ascii="Verdana" w:hAnsi="Verdana" w:cs="Arial"/>
        </w:rPr>
        <w:t>correspondientes a</w:t>
      </w:r>
      <w:r w:rsidR="00C67741">
        <w:rPr>
          <w:rFonts w:ascii="Verdana" w:hAnsi="Verdana" w:cs="Arial"/>
        </w:rPr>
        <w:t xml:space="preserve"> 1</w:t>
      </w:r>
      <w:r w:rsidR="006D2CA3">
        <w:rPr>
          <w:rFonts w:ascii="Verdana" w:hAnsi="Verdana" w:cs="Arial"/>
        </w:rPr>
        <w:t>.</w:t>
      </w:r>
      <w:r w:rsidR="00C67741">
        <w:rPr>
          <w:rFonts w:ascii="Verdana" w:hAnsi="Verdana" w:cs="Arial"/>
        </w:rPr>
        <w:t>0</w:t>
      </w:r>
      <w:r w:rsidR="007E6F56">
        <w:rPr>
          <w:rFonts w:ascii="Verdana" w:hAnsi="Verdana" w:cs="Arial"/>
        </w:rPr>
        <w:t>78</w:t>
      </w:r>
      <w:r w:rsidR="00C67741">
        <w:rPr>
          <w:rFonts w:ascii="Verdana" w:hAnsi="Verdana" w:cs="Arial"/>
        </w:rPr>
        <w:t xml:space="preserve"> operaciones de crédito</w:t>
      </w:r>
      <w:r w:rsidR="00FC5534">
        <w:rPr>
          <w:rFonts w:ascii="Verdana" w:hAnsi="Verdana" w:cs="Arial"/>
        </w:rPr>
        <w:t>.</w:t>
      </w:r>
    </w:p>
    <w:p w14:paraId="32B4A23D" w14:textId="77777777" w:rsidR="00FC5534" w:rsidRDefault="00FC5534" w:rsidP="00FC5534">
      <w:pPr>
        <w:spacing w:after="0"/>
        <w:jc w:val="both"/>
        <w:rPr>
          <w:rStyle w:val="normaltextrun"/>
          <w:rFonts w:ascii="Verdana" w:hAnsi="Verdana" w:cs="Segoe UI"/>
        </w:rPr>
      </w:pPr>
    </w:p>
    <w:p w14:paraId="54B9A671" w14:textId="51F5F2DE" w:rsidR="00FC5534" w:rsidRPr="00105187" w:rsidRDefault="00FC5534" w:rsidP="00FC5534">
      <w:pPr>
        <w:spacing w:after="0"/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rStyle w:val="normaltextrun"/>
          <w:rFonts w:ascii="Verdana" w:hAnsi="Verdana" w:cs="Segoe UI"/>
        </w:rPr>
        <w:t xml:space="preserve">De los $ </w:t>
      </w:r>
      <w:r w:rsidRPr="00FC5534">
        <w:rPr>
          <w:rStyle w:val="normaltextrun"/>
          <w:rFonts w:ascii="Verdana" w:hAnsi="Verdana" w:cs="Segoe UI"/>
        </w:rPr>
        <w:t>4.645</w:t>
      </w:r>
      <w:r>
        <w:rPr>
          <w:rStyle w:val="normaltextrun"/>
          <w:rFonts w:ascii="Verdana" w:hAnsi="Verdana" w:cs="Segoe UI"/>
        </w:rPr>
        <w:t xml:space="preserve"> millones aportados por el Ministerio, se han utilizado </w:t>
      </w:r>
      <w:r w:rsidR="007E6F56" w:rsidRPr="007E6F56">
        <w:rPr>
          <w:rStyle w:val="normaltextrun"/>
          <w:rFonts w:ascii="Verdana" w:hAnsi="Verdana" w:cs="Segoe UI"/>
        </w:rPr>
        <w:t>$4.342.673.128</w:t>
      </w:r>
      <w:r>
        <w:rPr>
          <w:rStyle w:val="normaltextrun"/>
          <w:rFonts w:ascii="Verdana" w:hAnsi="Verdana" w:cs="Segoe UI"/>
        </w:rPr>
        <w:t xml:space="preserve">, lo que representa el </w:t>
      </w:r>
      <w:r w:rsidR="007E6F56">
        <w:rPr>
          <w:rStyle w:val="normaltextrun"/>
          <w:rFonts w:ascii="Verdana" w:hAnsi="Verdana" w:cs="Segoe UI"/>
        </w:rPr>
        <w:t>93,48</w:t>
      </w:r>
      <w:r w:rsidRPr="00FC5534">
        <w:rPr>
          <w:rStyle w:val="normaltextrun"/>
          <w:rFonts w:ascii="Verdana" w:hAnsi="Verdana" w:cs="Segoe UI"/>
        </w:rPr>
        <w:t>%</w:t>
      </w:r>
      <w:r>
        <w:rPr>
          <w:rStyle w:val="normaltextrun"/>
          <w:rFonts w:ascii="Verdana" w:hAnsi="Verdana" w:cs="Segoe UI"/>
        </w:rPr>
        <w:t xml:space="preserve"> del total aportado.</w:t>
      </w:r>
    </w:p>
    <w:p w14:paraId="7CC0DAA9" w14:textId="64239A28" w:rsidR="00C67741" w:rsidRPr="0009005D" w:rsidRDefault="00C67741" w:rsidP="00C67741">
      <w:pPr>
        <w:spacing w:after="0"/>
        <w:jc w:val="both"/>
        <w:rPr>
          <w:rFonts w:ascii="Verdana" w:hAnsi="Verdana" w:cs="Arial"/>
        </w:rPr>
      </w:pPr>
    </w:p>
    <w:p w14:paraId="13652FCC" w14:textId="41718E71" w:rsidR="008C7EF1" w:rsidRPr="00F426DC" w:rsidRDefault="00F426DC" w:rsidP="006657C1">
      <w:pPr>
        <w:jc w:val="both"/>
        <w:rPr>
          <w:rFonts w:ascii="Verdana" w:hAnsi="Verdana" w:cs="Arial"/>
          <w:b/>
          <w:bCs/>
        </w:rPr>
      </w:pPr>
      <w:r w:rsidRPr="00F426DC">
        <w:rPr>
          <w:rFonts w:ascii="Verdana" w:hAnsi="Verdana" w:cs="Arial"/>
          <w:b/>
          <w:bCs/>
        </w:rPr>
        <w:t>ENTIDADES INTERMEDIARIAS</w:t>
      </w:r>
    </w:p>
    <w:p w14:paraId="3E984C9C" w14:textId="2AEA8884" w:rsidR="00812073" w:rsidRDefault="000736BB" w:rsidP="001E3415">
      <w:pPr>
        <w:jc w:val="both"/>
        <w:rPr>
          <w:rFonts w:ascii="Verdana" w:hAnsi="Verdana" w:cs="Arial"/>
        </w:rPr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6C2D59EE" wp14:editId="097EA4DF">
            <wp:simplePos x="0" y="0"/>
            <wp:positionH relativeFrom="margin">
              <wp:align>left</wp:align>
            </wp:positionH>
            <wp:positionV relativeFrom="paragraph">
              <wp:posOffset>1359535</wp:posOffset>
            </wp:positionV>
            <wp:extent cx="5387340" cy="2797175"/>
            <wp:effectExtent l="0" t="0" r="3810" b="3175"/>
            <wp:wrapSquare wrapText="bothSides"/>
            <wp:docPr id="3" name="Gráfico 3">
              <a:extLst xmlns:a="http://schemas.openxmlformats.org/drawingml/2006/main">
                <a:ext uri="{FF2B5EF4-FFF2-40B4-BE49-F238E27FC236}">
                  <a16:creationId xmlns:a16="http://schemas.microsoft.com/office/drawing/2014/main" id="{D020BC9B-FE6A-468C-ABB9-0795E1BB43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EB2" w:rsidRPr="00105187">
        <w:rPr>
          <w:rFonts w:ascii="Verdana" w:hAnsi="Verdana" w:cs="Arial"/>
          <w:color w:val="000000" w:themeColor="text1"/>
        </w:rPr>
        <w:t>De los $</w:t>
      </w:r>
      <w:r w:rsidRPr="000736BB">
        <w:rPr>
          <w:rFonts w:ascii="Verdana" w:hAnsi="Verdana" w:cs="Arial"/>
          <w:color w:val="000000" w:themeColor="text1"/>
        </w:rPr>
        <w:t xml:space="preserve">58.913 </w:t>
      </w:r>
      <w:r w:rsidR="00786A3E">
        <w:rPr>
          <w:rFonts w:ascii="Verdana" w:hAnsi="Verdana" w:cs="Arial"/>
          <w:color w:val="000000" w:themeColor="text1"/>
        </w:rPr>
        <w:t xml:space="preserve">millones </w:t>
      </w:r>
      <w:r w:rsidR="008A2EB2" w:rsidRPr="00105187">
        <w:rPr>
          <w:rFonts w:ascii="Verdana" w:hAnsi="Verdana" w:cs="Arial"/>
          <w:color w:val="000000" w:themeColor="text1"/>
        </w:rPr>
        <w:t>el</w:t>
      </w:r>
      <w:r w:rsidR="00C52F48">
        <w:rPr>
          <w:rFonts w:ascii="Verdana" w:hAnsi="Verdana" w:cs="Arial"/>
          <w:color w:val="000000" w:themeColor="text1"/>
        </w:rPr>
        <w:t xml:space="preserve"> 3</w:t>
      </w:r>
      <w:r>
        <w:rPr>
          <w:rFonts w:ascii="Verdana" w:hAnsi="Verdana" w:cs="Arial"/>
          <w:color w:val="000000" w:themeColor="text1"/>
        </w:rPr>
        <w:t>6</w:t>
      </w:r>
      <w:r w:rsidR="00C52F48">
        <w:rPr>
          <w:rFonts w:ascii="Verdana" w:hAnsi="Verdana" w:cs="Arial"/>
          <w:color w:val="000000" w:themeColor="text1"/>
        </w:rPr>
        <w:t xml:space="preserve">% </w:t>
      </w:r>
      <w:r w:rsidR="00EF00CF">
        <w:rPr>
          <w:rFonts w:ascii="Verdana" w:hAnsi="Verdana" w:cs="Arial"/>
          <w:color w:val="000000" w:themeColor="text1"/>
        </w:rPr>
        <w:t>corresponde al</w:t>
      </w:r>
      <w:r w:rsidR="00C52F48" w:rsidRPr="00152BC3">
        <w:rPr>
          <w:rFonts w:ascii="Verdana" w:hAnsi="Verdana" w:cs="Arial"/>
        </w:rPr>
        <w:t xml:space="preserve"> Banco de Bogotá</w:t>
      </w:r>
      <w:r w:rsidR="00740217">
        <w:rPr>
          <w:rFonts w:ascii="Verdana" w:hAnsi="Verdana" w:cs="Arial"/>
        </w:rPr>
        <w:t xml:space="preserve"> del total desembolsado</w:t>
      </w:r>
      <w:r w:rsidR="00C52F48" w:rsidRPr="00152BC3">
        <w:rPr>
          <w:rFonts w:ascii="Verdana" w:hAnsi="Verdana" w:cs="Arial"/>
        </w:rPr>
        <w:t xml:space="preserve">, seguido por Bancolombia con el </w:t>
      </w:r>
      <w:r w:rsidR="006015F5">
        <w:rPr>
          <w:rFonts w:ascii="Verdana" w:hAnsi="Verdana" w:cs="Arial"/>
        </w:rPr>
        <w:t>2</w:t>
      </w:r>
      <w:r>
        <w:rPr>
          <w:rFonts w:ascii="Verdana" w:hAnsi="Verdana" w:cs="Arial"/>
        </w:rPr>
        <w:t>1</w:t>
      </w:r>
      <w:r w:rsidR="00C52F48" w:rsidRPr="00152BC3">
        <w:rPr>
          <w:rFonts w:ascii="Verdana" w:hAnsi="Verdana" w:cs="Arial"/>
        </w:rPr>
        <w:t>% y Davivienda con el 1</w:t>
      </w:r>
      <w:r>
        <w:rPr>
          <w:rFonts w:ascii="Verdana" w:hAnsi="Verdana" w:cs="Arial"/>
        </w:rPr>
        <w:t>2</w:t>
      </w:r>
      <w:r w:rsidR="00C52F48" w:rsidRPr="00152BC3">
        <w:rPr>
          <w:rFonts w:ascii="Verdana" w:hAnsi="Verdana" w:cs="Arial"/>
        </w:rPr>
        <w:t xml:space="preserve">%, evidenciando una alta concentración en estas tres entidades financieras. En un segundo nivel se encuentran </w:t>
      </w:r>
      <w:r w:rsidR="00BF10FF">
        <w:rPr>
          <w:rFonts w:ascii="Verdana" w:hAnsi="Verdana" w:cs="Arial"/>
        </w:rPr>
        <w:t>Banco</w:t>
      </w:r>
      <w:r w:rsidR="006015F5">
        <w:rPr>
          <w:rFonts w:ascii="Verdana" w:hAnsi="Verdana" w:cs="Arial"/>
        </w:rPr>
        <w:t xml:space="preserve"> de Occidente, Banco</w:t>
      </w:r>
      <w:r w:rsidR="00BF10FF">
        <w:rPr>
          <w:rFonts w:ascii="Verdana" w:hAnsi="Verdana" w:cs="Arial"/>
        </w:rPr>
        <w:t xml:space="preserve"> </w:t>
      </w:r>
      <w:r w:rsidR="00C52F48" w:rsidRPr="00152BC3">
        <w:rPr>
          <w:rFonts w:ascii="Verdana" w:hAnsi="Verdana" w:cs="Arial"/>
        </w:rPr>
        <w:t xml:space="preserve">Mundo Mujer, </w:t>
      </w:r>
      <w:r w:rsidR="006015F5">
        <w:rPr>
          <w:rFonts w:ascii="Verdana" w:hAnsi="Verdana" w:cs="Arial"/>
        </w:rPr>
        <w:t>co</w:t>
      </w:r>
      <w:r w:rsidR="00C52F48" w:rsidRPr="00152BC3">
        <w:rPr>
          <w:rFonts w:ascii="Verdana" w:hAnsi="Verdana" w:cs="Arial"/>
        </w:rPr>
        <w:t xml:space="preserve">n participaciones entre el </w:t>
      </w:r>
      <w:r w:rsidR="006015F5">
        <w:rPr>
          <w:rFonts w:ascii="Verdana" w:hAnsi="Verdana" w:cs="Arial"/>
        </w:rPr>
        <w:t>9</w:t>
      </w:r>
      <w:r w:rsidR="00C52F48" w:rsidRPr="00152BC3">
        <w:rPr>
          <w:rFonts w:ascii="Verdana" w:hAnsi="Verdana" w:cs="Arial"/>
        </w:rPr>
        <w:t>%</w:t>
      </w:r>
      <w:r w:rsidR="006015F5">
        <w:rPr>
          <w:rFonts w:ascii="Verdana" w:hAnsi="Verdana" w:cs="Arial"/>
        </w:rPr>
        <w:t xml:space="preserve"> y 6%</w:t>
      </w:r>
      <w:r w:rsidR="00884D57">
        <w:rPr>
          <w:rFonts w:ascii="Verdana" w:hAnsi="Verdana" w:cs="Arial"/>
        </w:rPr>
        <w:t xml:space="preserve">. </w:t>
      </w:r>
      <w:r w:rsidR="00C52F48" w:rsidRPr="00152BC3">
        <w:rPr>
          <w:rFonts w:ascii="Verdana" w:hAnsi="Verdana" w:cs="Arial"/>
        </w:rPr>
        <w:t xml:space="preserve">Las demás entidades, como cooperativas y otros bancos, presentan participaciones individuales inferiores al 5%, lo que refleja una menor contribución al total desembolsado. </w:t>
      </w:r>
      <w:r w:rsidR="008A2EB2" w:rsidRPr="00105187">
        <w:rPr>
          <w:rFonts w:ascii="Verdana" w:hAnsi="Verdana" w:cs="Arial"/>
          <w:color w:val="000000" w:themeColor="text1"/>
        </w:rPr>
        <w:t xml:space="preserve"> </w:t>
      </w:r>
    </w:p>
    <w:p w14:paraId="1E0AEE86" w14:textId="0328E395" w:rsidR="00E24CC1" w:rsidRPr="001E3415" w:rsidRDefault="000736BB" w:rsidP="00BC7570">
      <w:pPr>
        <w:jc w:val="both"/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 xml:space="preserve"> </w:t>
      </w:r>
      <w:r w:rsidR="00C945D7">
        <w:rPr>
          <w:rFonts w:ascii="Verdana" w:hAnsi="Verdana" w:cs="Arial"/>
          <w:i/>
          <w:iCs/>
        </w:rPr>
        <w:t>G</w:t>
      </w:r>
      <w:r w:rsidR="001E3415">
        <w:rPr>
          <w:rFonts w:ascii="Verdana" w:hAnsi="Verdana" w:cs="Arial"/>
          <w:i/>
          <w:iCs/>
        </w:rPr>
        <w:t>rafica</w:t>
      </w:r>
      <w:r w:rsidR="00E24CC1" w:rsidRPr="001E3415">
        <w:rPr>
          <w:rFonts w:ascii="Verdana" w:hAnsi="Verdana" w:cs="Arial"/>
          <w:i/>
          <w:iCs/>
        </w:rPr>
        <w:t xml:space="preserve"> 1: Aportes de Entidades Intermediarias</w:t>
      </w:r>
    </w:p>
    <w:p w14:paraId="0DAE5E95" w14:textId="06DD37BD" w:rsidR="008F0546" w:rsidRDefault="00026929" w:rsidP="008F0546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77184" behindDoc="0" locked="0" layoutInCell="1" allowOverlap="1" wp14:anchorId="3F3FFDDE" wp14:editId="4D90143E">
            <wp:simplePos x="0" y="0"/>
            <wp:positionH relativeFrom="margin">
              <wp:align>left</wp:align>
            </wp:positionH>
            <wp:positionV relativeFrom="paragraph">
              <wp:posOffset>286385</wp:posOffset>
            </wp:positionV>
            <wp:extent cx="5573395" cy="3437890"/>
            <wp:effectExtent l="0" t="0" r="8255" b="10160"/>
            <wp:wrapSquare wrapText="bothSides"/>
            <wp:docPr id="5" name="Gráfico 5">
              <a:extLst xmlns:a="http://schemas.openxmlformats.org/drawingml/2006/main">
                <a:ext uri="{FF2B5EF4-FFF2-40B4-BE49-F238E27FC236}">
                  <a16:creationId xmlns:a16="http://schemas.microsoft.com/office/drawing/2014/main" id="{4B7F489B-40A2-4879-B79A-FF432374B0A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</wp:anchor>
        </w:drawing>
      </w:r>
      <w:r w:rsidR="008F0546" w:rsidRPr="00105187">
        <w:rPr>
          <w:rFonts w:ascii="Verdana" w:hAnsi="Verdana" w:cs="Arial"/>
          <w:b/>
          <w:bCs/>
          <w:color w:val="000000" w:themeColor="text1"/>
        </w:rPr>
        <w:t>DISTRIBUCIÓN GEOGRÁFICA: DEPARTAMENTOS</w:t>
      </w:r>
    </w:p>
    <w:p w14:paraId="64674637" w14:textId="099DF5CC" w:rsidR="003F49ED" w:rsidRPr="001E3415" w:rsidRDefault="00026929" w:rsidP="003F49ED">
      <w:pPr>
        <w:jc w:val="both"/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 xml:space="preserve"> </w:t>
      </w:r>
      <w:r w:rsidR="003F49ED">
        <w:rPr>
          <w:rFonts w:ascii="Verdana" w:hAnsi="Verdana" w:cs="Arial"/>
          <w:i/>
          <w:iCs/>
        </w:rPr>
        <w:t>Grafica</w:t>
      </w:r>
      <w:r w:rsidR="003F49ED" w:rsidRPr="001E3415">
        <w:rPr>
          <w:rFonts w:ascii="Verdana" w:hAnsi="Verdana" w:cs="Arial"/>
          <w:i/>
          <w:iCs/>
        </w:rPr>
        <w:t xml:space="preserve"> </w:t>
      </w:r>
      <w:r w:rsidR="003F49ED">
        <w:rPr>
          <w:rFonts w:ascii="Verdana" w:hAnsi="Verdana" w:cs="Arial"/>
          <w:i/>
          <w:iCs/>
        </w:rPr>
        <w:t>2</w:t>
      </w:r>
      <w:r w:rsidR="003F49ED" w:rsidRPr="001E3415">
        <w:rPr>
          <w:rFonts w:ascii="Verdana" w:hAnsi="Verdana" w:cs="Arial"/>
          <w:i/>
          <w:iCs/>
        </w:rPr>
        <w:t xml:space="preserve">: </w:t>
      </w:r>
      <w:r w:rsidR="003F49ED">
        <w:rPr>
          <w:rFonts w:ascii="Verdana" w:hAnsi="Verdana" w:cs="Arial"/>
          <w:i/>
          <w:iCs/>
        </w:rPr>
        <w:t>Dese</w:t>
      </w:r>
      <w:r w:rsidR="008F5922">
        <w:rPr>
          <w:rFonts w:ascii="Verdana" w:hAnsi="Verdana" w:cs="Arial"/>
          <w:i/>
          <w:iCs/>
        </w:rPr>
        <w:t>mbolso principales Departamentos</w:t>
      </w:r>
    </w:p>
    <w:p w14:paraId="2466DB03" w14:textId="0C347844" w:rsidR="003515FD" w:rsidRDefault="003515FD" w:rsidP="00F426DC">
      <w:pPr>
        <w:jc w:val="both"/>
        <w:rPr>
          <w:rFonts w:ascii="Verdana" w:hAnsi="Verdana" w:cs="Arial"/>
        </w:rPr>
      </w:pPr>
      <w:r w:rsidRPr="003515FD">
        <w:rPr>
          <w:rFonts w:ascii="Verdana" w:hAnsi="Verdana" w:cs="Arial"/>
        </w:rPr>
        <w:t xml:space="preserve">Antioquia </w:t>
      </w:r>
      <w:r w:rsidR="00B34F09">
        <w:rPr>
          <w:rFonts w:ascii="Verdana" w:hAnsi="Verdana" w:cs="Arial"/>
        </w:rPr>
        <w:t>registra</w:t>
      </w:r>
      <w:r w:rsidRPr="003515FD">
        <w:rPr>
          <w:rFonts w:ascii="Verdana" w:hAnsi="Verdana" w:cs="Arial"/>
        </w:rPr>
        <w:t xml:space="preserve"> el mayor monto de desembolsos con $</w:t>
      </w:r>
      <w:r w:rsidR="00026929">
        <w:rPr>
          <w:rFonts w:ascii="Verdana" w:hAnsi="Verdana" w:cs="Arial"/>
        </w:rPr>
        <w:t>14.313</w:t>
      </w:r>
      <w:r w:rsidR="00C74059">
        <w:rPr>
          <w:rFonts w:ascii="Verdana" w:hAnsi="Verdana" w:cs="Arial"/>
        </w:rPr>
        <w:t xml:space="preserve"> millones</w:t>
      </w:r>
      <w:r w:rsidRPr="003515FD">
        <w:rPr>
          <w:rFonts w:ascii="Verdana" w:hAnsi="Verdana" w:cs="Arial"/>
        </w:rPr>
        <w:t>, seguido por Valle con $</w:t>
      </w:r>
      <w:r w:rsidR="00793209">
        <w:rPr>
          <w:rFonts w:ascii="Verdana" w:hAnsi="Verdana" w:cs="Arial"/>
        </w:rPr>
        <w:t>7</w:t>
      </w:r>
      <w:r w:rsidRPr="003515FD">
        <w:rPr>
          <w:rFonts w:ascii="Verdana" w:hAnsi="Verdana" w:cs="Arial"/>
        </w:rPr>
        <w:t>.</w:t>
      </w:r>
      <w:r w:rsidR="00026929">
        <w:rPr>
          <w:rFonts w:ascii="Verdana" w:hAnsi="Verdana" w:cs="Arial"/>
        </w:rPr>
        <w:t>609</w:t>
      </w:r>
      <w:r w:rsidR="00C74059">
        <w:rPr>
          <w:rFonts w:ascii="Verdana" w:hAnsi="Verdana" w:cs="Arial"/>
        </w:rPr>
        <w:t xml:space="preserve"> millones</w:t>
      </w:r>
      <w:r w:rsidRPr="003515FD">
        <w:rPr>
          <w:rFonts w:ascii="Verdana" w:hAnsi="Verdana" w:cs="Arial"/>
        </w:rPr>
        <w:t xml:space="preserve"> y Bogotá D.C. con $</w:t>
      </w:r>
      <w:r w:rsidR="00026929">
        <w:rPr>
          <w:rFonts w:ascii="Verdana" w:hAnsi="Verdana" w:cs="Arial"/>
        </w:rPr>
        <w:t>5.495</w:t>
      </w:r>
      <w:r w:rsidR="00C74059">
        <w:rPr>
          <w:rFonts w:ascii="Verdana" w:hAnsi="Verdana" w:cs="Arial"/>
        </w:rPr>
        <w:t xml:space="preserve"> millones</w:t>
      </w:r>
      <w:r w:rsidRPr="003515FD">
        <w:rPr>
          <w:rFonts w:ascii="Verdana" w:hAnsi="Verdana" w:cs="Arial"/>
        </w:rPr>
        <w:t xml:space="preserve">, evidenciando una alta concentración de los recursos en estos territorios. En un nivel intermedio se ubican </w:t>
      </w:r>
      <w:r w:rsidR="00793209">
        <w:rPr>
          <w:rFonts w:ascii="Verdana" w:hAnsi="Verdana" w:cs="Arial"/>
        </w:rPr>
        <w:t xml:space="preserve">Santander y </w:t>
      </w:r>
      <w:r w:rsidRPr="003515FD">
        <w:rPr>
          <w:rFonts w:ascii="Verdana" w:hAnsi="Verdana" w:cs="Arial"/>
        </w:rPr>
        <w:t xml:space="preserve">Cundinamarca, mientras que </w:t>
      </w:r>
      <w:r w:rsidR="00026929">
        <w:rPr>
          <w:rFonts w:ascii="Verdana" w:hAnsi="Verdana" w:cs="Arial"/>
        </w:rPr>
        <w:t xml:space="preserve">Atlántico, Risaralda, </w:t>
      </w:r>
      <w:r w:rsidR="00793209" w:rsidRPr="003515FD">
        <w:rPr>
          <w:rFonts w:ascii="Verdana" w:hAnsi="Verdana" w:cs="Arial"/>
        </w:rPr>
        <w:t>Nariño</w:t>
      </w:r>
      <w:r w:rsidR="00793209">
        <w:rPr>
          <w:rFonts w:ascii="Verdana" w:hAnsi="Verdana" w:cs="Arial"/>
        </w:rPr>
        <w:t xml:space="preserve">, </w:t>
      </w:r>
      <w:r w:rsidRPr="003515FD">
        <w:rPr>
          <w:rFonts w:ascii="Verdana" w:hAnsi="Verdana" w:cs="Arial"/>
        </w:rPr>
        <w:t>Huila y Bolívar</w:t>
      </w:r>
      <w:r w:rsidR="000B02A7">
        <w:rPr>
          <w:rFonts w:ascii="Verdana" w:hAnsi="Verdana" w:cs="Arial"/>
        </w:rPr>
        <w:t>, Norte de Santander y Tolima</w:t>
      </w:r>
      <w:r w:rsidRPr="003515FD">
        <w:rPr>
          <w:rFonts w:ascii="Verdana" w:hAnsi="Verdana" w:cs="Arial"/>
        </w:rPr>
        <w:t xml:space="preserve"> presentan los menores montos, todos por debajo de $</w:t>
      </w:r>
      <w:r w:rsidR="00026929">
        <w:rPr>
          <w:rFonts w:ascii="Verdana" w:hAnsi="Verdana" w:cs="Arial"/>
        </w:rPr>
        <w:t>4.000</w:t>
      </w:r>
      <w:r w:rsidR="00C74059">
        <w:rPr>
          <w:rFonts w:ascii="Verdana" w:hAnsi="Verdana" w:cs="Arial"/>
        </w:rPr>
        <w:t xml:space="preserve"> millones</w:t>
      </w:r>
      <w:r w:rsidR="000B02A7">
        <w:rPr>
          <w:rFonts w:ascii="Verdana" w:hAnsi="Verdana" w:cs="Arial"/>
        </w:rPr>
        <w:t>.</w:t>
      </w:r>
    </w:p>
    <w:p w14:paraId="1AC254CA" w14:textId="53F68E29" w:rsidR="00EE45B8" w:rsidRPr="00105187" w:rsidRDefault="00026929" w:rsidP="00EE45B8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8208" behindDoc="0" locked="0" layoutInCell="1" allowOverlap="1" wp14:anchorId="3AFE4654" wp14:editId="21326C78">
            <wp:simplePos x="0" y="0"/>
            <wp:positionH relativeFrom="margin">
              <wp:align>left</wp:align>
            </wp:positionH>
            <wp:positionV relativeFrom="paragraph">
              <wp:posOffset>226060</wp:posOffset>
            </wp:positionV>
            <wp:extent cx="5692775" cy="3187700"/>
            <wp:effectExtent l="0" t="0" r="3175" b="12700"/>
            <wp:wrapSquare wrapText="bothSides"/>
            <wp:docPr id="6" name="Gráfico 6">
              <a:extLst xmlns:a="http://schemas.openxmlformats.org/drawingml/2006/main">
                <a:ext uri="{FF2B5EF4-FFF2-40B4-BE49-F238E27FC236}">
                  <a16:creationId xmlns:a16="http://schemas.microsoft.com/office/drawing/2014/main" id="{274A883F-785C-4D19-A70D-6960A7FD2D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</wp:anchor>
        </w:drawing>
      </w:r>
      <w:r w:rsidR="00EE45B8" w:rsidRPr="00105187">
        <w:rPr>
          <w:rFonts w:ascii="Verdana" w:hAnsi="Verdana" w:cs="Arial"/>
          <w:b/>
          <w:bCs/>
          <w:color w:val="000000" w:themeColor="text1"/>
        </w:rPr>
        <w:t>DISTRIBUCIÓN POR MUNICIPIOS</w:t>
      </w:r>
    </w:p>
    <w:p w14:paraId="6240F5DF" w14:textId="7A85860C" w:rsidR="00105F03" w:rsidRDefault="00105F03" w:rsidP="00105F03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F03">
        <w:rPr>
          <w:rFonts w:ascii="Verdana" w:hAnsi="Verdana" w:cs="Arial"/>
          <w:i/>
          <w:iCs/>
          <w:color w:val="000000" w:themeColor="text1"/>
        </w:rPr>
        <w:t xml:space="preserve"> </w:t>
      </w:r>
      <w:r w:rsidR="00026929" w:rsidRPr="00105187">
        <w:rPr>
          <w:rFonts w:ascii="Verdana" w:hAnsi="Verdana" w:cs="Arial"/>
          <w:i/>
          <w:iCs/>
          <w:color w:val="000000" w:themeColor="text1"/>
        </w:rPr>
        <w:t xml:space="preserve"> </w:t>
      </w:r>
      <w:r w:rsidRPr="00105187">
        <w:rPr>
          <w:rFonts w:ascii="Verdana" w:hAnsi="Verdana" w:cs="Arial"/>
          <w:i/>
          <w:iCs/>
          <w:color w:val="000000" w:themeColor="text1"/>
        </w:rPr>
        <w:t>Grafica 3: Desembolso por Municipios</w:t>
      </w:r>
    </w:p>
    <w:p w14:paraId="726C3479" w14:textId="549F68FD" w:rsidR="00BC7570" w:rsidRDefault="005877A8" w:rsidP="00F426DC">
      <w:pPr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lastRenderedPageBreak/>
        <w:t xml:space="preserve">Bogotá </w:t>
      </w:r>
      <w:r w:rsidR="001557D1" w:rsidRPr="001557D1">
        <w:rPr>
          <w:rFonts w:ascii="Verdana" w:hAnsi="Verdana" w:cs="Arial"/>
          <w:color w:val="000000" w:themeColor="text1"/>
        </w:rPr>
        <w:t xml:space="preserve">registra el mayor monto </w:t>
      </w:r>
      <w:r w:rsidR="00DD62D6">
        <w:rPr>
          <w:rFonts w:ascii="Verdana" w:hAnsi="Verdana" w:cs="Arial"/>
          <w:color w:val="000000" w:themeColor="text1"/>
        </w:rPr>
        <w:t xml:space="preserve">con </w:t>
      </w:r>
      <w:r w:rsidR="00723F6F" w:rsidRPr="00723F6F">
        <w:rPr>
          <w:rFonts w:ascii="Verdana" w:hAnsi="Verdana" w:cs="Arial"/>
          <w:color w:val="000000" w:themeColor="text1"/>
        </w:rPr>
        <w:t xml:space="preserve">$ </w:t>
      </w:r>
      <w:r w:rsidR="00026929">
        <w:rPr>
          <w:rFonts w:ascii="Verdana" w:hAnsi="Verdana" w:cs="Arial"/>
          <w:color w:val="000000" w:themeColor="text1"/>
        </w:rPr>
        <w:t>5.495</w:t>
      </w:r>
      <w:r w:rsidR="00C74059">
        <w:rPr>
          <w:rFonts w:ascii="Verdana" w:hAnsi="Verdana" w:cs="Arial"/>
          <w:color w:val="000000" w:themeColor="text1"/>
        </w:rPr>
        <w:t xml:space="preserve"> </w:t>
      </w:r>
      <w:r w:rsidR="00C74059">
        <w:rPr>
          <w:rFonts w:ascii="Verdana" w:hAnsi="Verdana" w:cs="Arial"/>
        </w:rPr>
        <w:t>millones</w:t>
      </w:r>
      <w:r w:rsidR="001557D1" w:rsidRPr="001557D1">
        <w:rPr>
          <w:rFonts w:ascii="Verdana" w:hAnsi="Verdana" w:cs="Arial"/>
          <w:color w:val="000000" w:themeColor="text1"/>
        </w:rPr>
        <w:t>, seguido por</w:t>
      </w:r>
      <w:r w:rsidR="00DD62D6">
        <w:rPr>
          <w:rFonts w:ascii="Verdana" w:hAnsi="Verdana" w:cs="Arial"/>
          <w:color w:val="000000" w:themeColor="text1"/>
        </w:rPr>
        <w:t xml:space="preserve"> </w:t>
      </w:r>
      <w:r>
        <w:rPr>
          <w:rFonts w:ascii="Verdana" w:hAnsi="Verdana" w:cs="Arial"/>
          <w:color w:val="000000" w:themeColor="text1"/>
        </w:rPr>
        <w:t>Cali</w:t>
      </w:r>
      <w:r w:rsidR="00DD62D6">
        <w:rPr>
          <w:rFonts w:ascii="Verdana" w:hAnsi="Verdana" w:cs="Arial"/>
          <w:color w:val="000000" w:themeColor="text1"/>
        </w:rPr>
        <w:t xml:space="preserve">, con un monto </w:t>
      </w:r>
      <w:r w:rsidR="007B5CB7">
        <w:rPr>
          <w:rFonts w:ascii="Verdana" w:hAnsi="Verdana" w:cs="Arial"/>
          <w:color w:val="000000" w:themeColor="text1"/>
        </w:rPr>
        <w:t xml:space="preserve">de </w:t>
      </w:r>
      <w:r w:rsidR="007B5CB7" w:rsidRPr="00DE12F6">
        <w:rPr>
          <w:rFonts w:ascii="Verdana" w:hAnsi="Verdana" w:cs="Arial"/>
          <w:color w:val="000000" w:themeColor="text1"/>
        </w:rPr>
        <w:t>$</w:t>
      </w:r>
      <w:r w:rsidR="00DE12F6" w:rsidRPr="00DE12F6">
        <w:rPr>
          <w:rFonts w:ascii="Verdana" w:hAnsi="Verdana" w:cs="Arial"/>
          <w:color w:val="000000" w:themeColor="text1"/>
        </w:rPr>
        <w:t xml:space="preserve"> </w:t>
      </w:r>
      <w:r>
        <w:rPr>
          <w:rFonts w:ascii="Verdana" w:hAnsi="Verdana" w:cs="Arial"/>
          <w:color w:val="000000" w:themeColor="text1"/>
        </w:rPr>
        <w:t>4.3</w:t>
      </w:r>
      <w:r w:rsidR="00026929">
        <w:rPr>
          <w:rFonts w:ascii="Verdana" w:hAnsi="Verdana" w:cs="Arial"/>
          <w:color w:val="000000" w:themeColor="text1"/>
        </w:rPr>
        <w:t>69</w:t>
      </w:r>
      <w:r w:rsidR="00C74059">
        <w:rPr>
          <w:rFonts w:ascii="Verdana" w:hAnsi="Verdana" w:cs="Arial"/>
          <w:color w:val="000000" w:themeColor="text1"/>
        </w:rPr>
        <w:t xml:space="preserve"> </w:t>
      </w:r>
      <w:r w:rsidR="00C74059">
        <w:rPr>
          <w:rFonts w:ascii="Verdana" w:hAnsi="Verdana" w:cs="Arial"/>
        </w:rPr>
        <w:t>millones</w:t>
      </w:r>
      <w:r>
        <w:rPr>
          <w:rFonts w:ascii="Verdana" w:hAnsi="Verdana" w:cs="Arial"/>
          <w:color w:val="000000" w:themeColor="text1"/>
        </w:rPr>
        <w:t xml:space="preserve"> y Medellín con un monto de $ 3</w:t>
      </w:r>
      <w:r w:rsidR="00026929">
        <w:rPr>
          <w:rFonts w:ascii="Verdana" w:hAnsi="Verdana" w:cs="Arial"/>
          <w:color w:val="000000" w:themeColor="text1"/>
        </w:rPr>
        <w:t>.669</w:t>
      </w:r>
      <w:r>
        <w:rPr>
          <w:rFonts w:ascii="Verdana" w:hAnsi="Verdana" w:cs="Arial"/>
          <w:color w:val="000000" w:themeColor="text1"/>
        </w:rPr>
        <w:t xml:space="preserve"> millones lo que </w:t>
      </w:r>
      <w:r w:rsidR="006E5044">
        <w:rPr>
          <w:rFonts w:ascii="Verdana" w:hAnsi="Verdana" w:cs="Arial"/>
          <w:color w:val="000000" w:themeColor="text1"/>
        </w:rPr>
        <w:t xml:space="preserve">la suma de los tres municipios </w:t>
      </w:r>
      <w:r>
        <w:rPr>
          <w:rFonts w:ascii="Verdana" w:hAnsi="Verdana" w:cs="Arial"/>
          <w:color w:val="000000" w:themeColor="text1"/>
        </w:rPr>
        <w:t>representan el 23% d</w:t>
      </w:r>
      <w:r w:rsidR="000B02A7">
        <w:rPr>
          <w:rFonts w:ascii="Verdana" w:hAnsi="Verdana" w:cs="Arial"/>
          <w:color w:val="000000" w:themeColor="text1"/>
        </w:rPr>
        <w:t>el total de los desembolsos</w:t>
      </w:r>
      <w:r w:rsidR="001557D1" w:rsidRPr="001557D1">
        <w:rPr>
          <w:rFonts w:ascii="Verdana" w:hAnsi="Verdana" w:cs="Arial"/>
          <w:color w:val="000000" w:themeColor="text1"/>
        </w:rPr>
        <w:t xml:space="preserve">. En un segundo nivel se encuentran </w:t>
      </w:r>
      <w:r w:rsidR="00050B56">
        <w:rPr>
          <w:rFonts w:ascii="Verdana" w:hAnsi="Verdana" w:cs="Arial"/>
          <w:color w:val="000000" w:themeColor="text1"/>
        </w:rPr>
        <w:t>Itagüí,</w:t>
      </w:r>
      <w:r w:rsidR="00026929">
        <w:rPr>
          <w:rFonts w:ascii="Verdana" w:hAnsi="Verdana" w:cs="Arial"/>
          <w:color w:val="000000" w:themeColor="text1"/>
        </w:rPr>
        <w:t xml:space="preserve"> con 3.548 millones, seguido por </w:t>
      </w:r>
      <w:r>
        <w:rPr>
          <w:rFonts w:ascii="Verdana" w:hAnsi="Verdana" w:cs="Arial"/>
          <w:color w:val="000000" w:themeColor="text1"/>
        </w:rPr>
        <w:t>Bucaramanga,</w:t>
      </w:r>
      <w:r w:rsidR="00026929">
        <w:rPr>
          <w:rFonts w:ascii="Verdana" w:hAnsi="Verdana" w:cs="Arial"/>
          <w:color w:val="000000" w:themeColor="text1"/>
        </w:rPr>
        <w:t xml:space="preserve"> Barranquilla, Sabaneta,</w:t>
      </w:r>
      <w:r>
        <w:rPr>
          <w:rFonts w:ascii="Verdana" w:hAnsi="Verdana" w:cs="Arial"/>
          <w:color w:val="000000" w:themeColor="text1"/>
        </w:rPr>
        <w:t xml:space="preserve"> Cartagena, Pasto y Yumbo</w:t>
      </w:r>
      <w:r w:rsidR="001557D1" w:rsidRPr="001557D1">
        <w:rPr>
          <w:rFonts w:ascii="Verdana" w:hAnsi="Verdana" w:cs="Arial"/>
          <w:color w:val="000000" w:themeColor="text1"/>
        </w:rPr>
        <w:t xml:space="preserve"> con montos entre $</w:t>
      </w:r>
      <w:r w:rsidR="00026929">
        <w:rPr>
          <w:rFonts w:ascii="Verdana" w:hAnsi="Verdana" w:cs="Arial"/>
          <w:color w:val="000000" w:themeColor="text1"/>
        </w:rPr>
        <w:t>2.800 y $1.400</w:t>
      </w:r>
      <w:r w:rsidR="001557D1" w:rsidRPr="001557D1">
        <w:rPr>
          <w:rFonts w:ascii="Verdana" w:hAnsi="Verdana" w:cs="Arial"/>
          <w:color w:val="000000" w:themeColor="text1"/>
        </w:rPr>
        <w:t xml:space="preserve"> millones</w:t>
      </w:r>
      <w:r w:rsidR="006E5044">
        <w:rPr>
          <w:rFonts w:ascii="Verdana" w:hAnsi="Verdana" w:cs="Arial"/>
          <w:color w:val="000000" w:themeColor="text1"/>
        </w:rPr>
        <w:t xml:space="preserve"> y los demás municipios con desembolsos entre $1.000 y $1.300 aproximadamente</w:t>
      </w:r>
      <w:r w:rsidR="001557D1" w:rsidRPr="001557D1">
        <w:rPr>
          <w:rFonts w:ascii="Verdana" w:hAnsi="Verdana" w:cs="Arial"/>
          <w:color w:val="000000" w:themeColor="text1"/>
        </w:rPr>
        <w:t xml:space="preserve">. </w:t>
      </w:r>
    </w:p>
    <w:p w14:paraId="417CC080" w14:textId="05619766" w:rsidR="00825A85" w:rsidRDefault="00C74059" w:rsidP="00F426DC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rFonts w:ascii="Verdana" w:hAnsi="Verdana" w:cs="Arial"/>
          <w:b/>
          <w:bCs/>
          <w:color w:val="000000" w:themeColor="text1"/>
        </w:rPr>
        <w:t>SUBCUPOS</w:t>
      </w:r>
    </w:p>
    <w:p w14:paraId="6E814195" w14:textId="77777777" w:rsidR="00D112C6" w:rsidRPr="00D112C6" w:rsidRDefault="00D112C6" w:rsidP="00D112C6">
      <w:pPr>
        <w:jc w:val="both"/>
        <w:rPr>
          <w:rFonts w:ascii="Verdana" w:hAnsi="Verdana" w:cs="Arial"/>
          <w:color w:val="000000" w:themeColor="text1"/>
        </w:rPr>
      </w:pPr>
      <w:r w:rsidRPr="00D112C6">
        <w:rPr>
          <w:rFonts w:ascii="Verdana" w:hAnsi="Verdana" w:cs="Arial"/>
          <w:color w:val="000000" w:themeColor="text1"/>
        </w:rPr>
        <w:t>Subcupo 1:</w:t>
      </w:r>
    </w:p>
    <w:p w14:paraId="63228F98" w14:textId="39FB5710" w:rsidR="00D112C6" w:rsidRPr="00D112C6" w:rsidRDefault="00D112C6" w:rsidP="00D112C6">
      <w:pPr>
        <w:jc w:val="both"/>
        <w:rPr>
          <w:rFonts w:ascii="Verdana" w:hAnsi="Verdana" w:cs="Arial"/>
          <w:color w:val="000000" w:themeColor="text1"/>
        </w:rPr>
      </w:pPr>
      <w:r w:rsidRPr="00D112C6">
        <w:rPr>
          <w:rFonts w:ascii="Verdana" w:hAnsi="Verdana" w:cs="Arial"/>
          <w:color w:val="000000" w:themeColor="text1"/>
        </w:rPr>
        <w:t>Personas naturales y jurídicas, consideradas como micros, pequeñas y medianas empresas pertenecientes a los códigos CIIU del sector agroindustrial relacionados</w:t>
      </w:r>
      <w:r>
        <w:rPr>
          <w:rFonts w:ascii="Verdana" w:hAnsi="Verdana" w:cs="Arial"/>
          <w:color w:val="000000" w:themeColor="text1"/>
        </w:rPr>
        <w:t>.</w:t>
      </w:r>
    </w:p>
    <w:p w14:paraId="4F4AAAB4" w14:textId="77777777" w:rsidR="00D112C6" w:rsidRPr="00D112C6" w:rsidRDefault="00D112C6" w:rsidP="00D112C6">
      <w:pPr>
        <w:jc w:val="both"/>
        <w:rPr>
          <w:rFonts w:ascii="Verdana" w:hAnsi="Verdana" w:cs="Arial"/>
          <w:color w:val="000000" w:themeColor="text1"/>
        </w:rPr>
      </w:pPr>
      <w:r w:rsidRPr="00D112C6">
        <w:rPr>
          <w:rFonts w:ascii="Verdana" w:hAnsi="Verdana" w:cs="Arial"/>
          <w:color w:val="000000" w:themeColor="text1"/>
        </w:rPr>
        <w:t>Subcupo 2:</w:t>
      </w:r>
    </w:p>
    <w:p w14:paraId="17969A67" w14:textId="2B3CC3F7" w:rsidR="00D112C6" w:rsidRPr="00D112C6" w:rsidRDefault="00D112C6" w:rsidP="00D112C6">
      <w:pPr>
        <w:jc w:val="both"/>
        <w:rPr>
          <w:rFonts w:ascii="Verdana" w:hAnsi="Verdana" w:cs="Arial"/>
          <w:color w:val="000000" w:themeColor="text1"/>
        </w:rPr>
      </w:pPr>
      <w:r w:rsidRPr="00D112C6">
        <w:rPr>
          <w:rFonts w:ascii="Verdana" w:hAnsi="Verdana" w:cs="Arial"/>
          <w:color w:val="000000" w:themeColor="text1"/>
        </w:rPr>
        <w:t xml:space="preserve">Personas naturales y jurídicas, consideradas como micros, pequeñas y medianas empresas pertenecientes a los códigos CIIU del sector agroindustrial relacionados en el anexo 1 de </w:t>
      </w:r>
      <w:r>
        <w:rPr>
          <w:rFonts w:ascii="Verdana" w:hAnsi="Verdana" w:cs="Arial"/>
          <w:color w:val="000000" w:themeColor="text1"/>
        </w:rPr>
        <w:t xml:space="preserve">la </w:t>
      </w:r>
      <w:r w:rsidRPr="00D112C6">
        <w:rPr>
          <w:rFonts w:ascii="Verdana" w:hAnsi="Verdana" w:cs="Arial"/>
          <w:color w:val="000000" w:themeColor="text1"/>
        </w:rPr>
        <w:t>circular</w:t>
      </w:r>
      <w:r>
        <w:rPr>
          <w:rFonts w:ascii="Verdana" w:hAnsi="Verdana" w:cs="Arial"/>
          <w:color w:val="000000" w:themeColor="text1"/>
        </w:rPr>
        <w:t xml:space="preserve"> 006</w:t>
      </w:r>
      <w:r w:rsidRPr="00D112C6">
        <w:rPr>
          <w:rFonts w:ascii="Verdana" w:hAnsi="Verdana" w:cs="Arial"/>
          <w:color w:val="000000" w:themeColor="text1"/>
        </w:rPr>
        <w:t>, con domicilio principal en los municipios de Argelia, El Tambo, López de Micay, Guapi y Timbiquí, en el Departamento del Cauca.</w:t>
      </w:r>
    </w:p>
    <w:p w14:paraId="3F66C434" w14:textId="77777777" w:rsidR="00D112C6" w:rsidRPr="00D112C6" w:rsidRDefault="00D112C6" w:rsidP="00D112C6">
      <w:pPr>
        <w:jc w:val="both"/>
        <w:rPr>
          <w:rFonts w:ascii="Verdana" w:hAnsi="Verdana" w:cs="Arial"/>
          <w:color w:val="000000" w:themeColor="text1"/>
        </w:rPr>
      </w:pPr>
      <w:r w:rsidRPr="00D112C6">
        <w:rPr>
          <w:rFonts w:ascii="Verdana" w:hAnsi="Verdana" w:cs="Arial"/>
          <w:color w:val="000000" w:themeColor="text1"/>
        </w:rPr>
        <w:t>Subcupo 3:</w:t>
      </w:r>
    </w:p>
    <w:p w14:paraId="1307FFA9" w14:textId="4044EC79" w:rsidR="00D112C6" w:rsidRDefault="0058671C" w:rsidP="00D112C6">
      <w:pPr>
        <w:jc w:val="both"/>
        <w:rPr>
          <w:rFonts w:ascii="Verdana" w:hAnsi="Verdana" w:cs="Arial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9232" behindDoc="0" locked="0" layoutInCell="1" allowOverlap="1" wp14:anchorId="4AFB0B01" wp14:editId="3F5D25C4">
            <wp:simplePos x="0" y="0"/>
            <wp:positionH relativeFrom="margin">
              <wp:posOffset>84455</wp:posOffset>
            </wp:positionH>
            <wp:positionV relativeFrom="paragraph">
              <wp:posOffset>1254125</wp:posOffset>
            </wp:positionV>
            <wp:extent cx="5159375" cy="2426970"/>
            <wp:effectExtent l="0" t="0" r="3175" b="11430"/>
            <wp:wrapSquare wrapText="bothSides"/>
            <wp:docPr id="7" name="Gráfico 7">
              <a:extLst xmlns:a="http://schemas.openxmlformats.org/drawingml/2006/main">
                <a:ext uri="{FF2B5EF4-FFF2-40B4-BE49-F238E27FC236}">
                  <a16:creationId xmlns:a16="http://schemas.microsoft.com/office/drawing/2014/main" id="{DD008D94-A929-41FE-A50A-D3C0BD8349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2C6" w:rsidRPr="00D112C6">
        <w:rPr>
          <w:rFonts w:ascii="Verdana" w:hAnsi="Verdana" w:cs="Arial"/>
          <w:color w:val="000000" w:themeColor="text1"/>
        </w:rPr>
        <w:t xml:space="preserve">Personas naturales y jurídicas, consideradas como micros, pequeñas y medianas empresas pertenecientes a los códigos CIIU del sector agroindustrial relacionados en el anexo 1 de </w:t>
      </w:r>
      <w:r w:rsidR="00D112C6">
        <w:rPr>
          <w:rFonts w:ascii="Verdana" w:hAnsi="Verdana" w:cs="Arial"/>
          <w:color w:val="000000" w:themeColor="text1"/>
        </w:rPr>
        <w:t>la</w:t>
      </w:r>
      <w:r w:rsidR="00D112C6" w:rsidRPr="00D112C6">
        <w:rPr>
          <w:rFonts w:ascii="Verdana" w:hAnsi="Verdana" w:cs="Arial"/>
          <w:color w:val="000000" w:themeColor="text1"/>
        </w:rPr>
        <w:t xml:space="preserve"> circular</w:t>
      </w:r>
      <w:r w:rsidR="00D112C6">
        <w:rPr>
          <w:rFonts w:ascii="Verdana" w:hAnsi="Verdana" w:cs="Arial"/>
          <w:color w:val="000000" w:themeColor="text1"/>
        </w:rPr>
        <w:t xml:space="preserve"> 006</w:t>
      </w:r>
      <w:r w:rsidR="00D112C6" w:rsidRPr="00D112C6">
        <w:rPr>
          <w:rFonts w:ascii="Verdana" w:hAnsi="Verdana" w:cs="Arial"/>
          <w:color w:val="000000" w:themeColor="text1"/>
        </w:rPr>
        <w:t>, con actividad exportadora, lo que se refrendarán mediante la presentación de la declaración de exportación o factura comercial de exportación o contrato de exportación del 2024 junto con su solicitud.</w:t>
      </w:r>
    </w:p>
    <w:p w14:paraId="3F810895" w14:textId="79E0CDD2" w:rsidR="0058671C" w:rsidRPr="00D112C6" w:rsidRDefault="0058671C" w:rsidP="00D112C6">
      <w:pPr>
        <w:jc w:val="both"/>
        <w:rPr>
          <w:rFonts w:ascii="Verdana" w:hAnsi="Verdana" w:cs="Arial"/>
          <w:color w:val="000000" w:themeColor="text1"/>
        </w:rPr>
      </w:pPr>
    </w:p>
    <w:p w14:paraId="66F500CD" w14:textId="083B7892" w:rsidR="00BA5B5A" w:rsidRPr="001E3415" w:rsidRDefault="00BA5B5A" w:rsidP="00BA5B5A">
      <w:pPr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 xml:space="preserve">Grafica 4: </w:t>
      </w:r>
      <w:r w:rsidR="0084550C">
        <w:rPr>
          <w:rFonts w:ascii="Verdana" w:hAnsi="Verdana" w:cs="Arial"/>
          <w:i/>
          <w:iCs/>
        </w:rPr>
        <w:t>S</w:t>
      </w:r>
      <w:r>
        <w:rPr>
          <w:rFonts w:ascii="Verdana" w:hAnsi="Verdana" w:cs="Arial"/>
          <w:i/>
          <w:iCs/>
        </w:rPr>
        <w:t>ubcupos</w:t>
      </w:r>
    </w:p>
    <w:p w14:paraId="7A1B80D6" w14:textId="42057775" w:rsidR="0017555C" w:rsidRDefault="0084550C" w:rsidP="00F426DC">
      <w:pPr>
        <w:jc w:val="both"/>
        <w:rPr>
          <w:rFonts w:ascii="Verdana" w:hAnsi="Verdana" w:cs="Arial"/>
        </w:rPr>
      </w:pPr>
      <w:r w:rsidRPr="0084550C">
        <w:rPr>
          <w:rFonts w:ascii="Verdana" w:hAnsi="Verdana" w:cs="Arial"/>
        </w:rPr>
        <w:t>Se observa que, para el Subcupo 1, se han desembolsado $</w:t>
      </w:r>
      <w:r w:rsidR="004B6B1D">
        <w:rPr>
          <w:rFonts w:ascii="Verdana" w:hAnsi="Verdana" w:cs="Arial"/>
        </w:rPr>
        <w:t xml:space="preserve"> </w:t>
      </w:r>
      <w:r w:rsidR="0058671C">
        <w:rPr>
          <w:rFonts w:ascii="Verdana" w:hAnsi="Verdana" w:cs="Arial"/>
        </w:rPr>
        <w:t>84.142</w:t>
      </w:r>
      <w:r w:rsidRPr="0084550C">
        <w:rPr>
          <w:rFonts w:ascii="Verdana" w:hAnsi="Verdana" w:cs="Arial"/>
        </w:rPr>
        <w:t xml:space="preserve"> millones, mientras que para el Subcupo 3 </w:t>
      </w:r>
      <w:r>
        <w:rPr>
          <w:rFonts w:ascii="Verdana" w:hAnsi="Verdana" w:cs="Arial"/>
        </w:rPr>
        <w:t xml:space="preserve">de financiación de exportaciones </w:t>
      </w:r>
      <w:r w:rsidRPr="0084550C">
        <w:rPr>
          <w:rFonts w:ascii="Verdana" w:hAnsi="Verdana" w:cs="Arial"/>
        </w:rPr>
        <w:t xml:space="preserve">el valor </w:t>
      </w:r>
      <w:r w:rsidRPr="0084550C">
        <w:rPr>
          <w:rFonts w:ascii="Verdana" w:hAnsi="Verdana" w:cs="Arial"/>
        </w:rPr>
        <w:lastRenderedPageBreak/>
        <w:t>desembolsado asciende a $</w:t>
      </w:r>
      <w:r w:rsidR="0058671C">
        <w:rPr>
          <w:rFonts w:ascii="Verdana" w:hAnsi="Verdana" w:cs="Arial"/>
        </w:rPr>
        <w:t>18.393</w:t>
      </w:r>
      <w:r w:rsidRPr="0084550C">
        <w:rPr>
          <w:rFonts w:ascii="Verdana" w:hAnsi="Verdana" w:cs="Arial"/>
        </w:rPr>
        <w:t xml:space="preserve"> millones. Por su parte, el Subcupo 2, correspondiente a los municipios priorizados del Cauca, no registra desembolsos a la fecha.</w:t>
      </w:r>
    </w:p>
    <w:p w14:paraId="6B9F2854" w14:textId="0D41A897" w:rsidR="00812073" w:rsidRPr="00E24CC1" w:rsidRDefault="00812073" w:rsidP="00F426DC">
      <w:pPr>
        <w:jc w:val="both"/>
        <w:rPr>
          <w:rFonts w:ascii="Verdana" w:hAnsi="Verdana" w:cs="Arial"/>
          <w:b/>
          <w:bCs/>
        </w:rPr>
      </w:pPr>
      <w:r w:rsidRPr="00E24CC1">
        <w:rPr>
          <w:rFonts w:ascii="Verdana" w:hAnsi="Verdana" w:cs="Arial"/>
          <w:b/>
          <w:bCs/>
        </w:rPr>
        <w:t>SECTOR ECONÓMICO – CLASIFICACIÓN CII</w:t>
      </w:r>
      <w:r w:rsidR="00A34EBC" w:rsidRPr="00E24CC1">
        <w:rPr>
          <w:rFonts w:ascii="Verdana" w:hAnsi="Verdana" w:cs="Arial"/>
          <w:b/>
          <w:bCs/>
        </w:rPr>
        <w:t>U</w:t>
      </w:r>
    </w:p>
    <w:p w14:paraId="1875EB7A" w14:textId="67CB3CDB" w:rsidR="00E24CC1" w:rsidRPr="004E15AA" w:rsidRDefault="0084546A" w:rsidP="00812073">
      <w:pPr>
        <w:jc w:val="both"/>
        <w:rPr>
          <w:rFonts w:ascii="Verdana" w:hAnsi="Verdana" w:cs="Arial"/>
          <w:highlight w:val="yellow"/>
        </w:rPr>
      </w:pPr>
      <w:r>
        <w:rPr>
          <w:noProof/>
        </w:rPr>
        <w:drawing>
          <wp:inline distT="0" distB="0" distL="0" distR="0" wp14:anchorId="7AEA7D17" wp14:editId="70858F46">
            <wp:extent cx="5529943" cy="2743200"/>
            <wp:effectExtent l="0" t="0" r="13970" b="0"/>
            <wp:docPr id="15" name="Gráfico 15">
              <a:extLst xmlns:a="http://schemas.openxmlformats.org/drawingml/2006/main">
                <a:ext uri="{FF2B5EF4-FFF2-40B4-BE49-F238E27FC236}">
                  <a16:creationId xmlns:a16="http://schemas.microsoft.com/office/drawing/2014/main" id="{E855013D-ED9E-4DB5-BF49-EDF76F353CE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F7CD85C" w14:textId="05C3D550" w:rsidR="001E3415" w:rsidRPr="0084546A" w:rsidRDefault="001E3415" w:rsidP="00161172">
      <w:pPr>
        <w:rPr>
          <w:rFonts w:ascii="Verdana" w:hAnsi="Verdana" w:cs="Arial"/>
          <w:i/>
          <w:iCs/>
          <w:color w:val="000000" w:themeColor="text1"/>
        </w:rPr>
      </w:pPr>
      <w:r w:rsidRPr="0084546A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D70AA4" w:rsidRPr="0084546A">
        <w:rPr>
          <w:rFonts w:ascii="Verdana" w:hAnsi="Verdana" w:cs="Arial"/>
          <w:i/>
          <w:iCs/>
          <w:color w:val="000000" w:themeColor="text1"/>
        </w:rPr>
        <w:t>4</w:t>
      </w:r>
      <w:r w:rsidR="00EE4FAA" w:rsidRPr="0084546A">
        <w:rPr>
          <w:rFonts w:ascii="Verdana" w:hAnsi="Verdana" w:cs="Arial"/>
          <w:i/>
          <w:iCs/>
          <w:color w:val="000000" w:themeColor="text1"/>
        </w:rPr>
        <w:t>: Actividad Económica</w:t>
      </w:r>
      <w:r w:rsidR="00161172" w:rsidRPr="0084546A">
        <w:rPr>
          <w:rFonts w:ascii="Verdana" w:hAnsi="Verdana" w:cs="Arial"/>
          <w:i/>
          <w:iCs/>
          <w:color w:val="000000" w:themeColor="text1"/>
        </w:rPr>
        <w:t xml:space="preserve"> Código</w:t>
      </w:r>
      <w:r w:rsidRPr="0084546A">
        <w:rPr>
          <w:rFonts w:ascii="Verdana" w:hAnsi="Verdana" w:cs="Arial"/>
          <w:i/>
          <w:iCs/>
          <w:color w:val="000000" w:themeColor="text1"/>
        </w:rPr>
        <w:t xml:space="preserve"> CIIU</w:t>
      </w:r>
    </w:p>
    <w:p w14:paraId="5EF376EB" w14:textId="58A97D34" w:rsidR="00C6731C" w:rsidRPr="0084546A" w:rsidRDefault="00C6731C" w:rsidP="0015132E">
      <w:pPr>
        <w:jc w:val="both"/>
        <w:rPr>
          <w:rFonts w:ascii="Verdana" w:hAnsi="Verdana" w:cs="Arial"/>
          <w:color w:val="000000" w:themeColor="text1"/>
        </w:rPr>
      </w:pPr>
      <w:r w:rsidRPr="0084546A">
        <w:rPr>
          <w:rFonts w:ascii="Verdana" w:hAnsi="Verdana" w:cs="Arial"/>
          <w:color w:val="000000" w:themeColor="text1"/>
        </w:rPr>
        <w:t>Se evidencia una alta concentración en la actividad de elaboración de comidas y platos preparados, con 58</w:t>
      </w:r>
      <w:r w:rsidR="0084546A">
        <w:rPr>
          <w:rFonts w:ascii="Verdana" w:hAnsi="Verdana" w:cs="Arial"/>
          <w:color w:val="000000" w:themeColor="text1"/>
        </w:rPr>
        <w:t xml:space="preserve">7 </w:t>
      </w:r>
      <w:r w:rsidR="005D3CCF" w:rsidRPr="0084546A">
        <w:rPr>
          <w:rFonts w:ascii="Verdana" w:hAnsi="Verdana" w:cs="Arial"/>
          <w:color w:val="000000" w:themeColor="text1"/>
        </w:rPr>
        <w:t>operaciones</w:t>
      </w:r>
      <w:r w:rsidRPr="0084546A">
        <w:rPr>
          <w:rFonts w:ascii="Verdana" w:hAnsi="Verdana" w:cs="Arial"/>
          <w:color w:val="000000" w:themeColor="text1"/>
        </w:rPr>
        <w:t>, superando ampliamente al resto de categorías. En un segundo nivel se ubica la elaboración de otros productos alimenticios con 1</w:t>
      </w:r>
      <w:r w:rsidR="0084546A">
        <w:rPr>
          <w:rFonts w:ascii="Verdana" w:hAnsi="Verdana" w:cs="Arial"/>
          <w:color w:val="000000" w:themeColor="text1"/>
        </w:rPr>
        <w:t>81</w:t>
      </w:r>
      <w:r w:rsidRPr="0084546A">
        <w:rPr>
          <w:rFonts w:ascii="Verdana" w:hAnsi="Verdana" w:cs="Arial"/>
          <w:color w:val="000000" w:themeColor="text1"/>
        </w:rPr>
        <w:t xml:space="preserve"> </w:t>
      </w:r>
      <w:r w:rsidR="005D3CCF" w:rsidRPr="0084546A">
        <w:rPr>
          <w:rFonts w:ascii="Verdana" w:hAnsi="Verdana" w:cs="Arial"/>
          <w:color w:val="000000" w:themeColor="text1"/>
        </w:rPr>
        <w:t>operaciones</w:t>
      </w:r>
      <w:r w:rsidRPr="0084546A">
        <w:rPr>
          <w:rFonts w:ascii="Verdana" w:hAnsi="Verdana" w:cs="Arial"/>
          <w:color w:val="000000" w:themeColor="text1"/>
        </w:rPr>
        <w:t>, seguida por productos de panadería con 138</w:t>
      </w:r>
      <w:r w:rsidR="005D3CCF" w:rsidRPr="0084546A">
        <w:rPr>
          <w:rFonts w:ascii="Verdana" w:hAnsi="Verdana" w:cs="Arial"/>
          <w:color w:val="000000" w:themeColor="text1"/>
        </w:rPr>
        <w:t xml:space="preserve"> operaciones</w:t>
      </w:r>
      <w:r w:rsidRPr="0084546A">
        <w:rPr>
          <w:rFonts w:ascii="Verdana" w:hAnsi="Verdana" w:cs="Arial"/>
          <w:color w:val="000000" w:themeColor="text1"/>
        </w:rPr>
        <w:t>. Por su parte, la elaboración de productos lácteos presenta una participación mínima, con solo 4</w:t>
      </w:r>
      <w:r w:rsidR="0084546A">
        <w:rPr>
          <w:rFonts w:ascii="Verdana" w:hAnsi="Verdana" w:cs="Arial"/>
          <w:color w:val="000000" w:themeColor="text1"/>
        </w:rPr>
        <w:t>6</w:t>
      </w:r>
      <w:r w:rsidRPr="0084546A">
        <w:rPr>
          <w:rFonts w:ascii="Verdana" w:hAnsi="Verdana" w:cs="Arial"/>
          <w:color w:val="000000" w:themeColor="text1"/>
        </w:rPr>
        <w:t xml:space="preserve"> </w:t>
      </w:r>
      <w:r w:rsidR="005D3CCF" w:rsidRPr="0084546A">
        <w:rPr>
          <w:rFonts w:ascii="Verdana" w:hAnsi="Verdana" w:cs="Arial"/>
          <w:color w:val="000000" w:themeColor="text1"/>
        </w:rPr>
        <w:t>operaciones</w:t>
      </w:r>
      <w:r w:rsidRPr="0084546A">
        <w:rPr>
          <w:rFonts w:ascii="Verdana" w:hAnsi="Verdana" w:cs="Arial"/>
          <w:color w:val="000000" w:themeColor="text1"/>
        </w:rPr>
        <w:t>.</w:t>
      </w:r>
    </w:p>
    <w:p w14:paraId="216A76E6" w14:textId="44B2F606" w:rsidR="00EE4FAA" w:rsidRDefault="004E15AA" w:rsidP="0015132E">
      <w:pPr>
        <w:jc w:val="both"/>
        <w:rPr>
          <w:rFonts w:ascii="Verdana" w:hAnsi="Verdana" w:cs="Arial"/>
          <w:b/>
          <w:bCs/>
        </w:rPr>
      </w:pPr>
      <w:r>
        <w:rPr>
          <w:noProof/>
        </w:rPr>
        <w:drawing>
          <wp:anchor distT="0" distB="0" distL="114300" distR="114300" simplePos="0" relativeHeight="251680256" behindDoc="0" locked="0" layoutInCell="1" allowOverlap="1" wp14:anchorId="725D881C" wp14:editId="36A2E020">
            <wp:simplePos x="0" y="0"/>
            <wp:positionH relativeFrom="margin">
              <wp:align>right</wp:align>
            </wp:positionH>
            <wp:positionV relativeFrom="paragraph">
              <wp:posOffset>197395</wp:posOffset>
            </wp:positionV>
            <wp:extent cx="5387975" cy="2906395"/>
            <wp:effectExtent l="0" t="0" r="3175" b="8255"/>
            <wp:wrapSquare wrapText="bothSides"/>
            <wp:docPr id="8" name="Gráfico 8">
              <a:extLst xmlns:a="http://schemas.openxmlformats.org/drawingml/2006/main">
                <a:ext uri="{FF2B5EF4-FFF2-40B4-BE49-F238E27FC236}">
                  <a16:creationId xmlns:a16="http://schemas.microsoft.com/office/drawing/2014/main" id="{71B5DB59-565E-4A89-80C4-1024685B5FF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26DC" w:rsidRPr="004E15AA">
        <w:rPr>
          <w:rFonts w:ascii="Verdana" w:hAnsi="Verdana" w:cs="Arial"/>
          <w:b/>
          <w:bCs/>
        </w:rPr>
        <w:t>DESTINO DE LOS RECURSOS</w:t>
      </w:r>
    </w:p>
    <w:p w14:paraId="140686DE" w14:textId="7CEEDF2F" w:rsidR="00EE4FAA" w:rsidRPr="001E3415" w:rsidRDefault="00EE4FAA" w:rsidP="00EE4FAA">
      <w:pPr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 xml:space="preserve">Grafica </w:t>
      </w:r>
      <w:r w:rsidR="00D70AA4">
        <w:rPr>
          <w:rFonts w:ascii="Verdana" w:hAnsi="Verdana" w:cs="Arial"/>
          <w:i/>
          <w:iCs/>
        </w:rPr>
        <w:t>5</w:t>
      </w:r>
      <w:r w:rsidRPr="001E3415">
        <w:rPr>
          <w:rFonts w:ascii="Verdana" w:hAnsi="Verdana" w:cs="Arial"/>
          <w:i/>
          <w:iCs/>
        </w:rPr>
        <w:t>:</w:t>
      </w:r>
      <w:r>
        <w:rPr>
          <w:rFonts w:ascii="Verdana" w:hAnsi="Verdana" w:cs="Arial"/>
          <w:i/>
          <w:iCs/>
        </w:rPr>
        <w:t xml:space="preserve"> Porcentaje Destino de los Recursos</w:t>
      </w:r>
    </w:p>
    <w:p w14:paraId="30E474D2" w14:textId="39D59C6B" w:rsidR="00B71F3E" w:rsidRDefault="00B71F3E" w:rsidP="00B71F3E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lastRenderedPageBreak/>
        <w:t xml:space="preserve">El </w:t>
      </w:r>
      <w:r w:rsidR="004E15AA">
        <w:rPr>
          <w:rFonts w:ascii="Verdana" w:hAnsi="Verdana" w:cs="Arial"/>
          <w:color w:val="000000" w:themeColor="text1"/>
        </w:rPr>
        <w:t>96,29</w:t>
      </w:r>
      <w:r w:rsidRPr="00105187">
        <w:rPr>
          <w:rFonts w:ascii="Verdana" w:hAnsi="Verdana" w:cs="Arial"/>
          <w:color w:val="000000" w:themeColor="text1"/>
        </w:rPr>
        <w:t>% de las operaciones está destinado a capital de trabajo, contribuyendo al fortalecimiento de la liquidez y a la sostenibilidad financiera de las empresas beneficiarias.</w:t>
      </w:r>
      <w:r>
        <w:rPr>
          <w:rFonts w:ascii="Verdana" w:hAnsi="Verdana" w:cs="Arial"/>
          <w:color w:val="000000" w:themeColor="text1"/>
        </w:rPr>
        <w:t xml:space="preserve"> Mientras que el </w:t>
      </w:r>
      <w:r w:rsidR="004E15AA">
        <w:rPr>
          <w:rFonts w:ascii="Verdana" w:hAnsi="Verdana" w:cs="Arial"/>
          <w:color w:val="000000" w:themeColor="text1"/>
        </w:rPr>
        <w:t>3,71</w:t>
      </w:r>
      <w:r w:rsidR="003C001F">
        <w:rPr>
          <w:rFonts w:ascii="Verdana" w:hAnsi="Verdana" w:cs="Arial"/>
          <w:color w:val="000000" w:themeColor="text1"/>
        </w:rPr>
        <w:t xml:space="preserve">% </w:t>
      </w:r>
      <w:r>
        <w:rPr>
          <w:rFonts w:ascii="Verdana" w:hAnsi="Verdana" w:cs="Arial"/>
          <w:color w:val="000000" w:themeColor="text1"/>
        </w:rPr>
        <w:t xml:space="preserve">equivalen a </w:t>
      </w:r>
      <w:r w:rsidR="003C001F">
        <w:rPr>
          <w:rFonts w:ascii="Verdana" w:hAnsi="Verdana" w:cs="Arial"/>
          <w:color w:val="000000" w:themeColor="text1"/>
        </w:rPr>
        <w:t xml:space="preserve">Financiación de exportaciones/importaciones, Inversión Fija, </w:t>
      </w:r>
      <w:r>
        <w:rPr>
          <w:rFonts w:ascii="Verdana" w:hAnsi="Verdana" w:cs="Arial"/>
          <w:color w:val="000000" w:themeColor="text1"/>
        </w:rPr>
        <w:t>Leasing</w:t>
      </w:r>
      <w:r w:rsidR="003C001F">
        <w:rPr>
          <w:rFonts w:ascii="Verdana" w:hAnsi="Verdana" w:cs="Arial"/>
          <w:color w:val="000000" w:themeColor="text1"/>
        </w:rPr>
        <w:t xml:space="preserve"> y </w:t>
      </w:r>
      <w:r>
        <w:rPr>
          <w:rFonts w:ascii="Verdana" w:hAnsi="Verdana" w:cs="Arial"/>
          <w:color w:val="000000" w:themeColor="text1"/>
        </w:rPr>
        <w:t xml:space="preserve">Consolidación de pasivos. </w:t>
      </w:r>
    </w:p>
    <w:p w14:paraId="7BA3C74F" w14:textId="017AF808" w:rsidR="00202395" w:rsidRPr="00105187" w:rsidRDefault="004E15AA" w:rsidP="00202395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81280" behindDoc="0" locked="0" layoutInCell="1" allowOverlap="1" wp14:anchorId="1DCAF529" wp14:editId="74424B60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5029200" cy="2758440"/>
            <wp:effectExtent l="0" t="0" r="0" b="3810"/>
            <wp:wrapSquare wrapText="bothSides"/>
            <wp:docPr id="9" name="Gráfico 9">
              <a:extLst xmlns:a="http://schemas.openxmlformats.org/drawingml/2006/main">
                <a:ext uri="{FF2B5EF4-FFF2-40B4-BE49-F238E27FC236}">
                  <a16:creationId xmlns:a16="http://schemas.microsoft.com/office/drawing/2014/main" id="{2A6A9856-CDA2-4F3B-86B3-3AF6721EF3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395" w:rsidRPr="00105187">
        <w:rPr>
          <w:rFonts w:ascii="Verdana" w:hAnsi="Verdana" w:cs="Arial"/>
          <w:b/>
          <w:bCs/>
          <w:color w:val="000000" w:themeColor="text1"/>
        </w:rPr>
        <w:t xml:space="preserve">TAMAÑO EMPRESAS BENEFICIADAS: </w:t>
      </w:r>
    </w:p>
    <w:p w14:paraId="1AAC50ED" w14:textId="76245251" w:rsidR="00EE4FAA" w:rsidRDefault="00EE4FAA" w:rsidP="00EE4FAA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D70AA4">
        <w:rPr>
          <w:rFonts w:ascii="Verdana" w:hAnsi="Verdana" w:cs="Arial"/>
          <w:i/>
          <w:iCs/>
          <w:color w:val="000000" w:themeColor="text1"/>
        </w:rPr>
        <w:t>6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D70AA4" w:rsidRPr="00D70AA4">
        <w:rPr>
          <w:rFonts w:ascii="Verdana" w:hAnsi="Verdana" w:cs="Arial"/>
          <w:i/>
          <w:iCs/>
          <w:color w:val="000000" w:themeColor="text1"/>
        </w:rPr>
        <w:t>N</w:t>
      </w:r>
      <w:r w:rsidR="00D70AA4">
        <w:rPr>
          <w:rFonts w:ascii="Verdana" w:hAnsi="Verdana" w:cs="Arial"/>
          <w:i/>
          <w:iCs/>
          <w:color w:val="000000" w:themeColor="text1"/>
        </w:rPr>
        <w:t>úmero</w:t>
      </w:r>
      <w:r w:rsidR="00D70AA4" w:rsidRPr="00D70AA4">
        <w:rPr>
          <w:rFonts w:ascii="Verdana" w:hAnsi="Verdana" w:cs="Arial"/>
          <w:i/>
          <w:iCs/>
          <w:color w:val="000000" w:themeColor="text1"/>
        </w:rPr>
        <w:t xml:space="preserve"> Desembolsos por Tamaño Empresarial</w:t>
      </w:r>
    </w:p>
    <w:p w14:paraId="4424F594" w14:textId="2C2D7E46" w:rsidR="00BE1D78" w:rsidRDefault="00BE1D78" w:rsidP="00F426DC">
      <w:pPr>
        <w:spacing w:before="100" w:beforeAutospacing="1" w:after="100" w:afterAutospacing="1" w:line="240" w:lineRule="auto"/>
        <w:jc w:val="both"/>
        <w:rPr>
          <w:rFonts w:ascii="Verdana" w:hAnsi="Verdana"/>
          <w:color w:val="000000" w:themeColor="text1"/>
        </w:rPr>
      </w:pPr>
      <w:r w:rsidRPr="00BE1D78">
        <w:rPr>
          <w:rFonts w:ascii="Verdana" w:hAnsi="Verdana"/>
          <w:color w:val="000000" w:themeColor="text1"/>
        </w:rPr>
        <w:t>El</w:t>
      </w:r>
      <w:r w:rsidR="00EE4FAA">
        <w:rPr>
          <w:rFonts w:ascii="Verdana" w:hAnsi="Verdana"/>
          <w:color w:val="000000" w:themeColor="text1"/>
        </w:rPr>
        <w:t xml:space="preserve"> </w:t>
      </w:r>
      <w:r w:rsidR="004E15AA">
        <w:rPr>
          <w:rFonts w:ascii="Verdana" w:hAnsi="Verdana"/>
          <w:color w:val="000000" w:themeColor="text1"/>
        </w:rPr>
        <w:t>83</w:t>
      </w:r>
      <w:r w:rsidRPr="00BE1D78">
        <w:rPr>
          <w:rFonts w:ascii="Verdana" w:hAnsi="Verdana"/>
          <w:color w:val="000000" w:themeColor="text1"/>
        </w:rPr>
        <w:t xml:space="preserve">% de las empresas beneficiadas corresponde a microempresas, evidenciando que la mayor parte de los recursos está dirigida a este </w:t>
      </w:r>
      <w:r w:rsidR="00D70AA4">
        <w:rPr>
          <w:rFonts w:ascii="Verdana" w:hAnsi="Verdana"/>
          <w:color w:val="000000" w:themeColor="text1"/>
        </w:rPr>
        <w:t>tamaño</w:t>
      </w:r>
      <w:r w:rsidRPr="00BE1D78">
        <w:rPr>
          <w:rFonts w:ascii="Verdana" w:hAnsi="Verdana"/>
          <w:color w:val="000000" w:themeColor="text1"/>
        </w:rPr>
        <w:t xml:space="preserve">. En menor proporción se encuentran las medianas empresas con el </w:t>
      </w:r>
      <w:r w:rsidR="00AF0DD3">
        <w:rPr>
          <w:rFonts w:ascii="Verdana" w:hAnsi="Verdana"/>
          <w:color w:val="000000" w:themeColor="text1"/>
        </w:rPr>
        <w:t>1</w:t>
      </w:r>
      <w:r w:rsidR="004E15AA">
        <w:rPr>
          <w:rFonts w:ascii="Verdana" w:hAnsi="Verdana"/>
          <w:color w:val="000000" w:themeColor="text1"/>
        </w:rPr>
        <w:t>1</w:t>
      </w:r>
      <w:r w:rsidRPr="00BE1D78">
        <w:rPr>
          <w:rFonts w:ascii="Verdana" w:hAnsi="Verdana"/>
          <w:color w:val="000000" w:themeColor="text1"/>
        </w:rPr>
        <w:t xml:space="preserve">% y las pequeñas empresas con el </w:t>
      </w:r>
      <w:r w:rsidR="004E15AA">
        <w:rPr>
          <w:rFonts w:ascii="Verdana" w:hAnsi="Verdana"/>
          <w:color w:val="000000" w:themeColor="text1"/>
        </w:rPr>
        <w:t>6</w:t>
      </w:r>
      <w:r w:rsidRPr="00BE1D78">
        <w:rPr>
          <w:rFonts w:ascii="Verdana" w:hAnsi="Verdana"/>
          <w:color w:val="000000" w:themeColor="text1"/>
        </w:rPr>
        <w:t xml:space="preserve">%. </w:t>
      </w:r>
    </w:p>
    <w:p w14:paraId="6CCAB968" w14:textId="6EFDD4DA" w:rsidR="00F426DC" w:rsidRPr="00F426DC" w:rsidRDefault="00F426DC" w:rsidP="00F426DC">
      <w:pPr>
        <w:spacing w:before="100" w:beforeAutospacing="1" w:after="100" w:afterAutospacing="1" w:line="240" w:lineRule="auto"/>
        <w:jc w:val="both"/>
        <w:rPr>
          <w:rFonts w:ascii="Verdana" w:hAnsi="Verdana" w:cs="Arial"/>
          <w:b/>
          <w:bCs/>
        </w:rPr>
      </w:pPr>
      <w:r w:rsidRPr="00F426DC">
        <w:rPr>
          <w:rFonts w:ascii="Verdana" w:hAnsi="Verdana" w:cs="Arial"/>
          <w:b/>
          <w:bCs/>
        </w:rPr>
        <w:t>ANÁLISIS DE LA TASA DE INTERÉS AL BENEFICIARIO FINAL</w:t>
      </w:r>
    </w:p>
    <w:p w14:paraId="531BE0F6" w14:textId="178CD0B9" w:rsidR="00F52957" w:rsidRDefault="00062451" w:rsidP="00F52957">
      <w:pPr>
        <w:jc w:val="both"/>
        <w:rPr>
          <w:rFonts w:ascii="Verdana" w:hAnsi="Verdana" w:cs="Arial"/>
          <w:i/>
          <w:i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82304" behindDoc="0" locked="0" layoutInCell="1" allowOverlap="1" wp14:anchorId="1359038B" wp14:editId="72800427">
            <wp:simplePos x="0" y="0"/>
            <wp:positionH relativeFrom="margin">
              <wp:align>left</wp:align>
            </wp:positionH>
            <wp:positionV relativeFrom="paragraph">
              <wp:posOffset>544</wp:posOffset>
            </wp:positionV>
            <wp:extent cx="5400040" cy="2767330"/>
            <wp:effectExtent l="0" t="0" r="10160" b="13970"/>
            <wp:wrapSquare wrapText="bothSides"/>
            <wp:docPr id="12" name="Gráfico 12">
              <a:extLst xmlns:a="http://schemas.openxmlformats.org/drawingml/2006/main">
                <a:ext uri="{FF2B5EF4-FFF2-40B4-BE49-F238E27FC236}">
                  <a16:creationId xmlns:a16="http://schemas.microsoft.com/office/drawing/2014/main" id="{ABF8B18F-71CC-48DB-BEEF-EFC5FBCA965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  <w:r w:rsidRPr="00105187">
        <w:rPr>
          <w:rFonts w:ascii="Verdana" w:hAnsi="Verdana" w:cs="Arial"/>
          <w:i/>
          <w:iCs/>
          <w:color w:val="000000" w:themeColor="text1"/>
        </w:rPr>
        <w:t xml:space="preserve"> </w:t>
      </w:r>
      <w:r w:rsidR="00F52957"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F52957">
        <w:rPr>
          <w:rFonts w:ascii="Verdana" w:hAnsi="Verdana" w:cs="Arial"/>
          <w:i/>
          <w:iCs/>
          <w:color w:val="000000" w:themeColor="text1"/>
        </w:rPr>
        <w:t>7</w:t>
      </w:r>
      <w:r w:rsidR="00F52957"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F52957" w:rsidRPr="00D70AA4">
        <w:rPr>
          <w:rFonts w:ascii="Verdana" w:hAnsi="Verdana" w:cs="Arial"/>
          <w:i/>
          <w:iCs/>
          <w:color w:val="000000" w:themeColor="text1"/>
        </w:rPr>
        <w:t>N</w:t>
      </w:r>
      <w:r w:rsidR="00F52957">
        <w:rPr>
          <w:rFonts w:ascii="Verdana" w:hAnsi="Verdana" w:cs="Arial"/>
          <w:i/>
          <w:iCs/>
          <w:color w:val="000000" w:themeColor="text1"/>
        </w:rPr>
        <w:t>úmero</w:t>
      </w:r>
      <w:r w:rsidR="00F52957" w:rsidRPr="00D70AA4">
        <w:rPr>
          <w:rFonts w:ascii="Verdana" w:hAnsi="Verdana" w:cs="Arial"/>
          <w:i/>
          <w:iCs/>
          <w:color w:val="000000" w:themeColor="text1"/>
        </w:rPr>
        <w:t xml:space="preserve"> </w:t>
      </w:r>
      <w:r w:rsidR="00F52957">
        <w:rPr>
          <w:rFonts w:ascii="Verdana" w:hAnsi="Verdana" w:cs="Arial"/>
          <w:i/>
          <w:iCs/>
          <w:color w:val="000000" w:themeColor="text1"/>
        </w:rPr>
        <w:t>operaciones por Tasa de interés</w:t>
      </w:r>
    </w:p>
    <w:p w14:paraId="634D7CFC" w14:textId="642DA39B" w:rsidR="001B4FB1" w:rsidRDefault="00F52957" w:rsidP="001B4FB1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Se evidencia que la mayor</w:t>
      </w:r>
      <w:r w:rsidRPr="00F52957">
        <w:rPr>
          <w:rFonts w:ascii="Verdana" w:hAnsi="Verdana" w:cs="Arial"/>
        </w:rPr>
        <w:t xml:space="preserve"> concentración de operaciones se encuentra en el rango de tasas superiores al 50%, con 706 operaciones, lo que evidencia que la mayoría de los créditos se otorgan a tasas altas</w:t>
      </w:r>
      <w:r>
        <w:rPr>
          <w:rFonts w:ascii="Verdana" w:hAnsi="Verdana" w:cs="Arial"/>
        </w:rPr>
        <w:t xml:space="preserve">. Así mismo, </w:t>
      </w:r>
      <w:r w:rsidRPr="00F52957">
        <w:rPr>
          <w:rFonts w:ascii="Verdana" w:hAnsi="Verdana" w:cs="Arial"/>
        </w:rPr>
        <w:t>se ubican las operaciones</w:t>
      </w:r>
      <w:r w:rsidR="00825A85">
        <w:rPr>
          <w:rFonts w:ascii="Verdana" w:hAnsi="Verdana" w:cs="Arial"/>
        </w:rPr>
        <w:t xml:space="preserve"> con tasas</w:t>
      </w:r>
      <w:r w:rsidRPr="00F52957">
        <w:rPr>
          <w:rFonts w:ascii="Verdana" w:hAnsi="Verdana" w:cs="Arial"/>
        </w:rPr>
        <w:t xml:space="preserve"> entre 10% y 20% </w:t>
      </w:r>
      <w:r w:rsidR="00602E07">
        <w:rPr>
          <w:rFonts w:ascii="Verdana" w:hAnsi="Verdana" w:cs="Arial"/>
        </w:rPr>
        <w:t>(</w:t>
      </w:r>
      <w:r w:rsidR="00062451">
        <w:rPr>
          <w:rFonts w:ascii="Verdana" w:hAnsi="Verdana" w:cs="Arial"/>
        </w:rPr>
        <w:t>201</w:t>
      </w:r>
      <w:r w:rsidR="00602E07">
        <w:rPr>
          <w:rFonts w:ascii="Verdana" w:hAnsi="Verdana" w:cs="Arial"/>
        </w:rPr>
        <w:t xml:space="preserve"> operac</w:t>
      </w:r>
      <w:r w:rsidRPr="00F52957">
        <w:rPr>
          <w:rFonts w:ascii="Verdana" w:hAnsi="Verdana" w:cs="Arial"/>
        </w:rPr>
        <w:t>iones) y entre 40% y 50% (65 operaciones).</w:t>
      </w:r>
    </w:p>
    <w:p w14:paraId="4E3E7D3F" w14:textId="4842D47C" w:rsidR="001B4FB1" w:rsidRDefault="00062451" w:rsidP="00602E07">
      <w:pPr>
        <w:jc w:val="center"/>
        <w:rPr>
          <w:rFonts w:ascii="Verdana" w:hAnsi="Verdana" w:cs="Arial"/>
        </w:rPr>
      </w:pPr>
      <w:r>
        <w:rPr>
          <w:noProof/>
        </w:rPr>
        <w:drawing>
          <wp:inline distT="0" distB="0" distL="0" distR="0" wp14:anchorId="46DE82C5" wp14:editId="614BA4B8">
            <wp:extent cx="5366658" cy="2743200"/>
            <wp:effectExtent l="0" t="0" r="5715" b="0"/>
            <wp:docPr id="13" name="Gráfico 13">
              <a:extLst xmlns:a="http://schemas.openxmlformats.org/drawingml/2006/main">
                <a:ext uri="{FF2B5EF4-FFF2-40B4-BE49-F238E27FC236}">
                  <a16:creationId xmlns:a16="http://schemas.microsoft.com/office/drawing/2014/main" id="{944CA909-F475-4AC9-AE9B-67515BFE71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09CAF845" w14:textId="0BF8E476" w:rsidR="00B71F3E" w:rsidRDefault="00B71F3E" w:rsidP="00B71F3E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>
        <w:rPr>
          <w:rFonts w:ascii="Verdana" w:hAnsi="Verdana" w:cs="Arial"/>
          <w:i/>
          <w:iCs/>
          <w:color w:val="000000" w:themeColor="text1"/>
        </w:rPr>
        <w:t>7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>
        <w:rPr>
          <w:rFonts w:ascii="Verdana" w:hAnsi="Verdana" w:cs="Arial"/>
          <w:i/>
          <w:iCs/>
          <w:color w:val="000000" w:themeColor="text1"/>
        </w:rPr>
        <w:t xml:space="preserve">Concentración de tasas </w:t>
      </w:r>
      <w:r w:rsidR="00404B4B">
        <w:rPr>
          <w:rFonts w:ascii="Verdana" w:hAnsi="Verdana" w:cs="Arial"/>
          <w:i/>
          <w:iCs/>
          <w:color w:val="000000" w:themeColor="text1"/>
        </w:rPr>
        <w:t>mayor a 50% de interés.</w:t>
      </w:r>
    </w:p>
    <w:p w14:paraId="3B1A818D" w14:textId="1D816069" w:rsidR="00B6361E" w:rsidRDefault="00B6361E" w:rsidP="00B6361E">
      <w:pPr>
        <w:jc w:val="both"/>
        <w:rPr>
          <w:rFonts w:ascii="Verdana" w:hAnsi="Verdana" w:cs="Arial"/>
        </w:rPr>
      </w:pPr>
      <w:r w:rsidRPr="00B6361E">
        <w:rPr>
          <w:rFonts w:ascii="Verdana" w:hAnsi="Verdana" w:cs="Arial"/>
        </w:rPr>
        <w:t>Se identificó que</w:t>
      </w:r>
      <w:r w:rsidR="009A4378">
        <w:rPr>
          <w:rFonts w:ascii="Verdana" w:hAnsi="Verdana" w:cs="Arial"/>
        </w:rPr>
        <w:t xml:space="preserve"> de las 706 operaciones</w:t>
      </w:r>
      <w:r w:rsidRPr="00B6361E">
        <w:rPr>
          <w:rFonts w:ascii="Verdana" w:hAnsi="Verdana" w:cs="Arial"/>
        </w:rPr>
        <w:t xml:space="preserve"> la mayor concentración de operaciones con tasas superiores al 50% se presenta en el BCO. Mundo Mujer S.A., el cual agrupa la gran mayoría de los casos (599 operaciones), con una participación significativamente superior frente a las demás entidades analizadas. En segundo lugar, se ubica la Corporación Interactuar con 101 operaciones, mientras que la Cooperativa Multiactiva Cootregua registra una participación marginal, con apenas 6 operaciones.</w:t>
      </w:r>
    </w:p>
    <w:p w14:paraId="2AF740EB" w14:textId="5334EE4A" w:rsidR="004F1F98" w:rsidRDefault="004F1F98" w:rsidP="00D70904">
      <w:pPr>
        <w:ind w:left="708" w:hanging="708"/>
        <w:jc w:val="both"/>
        <w:rPr>
          <w:rFonts w:ascii="Verdana" w:eastAsia="Times New Roman" w:hAnsi="Verdana" w:cs="Times New Roman"/>
          <w:b/>
          <w:bCs/>
          <w:sz w:val="24"/>
          <w:szCs w:val="24"/>
          <w:lang w:val="es-CO" w:eastAsia="es-CO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val="es-CO" w:eastAsia="es-CO"/>
        </w:rPr>
        <w:t xml:space="preserve">DESEMBOLSO ACUMULADO </w:t>
      </w:r>
    </w:p>
    <w:p w14:paraId="633BECDB" w14:textId="3A0C6250" w:rsidR="00D333E2" w:rsidRDefault="00062451" w:rsidP="00D333E2">
      <w:pPr>
        <w:jc w:val="both"/>
        <w:rPr>
          <w:rFonts w:ascii="Verdana" w:hAnsi="Verdana" w:cs="Arial"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58789320" wp14:editId="24B11F59">
            <wp:extent cx="5400040" cy="2788920"/>
            <wp:effectExtent l="0" t="0" r="10160" b="11430"/>
            <wp:docPr id="14" name="Gráfico 14">
              <a:extLst xmlns:a="http://schemas.openxmlformats.org/drawingml/2006/main">
                <a:ext uri="{FF2B5EF4-FFF2-40B4-BE49-F238E27FC236}">
                  <a16:creationId xmlns:a16="http://schemas.microsoft.com/office/drawing/2014/main" id="{B850B64A-F25C-4C64-A528-1A9AF32053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Pr="00105187">
        <w:rPr>
          <w:rFonts w:ascii="Verdana" w:hAnsi="Verdana" w:cs="Arial"/>
          <w:i/>
          <w:iCs/>
          <w:color w:val="000000" w:themeColor="text1"/>
        </w:rPr>
        <w:t xml:space="preserve"> </w:t>
      </w:r>
      <w:r w:rsidR="00D333E2"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D517A5">
        <w:rPr>
          <w:rFonts w:ascii="Verdana" w:hAnsi="Verdana" w:cs="Arial"/>
          <w:i/>
          <w:iCs/>
          <w:color w:val="000000" w:themeColor="text1"/>
        </w:rPr>
        <w:t>9</w:t>
      </w:r>
      <w:r w:rsidR="00D333E2"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D333E2">
        <w:rPr>
          <w:rFonts w:ascii="Verdana" w:hAnsi="Verdana" w:cs="Arial"/>
          <w:i/>
          <w:iCs/>
          <w:color w:val="000000" w:themeColor="text1"/>
        </w:rPr>
        <w:t>Desembolso acumulado</w:t>
      </w:r>
    </w:p>
    <w:p w14:paraId="066CB460" w14:textId="4CA952D8" w:rsidR="00D333E2" w:rsidRPr="00D333E2" w:rsidRDefault="00F8205D" w:rsidP="00F8205D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Se evidencia</w:t>
      </w:r>
      <w:r w:rsidR="00B23CCA" w:rsidRPr="00B23CCA">
        <w:rPr>
          <w:rFonts w:ascii="Verdana" w:hAnsi="Verdana" w:cs="Arial"/>
        </w:rPr>
        <w:t xml:space="preserve"> una tendencia creciente en la ejecución financiera entre abril de 2025 y marzo de 2026. Durante el periodo comprendido entre abril y noviembre de 2025, los desembolsos presentaron un comportamiento relativamente estable, pasando de $23.109 millones a $28.157 millones, con incrementos moderados mes a mes; sin embargo, a partir de diciembre de 2025 se observa una aceleración significativa en el crecimiento, alcanzando $36.410 millones y continuando en ascenso hasta llegar a $58.914 millones en marzo de 2026. El mayor incremento se registra entre enero y febrero de 2026, cuando el desembolso acumulado aumenta de $40.765 millones a $53.993 millones</w:t>
      </w:r>
    </w:p>
    <w:sectPr w:rsidR="00D333E2" w:rsidRPr="00D333E2" w:rsidSect="0019019D">
      <w:headerReference w:type="default" r:id="rId18"/>
      <w:pgSz w:w="11906" w:h="16838"/>
      <w:pgMar w:top="1417" w:right="1701" w:bottom="1417" w:left="1701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FA336" w14:textId="77777777" w:rsidR="00D12688" w:rsidRDefault="00D12688" w:rsidP="0019019D">
      <w:pPr>
        <w:spacing w:after="0" w:line="240" w:lineRule="auto"/>
      </w:pPr>
      <w:r>
        <w:separator/>
      </w:r>
    </w:p>
  </w:endnote>
  <w:endnote w:type="continuationSeparator" w:id="0">
    <w:p w14:paraId="1EF7F714" w14:textId="77777777" w:rsidR="00D12688" w:rsidRDefault="00D12688" w:rsidP="00190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17245" w14:textId="77777777" w:rsidR="00D12688" w:rsidRDefault="00D12688" w:rsidP="0019019D">
      <w:pPr>
        <w:spacing w:after="0" w:line="240" w:lineRule="auto"/>
      </w:pPr>
      <w:r>
        <w:separator/>
      </w:r>
    </w:p>
  </w:footnote>
  <w:footnote w:type="continuationSeparator" w:id="0">
    <w:p w14:paraId="113C906C" w14:textId="77777777" w:rsidR="00D12688" w:rsidRDefault="00D12688" w:rsidP="00190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FD543" w14:textId="7199B05B" w:rsidR="0019019D" w:rsidRDefault="0019019D" w:rsidP="0019019D">
    <w:pPr>
      <w:pStyle w:val="Encabezado"/>
      <w:jc w:val="center"/>
    </w:pPr>
    <w:r>
      <w:rPr>
        <w:noProof/>
      </w:rPr>
      <w:drawing>
        <wp:inline distT="0" distB="0" distL="0" distR="0" wp14:anchorId="300F8CBE" wp14:editId="1C54BD3D">
          <wp:extent cx="1028700" cy="619975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0164" cy="626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15A"/>
    <w:multiLevelType w:val="hybridMultilevel"/>
    <w:tmpl w:val="619E4E98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4D46E7"/>
    <w:multiLevelType w:val="hybridMultilevel"/>
    <w:tmpl w:val="A1D0138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F0F09"/>
    <w:multiLevelType w:val="hybridMultilevel"/>
    <w:tmpl w:val="BB18362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24214"/>
    <w:multiLevelType w:val="hybridMultilevel"/>
    <w:tmpl w:val="5EE0440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3187E"/>
    <w:multiLevelType w:val="hybridMultilevel"/>
    <w:tmpl w:val="9BBE69B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765A6C"/>
    <w:multiLevelType w:val="hybridMultilevel"/>
    <w:tmpl w:val="67F2328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E1110"/>
    <w:multiLevelType w:val="hybridMultilevel"/>
    <w:tmpl w:val="0BAAC4E4"/>
    <w:lvl w:ilvl="0" w:tplc="EC8A06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F3FAE"/>
    <w:multiLevelType w:val="hybridMultilevel"/>
    <w:tmpl w:val="BEF67DCA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852AA"/>
    <w:multiLevelType w:val="hybridMultilevel"/>
    <w:tmpl w:val="DB7E20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F6D4A"/>
    <w:multiLevelType w:val="hybridMultilevel"/>
    <w:tmpl w:val="BD865334"/>
    <w:lvl w:ilvl="0" w:tplc="D6F411D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C41A7F"/>
    <w:multiLevelType w:val="hybridMultilevel"/>
    <w:tmpl w:val="CB0416EE"/>
    <w:lvl w:ilvl="0" w:tplc="C3BA41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F6F43"/>
    <w:multiLevelType w:val="hybridMultilevel"/>
    <w:tmpl w:val="200CE3E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3730B"/>
    <w:multiLevelType w:val="hybridMultilevel"/>
    <w:tmpl w:val="83D047C4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1653A8"/>
    <w:multiLevelType w:val="hybridMultilevel"/>
    <w:tmpl w:val="485431CC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CC3894"/>
    <w:multiLevelType w:val="multilevel"/>
    <w:tmpl w:val="8270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F36E8D"/>
    <w:multiLevelType w:val="hybridMultilevel"/>
    <w:tmpl w:val="DBC0F69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5F0732"/>
    <w:multiLevelType w:val="multilevel"/>
    <w:tmpl w:val="57EA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6F35A0"/>
    <w:multiLevelType w:val="hybridMultilevel"/>
    <w:tmpl w:val="A0D6CAEC"/>
    <w:lvl w:ilvl="0" w:tplc="256AB4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F257B3"/>
    <w:multiLevelType w:val="multilevel"/>
    <w:tmpl w:val="8AA0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0112AF"/>
    <w:multiLevelType w:val="hybridMultilevel"/>
    <w:tmpl w:val="D7709192"/>
    <w:lvl w:ilvl="0" w:tplc="D6F411D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5F4685"/>
    <w:multiLevelType w:val="hybridMultilevel"/>
    <w:tmpl w:val="35D82D8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C5107"/>
    <w:multiLevelType w:val="hybridMultilevel"/>
    <w:tmpl w:val="1A300646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E1964"/>
    <w:multiLevelType w:val="hybridMultilevel"/>
    <w:tmpl w:val="AE5ED41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D0672A"/>
    <w:multiLevelType w:val="hybridMultilevel"/>
    <w:tmpl w:val="A0D6CAEC"/>
    <w:lvl w:ilvl="0" w:tplc="256AB4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1"/>
  </w:num>
  <w:num w:numId="3">
    <w:abstractNumId w:val="13"/>
  </w:num>
  <w:num w:numId="4">
    <w:abstractNumId w:val="12"/>
  </w:num>
  <w:num w:numId="5">
    <w:abstractNumId w:val="22"/>
  </w:num>
  <w:num w:numId="6">
    <w:abstractNumId w:val="6"/>
  </w:num>
  <w:num w:numId="7">
    <w:abstractNumId w:val="17"/>
  </w:num>
  <w:num w:numId="8">
    <w:abstractNumId w:val="3"/>
  </w:num>
  <w:num w:numId="9">
    <w:abstractNumId w:val="23"/>
  </w:num>
  <w:num w:numId="10">
    <w:abstractNumId w:val="15"/>
  </w:num>
  <w:num w:numId="11">
    <w:abstractNumId w:val="5"/>
  </w:num>
  <w:num w:numId="12">
    <w:abstractNumId w:val="14"/>
  </w:num>
  <w:num w:numId="13">
    <w:abstractNumId w:val="16"/>
  </w:num>
  <w:num w:numId="14">
    <w:abstractNumId w:val="18"/>
  </w:num>
  <w:num w:numId="15">
    <w:abstractNumId w:val="7"/>
  </w:num>
  <w:num w:numId="16">
    <w:abstractNumId w:val="10"/>
  </w:num>
  <w:num w:numId="17">
    <w:abstractNumId w:val="4"/>
  </w:num>
  <w:num w:numId="18">
    <w:abstractNumId w:val="20"/>
  </w:num>
  <w:num w:numId="19">
    <w:abstractNumId w:val="8"/>
  </w:num>
  <w:num w:numId="20">
    <w:abstractNumId w:val="11"/>
  </w:num>
  <w:num w:numId="21">
    <w:abstractNumId w:val="2"/>
  </w:num>
  <w:num w:numId="22">
    <w:abstractNumId w:val="0"/>
  </w:num>
  <w:num w:numId="23">
    <w:abstractNumId w:val="9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19D"/>
    <w:rsid w:val="00002419"/>
    <w:rsid w:val="00002716"/>
    <w:rsid w:val="00004C98"/>
    <w:rsid w:val="00007A11"/>
    <w:rsid w:val="000137C9"/>
    <w:rsid w:val="00026929"/>
    <w:rsid w:val="00040C9D"/>
    <w:rsid w:val="00042D64"/>
    <w:rsid w:val="00050B56"/>
    <w:rsid w:val="00050B79"/>
    <w:rsid w:val="00062451"/>
    <w:rsid w:val="00063DE8"/>
    <w:rsid w:val="00065EC7"/>
    <w:rsid w:val="0006604E"/>
    <w:rsid w:val="00066F43"/>
    <w:rsid w:val="000736BB"/>
    <w:rsid w:val="00087018"/>
    <w:rsid w:val="0009005D"/>
    <w:rsid w:val="00094EE5"/>
    <w:rsid w:val="000A39AF"/>
    <w:rsid w:val="000A5B12"/>
    <w:rsid w:val="000B02A7"/>
    <w:rsid w:val="000B2469"/>
    <w:rsid w:val="000B4EF2"/>
    <w:rsid w:val="000D5DF5"/>
    <w:rsid w:val="000E2E37"/>
    <w:rsid w:val="00102EB2"/>
    <w:rsid w:val="00105F03"/>
    <w:rsid w:val="001071B1"/>
    <w:rsid w:val="0012519C"/>
    <w:rsid w:val="00126851"/>
    <w:rsid w:val="001400B3"/>
    <w:rsid w:val="001453A1"/>
    <w:rsid w:val="0015132E"/>
    <w:rsid w:val="00151F43"/>
    <w:rsid w:val="00152BC3"/>
    <w:rsid w:val="001557D1"/>
    <w:rsid w:val="00155D56"/>
    <w:rsid w:val="00161172"/>
    <w:rsid w:val="001719B4"/>
    <w:rsid w:val="0017555C"/>
    <w:rsid w:val="00176749"/>
    <w:rsid w:val="0017674C"/>
    <w:rsid w:val="001841B0"/>
    <w:rsid w:val="0019019D"/>
    <w:rsid w:val="00197B66"/>
    <w:rsid w:val="001A4397"/>
    <w:rsid w:val="001B4FB1"/>
    <w:rsid w:val="001D7BB5"/>
    <w:rsid w:val="001E3415"/>
    <w:rsid w:val="001E34F1"/>
    <w:rsid w:val="001E774B"/>
    <w:rsid w:val="001E787A"/>
    <w:rsid w:val="001F3B49"/>
    <w:rsid w:val="00202395"/>
    <w:rsid w:val="00214DFD"/>
    <w:rsid w:val="002404FC"/>
    <w:rsid w:val="00241BFC"/>
    <w:rsid w:val="00257080"/>
    <w:rsid w:val="002626D0"/>
    <w:rsid w:val="00273BC7"/>
    <w:rsid w:val="00280ECB"/>
    <w:rsid w:val="002831CA"/>
    <w:rsid w:val="0029399D"/>
    <w:rsid w:val="0029574E"/>
    <w:rsid w:val="002A248A"/>
    <w:rsid w:val="002E67CA"/>
    <w:rsid w:val="002E6F95"/>
    <w:rsid w:val="002F30ED"/>
    <w:rsid w:val="002F433E"/>
    <w:rsid w:val="00300538"/>
    <w:rsid w:val="003033D1"/>
    <w:rsid w:val="0030678D"/>
    <w:rsid w:val="00311E6B"/>
    <w:rsid w:val="0031373A"/>
    <w:rsid w:val="00330F9B"/>
    <w:rsid w:val="00340AB5"/>
    <w:rsid w:val="003416ED"/>
    <w:rsid w:val="003426EA"/>
    <w:rsid w:val="003515FD"/>
    <w:rsid w:val="00357980"/>
    <w:rsid w:val="00360159"/>
    <w:rsid w:val="00362B29"/>
    <w:rsid w:val="00364F64"/>
    <w:rsid w:val="003704BB"/>
    <w:rsid w:val="00371052"/>
    <w:rsid w:val="00371EC5"/>
    <w:rsid w:val="00375FF5"/>
    <w:rsid w:val="0038201D"/>
    <w:rsid w:val="00384D27"/>
    <w:rsid w:val="00393E07"/>
    <w:rsid w:val="003A1545"/>
    <w:rsid w:val="003B094A"/>
    <w:rsid w:val="003C001F"/>
    <w:rsid w:val="003C081B"/>
    <w:rsid w:val="003C6540"/>
    <w:rsid w:val="003E2494"/>
    <w:rsid w:val="003E50F9"/>
    <w:rsid w:val="003E6384"/>
    <w:rsid w:val="003F00CA"/>
    <w:rsid w:val="003F1AF6"/>
    <w:rsid w:val="003F49ED"/>
    <w:rsid w:val="00404B4B"/>
    <w:rsid w:val="00416631"/>
    <w:rsid w:val="00427BF8"/>
    <w:rsid w:val="00431332"/>
    <w:rsid w:val="00431D3C"/>
    <w:rsid w:val="00472EE9"/>
    <w:rsid w:val="004754EB"/>
    <w:rsid w:val="0049350E"/>
    <w:rsid w:val="004B021E"/>
    <w:rsid w:val="004B6B1D"/>
    <w:rsid w:val="004C7BC3"/>
    <w:rsid w:val="004D5E23"/>
    <w:rsid w:val="004E06C4"/>
    <w:rsid w:val="004E15AA"/>
    <w:rsid w:val="004E5D5B"/>
    <w:rsid w:val="004F1F98"/>
    <w:rsid w:val="004F388A"/>
    <w:rsid w:val="005008FB"/>
    <w:rsid w:val="00502219"/>
    <w:rsid w:val="00512071"/>
    <w:rsid w:val="00524F77"/>
    <w:rsid w:val="005373D9"/>
    <w:rsid w:val="00540EC4"/>
    <w:rsid w:val="00544137"/>
    <w:rsid w:val="00544B84"/>
    <w:rsid w:val="00555422"/>
    <w:rsid w:val="00563408"/>
    <w:rsid w:val="005661AC"/>
    <w:rsid w:val="005775BA"/>
    <w:rsid w:val="005838A6"/>
    <w:rsid w:val="00584210"/>
    <w:rsid w:val="0058671C"/>
    <w:rsid w:val="005877A8"/>
    <w:rsid w:val="005966E1"/>
    <w:rsid w:val="005A4071"/>
    <w:rsid w:val="005A76DD"/>
    <w:rsid w:val="005B6E7A"/>
    <w:rsid w:val="005D1CBE"/>
    <w:rsid w:val="005D2FE2"/>
    <w:rsid w:val="005D3CCF"/>
    <w:rsid w:val="005E7238"/>
    <w:rsid w:val="005F690F"/>
    <w:rsid w:val="005F7CFE"/>
    <w:rsid w:val="006015F5"/>
    <w:rsid w:val="00602E07"/>
    <w:rsid w:val="0060385A"/>
    <w:rsid w:val="00611042"/>
    <w:rsid w:val="00615A50"/>
    <w:rsid w:val="006217B8"/>
    <w:rsid w:val="00634EA2"/>
    <w:rsid w:val="00637B4B"/>
    <w:rsid w:val="0065496C"/>
    <w:rsid w:val="006657C1"/>
    <w:rsid w:val="006658AA"/>
    <w:rsid w:val="00666B6C"/>
    <w:rsid w:val="006716F2"/>
    <w:rsid w:val="00677629"/>
    <w:rsid w:val="00696D28"/>
    <w:rsid w:val="006A2C59"/>
    <w:rsid w:val="006A53FD"/>
    <w:rsid w:val="006B465B"/>
    <w:rsid w:val="006B77E3"/>
    <w:rsid w:val="006D2CA3"/>
    <w:rsid w:val="006D3E0F"/>
    <w:rsid w:val="006D45E0"/>
    <w:rsid w:val="006E5044"/>
    <w:rsid w:val="00707426"/>
    <w:rsid w:val="0071020F"/>
    <w:rsid w:val="00720AA2"/>
    <w:rsid w:val="00722925"/>
    <w:rsid w:val="00723F6F"/>
    <w:rsid w:val="00731A9D"/>
    <w:rsid w:val="00740217"/>
    <w:rsid w:val="007520EC"/>
    <w:rsid w:val="00757412"/>
    <w:rsid w:val="0077242C"/>
    <w:rsid w:val="007768F9"/>
    <w:rsid w:val="007821BF"/>
    <w:rsid w:val="00786A3E"/>
    <w:rsid w:val="00787ADA"/>
    <w:rsid w:val="00793209"/>
    <w:rsid w:val="007B1E11"/>
    <w:rsid w:val="007B269E"/>
    <w:rsid w:val="007B5CB7"/>
    <w:rsid w:val="007D486E"/>
    <w:rsid w:val="007D79C7"/>
    <w:rsid w:val="007E62B9"/>
    <w:rsid w:val="007E6F56"/>
    <w:rsid w:val="00812073"/>
    <w:rsid w:val="00822F8F"/>
    <w:rsid w:val="00825A85"/>
    <w:rsid w:val="0084546A"/>
    <w:rsid w:val="0084550C"/>
    <w:rsid w:val="008639F3"/>
    <w:rsid w:val="008725CB"/>
    <w:rsid w:val="00875427"/>
    <w:rsid w:val="00882C83"/>
    <w:rsid w:val="00883FA5"/>
    <w:rsid w:val="00884D57"/>
    <w:rsid w:val="0089261B"/>
    <w:rsid w:val="00896154"/>
    <w:rsid w:val="008A2EB2"/>
    <w:rsid w:val="008A6BB8"/>
    <w:rsid w:val="008B5D2B"/>
    <w:rsid w:val="008C46FC"/>
    <w:rsid w:val="008C7EF1"/>
    <w:rsid w:val="008D684B"/>
    <w:rsid w:val="008F0546"/>
    <w:rsid w:val="008F5922"/>
    <w:rsid w:val="009066CD"/>
    <w:rsid w:val="00925548"/>
    <w:rsid w:val="00931679"/>
    <w:rsid w:val="00936D13"/>
    <w:rsid w:val="009475E6"/>
    <w:rsid w:val="00950782"/>
    <w:rsid w:val="00955015"/>
    <w:rsid w:val="009636C5"/>
    <w:rsid w:val="009869CA"/>
    <w:rsid w:val="00987F1E"/>
    <w:rsid w:val="00990B0A"/>
    <w:rsid w:val="009A4378"/>
    <w:rsid w:val="009A5A34"/>
    <w:rsid w:val="009B05FC"/>
    <w:rsid w:val="009B266C"/>
    <w:rsid w:val="009C25CE"/>
    <w:rsid w:val="009C3EA4"/>
    <w:rsid w:val="009C4C57"/>
    <w:rsid w:val="009C7843"/>
    <w:rsid w:val="009E69EB"/>
    <w:rsid w:val="009F724E"/>
    <w:rsid w:val="00A070F7"/>
    <w:rsid w:val="00A10F53"/>
    <w:rsid w:val="00A2276A"/>
    <w:rsid w:val="00A34288"/>
    <w:rsid w:val="00A34EBC"/>
    <w:rsid w:val="00A42452"/>
    <w:rsid w:val="00A517E9"/>
    <w:rsid w:val="00A52D29"/>
    <w:rsid w:val="00A57BF5"/>
    <w:rsid w:val="00A606C9"/>
    <w:rsid w:val="00A74CD1"/>
    <w:rsid w:val="00A7759A"/>
    <w:rsid w:val="00A8081C"/>
    <w:rsid w:val="00A85747"/>
    <w:rsid w:val="00A9372B"/>
    <w:rsid w:val="00AB4F6C"/>
    <w:rsid w:val="00AB5259"/>
    <w:rsid w:val="00AC0A15"/>
    <w:rsid w:val="00AE6923"/>
    <w:rsid w:val="00AF01D3"/>
    <w:rsid w:val="00AF0DD3"/>
    <w:rsid w:val="00B02534"/>
    <w:rsid w:val="00B143CB"/>
    <w:rsid w:val="00B23CCA"/>
    <w:rsid w:val="00B31682"/>
    <w:rsid w:val="00B34F09"/>
    <w:rsid w:val="00B439EF"/>
    <w:rsid w:val="00B50903"/>
    <w:rsid w:val="00B52A59"/>
    <w:rsid w:val="00B6361E"/>
    <w:rsid w:val="00B67AD8"/>
    <w:rsid w:val="00B70748"/>
    <w:rsid w:val="00B70FF3"/>
    <w:rsid w:val="00B71F3E"/>
    <w:rsid w:val="00B829C1"/>
    <w:rsid w:val="00B85988"/>
    <w:rsid w:val="00BA5B5A"/>
    <w:rsid w:val="00BA6814"/>
    <w:rsid w:val="00BB0639"/>
    <w:rsid w:val="00BB4968"/>
    <w:rsid w:val="00BB4B42"/>
    <w:rsid w:val="00BC40DD"/>
    <w:rsid w:val="00BC7570"/>
    <w:rsid w:val="00BD7644"/>
    <w:rsid w:val="00BE1D78"/>
    <w:rsid w:val="00BE2AF7"/>
    <w:rsid w:val="00BF10FF"/>
    <w:rsid w:val="00C1327D"/>
    <w:rsid w:val="00C2497B"/>
    <w:rsid w:val="00C41EB3"/>
    <w:rsid w:val="00C472CE"/>
    <w:rsid w:val="00C510FB"/>
    <w:rsid w:val="00C517E5"/>
    <w:rsid w:val="00C52F48"/>
    <w:rsid w:val="00C5568A"/>
    <w:rsid w:val="00C562FE"/>
    <w:rsid w:val="00C56D81"/>
    <w:rsid w:val="00C6657C"/>
    <w:rsid w:val="00C6731C"/>
    <w:rsid w:val="00C67741"/>
    <w:rsid w:val="00C71748"/>
    <w:rsid w:val="00C74059"/>
    <w:rsid w:val="00C7578E"/>
    <w:rsid w:val="00C83923"/>
    <w:rsid w:val="00C945D7"/>
    <w:rsid w:val="00CA0C69"/>
    <w:rsid w:val="00CA1E54"/>
    <w:rsid w:val="00CB0C97"/>
    <w:rsid w:val="00CB22DA"/>
    <w:rsid w:val="00CC2F54"/>
    <w:rsid w:val="00CC3F49"/>
    <w:rsid w:val="00CC6FD1"/>
    <w:rsid w:val="00CD1FBB"/>
    <w:rsid w:val="00CD3338"/>
    <w:rsid w:val="00CE4D37"/>
    <w:rsid w:val="00CF0988"/>
    <w:rsid w:val="00CF11EF"/>
    <w:rsid w:val="00CF1391"/>
    <w:rsid w:val="00D074A4"/>
    <w:rsid w:val="00D112C6"/>
    <w:rsid w:val="00D12688"/>
    <w:rsid w:val="00D1630F"/>
    <w:rsid w:val="00D211CE"/>
    <w:rsid w:val="00D27AF1"/>
    <w:rsid w:val="00D333E2"/>
    <w:rsid w:val="00D42235"/>
    <w:rsid w:val="00D50310"/>
    <w:rsid w:val="00D517A5"/>
    <w:rsid w:val="00D52841"/>
    <w:rsid w:val="00D533DB"/>
    <w:rsid w:val="00D70904"/>
    <w:rsid w:val="00D70AA4"/>
    <w:rsid w:val="00D83970"/>
    <w:rsid w:val="00D848E8"/>
    <w:rsid w:val="00D85D8E"/>
    <w:rsid w:val="00D91643"/>
    <w:rsid w:val="00DA1860"/>
    <w:rsid w:val="00DD62D6"/>
    <w:rsid w:val="00DE12F6"/>
    <w:rsid w:val="00DE1ABB"/>
    <w:rsid w:val="00E06A2C"/>
    <w:rsid w:val="00E11A3C"/>
    <w:rsid w:val="00E20A4E"/>
    <w:rsid w:val="00E24CC1"/>
    <w:rsid w:val="00E25EA3"/>
    <w:rsid w:val="00E278F2"/>
    <w:rsid w:val="00E4024C"/>
    <w:rsid w:val="00E43C0F"/>
    <w:rsid w:val="00E531BD"/>
    <w:rsid w:val="00E614E9"/>
    <w:rsid w:val="00E663AE"/>
    <w:rsid w:val="00E728CA"/>
    <w:rsid w:val="00E746B4"/>
    <w:rsid w:val="00E91EC9"/>
    <w:rsid w:val="00E92BBF"/>
    <w:rsid w:val="00EA7EA3"/>
    <w:rsid w:val="00EB2FF2"/>
    <w:rsid w:val="00ED314D"/>
    <w:rsid w:val="00ED33FA"/>
    <w:rsid w:val="00EE45B8"/>
    <w:rsid w:val="00EE4FAA"/>
    <w:rsid w:val="00EF00CF"/>
    <w:rsid w:val="00EF0FD7"/>
    <w:rsid w:val="00EF2F89"/>
    <w:rsid w:val="00EF3C2A"/>
    <w:rsid w:val="00F06F51"/>
    <w:rsid w:val="00F17A5F"/>
    <w:rsid w:val="00F3396B"/>
    <w:rsid w:val="00F33A1D"/>
    <w:rsid w:val="00F426DC"/>
    <w:rsid w:val="00F4307C"/>
    <w:rsid w:val="00F52957"/>
    <w:rsid w:val="00F654AF"/>
    <w:rsid w:val="00F66F4B"/>
    <w:rsid w:val="00F71D33"/>
    <w:rsid w:val="00F8205D"/>
    <w:rsid w:val="00F927A8"/>
    <w:rsid w:val="00F945C0"/>
    <w:rsid w:val="00F95B0A"/>
    <w:rsid w:val="00FA7D4F"/>
    <w:rsid w:val="00FB38DD"/>
    <w:rsid w:val="00FC3D5C"/>
    <w:rsid w:val="00FC3F22"/>
    <w:rsid w:val="00FC5534"/>
    <w:rsid w:val="00FE0857"/>
    <w:rsid w:val="00FF06F4"/>
    <w:rsid w:val="00FF1F94"/>
    <w:rsid w:val="00FF246D"/>
    <w:rsid w:val="00FF4733"/>
    <w:rsid w:val="1F7EC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AA1A1"/>
  <w15:chartTrackingRefBased/>
  <w15:docId w15:val="{8ED04E50-0438-4EE8-820C-F224A27F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019D"/>
  </w:style>
  <w:style w:type="paragraph" w:styleId="Piedepgina">
    <w:name w:val="footer"/>
    <w:basedOn w:val="Normal"/>
    <w:link w:val="PiedepginaCar"/>
    <w:uiPriority w:val="99"/>
    <w:unhideWhenUsed/>
    <w:rsid w:val="0019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019D"/>
  </w:style>
  <w:style w:type="paragraph" w:customStyle="1" w:styleId="Default">
    <w:name w:val="Default"/>
    <w:rsid w:val="000B24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0B246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074A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074A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26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character" w:styleId="Textoennegrita">
    <w:name w:val="Strong"/>
    <w:basedOn w:val="Fuentedeprrafopredeter"/>
    <w:uiPriority w:val="22"/>
    <w:qFormat/>
    <w:rsid w:val="00126851"/>
    <w:rPr>
      <w:b/>
      <w:bCs/>
    </w:rPr>
  </w:style>
  <w:style w:type="paragraph" w:styleId="Sinespaciado">
    <w:name w:val="No Spacing"/>
    <w:uiPriority w:val="1"/>
    <w:qFormat/>
    <w:rsid w:val="00812073"/>
    <w:pPr>
      <w:spacing w:after="0" w:line="240" w:lineRule="auto"/>
    </w:pPr>
    <w:rPr>
      <w:lang w:val="es-CO"/>
    </w:rPr>
  </w:style>
  <w:style w:type="table" w:styleId="Tablaconcuadrcula">
    <w:name w:val="Table Grid"/>
    <w:basedOn w:val="Tablanormal"/>
    <w:uiPriority w:val="39"/>
    <w:rsid w:val="0081207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FC5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ABRIL\11.%20SECTOR%20AGROINDUSTRIAL%20MAR%202026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DESEMBOLSO</a:t>
            </a:r>
            <a:r>
              <a:rPr lang="es-CO" baseline="0"/>
              <a:t> ENTIDADES FINANCIERAS</a:t>
            </a:r>
            <a:endParaRPr lang="es-CO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ENTIDADES!$C$2</c:f>
              <c:strCache>
                <c:ptCount val="1"/>
                <c:pt idx="0">
                  <c:v>DESEMBOLSO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ENTIDADES!$B$3:$B$10</c:f>
              <c:strCache>
                <c:ptCount val="8"/>
                <c:pt idx="0">
                  <c:v>BCO. DE BOGOTA</c:v>
                </c:pt>
                <c:pt idx="1">
                  <c:v>BCO. BANCOLOMBIA S.A</c:v>
                </c:pt>
                <c:pt idx="2">
                  <c:v>BCO. DAVIVIENDA S.A.</c:v>
                </c:pt>
                <c:pt idx="3">
                  <c:v>BCO. DE OCCIDENTE</c:v>
                </c:pt>
                <c:pt idx="4">
                  <c:v>BCO. MUNDO MUJER S.A.</c:v>
                </c:pt>
                <c:pt idx="5">
                  <c:v>BCO. BILBAO VIZCAYA ARGENTARIA COLOMBIA S.A.</c:v>
                </c:pt>
                <c:pt idx="6">
                  <c:v>CORPORACION INTERACTUAR</c:v>
                </c:pt>
                <c:pt idx="7">
                  <c:v>BCO. AGRARIO DE COLOMBIA S.A</c:v>
                </c:pt>
              </c:strCache>
            </c:strRef>
          </c:cat>
          <c:val>
            <c:numRef>
              <c:f>ENTIDADES!$C$3:$C$10</c:f>
              <c:numCache>
                <c:formatCode>_-"$"\ * #,##0_-;\-"$"\ * #,##0_-;_-"$"\ * "-"??_-;_-@_-</c:formatCode>
                <c:ptCount val="8"/>
                <c:pt idx="0">
                  <c:v>21352545475</c:v>
                </c:pt>
                <c:pt idx="1">
                  <c:v>12132534281</c:v>
                </c:pt>
                <c:pt idx="2">
                  <c:v>6950804415</c:v>
                </c:pt>
                <c:pt idx="3">
                  <c:v>5114193500</c:v>
                </c:pt>
                <c:pt idx="4">
                  <c:v>3000000000</c:v>
                </c:pt>
                <c:pt idx="5">
                  <c:v>2022632500</c:v>
                </c:pt>
                <c:pt idx="6">
                  <c:v>2000000000</c:v>
                </c:pt>
                <c:pt idx="7">
                  <c:v>1200000000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38B-4A8E-A949-B48A800A6E1F}"/>
            </c:ext>
          </c:extLst>
        </c:ser>
        <c:ser>
          <c:idx val="1"/>
          <c:order val="1"/>
          <c:tx>
            <c:strRef>
              <c:f>ENTIDADES!$D$2</c:f>
              <c:strCache>
                <c:ptCount val="1"/>
                <c:pt idx="0">
                  <c:v>PORCENTAJE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1098220665827522E-2"/>
                  <c:y val="-5.461721994921604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36%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1"/>
                </c:ext>
                <c:ext xmlns:c16="http://schemas.microsoft.com/office/drawing/2014/chart" uri="{C3380CC4-5D6E-409C-BE32-E72D297353CC}">
                  <c16:uniqueId val="{00000001-A38B-4A8E-A949-B48A800A6E1F}"/>
                </c:ext>
              </c:extLst>
            </c:dLbl>
            <c:dLbl>
              <c:idx val="1"/>
              <c:layout>
                <c:manualLayout>
                  <c:x val="2.7777777777777779E-3"/>
                  <c:y val="-5.3995680345572353E-2"/>
                </c:manualLayout>
              </c:layout>
              <c:tx>
                <c:rich>
                  <a:bodyPr/>
                  <a:lstStyle/>
                  <a:p>
                    <a:fld id="{5457DF94-D4D2-4127-9AC1-B2CAE23253E0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2-A38B-4A8E-A949-B48A800A6E1F}"/>
                </c:ext>
              </c:extLst>
            </c:dLbl>
            <c:dLbl>
              <c:idx val="2"/>
              <c:layout>
                <c:manualLayout>
                  <c:x val="5.0925337632079971E-17"/>
                  <c:y val="-3.9596832253419728E-2"/>
                </c:manualLayout>
              </c:layout>
              <c:tx>
                <c:rich>
                  <a:bodyPr/>
                  <a:lstStyle/>
                  <a:p>
                    <a:fld id="{4A6246CE-B24B-4990-8EF2-454436AA51FE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3-A38B-4A8E-A949-B48A800A6E1F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A38B-4A8E-A949-B48A800A6E1F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38B-4A8E-A949-B48A800A6E1F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A38B-4A8E-A949-B48A800A6E1F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38B-4A8E-A949-B48A800A6E1F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A38B-4A8E-A949-B48A800A6E1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0"/>
              </c:ext>
            </c:extLst>
          </c:dLbls>
          <c:cat>
            <c:strRef>
              <c:f>ENTIDADES!$B$3:$B$10</c:f>
              <c:strCache>
                <c:ptCount val="8"/>
                <c:pt idx="0">
                  <c:v>BCO. DE BOGOTA</c:v>
                </c:pt>
                <c:pt idx="1">
                  <c:v>BCO. BANCOLOMBIA S.A</c:v>
                </c:pt>
                <c:pt idx="2">
                  <c:v>BCO. DAVIVIENDA S.A.</c:v>
                </c:pt>
                <c:pt idx="3">
                  <c:v>BCO. DE OCCIDENTE</c:v>
                </c:pt>
                <c:pt idx="4">
                  <c:v>BCO. MUNDO MUJER S.A.</c:v>
                </c:pt>
                <c:pt idx="5">
                  <c:v>BCO. BILBAO VIZCAYA ARGENTARIA COLOMBIA S.A.</c:v>
                </c:pt>
                <c:pt idx="6">
                  <c:v>CORPORACION INTERACTUAR</c:v>
                </c:pt>
                <c:pt idx="7">
                  <c:v>BCO. AGRARIO DE COLOMBIA S.A</c:v>
                </c:pt>
              </c:strCache>
            </c:strRef>
          </c:cat>
          <c:val>
            <c:numRef>
              <c:f>ENTIDADES!$D$3:$D$10</c:f>
              <c:numCache>
                <c:formatCode>0%</c:formatCode>
                <c:ptCount val="8"/>
                <c:pt idx="0">
                  <c:v>0.36243785099068193</c:v>
                </c:pt>
                <c:pt idx="1">
                  <c:v>0.20593749148198073</c:v>
                </c:pt>
                <c:pt idx="2">
                  <c:v>0.11798287083751752</c:v>
                </c:pt>
                <c:pt idx="3">
                  <c:v>8.6808259177376335E-2</c:v>
                </c:pt>
                <c:pt idx="4">
                  <c:v>5.0921964046164656E-2</c:v>
                </c:pt>
                <c:pt idx="5">
                  <c:v>3.4332139814534715E-2</c:v>
                </c:pt>
                <c:pt idx="6">
                  <c:v>3.3947976030776442E-2</c:v>
                </c:pt>
                <c:pt idx="7">
                  <c:v>2.0368785618465862E-2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ENTIDADES!$D$3:$D$12</c15:f>
                <c15:dlblRangeCache>
                  <c:ptCount val="10"/>
                  <c:pt idx="0">
                    <c:v>36%</c:v>
                  </c:pt>
                  <c:pt idx="1">
                    <c:v>21%</c:v>
                  </c:pt>
                  <c:pt idx="2">
                    <c:v>12%</c:v>
                  </c:pt>
                  <c:pt idx="3">
                    <c:v>9%</c:v>
                  </c:pt>
                  <c:pt idx="4">
                    <c:v>5%</c:v>
                  </c:pt>
                  <c:pt idx="5">
                    <c:v>3%</c:v>
                  </c:pt>
                  <c:pt idx="6">
                    <c:v>3%</c:v>
                  </c:pt>
                  <c:pt idx="7">
                    <c:v>2%</c:v>
                  </c:pt>
                  <c:pt idx="8">
                    <c:v>2%</c:v>
                  </c:pt>
                  <c:pt idx="9">
                    <c:v>1%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9-A38B-4A8E-A949-B48A800A6E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82130880"/>
        <c:axId val="1482130048"/>
        <c:axId val="0"/>
      </c:bar3DChart>
      <c:catAx>
        <c:axId val="1482130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482130048"/>
        <c:crosses val="autoZero"/>
        <c:auto val="1"/>
        <c:lblAlgn val="ctr"/>
        <c:lblOffset val="100"/>
        <c:noMultiLvlLbl val="0"/>
      </c:catAx>
      <c:valAx>
        <c:axId val="1482130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&quot;$&quot;* #,##0_);_(&quot;$&quot;* \(#,##0\);_(&quot;$&quot;* &quot;-&quot;_);_(@_)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482130880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Desembolso por departamentos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DEPARTAMENTOS!$C$2</c:f>
              <c:strCache>
                <c:ptCount val="1"/>
                <c:pt idx="0">
                  <c:v> Suma de Desembolso COP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1222427505484134E-2"/>
                  <c:y val="-0.2877890980339800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AFE-4F74-ACFB-023551A7EF0D}"/>
                </c:ext>
              </c:extLst>
            </c:dLbl>
            <c:dLbl>
              <c:idx val="1"/>
              <c:layout>
                <c:manualLayout>
                  <c:x val="1.1128231842252494E-2"/>
                  <c:y val="-0.2142471753897882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AFE-4F74-ACFB-023551A7EF0D}"/>
                </c:ext>
              </c:extLst>
            </c:dLbl>
            <c:dLbl>
              <c:idx val="2"/>
              <c:layout>
                <c:manualLayout>
                  <c:x val="8.346173881689371E-3"/>
                  <c:y val="-0.1514505894996779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AFE-4F74-ACFB-023551A7EF0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DEPARTAMENTOS!$B$3:$B$15</c:f>
              <c:strCache>
                <c:ptCount val="13"/>
                <c:pt idx="0">
                  <c:v>Antioquia</c:v>
                </c:pt>
                <c:pt idx="1">
                  <c:v>Valle</c:v>
                </c:pt>
                <c:pt idx="2">
                  <c:v>Bogota DC</c:v>
                </c:pt>
                <c:pt idx="3">
                  <c:v>Santander</c:v>
                </c:pt>
                <c:pt idx="4">
                  <c:v>Cundinamarca</c:v>
                </c:pt>
                <c:pt idx="5">
                  <c:v>Atlantico</c:v>
                </c:pt>
                <c:pt idx="6">
                  <c:v>Risaralda</c:v>
                </c:pt>
                <c:pt idx="7">
                  <c:v>Narino</c:v>
                </c:pt>
                <c:pt idx="8">
                  <c:v>Huila</c:v>
                </c:pt>
                <c:pt idx="9">
                  <c:v>Bolivar</c:v>
                </c:pt>
                <c:pt idx="10">
                  <c:v>Norte de Santander</c:v>
                </c:pt>
                <c:pt idx="11">
                  <c:v>Tolima</c:v>
                </c:pt>
                <c:pt idx="12">
                  <c:v>Cauca</c:v>
                </c:pt>
              </c:strCache>
            </c:strRef>
          </c:cat>
          <c:val>
            <c:numRef>
              <c:f>DEPARTAMENTOS!$C$3:$C$15</c:f>
              <c:numCache>
                <c:formatCode>_-"$"\ * #,##0_-;\-"$"\ * #,##0_-;_-"$"\ * "-"??_-;_-@_-</c:formatCode>
                <c:ptCount val="13"/>
                <c:pt idx="0">
                  <c:v>14313035381</c:v>
                </c:pt>
                <c:pt idx="1">
                  <c:v>7609471634</c:v>
                </c:pt>
                <c:pt idx="2">
                  <c:v>5495414000</c:v>
                </c:pt>
                <c:pt idx="3">
                  <c:v>4421701520</c:v>
                </c:pt>
                <c:pt idx="4">
                  <c:v>3760500000</c:v>
                </c:pt>
                <c:pt idx="5">
                  <c:v>3103019560</c:v>
                </c:pt>
                <c:pt idx="6">
                  <c:v>2748498196</c:v>
                </c:pt>
                <c:pt idx="7">
                  <c:v>2680740000</c:v>
                </c:pt>
                <c:pt idx="8">
                  <c:v>2049918500</c:v>
                </c:pt>
                <c:pt idx="9">
                  <c:v>1943779685</c:v>
                </c:pt>
                <c:pt idx="10">
                  <c:v>1877276550</c:v>
                </c:pt>
                <c:pt idx="11">
                  <c:v>1661050000</c:v>
                </c:pt>
                <c:pt idx="12">
                  <c:v>1600714228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AFE-4F74-ACFB-023551A7EF0D}"/>
            </c:ext>
          </c:extLst>
        </c:ser>
        <c:ser>
          <c:idx val="1"/>
          <c:order val="1"/>
          <c:tx>
            <c:strRef>
              <c:f>DEPARTAMENTOS!$D$2</c:f>
              <c:strCache>
                <c:ptCount val="1"/>
                <c:pt idx="0">
                  <c:v>Cuenta de Departamento Origen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DEPARTAMENTOS!$B$3:$B$15</c:f>
              <c:strCache>
                <c:ptCount val="13"/>
                <c:pt idx="0">
                  <c:v>Antioquia</c:v>
                </c:pt>
                <c:pt idx="1">
                  <c:v>Valle</c:v>
                </c:pt>
                <c:pt idx="2">
                  <c:v>Bogota DC</c:v>
                </c:pt>
                <c:pt idx="3">
                  <c:v>Santander</c:v>
                </c:pt>
                <c:pt idx="4">
                  <c:v>Cundinamarca</c:v>
                </c:pt>
                <c:pt idx="5">
                  <c:v>Atlantico</c:v>
                </c:pt>
                <c:pt idx="6">
                  <c:v>Risaralda</c:v>
                </c:pt>
                <c:pt idx="7">
                  <c:v>Narino</c:v>
                </c:pt>
                <c:pt idx="8">
                  <c:v>Huila</c:v>
                </c:pt>
                <c:pt idx="9">
                  <c:v>Bolivar</c:v>
                </c:pt>
                <c:pt idx="10">
                  <c:v>Norte de Santander</c:v>
                </c:pt>
                <c:pt idx="11">
                  <c:v>Tolima</c:v>
                </c:pt>
                <c:pt idx="12">
                  <c:v>Cauca</c:v>
                </c:pt>
              </c:strCache>
            </c:strRef>
          </c:cat>
          <c:val>
            <c:numRef>
              <c:f>DEPARTAMENTOS!$D$3:$D$15</c:f>
              <c:numCache>
                <c:formatCode>General</c:formatCode>
                <c:ptCount val="13"/>
                <c:pt idx="0">
                  <c:v>153</c:v>
                </c:pt>
                <c:pt idx="1">
                  <c:v>106</c:v>
                </c:pt>
                <c:pt idx="2">
                  <c:v>32</c:v>
                </c:pt>
                <c:pt idx="3">
                  <c:v>46</c:v>
                </c:pt>
                <c:pt idx="4">
                  <c:v>49</c:v>
                </c:pt>
                <c:pt idx="5">
                  <c:v>58</c:v>
                </c:pt>
                <c:pt idx="6">
                  <c:v>19</c:v>
                </c:pt>
                <c:pt idx="7">
                  <c:v>30</c:v>
                </c:pt>
                <c:pt idx="8">
                  <c:v>56</c:v>
                </c:pt>
                <c:pt idx="9">
                  <c:v>55</c:v>
                </c:pt>
                <c:pt idx="10">
                  <c:v>17</c:v>
                </c:pt>
                <c:pt idx="11">
                  <c:v>105</c:v>
                </c:pt>
                <c:pt idx="12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AFE-4F74-ACFB-023551A7EF0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29020896"/>
        <c:axId val="1029014240"/>
        <c:axId val="0"/>
      </c:bar3DChart>
      <c:catAx>
        <c:axId val="1029020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029014240"/>
        <c:crosses val="autoZero"/>
        <c:auto val="1"/>
        <c:lblAlgn val="ctr"/>
        <c:lblOffset val="100"/>
        <c:noMultiLvlLbl val="0"/>
      </c:catAx>
      <c:valAx>
        <c:axId val="1029014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&quot;$&quot;* #,##0_);_(&quot;$&quot;* \(#,##0\);_(&quot;$&quot;* &quot;-&quot;_);_(@_)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029020896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Desembolso</a:t>
            </a:r>
            <a:r>
              <a:rPr lang="es-CO" baseline="0"/>
              <a:t> por Municipio</a:t>
            </a:r>
            <a:endParaRPr lang="es-CO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MUNICIPIOS!$C$2</c:f>
              <c:strCache>
                <c:ptCount val="1"/>
                <c:pt idx="0">
                  <c:v> Suma de Desembolso COP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5.536327191760471E-3"/>
                  <c:y val="-0.3412288527437008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CFC-4B4C-8697-30E24C8DDE86}"/>
                </c:ext>
              </c:extLst>
            </c:dLbl>
            <c:dLbl>
              <c:idx val="1"/>
              <c:layout>
                <c:manualLayout>
                  <c:x val="8.32185528883388E-3"/>
                  <c:y val="-0.2788683653483000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CFC-4B4C-8697-30E24C8DDE86}"/>
                </c:ext>
              </c:extLst>
            </c:dLbl>
            <c:dLbl>
              <c:idx val="2"/>
              <c:layout>
                <c:manualLayout>
                  <c:x val="1.1095807051778541E-2"/>
                  <c:y val="-0.207159357115880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CFC-4B4C-8697-30E24C8DDE8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MUNICIPIOS!$B$3:$B$16</c:f>
              <c:strCache>
                <c:ptCount val="14"/>
                <c:pt idx="0">
                  <c:v>BOGOTA </c:v>
                </c:pt>
                <c:pt idx="1">
                  <c:v>CALI </c:v>
                </c:pt>
                <c:pt idx="2">
                  <c:v>MEDELLIN </c:v>
                </c:pt>
                <c:pt idx="3">
                  <c:v>ITAGUI </c:v>
                </c:pt>
                <c:pt idx="4">
                  <c:v>BUCARAMANGA </c:v>
                </c:pt>
                <c:pt idx="5">
                  <c:v>BARRANQUILLA </c:v>
                </c:pt>
                <c:pt idx="6">
                  <c:v>SABANETA </c:v>
                </c:pt>
                <c:pt idx="7">
                  <c:v>CARTAGENA </c:v>
                </c:pt>
                <c:pt idx="8">
                  <c:v>PASTO </c:v>
                </c:pt>
                <c:pt idx="9">
                  <c:v>YUMBO </c:v>
                </c:pt>
                <c:pt idx="10">
                  <c:v>IBAGUE </c:v>
                </c:pt>
                <c:pt idx="11">
                  <c:v>DOSQUEBRADAS </c:v>
                </c:pt>
                <c:pt idx="12">
                  <c:v>CUCUTA </c:v>
                </c:pt>
                <c:pt idx="13">
                  <c:v>PALERMO </c:v>
                </c:pt>
              </c:strCache>
            </c:strRef>
          </c:cat>
          <c:val>
            <c:numRef>
              <c:f>MUNICIPIOS!$C$3:$C$16</c:f>
              <c:numCache>
                <c:formatCode>_-"$"\ * #,##0_-;\-"$"\ * #,##0_-;_-"$"\ * "-"??_-;_-@_-</c:formatCode>
                <c:ptCount val="14"/>
                <c:pt idx="0">
                  <c:v>5495414000</c:v>
                </c:pt>
                <c:pt idx="1">
                  <c:v>4369423927</c:v>
                </c:pt>
                <c:pt idx="2">
                  <c:v>3668886935</c:v>
                </c:pt>
                <c:pt idx="3">
                  <c:v>3548442388</c:v>
                </c:pt>
                <c:pt idx="4">
                  <c:v>2838901520</c:v>
                </c:pt>
                <c:pt idx="5">
                  <c:v>2805539863</c:v>
                </c:pt>
                <c:pt idx="6">
                  <c:v>2052106058</c:v>
                </c:pt>
                <c:pt idx="7">
                  <c:v>1819000000</c:v>
                </c:pt>
                <c:pt idx="8">
                  <c:v>1708990000</c:v>
                </c:pt>
                <c:pt idx="9">
                  <c:v>1494000000</c:v>
                </c:pt>
                <c:pt idx="10">
                  <c:v>1341750000</c:v>
                </c:pt>
                <c:pt idx="11">
                  <c:v>1257590350</c:v>
                </c:pt>
                <c:pt idx="12">
                  <c:v>1242276550</c:v>
                </c:pt>
                <c:pt idx="13">
                  <c:v>1220178500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CFC-4B4C-8697-30E24C8DDE86}"/>
            </c:ext>
          </c:extLst>
        </c:ser>
        <c:ser>
          <c:idx val="1"/>
          <c:order val="1"/>
          <c:tx>
            <c:strRef>
              <c:f>MUNICIPIOS!$D$2</c:f>
              <c:strCache>
                <c:ptCount val="1"/>
                <c:pt idx="0">
                  <c:v>Cuenta de Ciudad Origen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MUNICIPIOS!$B$3:$B$16</c:f>
              <c:strCache>
                <c:ptCount val="14"/>
                <c:pt idx="0">
                  <c:v>BOGOTA </c:v>
                </c:pt>
                <c:pt idx="1">
                  <c:v>CALI </c:v>
                </c:pt>
                <c:pt idx="2">
                  <c:v>MEDELLIN </c:v>
                </c:pt>
                <c:pt idx="3">
                  <c:v>ITAGUI </c:v>
                </c:pt>
                <c:pt idx="4">
                  <c:v>BUCARAMANGA </c:v>
                </c:pt>
                <c:pt idx="5">
                  <c:v>BARRANQUILLA </c:v>
                </c:pt>
                <c:pt idx="6">
                  <c:v>SABANETA </c:v>
                </c:pt>
                <c:pt idx="7">
                  <c:v>CARTAGENA </c:v>
                </c:pt>
                <c:pt idx="8">
                  <c:v>PASTO </c:v>
                </c:pt>
                <c:pt idx="9">
                  <c:v>YUMBO </c:v>
                </c:pt>
                <c:pt idx="10">
                  <c:v>IBAGUE </c:v>
                </c:pt>
                <c:pt idx="11">
                  <c:v>DOSQUEBRADAS </c:v>
                </c:pt>
                <c:pt idx="12">
                  <c:v>CUCUTA </c:v>
                </c:pt>
                <c:pt idx="13">
                  <c:v>PALERMO </c:v>
                </c:pt>
              </c:strCache>
            </c:strRef>
          </c:cat>
          <c:val>
            <c:numRef>
              <c:f>MUNICIPIOS!$D$3:$D$16</c:f>
              <c:numCache>
                <c:formatCode>General</c:formatCode>
                <c:ptCount val="14"/>
                <c:pt idx="0">
                  <c:v>32</c:v>
                </c:pt>
                <c:pt idx="1">
                  <c:v>39</c:v>
                </c:pt>
                <c:pt idx="2">
                  <c:v>42</c:v>
                </c:pt>
                <c:pt idx="3">
                  <c:v>19</c:v>
                </c:pt>
                <c:pt idx="4">
                  <c:v>15</c:v>
                </c:pt>
                <c:pt idx="5">
                  <c:v>40</c:v>
                </c:pt>
                <c:pt idx="6">
                  <c:v>10</c:v>
                </c:pt>
                <c:pt idx="7">
                  <c:v>36</c:v>
                </c:pt>
                <c:pt idx="8">
                  <c:v>16</c:v>
                </c:pt>
                <c:pt idx="9">
                  <c:v>5</c:v>
                </c:pt>
                <c:pt idx="10">
                  <c:v>36</c:v>
                </c:pt>
                <c:pt idx="11">
                  <c:v>5</c:v>
                </c:pt>
                <c:pt idx="12">
                  <c:v>6</c:v>
                </c:pt>
                <c:pt idx="13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CFC-4B4C-8697-30E24C8DDE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63619344"/>
        <c:axId val="1163617680"/>
        <c:axId val="0"/>
      </c:bar3DChart>
      <c:catAx>
        <c:axId val="1163619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163617680"/>
        <c:crosses val="autoZero"/>
        <c:auto val="1"/>
        <c:lblAlgn val="ctr"/>
        <c:lblOffset val="100"/>
        <c:noMultiLvlLbl val="0"/>
      </c:catAx>
      <c:valAx>
        <c:axId val="1163617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&quot;$&quot;* #,##0_);_(&quot;$&quot;* \(#,##0\);_(&quot;$&quot;* &quot;-&quot;_);_(@_)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163619344"/>
        <c:crosses val="autoZero"/>
        <c:crossBetween val="between"/>
        <c:dispUnits>
          <c:builtInUnit val="millions"/>
          <c:dispUnitsLbl>
            <c:layout>
              <c:manualLayout>
                <c:xMode val="edge"/>
                <c:yMode val="edge"/>
                <c:x val="3.6686058118439455E-3"/>
                <c:y val="0.18915525157126173"/>
              </c:manualLayout>
            </c:layout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SUBCUPOS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SUBCUPOS!$C$9</c:f>
              <c:strCache>
                <c:ptCount val="1"/>
                <c:pt idx="0">
                  <c:v>TOTLA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1"/>
              <c:layout>
                <c:manualLayout>
                  <c:x val="1.1111111111111009E-2"/>
                  <c:y val="-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787-4B44-B833-79FDED32ED07}"/>
                </c:ext>
              </c:extLst>
            </c:dLbl>
            <c:dLbl>
              <c:idx val="2"/>
              <c:layout>
                <c:manualLayout>
                  <c:x val="1.111111111111121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787-4B44-B833-79FDED32ED0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SUBCUPOS!$B$10:$B$12</c:f>
              <c:strCache>
                <c:ptCount val="3"/>
                <c:pt idx="0">
                  <c:v>SUBCUPO 2 MUNICIPIOS PRIORIZADOS DEPARTAMENTO DEL CAUCA</c:v>
                </c:pt>
                <c:pt idx="1">
                  <c:v>SUBCUPO 3 FINANCIACIÓN DE EXPORTACIONES </c:v>
                </c:pt>
                <c:pt idx="2">
                  <c:v>SUBCUPO 1 GENERAL</c:v>
                </c:pt>
              </c:strCache>
            </c:strRef>
          </c:cat>
          <c:val>
            <c:numRef>
              <c:f>SUBCUPOS!$C$10:$C$12</c:f>
              <c:numCache>
                <c:formatCode>_-"$"\ * #,##0_-;\-"$"\ * #,##0_-;_-"$"\ * "-"??_-;_-@_-</c:formatCode>
                <c:ptCount val="3"/>
                <c:pt idx="0" formatCode="_(&quot;$&quot;* #,##0.00_);_(&quot;$&quot;* \(#,##0.00\);_(&quot;$&quot;* &quot;-&quot;??_);_(@_)">
                  <c:v>0</c:v>
                </c:pt>
                <c:pt idx="1">
                  <c:v>18392675292</c:v>
                </c:pt>
                <c:pt idx="2">
                  <c:v>84142109963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787-4B44-B833-79FDED32ED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74959600"/>
        <c:axId val="1274953776"/>
        <c:axId val="0"/>
      </c:bar3DChart>
      <c:catAx>
        <c:axId val="12749596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274953776"/>
        <c:crosses val="autoZero"/>
        <c:auto val="1"/>
        <c:lblAlgn val="ctr"/>
        <c:lblOffset val="100"/>
        <c:noMultiLvlLbl val="0"/>
      </c:catAx>
      <c:valAx>
        <c:axId val="12749537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&quot;$&quot;* #,##0_);_(&quot;$&quot;* \(#,##0\);_(&quot;$&quot;* &quot;-&quot;_);_(@_)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274959600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ACTIVIDAD ECONOMICA</a:t>
            </a:r>
            <a:r>
              <a:rPr lang="es-CO" baseline="0"/>
              <a:t> CIIU</a:t>
            </a:r>
            <a:endParaRPr lang="es-CO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CIIU!$C$2:$C$6</c:f>
              <c:strCache>
                <c:ptCount val="5"/>
                <c:pt idx="0">
                  <c:v>Procesamiento y conservación de carne y productos cárnicos</c:v>
                </c:pt>
                <c:pt idx="1">
                  <c:v>	Elaboración de productos lácteos</c:v>
                </c:pt>
                <c:pt idx="2">
                  <c:v>Elaboración de productos de panadería</c:v>
                </c:pt>
                <c:pt idx="3">
                  <c:v>Elaboración de otros productos alimenticios n.c.p.</c:v>
                </c:pt>
                <c:pt idx="4">
                  <c:v>Elaboración de comidas y platos preparados</c:v>
                </c:pt>
              </c:strCache>
            </c:strRef>
          </c:cat>
          <c:val>
            <c:numRef>
              <c:f>CIIU!$D$2:$D$6</c:f>
            </c:numRef>
          </c:val>
          <c:extLst>
            <c:ext xmlns:c16="http://schemas.microsoft.com/office/drawing/2014/chart" uri="{C3380CC4-5D6E-409C-BE32-E72D297353CC}">
              <c16:uniqueId val="{00000000-897F-4F64-9ECC-2F9233932343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>
                        <a:lumMod val="9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CIIU!$C$2:$C$6</c:f>
              <c:strCache>
                <c:ptCount val="5"/>
                <c:pt idx="0">
                  <c:v>Procesamiento y conservación de carne y productos cárnicos</c:v>
                </c:pt>
                <c:pt idx="1">
                  <c:v>	Elaboración de productos lácteos</c:v>
                </c:pt>
                <c:pt idx="2">
                  <c:v>Elaboración de productos de panadería</c:v>
                </c:pt>
                <c:pt idx="3">
                  <c:v>Elaboración de otros productos alimenticios n.c.p.</c:v>
                </c:pt>
                <c:pt idx="4">
                  <c:v>Elaboración de comidas y platos preparados</c:v>
                </c:pt>
              </c:strCache>
            </c:strRef>
          </c:cat>
          <c:val>
            <c:numRef>
              <c:f>CIIU!$E$2:$E$6</c:f>
              <c:numCache>
                <c:formatCode>0</c:formatCode>
                <c:ptCount val="5"/>
                <c:pt idx="0">
                  <c:v>41</c:v>
                </c:pt>
                <c:pt idx="1">
                  <c:v>46</c:v>
                </c:pt>
                <c:pt idx="2">
                  <c:v>138</c:v>
                </c:pt>
                <c:pt idx="3">
                  <c:v>181</c:v>
                </c:pt>
                <c:pt idx="4">
                  <c:v>587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97F-4F64-9ECC-2F92339323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65088160"/>
        <c:axId val="1365085248"/>
        <c:axId val="0"/>
      </c:bar3DChart>
      <c:catAx>
        <c:axId val="13650881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365085248"/>
        <c:crosses val="autoZero"/>
        <c:auto val="1"/>
        <c:lblAlgn val="ctr"/>
        <c:lblOffset val="100"/>
        <c:noMultiLvlLbl val="0"/>
      </c:catAx>
      <c:valAx>
        <c:axId val="13650852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3650881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Destino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DESTINO!$C$1</c:f>
              <c:strCache>
                <c:ptCount val="1"/>
                <c:pt idx="0">
                  <c:v>CANTIDAD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DESTINO!$B$2:$B$6</c:f>
              <c:strCache>
                <c:ptCount val="5"/>
                <c:pt idx="0">
                  <c:v>CONSOLIDACION DE PASIVOS</c:v>
                </c:pt>
                <c:pt idx="1">
                  <c:v>FINANCIACION DE EXPORTACIONES/IMPORTACIONES</c:v>
                </c:pt>
                <c:pt idx="2">
                  <c:v>LEASING</c:v>
                </c:pt>
                <c:pt idx="3">
                  <c:v>INVERSION FIJA</c:v>
                </c:pt>
                <c:pt idx="4">
                  <c:v>CAPITAL DE TRABAJO</c:v>
                </c:pt>
              </c:strCache>
            </c:strRef>
          </c:cat>
          <c:val>
            <c:numRef>
              <c:f>DESTINO!$C$2:$C$6</c:f>
            </c:numRef>
          </c:val>
          <c:extLst>
            <c:ext xmlns:c16="http://schemas.microsoft.com/office/drawing/2014/chart" uri="{C3380CC4-5D6E-409C-BE32-E72D297353CC}">
              <c16:uniqueId val="{00000000-2C49-4640-AC59-B6639A0A134F}"/>
            </c:ext>
          </c:extLst>
        </c:ser>
        <c:ser>
          <c:idx val="1"/>
          <c:order val="1"/>
          <c:tx>
            <c:strRef>
              <c:f>DESTINO!$D$1</c:f>
              <c:strCache>
                <c:ptCount val="1"/>
                <c:pt idx="0">
                  <c:v>PORCENTAJE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4"/>
              <c:layout>
                <c:manualLayout>
                  <c:x val="1.388888888888878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C49-4640-AC59-B6639A0A134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DESTINO!$B$2:$B$6</c:f>
              <c:strCache>
                <c:ptCount val="5"/>
                <c:pt idx="0">
                  <c:v>CONSOLIDACION DE PASIVOS</c:v>
                </c:pt>
                <c:pt idx="1">
                  <c:v>FINANCIACION DE EXPORTACIONES/IMPORTACIONES</c:v>
                </c:pt>
                <c:pt idx="2">
                  <c:v>LEASING</c:v>
                </c:pt>
                <c:pt idx="3">
                  <c:v>INVERSION FIJA</c:v>
                </c:pt>
                <c:pt idx="4">
                  <c:v>CAPITAL DE TRABAJO</c:v>
                </c:pt>
              </c:strCache>
            </c:strRef>
          </c:cat>
          <c:val>
            <c:numRef>
              <c:f>DESTINO!$D$2:$D$6</c:f>
              <c:numCache>
                <c:formatCode>0.00%</c:formatCode>
                <c:ptCount val="5"/>
                <c:pt idx="0">
                  <c:v>3.7105751391465678E-3</c:v>
                </c:pt>
                <c:pt idx="1">
                  <c:v>1.020408163265306E-2</c:v>
                </c:pt>
                <c:pt idx="2">
                  <c:v>1.1131725417439703E-2</c:v>
                </c:pt>
                <c:pt idx="3">
                  <c:v>1.2059369202226345E-2</c:v>
                </c:pt>
                <c:pt idx="4">
                  <c:v>0.96289424860853434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C49-4640-AC59-B6639A0A13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62398976"/>
        <c:axId val="1362402304"/>
        <c:axId val="0"/>
      </c:bar3DChart>
      <c:catAx>
        <c:axId val="13623989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362402304"/>
        <c:crosses val="autoZero"/>
        <c:auto val="1"/>
        <c:lblAlgn val="ctr"/>
        <c:lblOffset val="100"/>
        <c:noMultiLvlLbl val="0"/>
      </c:catAx>
      <c:valAx>
        <c:axId val="13624023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3623989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Número</a:t>
            </a:r>
            <a:r>
              <a:rPr lang="en-US" baseline="0"/>
              <a:t> de desembolsos por tamaño empresarial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TAMAÑO!$C$2</c:f>
              <c:strCache>
                <c:ptCount val="1"/>
                <c:pt idx="0">
                  <c:v>OPERACIONES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TAMAÑO!$B$3:$B$5</c:f>
              <c:strCache>
                <c:ptCount val="3"/>
                <c:pt idx="0">
                  <c:v>MEDIANA</c:v>
                </c:pt>
                <c:pt idx="1">
                  <c:v>MICROEMPRESA</c:v>
                </c:pt>
                <c:pt idx="2">
                  <c:v>PEQUEÑA</c:v>
                </c:pt>
              </c:strCache>
            </c:strRef>
          </c:cat>
          <c:val>
            <c:numRef>
              <c:f>TAMAÑO!$C$3:$C$5</c:f>
            </c:numRef>
          </c:val>
          <c:extLst>
            <c:ext xmlns:c16="http://schemas.microsoft.com/office/drawing/2014/chart" uri="{C3380CC4-5D6E-409C-BE32-E72D297353CC}">
              <c16:uniqueId val="{00000000-FE78-417A-9684-68DBBE8F0859}"/>
            </c:ext>
          </c:extLst>
        </c:ser>
        <c:ser>
          <c:idx val="1"/>
          <c:order val="1"/>
          <c:tx>
            <c:strRef>
              <c:f>TAMAÑO!$D$2</c:f>
              <c:strCache>
                <c:ptCount val="1"/>
                <c:pt idx="0">
                  <c:v>PORCENTAJE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FE78-417A-9684-68DBBE8F085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FE78-417A-9684-68DBBE8F085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6-FE78-417A-9684-68DBBE8F0859}"/>
              </c:ext>
            </c:extLst>
          </c:dPt>
          <c:dLbls>
            <c:dLbl>
              <c:idx val="0"/>
              <c:layout>
                <c:manualLayout>
                  <c:x val="-7.286636045494262E-3"/>
                  <c:y val="3.082895888013977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CO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E78-417A-9684-68DBBE8F0859}"/>
                </c:ext>
              </c:extLst>
            </c:dLbl>
            <c:dLbl>
              <c:idx val="1"/>
              <c:layout>
                <c:manualLayout>
                  <c:x val="-0.14201848206474191"/>
                  <c:y val="-9.8941746864975214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CO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E78-417A-9684-68DBBE8F0859}"/>
                </c:ext>
              </c:extLst>
            </c:dLbl>
            <c:dLbl>
              <c:idx val="2"/>
              <c:layout>
                <c:manualLayout>
                  <c:x val="-1.9448053368328957E-2"/>
                  <c:y val="1.3421916010498688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CO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E78-417A-9684-68DBBE8F085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TAMAÑO!$B$3:$B$5</c:f>
              <c:strCache>
                <c:ptCount val="3"/>
                <c:pt idx="0">
                  <c:v>MEDIANA</c:v>
                </c:pt>
                <c:pt idx="1">
                  <c:v>MICROEMPRESA</c:v>
                </c:pt>
                <c:pt idx="2">
                  <c:v>PEQUEÑA</c:v>
                </c:pt>
              </c:strCache>
            </c:strRef>
          </c:cat>
          <c:val>
            <c:numRef>
              <c:f>TAMAÑO!$D$3:$D$5</c:f>
              <c:numCache>
                <c:formatCode>0%</c:formatCode>
                <c:ptCount val="3"/>
                <c:pt idx="0">
                  <c:v>0.10760667903525047</c:v>
                </c:pt>
                <c:pt idx="1">
                  <c:v>0.83395176252319114</c:v>
                </c:pt>
                <c:pt idx="2">
                  <c:v>5.844155844155844E-2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FE78-417A-9684-68DBBE8F0859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OPERACIONES</a:t>
            </a:r>
            <a:r>
              <a:rPr lang="es-CO" baseline="0"/>
              <a:t> POR TASA DE INTERES</a:t>
            </a:r>
            <a:endParaRPr lang="es-CO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TASA!$F$1:$F$6</c:f>
              <c:strCache>
                <c:ptCount val="6"/>
                <c:pt idx="0">
                  <c:v>Entre 4% al 10%</c:v>
                </c:pt>
                <c:pt idx="1">
                  <c:v>Entre 10% y 20%</c:v>
                </c:pt>
                <c:pt idx="2">
                  <c:v>Entre 20% y 30%</c:v>
                </c:pt>
                <c:pt idx="3">
                  <c:v>Entre 30% y 40%</c:v>
                </c:pt>
                <c:pt idx="4">
                  <c:v>Entre 40% y 50% </c:v>
                </c:pt>
                <c:pt idx="5">
                  <c:v>Mayor 50%</c:v>
                </c:pt>
              </c:strCache>
            </c:strRef>
          </c:cat>
          <c:val>
            <c:numRef>
              <c:f>TASA!$G$1:$G$6</c:f>
            </c:numRef>
          </c:val>
          <c:extLst>
            <c:ext xmlns:c16="http://schemas.microsoft.com/office/drawing/2014/chart" uri="{C3380CC4-5D6E-409C-BE32-E72D297353CC}">
              <c16:uniqueId val="{00000000-8832-4F1A-A2DB-F5C444F8DE21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5715086585050633E-2"/>
                  <c:y val="-0.1204894888815488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832-4F1A-A2DB-F5C444F8DE21}"/>
                </c:ext>
              </c:extLst>
            </c:dLbl>
            <c:dLbl>
              <c:idx val="1"/>
              <c:layout>
                <c:manualLayout>
                  <c:x val="1.3888888888888888E-2"/>
                  <c:y val="-0.1296296296296297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832-4F1A-A2DB-F5C444F8DE21}"/>
                </c:ext>
              </c:extLst>
            </c:dLbl>
            <c:dLbl>
              <c:idx val="2"/>
              <c:layout>
                <c:manualLayout>
                  <c:x val="-2.7777474417639541E-3"/>
                  <c:y val="-7.01586523606064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832-4F1A-A2DB-F5C444F8DE21}"/>
                </c:ext>
              </c:extLst>
            </c:dLbl>
            <c:dLbl>
              <c:idx val="3"/>
              <c:layout>
                <c:manualLayout>
                  <c:x val="8.7802738249951762E-3"/>
                  <c:y val="-7.35980735831566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8832-4F1A-A2DB-F5C444F8DE21}"/>
                </c:ext>
              </c:extLst>
            </c:dLbl>
            <c:dLbl>
              <c:idx val="4"/>
              <c:layout>
                <c:manualLayout>
                  <c:x val="1.9872151903342093E-2"/>
                  <c:y val="-9.71032714280134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832-4F1A-A2DB-F5C444F8DE21}"/>
                </c:ext>
              </c:extLst>
            </c:dLbl>
            <c:dLbl>
              <c:idx val="5"/>
              <c:layout>
                <c:manualLayout>
                  <c:x val="1.388888888888899E-2"/>
                  <c:y val="-0.3518518518518518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8832-4F1A-A2DB-F5C444F8DE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TASA!$F$1:$F$6</c:f>
              <c:strCache>
                <c:ptCount val="6"/>
                <c:pt idx="0">
                  <c:v>Entre 4% al 10%</c:v>
                </c:pt>
                <c:pt idx="1">
                  <c:v>Entre 10% y 20%</c:v>
                </c:pt>
                <c:pt idx="2">
                  <c:v>Entre 20% y 30%</c:v>
                </c:pt>
                <c:pt idx="3">
                  <c:v>Entre 30% y 40%</c:v>
                </c:pt>
                <c:pt idx="4">
                  <c:v>Entre 40% y 50% </c:v>
                </c:pt>
                <c:pt idx="5">
                  <c:v>Mayor 50%</c:v>
                </c:pt>
              </c:strCache>
            </c:strRef>
          </c:cat>
          <c:val>
            <c:numRef>
              <c:f>TASA!$H$1:$H$6</c:f>
              <c:numCache>
                <c:formatCode>0</c:formatCode>
                <c:ptCount val="6"/>
                <c:pt idx="0">
                  <c:v>50</c:v>
                </c:pt>
                <c:pt idx="1">
                  <c:v>201</c:v>
                </c:pt>
                <c:pt idx="2">
                  <c:v>36</c:v>
                </c:pt>
                <c:pt idx="3">
                  <c:v>20</c:v>
                </c:pt>
                <c:pt idx="4">
                  <c:v>65</c:v>
                </c:pt>
                <c:pt idx="5">
                  <c:v>706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8832-4F1A-A2DB-F5C444F8DE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76274480"/>
        <c:axId val="1476276976"/>
        <c:axId val="0"/>
      </c:bar3DChart>
      <c:catAx>
        <c:axId val="1476274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476276976"/>
        <c:crosses val="autoZero"/>
        <c:auto val="1"/>
        <c:lblAlgn val="ctr"/>
        <c:lblOffset val="100"/>
        <c:noMultiLvlLbl val="0"/>
      </c:catAx>
      <c:valAx>
        <c:axId val="14762769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4762744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CONCENTRACIÓN TASAS MAS ALTAS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'TASA DE INTERES'!$B$224</c:f>
              <c:strCache>
                <c:ptCount val="1"/>
                <c:pt idx="0">
                  <c:v>CANTIDAD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839756138736613E-2"/>
                  <c:y val="-4.62962962962962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E8E-4BD6-A32E-667564CC13E5}"/>
                </c:ext>
              </c:extLst>
            </c:dLbl>
            <c:dLbl>
              <c:idx val="1"/>
              <c:layout>
                <c:manualLayout>
                  <c:x val="2.603109793841903E-2"/>
                  <c:y val="-1.85185185185185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E8E-4BD6-A32E-667564CC13E5}"/>
                </c:ext>
              </c:extLst>
            </c:dLbl>
            <c:dLbl>
              <c:idx val="2"/>
              <c:layout>
                <c:manualLayout>
                  <c:x val="2.603109793841903E-2"/>
                  <c:y val="-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E8E-4BD6-A32E-667564CC13E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'TASA DE INTERES'!$A$225:$A$227</c:f>
              <c:strCache>
                <c:ptCount val="3"/>
                <c:pt idx="0">
                  <c:v>COOPERATIVA MULTIACTIVA COOTREGUA</c:v>
                </c:pt>
                <c:pt idx="1">
                  <c:v>CORPORACION INTERACTUAR</c:v>
                </c:pt>
                <c:pt idx="2">
                  <c:v>BCO. MUNDO MUJER S.A.</c:v>
                </c:pt>
              </c:strCache>
            </c:strRef>
          </c:cat>
          <c:val>
            <c:numRef>
              <c:f>'TASA DE INTERES'!$B$225:$B$227</c:f>
              <c:numCache>
                <c:formatCode>0</c:formatCode>
                <c:ptCount val="3"/>
                <c:pt idx="0" formatCode="General">
                  <c:v>6</c:v>
                </c:pt>
                <c:pt idx="1">
                  <c:v>101</c:v>
                </c:pt>
                <c:pt idx="2">
                  <c:v>599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E8E-4BD6-A32E-667564CC13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82914640"/>
        <c:axId val="1482916304"/>
        <c:axId val="0"/>
      </c:bar3DChart>
      <c:catAx>
        <c:axId val="14829146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482916304"/>
        <c:crosses val="autoZero"/>
        <c:auto val="1"/>
        <c:lblAlgn val="ctr"/>
        <c:lblOffset val="100"/>
        <c:noMultiLvlLbl val="0"/>
      </c:catAx>
      <c:valAx>
        <c:axId val="14829163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482914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Desembolso</a:t>
            </a:r>
            <a:r>
              <a:rPr lang="en-US" baseline="0"/>
              <a:t> Acumulado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ACUMULADO!$E$2</c:f>
              <c:strCache>
                <c:ptCount val="1"/>
                <c:pt idx="0">
                  <c:v>desembolso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ACUMULADO!$D$3:$D$14</c:f>
              <c:strCache>
                <c:ptCount val="12"/>
                <c:pt idx="0">
                  <c:v>abril de 2025</c:v>
                </c:pt>
                <c:pt idx="1">
                  <c:v>mayo de 2025</c:v>
                </c:pt>
                <c:pt idx="2">
                  <c:v>junio de 2025</c:v>
                </c:pt>
                <c:pt idx="3">
                  <c:v>julio de 2025</c:v>
                </c:pt>
                <c:pt idx="4">
                  <c:v>agosto de 2025</c:v>
                </c:pt>
                <c:pt idx="5">
                  <c:v>septiembre de 2025</c:v>
                </c:pt>
                <c:pt idx="6">
                  <c:v>Octubre de 2025</c:v>
                </c:pt>
                <c:pt idx="7">
                  <c:v>Noviembre de 2025</c:v>
                </c:pt>
                <c:pt idx="8">
                  <c:v>Dciembre de 025</c:v>
                </c:pt>
                <c:pt idx="9">
                  <c:v>Enero de 2026</c:v>
                </c:pt>
                <c:pt idx="10">
                  <c:v>Febrero de 2026</c:v>
                </c:pt>
                <c:pt idx="11">
                  <c:v>Marzo de 2026</c:v>
                </c:pt>
              </c:strCache>
            </c:strRef>
          </c:cat>
          <c:val>
            <c:numRef>
              <c:f>ACUMULADO!$E$3:$E$14</c:f>
            </c:numRef>
          </c:val>
          <c:smooth val="0"/>
          <c:extLst>
            <c:ext xmlns:c16="http://schemas.microsoft.com/office/drawing/2014/chart" uri="{C3380CC4-5D6E-409C-BE32-E72D297353CC}">
              <c16:uniqueId val="{00000000-FED5-4A1D-92CC-F68109C1802B}"/>
            </c:ext>
          </c:extLst>
        </c:ser>
        <c:ser>
          <c:idx val="1"/>
          <c:order val="1"/>
          <c:tx>
            <c:strRef>
              <c:f>ACUMULADO!$F$2</c:f>
              <c:strCache>
                <c:ptCount val="1"/>
                <c:pt idx="0">
                  <c:v>acumulado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1.8963337547408345E-2"/>
                  <c:y val="2.447980416156670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ED5-4A1D-92CC-F68109C1802B}"/>
                </c:ext>
              </c:extLst>
            </c:dLbl>
            <c:dLbl>
              <c:idx val="1"/>
              <c:layout>
                <c:manualLayout>
                  <c:x val="-6.321112515802781E-3"/>
                  <c:y val="-6.5279477764177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ED5-4A1D-92CC-F68109C1802B}"/>
                </c:ext>
              </c:extLst>
            </c:dLbl>
            <c:dLbl>
              <c:idx val="2"/>
              <c:layout>
                <c:manualLayout>
                  <c:x val="-1.685630004214075E-2"/>
                  <c:y val="4.4879640962872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ED5-4A1D-92CC-F68109C1802B}"/>
                </c:ext>
              </c:extLst>
            </c:dLbl>
            <c:dLbl>
              <c:idx val="3"/>
              <c:layout>
                <c:manualLayout>
                  <c:x val="1.2642225031605562E-2"/>
                  <c:y val="-5.30395756833945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ED5-4A1D-92CC-F68109C1802B}"/>
                </c:ext>
              </c:extLst>
            </c:dLbl>
            <c:dLbl>
              <c:idx val="4"/>
              <c:layout>
                <c:manualLayout>
                  <c:x val="0"/>
                  <c:y val="4.89596083231334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ED5-4A1D-92CC-F68109C1802B}"/>
                </c:ext>
              </c:extLst>
            </c:dLbl>
            <c:dLbl>
              <c:idx val="5"/>
              <c:layout>
                <c:manualLayout>
                  <c:x val="-2.107037505267671E-3"/>
                  <c:y val="-5.30395756833945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ED5-4A1D-92CC-F68109C1802B}"/>
                </c:ext>
              </c:extLst>
            </c:dLbl>
            <c:dLbl>
              <c:idx val="6"/>
              <c:layout>
                <c:manualLayout>
                  <c:x val="-2.1070375052675166E-3"/>
                  <c:y val="5.30395756833945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ED5-4A1D-92CC-F68109C1802B}"/>
                </c:ext>
              </c:extLst>
            </c:dLbl>
            <c:dLbl>
              <c:idx val="7"/>
              <c:layout>
                <c:manualLayout>
                  <c:x val="-7.7257149378629542E-17"/>
                  <c:y val="-0.1264789881680946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ED5-4A1D-92CC-F68109C1802B}"/>
                </c:ext>
              </c:extLst>
            </c:dLbl>
            <c:dLbl>
              <c:idx val="8"/>
              <c:layout>
                <c:manualLayout>
                  <c:x val="-4.214075010535342E-3"/>
                  <c:y val="5.30395756833945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ED5-4A1D-92CC-F68109C1802B}"/>
                </c:ext>
              </c:extLst>
            </c:dLbl>
            <c:dLbl>
              <c:idx val="9"/>
              <c:layout>
                <c:manualLayout>
                  <c:x val="-2.9498525073746312E-2"/>
                  <c:y val="-0.114239086087311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FED5-4A1D-92CC-F68109C1802B}"/>
                </c:ext>
              </c:extLst>
            </c:dLbl>
            <c:dLbl>
              <c:idx val="10"/>
              <c:layout>
                <c:manualLayout>
                  <c:x val="-1.4749262536873156E-2"/>
                  <c:y val="7.34394124847000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ED5-4A1D-92CC-F68109C1802B}"/>
                </c:ext>
              </c:extLst>
            </c:dLbl>
            <c:dLbl>
              <c:idx val="11"/>
              <c:layout>
                <c:manualLayout>
                  <c:x val="0"/>
                  <c:y val="-4.07996736026111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FED5-4A1D-92CC-F68109C1802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ACUMULADO!$D$3:$D$14</c:f>
              <c:strCache>
                <c:ptCount val="12"/>
                <c:pt idx="0">
                  <c:v>abril de 2025</c:v>
                </c:pt>
                <c:pt idx="1">
                  <c:v>mayo de 2025</c:v>
                </c:pt>
                <c:pt idx="2">
                  <c:v>junio de 2025</c:v>
                </c:pt>
                <c:pt idx="3">
                  <c:v>julio de 2025</c:v>
                </c:pt>
                <c:pt idx="4">
                  <c:v>agosto de 2025</c:v>
                </c:pt>
                <c:pt idx="5">
                  <c:v>septiembre de 2025</c:v>
                </c:pt>
                <c:pt idx="6">
                  <c:v>Octubre de 2025</c:v>
                </c:pt>
                <c:pt idx="7">
                  <c:v>Noviembre de 2025</c:v>
                </c:pt>
                <c:pt idx="8">
                  <c:v>Dciembre de 025</c:v>
                </c:pt>
                <c:pt idx="9">
                  <c:v>Enero de 2026</c:v>
                </c:pt>
                <c:pt idx="10">
                  <c:v>Febrero de 2026</c:v>
                </c:pt>
                <c:pt idx="11">
                  <c:v>Marzo de 2026</c:v>
                </c:pt>
              </c:strCache>
            </c:strRef>
          </c:cat>
          <c:val>
            <c:numRef>
              <c:f>ACUMULADO!$F$3:$F$14</c:f>
              <c:numCache>
                <c:formatCode>_-"$"\ * #,##0_-;\-"$"\ * #,##0_-;_-"$"\ * "-"??_-;_-@_-</c:formatCode>
                <c:ptCount val="12"/>
                <c:pt idx="0">
                  <c:v>23108731321</c:v>
                </c:pt>
                <c:pt idx="1">
                  <c:v>25230705821</c:v>
                </c:pt>
                <c:pt idx="2">
                  <c:v>25647618821</c:v>
                </c:pt>
                <c:pt idx="3">
                  <c:v>26599025341</c:v>
                </c:pt>
                <c:pt idx="4">
                  <c:v>27003960341</c:v>
                </c:pt>
                <c:pt idx="5">
                  <c:v>27203960341</c:v>
                </c:pt>
                <c:pt idx="6">
                  <c:v>27595960341</c:v>
                </c:pt>
                <c:pt idx="7">
                  <c:v>28156592841</c:v>
                </c:pt>
                <c:pt idx="8">
                  <c:v>36410492841</c:v>
                </c:pt>
                <c:pt idx="9">
                  <c:v>40764686341</c:v>
                </c:pt>
                <c:pt idx="10">
                  <c:v>53992544218</c:v>
                </c:pt>
                <c:pt idx="11">
                  <c:v>58913674211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D-FED5-4A1D-92CC-F68109C180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31940288"/>
        <c:axId val="1531937792"/>
      </c:lineChart>
      <c:catAx>
        <c:axId val="1531940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531937792"/>
        <c:crosses val="autoZero"/>
        <c:auto val="1"/>
        <c:lblAlgn val="ctr"/>
        <c:lblOffset val="100"/>
        <c:noMultiLvlLbl val="0"/>
      </c:catAx>
      <c:valAx>
        <c:axId val="1531937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&quot;$&quot;* #,##0_);_(&quot;$&quot;* \(#,##0\);_(&quot;$&quot;* &quot;-&quot;_);_(@_)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531940288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DA887-B4F1-4978-A3C1-835A148E9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7</Pages>
  <Words>1051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Orozco Giraldo</dc:creator>
  <cp:keywords/>
  <dc:description/>
  <cp:lastModifiedBy>Angie Lorena Murcia Currea - Cont</cp:lastModifiedBy>
  <cp:revision>46</cp:revision>
  <dcterms:created xsi:type="dcterms:W3CDTF">2026-03-16T21:10:00Z</dcterms:created>
  <dcterms:modified xsi:type="dcterms:W3CDTF">2026-05-06T17:45:00Z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30ae86aa-7763-4a15-b993-0884f858e0a5</vt:lpwstr>
  </property>
</Properties>
</file>