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F708E" w14:textId="25534CC4" w:rsidR="00B829C1" w:rsidRDefault="00B829C1" w:rsidP="0019019D">
      <w:pPr>
        <w:spacing w:after="0"/>
        <w:jc w:val="center"/>
        <w:rPr>
          <w:rFonts w:ascii="Verdana" w:hAnsi="Verdana"/>
          <w:b/>
          <w:bCs/>
          <w:color w:val="8A0000"/>
          <w:lang w:val="es-CO"/>
        </w:rPr>
      </w:pPr>
    </w:p>
    <w:p w14:paraId="2D27EAA9" w14:textId="124D0EC6" w:rsidR="003102E6" w:rsidRPr="003102E6" w:rsidRDefault="00AB5259" w:rsidP="003102E6">
      <w:pPr>
        <w:spacing w:after="0"/>
        <w:jc w:val="center"/>
        <w:rPr>
          <w:rFonts w:ascii="Verdana" w:hAnsi="Verdana"/>
          <w:b/>
          <w:bCs/>
          <w:color w:val="8A0000"/>
          <w:lang w:val="es-CO"/>
        </w:rPr>
      </w:pPr>
      <w:r w:rsidRPr="0009005D">
        <w:rPr>
          <w:rFonts w:ascii="Verdana" w:hAnsi="Verdana"/>
          <w:b/>
          <w:bCs/>
          <w:color w:val="8A0000"/>
          <w:lang w:val="es-CO"/>
        </w:rPr>
        <w:t>Infor</w:t>
      </w:r>
      <w:r w:rsidR="00812073" w:rsidRPr="0009005D">
        <w:rPr>
          <w:rFonts w:ascii="Verdana" w:hAnsi="Verdana"/>
          <w:b/>
          <w:bCs/>
          <w:color w:val="8A0000"/>
          <w:lang w:val="es-CO"/>
        </w:rPr>
        <w:t>me</w:t>
      </w:r>
      <w:r w:rsidRPr="0009005D">
        <w:rPr>
          <w:rFonts w:ascii="Verdana" w:hAnsi="Verdana"/>
          <w:b/>
          <w:bCs/>
          <w:color w:val="8A0000"/>
          <w:lang w:val="es-CO"/>
        </w:rPr>
        <w:t xml:space="preserve"> </w:t>
      </w:r>
      <w:r w:rsidR="0050289C">
        <w:rPr>
          <w:rFonts w:ascii="Verdana" w:hAnsi="Verdana"/>
          <w:b/>
          <w:bCs/>
          <w:color w:val="8A0000"/>
          <w:lang w:val="es-CO"/>
        </w:rPr>
        <w:t>Final-</w:t>
      </w:r>
      <w:r w:rsidR="003102E6" w:rsidRPr="003102E6">
        <w:rPr>
          <w:rFonts w:ascii="Verdana" w:hAnsi="Verdana"/>
          <w:b/>
          <w:bCs/>
          <w:color w:val="8A0000"/>
          <w:lang w:val="es-CO"/>
        </w:rPr>
        <w:t xml:space="preserve">LÍNEA DE CRÉDITO </w:t>
      </w:r>
    </w:p>
    <w:p w14:paraId="6F622F3B" w14:textId="77777777" w:rsidR="003102E6" w:rsidRPr="003102E6" w:rsidRDefault="003102E6" w:rsidP="003102E6">
      <w:pPr>
        <w:spacing w:after="0"/>
        <w:jc w:val="center"/>
        <w:rPr>
          <w:rFonts w:ascii="Verdana" w:hAnsi="Verdana"/>
          <w:b/>
          <w:bCs/>
          <w:color w:val="8A0000"/>
          <w:lang w:val="es-CO"/>
        </w:rPr>
      </w:pPr>
      <w:r w:rsidRPr="003102E6">
        <w:rPr>
          <w:rFonts w:ascii="Verdana" w:hAnsi="Verdana"/>
          <w:b/>
          <w:bCs/>
          <w:color w:val="8A0000"/>
          <w:lang w:val="es-CO"/>
        </w:rPr>
        <w:t xml:space="preserve">MICROEMPRESAS DE ZONAS DE FRONTERA, SAN ANDRÉS, </w:t>
      </w:r>
    </w:p>
    <w:p w14:paraId="34FF6A08" w14:textId="24BAE279" w:rsidR="007B269E" w:rsidRPr="0009005D" w:rsidRDefault="003102E6" w:rsidP="003102E6">
      <w:pPr>
        <w:spacing w:after="0"/>
        <w:jc w:val="center"/>
        <w:rPr>
          <w:rFonts w:ascii="Verdana" w:hAnsi="Verdana"/>
          <w:b/>
          <w:bCs/>
          <w:color w:val="8A0000"/>
          <w:lang w:val="es-CO"/>
        </w:rPr>
      </w:pPr>
      <w:r w:rsidRPr="003102E6">
        <w:rPr>
          <w:rFonts w:ascii="Verdana" w:hAnsi="Verdana"/>
          <w:b/>
          <w:bCs/>
          <w:color w:val="8A0000"/>
          <w:lang w:val="es-CO"/>
        </w:rPr>
        <w:t>PROVIDENCIA Y SANTA CATALINA SE REACTIVAN</w:t>
      </w:r>
    </w:p>
    <w:p w14:paraId="0AE79906" w14:textId="768E261B" w:rsidR="0049350E" w:rsidRPr="0009005D" w:rsidRDefault="0049350E" w:rsidP="0019019D">
      <w:pPr>
        <w:spacing w:after="0"/>
        <w:jc w:val="center"/>
        <w:rPr>
          <w:rFonts w:ascii="Verdana" w:hAnsi="Verdana"/>
          <w:b/>
          <w:bCs/>
          <w:color w:val="8A0000"/>
          <w:lang w:val="es-CO"/>
        </w:rPr>
      </w:pPr>
      <w:r w:rsidRPr="0009005D">
        <w:rPr>
          <w:rFonts w:ascii="Verdana" w:hAnsi="Verdana"/>
          <w:b/>
          <w:bCs/>
          <w:color w:val="8A0000"/>
          <w:lang w:val="es-CO"/>
        </w:rPr>
        <w:t>Dirección de MiPymes</w:t>
      </w:r>
      <w:r w:rsidR="00AB5259" w:rsidRPr="0009005D">
        <w:rPr>
          <w:rFonts w:ascii="Verdana" w:hAnsi="Verdana"/>
          <w:b/>
          <w:bCs/>
          <w:color w:val="8A0000"/>
          <w:lang w:val="es-CO"/>
        </w:rPr>
        <w:t xml:space="preserve"> – Inclusión financiera</w:t>
      </w:r>
    </w:p>
    <w:p w14:paraId="38E31133" w14:textId="01CF818D" w:rsidR="00812073" w:rsidRDefault="00AC2B5C" w:rsidP="00812073">
      <w:pPr>
        <w:spacing w:after="0"/>
        <w:jc w:val="center"/>
        <w:rPr>
          <w:rFonts w:ascii="Verdana" w:hAnsi="Verdana"/>
          <w:b/>
          <w:bCs/>
          <w:color w:val="8A0000"/>
          <w:lang w:val="es-CO"/>
        </w:rPr>
      </w:pPr>
      <w:r>
        <w:rPr>
          <w:rFonts w:ascii="Verdana" w:hAnsi="Verdana"/>
          <w:b/>
          <w:bCs/>
          <w:color w:val="8A0000"/>
          <w:lang w:val="es-CO"/>
        </w:rPr>
        <w:t xml:space="preserve">Abril </w:t>
      </w:r>
      <w:r w:rsidR="00812073" w:rsidRPr="0009005D">
        <w:rPr>
          <w:rFonts w:ascii="Verdana" w:hAnsi="Verdana"/>
          <w:b/>
          <w:bCs/>
          <w:color w:val="8A0000"/>
          <w:lang w:val="es-CO"/>
        </w:rPr>
        <w:t>de 2026</w:t>
      </w:r>
    </w:p>
    <w:p w14:paraId="1AC73C80" w14:textId="77777777" w:rsidR="00BC7570" w:rsidRDefault="00BC7570" w:rsidP="00812073">
      <w:pPr>
        <w:spacing w:after="0"/>
        <w:jc w:val="center"/>
        <w:rPr>
          <w:rFonts w:ascii="Verdana" w:hAnsi="Verdana"/>
          <w:b/>
          <w:bCs/>
          <w:color w:val="8A0000"/>
          <w:lang w:val="es-CO"/>
        </w:rPr>
      </w:pPr>
    </w:p>
    <w:p w14:paraId="1DD6639B" w14:textId="77777777" w:rsidR="00E64591" w:rsidRDefault="00E64591" w:rsidP="006657C1">
      <w:pPr>
        <w:spacing w:after="0"/>
        <w:jc w:val="both"/>
        <w:rPr>
          <w:rFonts w:ascii="Verdana" w:hAnsi="Verdana" w:cs="Arial"/>
        </w:rPr>
      </w:pPr>
      <w:r w:rsidRPr="00E64591">
        <w:rPr>
          <w:rFonts w:ascii="Verdana" w:hAnsi="Verdana" w:cs="Arial"/>
        </w:rPr>
        <w:t>Con el propósito de apoyar la actividad productiva de las microempresas de las zonas de Frontera y de las ubicadas en San Andrés, Providencia y Santa Catalina, El Gobierno Nacional, los Ministerios de Hacienda y Crédito Público, Comercio Industria y Turismo y Bancóldex, han creado una línea especial de crédito</w:t>
      </w:r>
      <w:r>
        <w:rPr>
          <w:rFonts w:ascii="Verdana" w:hAnsi="Verdana" w:cs="Arial"/>
        </w:rPr>
        <w:t>.</w:t>
      </w:r>
    </w:p>
    <w:p w14:paraId="6FC1F4DC" w14:textId="6E67C3FB" w:rsidR="00C67741" w:rsidRDefault="00D112C6" w:rsidP="006657C1">
      <w:pPr>
        <w:spacing w:after="0"/>
        <w:jc w:val="both"/>
        <w:rPr>
          <w:rFonts w:ascii="Verdana" w:hAnsi="Verdana" w:cs="Arial"/>
        </w:rPr>
      </w:pPr>
      <w:r>
        <w:rPr>
          <w:rFonts w:ascii="Verdana" w:hAnsi="Verdana" w:cs="Arial"/>
        </w:rPr>
        <w:tab/>
      </w:r>
    </w:p>
    <w:p w14:paraId="44314711" w14:textId="4CE74760" w:rsidR="00FC5534" w:rsidRDefault="006657C1" w:rsidP="00FC5534">
      <w:pPr>
        <w:spacing w:after="0"/>
        <w:jc w:val="both"/>
        <w:rPr>
          <w:rFonts w:ascii="Verdana" w:hAnsi="Verdana" w:cs="Arial"/>
        </w:rPr>
      </w:pPr>
      <w:r w:rsidRPr="006657C1">
        <w:rPr>
          <w:rFonts w:ascii="Verdana" w:hAnsi="Verdana" w:cs="Arial"/>
        </w:rPr>
        <w:t>La inversión realizada por el MinCIT asciende a $</w:t>
      </w:r>
      <w:r w:rsidR="00C67741" w:rsidRPr="00C67741">
        <w:rPr>
          <w:rFonts w:ascii="Verdana" w:hAnsi="Verdana" w:cs="Arial"/>
        </w:rPr>
        <w:t xml:space="preserve"> 4.645</w:t>
      </w:r>
      <w:r w:rsidR="00A2276A">
        <w:rPr>
          <w:rFonts w:ascii="Verdana" w:hAnsi="Verdana" w:cs="Arial"/>
        </w:rPr>
        <w:t xml:space="preserve"> </w:t>
      </w:r>
      <w:r w:rsidRPr="006657C1">
        <w:rPr>
          <w:rFonts w:ascii="Verdana" w:hAnsi="Verdana" w:cs="Arial"/>
        </w:rPr>
        <w:t>millones</w:t>
      </w:r>
      <w:r w:rsidR="00FC5534">
        <w:rPr>
          <w:rFonts w:ascii="Verdana" w:hAnsi="Verdana"/>
          <w:color w:val="000000" w:themeColor="text1"/>
        </w:rPr>
        <w:t xml:space="preserve">. En </w:t>
      </w:r>
      <w:r w:rsidR="00FC5534" w:rsidRPr="00E757BA">
        <w:rPr>
          <w:rFonts w:ascii="Verdana" w:hAnsi="Verdana"/>
          <w:color w:val="000000" w:themeColor="text1"/>
        </w:rPr>
        <w:t>el marco de la línea de crédito, se han desembolsado</w:t>
      </w:r>
      <w:r w:rsidR="00C67741">
        <w:rPr>
          <w:rFonts w:ascii="Verdana" w:hAnsi="Verdana" w:cs="Arial"/>
        </w:rPr>
        <w:t xml:space="preserve"> $</w:t>
      </w:r>
      <w:r w:rsidR="007E6F56">
        <w:rPr>
          <w:rFonts w:ascii="Verdana" w:hAnsi="Verdana" w:cs="Arial"/>
        </w:rPr>
        <w:t xml:space="preserve">58.913 </w:t>
      </w:r>
      <w:r w:rsidR="00A2276A">
        <w:rPr>
          <w:rFonts w:ascii="Verdana" w:hAnsi="Verdana" w:cs="Arial"/>
        </w:rPr>
        <w:t>millones</w:t>
      </w:r>
      <w:r w:rsidR="00C67741">
        <w:rPr>
          <w:rFonts w:ascii="Verdana" w:hAnsi="Verdana" w:cs="Arial"/>
        </w:rPr>
        <w:t xml:space="preserve"> </w:t>
      </w:r>
      <w:r w:rsidR="00FC5534">
        <w:rPr>
          <w:rFonts w:ascii="Verdana" w:hAnsi="Verdana" w:cs="Arial"/>
        </w:rPr>
        <w:t>correspondientes a</w:t>
      </w:r>
      <w:r w:rsidR="00C67741">
        <w:rPr>
          <w:rFonts w:ascii="Verdana" w:hAnsi="Verdana" w:cs="Arial"/>
        </w:rPr>
        <w:t xml:space="preserve"> 1</w:t>
      </w:r>
      <w:r w:rsidR="006D2CA3">
        <w:rPr>
          <w:rFonts w:ascii="Verdana" w:hAnsi="Verdana" w:cs="Arial"/>
        </w:rPr>
        <w:t>.</w:t>
      </w:r>
      <w:r w:rsidR="00C67741">
        <w:rPr>
          <w:rFonts w:ascii="Verdana" w:hAnsi="Verdana" w:cs="Arial"/>
        </w:rPr>
        <w:t>0</w:t>
      </w:r>
      <w:r w:rsidR="007E6F56">
        <w:rPr>
          <w:rFonts w:ascii="Verdana" w:hAnsi="Verdana" w:cs="Arial"/>
        </w:rPr>
        <w:t>78</w:t>
      </w:r>
      <w:r w:rsidR="00C67741">
        <w:rPr>
          <w:rFonts w:ascii="Verdana" w:hAnsi="Verdana" w:cs="Arial"/>
        </w:rPr>
        <w:t xml:space="preserve"> operaciones de crédito</w:t>
      </w:r>
      <w:r w:rsidR="00FC5534">
        <w:rPr>
          <w:rFonts w:ascii="Verdana" w:hAnsi="Verdana" w:cs="Arial"/>
        </w:rPr>
        <w:t>.</w:t>
      </w:r>
    </w:p>
    <w:p w14:paraId="32B4A23D" w14:textId="77777777" w:rsidR="00FC5534" w:rsidRDefault="00FC5534" w:rsidP="00FC5534">
      <w:pPr>
        <w:spacing w:after="0"/>
        <w:jc w:val="both"/>
        <w:rPr>
          <w:rStyle w:val="normaltextrun"/>
          <w:rFonts w:ascii="Verdana" w:hAnsi="Verdana" w:cs="Segoe UI"/>
        </w:rPr>
      </w:pPr>
    </w:p>
    <w:p w14:paraId="54B9A671" w14:textId="34F50D16" w:rsidR="00FC5534" w:rsidRPr="00105187" w:rsidRDefault="0033581E" w:rsidP="00FC5534">
      <w:pPr>
        <w:spacing w:after="0"/>
        <w:jc w:val="both"/>
        <w:rPr>
          <w:rFonts w:ascii="Verdana" w:hAnsi="Verdana" w:cs="Arial"/>
          <w:b/>
          <w:bCs/>
          <w:color w:val="000000" w:themeColor="text1"/>
        </w:rPr>
      </w:pPr>
      <w:r>
        <w:rPr>
          <w:rStyle w:val="normaltextrun"/>
          <w:rFonts w:ascii="Verdana" w:hAnsi="Verdana" w:cs="Segoe UI"/>
        </w:rPr>
        <w:t>Para el mes de abril no se presentaron desembolsos de tal manera que d</w:t>
      </w:r>
      <w:r w:rsidR="00FC5534">
        <w:rPr>
          <w:rStyle w:val="normaltextrun"/>
          <w:rFonts w:ascii="Verdana" w:hAnsi="Verdana" w:cs="Segoe UI"/>
        </w:rPr>
        <w:t xml:space="preserve">e los $ </w:t>
      </w:r>
      <w:r w:rsidR="00FC5534" w:rsidRPr="00FC5534">
        <w:rPr>
          <w:rStyle w:val="normaltextrun"/>
          <w:rFonts w:ascii="Verdana" w:hAnsi="Verdana" w:cs="Segoe UI"/>
        </w:rPr>
        <w:t>4.645</w:t>
      </w:r>
      <w:r w:rsidR="00FC5534">
        <w:rPr>
          <w:rStyle w:val="normaltextrun"/>
          <w:rFonts w:ascii="Verdana" w:hAnsi="Verdana" w:cs="Segoe UI"/>
        </w:rPr>
        <w:t xml:space="preserve"> millones aportados por el Ministerio, se han utilizado </w:t>
      </w:r>
      <w:r w:rsidR="007E6F56" w:rsidRPr="007E6F56">
        <w:rPr>
          <w:rStyle w:val="normaltextrun"/>
          <w:rFonts w:ascii="Verdana" w:hAnsi="Verdana" w:cs="Segoe UI"/>
        </w:rPr>
        <w:t>$4.342.673.128</w:t>
      </w:r>
      <w:r w:rsidR="00FC5534">
        <w:rPr>
          <w:rStyle w:val="normaltextrun"/>
          <w:rFonts w:ascii="Verdana" w:hAnsi="Verdana" w:cs="Segoe UI"/>
        </w:rPr>
        <w:t xml:space="preserve">, lo que representa el </w:t>
      </w:r>
      <w:r w:rsidR="007E6F56">
        <w:rPr>
          <w:rStyle w:val="normaltextrun"/>
          <w:rFonts w:ascii="Verdana" w:hAnsi="Verdana" w:cs="Segoe UI"/>
        </w:rPr>
        <w:t>93,48</w:t>
      </w:r>
      <w:r w:rsidR="00FC5534" w:rsidRPr="00FC5534">
        <w:rPr>
          <w:rStyle w:val="normaltextrun"/>
          <w:rFonts w:ascii="Verdana" w:hAnsi="Verdana" w:cs="Segoe UI"/>
        </w:rPr>
        <w:t>%</w:t>
      </w:r>
      <w:r w:rsidR="00FC5534">
        <w:rPr>
          <w:rStyle w:val="normaltextrun"/>
          <w:rFonts w:ascii="Verdana" w:hAnsi="Verdana" w:cs="Segoe UI"/>
        </w:rPr>
        <w:t xml:space="preserve"> del total aportado.</w:t>
      </w:r>
    </w:p>
    <w:p w14:paraId="7CC0DAA9" w14:textId="7BAB1B22" w:rsidR="00C67741" w:rsidRPr="0009005D" w:rsidRDefault="00C67741" w:rsidP="00C67741">
      <w:pPr>
        <w:spacing w:after="0"/>
        <w:jc w:val="both"/>
        <w:rPr>
          <w:rFonts w:ascii="Verdana" w:hAnsi="Verdana" w:cs="Arial"/>
        </w:rPr>
      </w:pPr>
    </w:p>
    <w:p w14:paraId="13652FCC" w14:textId="21D5874E" w:rsidR="008C7EF1" w:rsidRPr="00F426DC" w:rsidRDefault="00F426DC" w:rsidP="006657C1">
      <w:pPr>
        <w:jc w:val="both"/>
        <w:rPr>
          <w:rFonts w:ascii="Verdana" w:hAnsi="Verdana" w:cs="Arial"/>
          <w:b/>
          <w:bCs/>
        </w:rPr>
      </w:pPr>
      <w:r w:rsidRPr="00F426DC">
        <w:rPr>
          <w:rFonts w:ascii="Verdana" w:hAnsi="Verdana" w:cs="Arial"/>
          <w:b/>
          <w:bCs/>
        </w:rPr>
        <w:t>ENTIDADES INTERMEDIARIAS</w:t>
      </w:r>
    </w:p>
    <w:p w14:paraId="3E984C9C" w14:textId="121DDCEC" w:rsidR="00812073" w:rsidRDefault="00C25F1E" w:rsidP="001E3415">
      <w:pPr>
        <w:jc w:val="both"/>
        <w:rPr>
          <w:rFonts w:ascii="Verdana" w:hAnsi="Verdana" w:cs="Arial"/>
        </w:rPr>
      </w:pPr>
      <w:r>
        <w:rPr>
          <w:noProof/>
        </w:rPr>
        <w:drawing>
          <wp:anchor distT="0" distB="0" distL="114300" distR="114300" simplePos="0" relativeHeight="251691520" behindDoc="0" locked="0" layoutInCell="1" allowOverlap="1" wp14:anchorId="160D545A" wp14:editId="04FB4A66">
            <wp:simplePos x="0" y="0"/>
            <wp:positionH relativeFrom="margin">
              <wp:align>center</wp:align>
            </wp:positionH>
            <wp:positionV relativeFrom="paragraph">
              <wp:posOffset>840740</wp:posOffset>
            </wp:positionV>
            <wp:extent cx="5295900" cy="3637280"/>
            <wp:effectExtent l="0" t="0" r="0" b="1270"/>
            <wp:wrapSquare wrapText="bothSides"/>
            <wp:docPr id="23" name="Gráfico 23">
              <a:extLst xmlns:a="http://schemas.openxmlformats.org/drawingml/2006/main">
                <a:ext uri="{FF2B5EF4-FFF2-40B4-BE49-F238E27FC236}">
                  <a16:creationId xmlns:a16="http://schemas.microsoft.com/office/drawing/2014/main" id="{C1CCE331-49A4-4B07-8D56-148411277A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8A2EB2" w:rsidRPr="00105187">
        <w:rPr>
          <w:rFonts w:ascii="Verdana" w:hAnsi="Verdana" w:cs="Arial"/>
          <w:color w:val="000000" w:themeColor="text1"/>
        </w:rPr>
        <w:t xml:space="preserve">De </w:t>
      </w:r>
      <w:r w:rsidR="008A2EB2" w:rsidRPr="00AC2B5C">
        <w:rPr>
          <w:rFonts w:ascii="Verdana" w:hAnsi="Verdana" w:cs="Arial"/>
          <w:color w:val="000000" w:themeColor="text1"/>
        </w:rPr>
        <w:t>los $</w:t>
      </w:r>
      <w:r w:rsidR="000736BB" w:rsidRPr="00AC2B5C">
        <w:rPr>
          <w:rFonts w:ascii="Verdana" w:hAnsi="Verdana" w:cs="Arial"/>
          <w:color w:val="000000" w:themeColor="text1"/>
        </w:rPr>
        <w:t xml:space="preserve">58.913 </w:t>
      </w:r>
      <w:r w:rsidR="00786A3E" w:rsidRPr="00AC2B5C">
        <w:rPr>
          <w:rFonts w:ascii="Verdana" w:hAnsi="Verdana" w:cs="Arial"/>
          <w:color w:val="000000" w:themeColor="text1"/>
        </w:rPr>
        <w:t xml:space="preserve">millones </w:t>
      </w:r>
      <w:r w:rsidR="008A2EB2" w:rsidRPr="00AC2B5C">
        <w:rPr>
          <w:rFonts w:ascii="Verdana" w:hAnsi="Verdana" w:cs="Arial"/>
          <w:color w:val="000000" w:themeColor="text1"/>
        </w:rPr>
        <w:t>el</w:t>
      </w:r>
      <w:r w:rsidR="00C52F48" w:rsidRPr="00AC2B5C">
        <w:rPr>
          <w:rFonts w:ascii="Verdana" w:hAnsi="Verdana" w:cs="Arial"/>
          <w:color w:val="000000" w:themeColor="text1"/>
        </w:rPr>
        <w:t xml:space="preserve"> </w:t>
      </w:r>
      <w:r w:rsidRPr="00AC2B5C">
        <w:rPr>
          <w:rFonts w:ascii="Verdana" w:hAnsi="Verdana" w:cs="Arial"/>
          <w:color w:val="000000" w:themeColor="text1"/>
        </w:rPr>
        <w:t>45</w:t>
      </w:r>
      <w:r w:rsidR="00C52F48" w:rsidRPr="00AC2B5C">
        <w:rPr>
          <w:rFonts w:ascii="Verdana" w:hAnsi="Verdana" w:cs="Arial"/>
          <w:color w:val="000000" w:themeColor="text1"/>
        </w:rPr>
        <w:t xml:space="preserve">% </w:t>
      </w:r>
      <w:r w:rsidR="00EF00CF" w:rsidRPr="00AC2B5C">
        <w:rPr>
          <w:rFonts w:ascii="Verdana" w:hAnsi="Verdana" w:cs="Arial"/>
          <w:color w:val="000000" w:themeColor="text1"/>
        </w:rPr>
        <w:t xml:space="preserve">corresponde </w:t>
      </w:r>
      <w:r w:rsidRPr="00AC2B5C">
        <w:rPr>
          <w:rFonts w:ascii="Verdana" w:hAnsi="Verdana" w:cs="Arial"/>
          <w:color w:val="000000" w:themeColor="text1"/>
        </w:rPr>
        <w:t xml:space="preserve">MIBANCO BANCO DE LA MICROEMPRESA DE COLOMBIA SA </w:t>
      </w:r>
      <w:r w:rsidR="00740217" w:rsidRPr="00AC2B5C">
        <w:rPr>
          <w:rFonts w:ascii="Verdana" w:hAnsi="Verdana" w:cs="Arial"/>
        </w:rPr>
        <w:t>del total desembolsado</w:t>
      </w:r>
      <w:r w:rsidR="00C52F48" w:rsidRPr="00AC2B5C">
        <w:rPr>
          <w:rFonts w:ascii="Verdana" w:hAnsi="Verdana" w:cs="Arial"/>
        </w:rPr>
        <w:t xml:space="preserve">, seguido por </w:t>
      </w:r>
      <w:r w:rsidRPr="00AC2B5C">
        <w:rPr>
          <w:rFonts w:ascii="Verdana" w:hAnsi="Verdana" w:cs="Arial"/>
        </w:rPr>
        <w:t>CREZCAMOS S.A.</w:t>
      </w:r>
      <w:r w:rsidRPr="00C25F1E">
        <w:rPr>
          <w:rFonts w:ascii="Verdana" w:hAnsi="Verdana" w:cs="Arial"/>
        </w:rPr>
        <w:t xml:space="preserve"> COMPAÑIA DE FINANCIAMIENTO</w:t>
      </w:r>
      <w:r w:rsidRPr="00152BC3">
        <w:rPr>
          <w:rFonts w:ascii="Verdana" w:hAnsi="Verdana" w:cs="Arial"/>
        </w:rPr>
        <w:t xml:space="preserve"> </w:t>
      </w:r>
      <w:r>
        <w:rPr>
          <w:rFonts w:ascii="Verdana" w:hAnsi="Verdana" w:cs="Arial"/>
        </w:rPr>
        <w:t xml:space="preserve">y </w:t>
      </w:r>
      <w:r w:rsidRPr="00C25F1E">
        <w:rPr>
          <w:rFonts w:ascii="Verdana" w:hAnsi="Verdana" w:cs="Arial"/>
        </w:rPr>
        <w:t>CORPORACION DE CREDITO CONTACTAR</w:t>
      </w:r>
      <w:r>
        <w:rPr>
          <w:rFonts w:ascii="Verdana" w:hAnsi="Verdana" w:cs="Arial"/>
        </w:rPr>
        <w:t xml:space="preserve"> cada uno con </w:t>
      </w:r>
      <w:r w:rsidR="00C52F48" w:rsidRPr="00152BC3">
        <w:rPr>
          <w:rFonts w:ascii="Verdana" w:hAnsi="Verdana" w:cs="Arial"/>
        </w:rPr>
        <w:t xml:space="preserve">el </w:t>
      </w:r>
      <w:r>
        <w:rPr>
          <w:rFonts w:ascii="Verdana" w:hAnsi="Verdana" w:cs="Arial"/>
        </w:rPr>
        <w:t>13</w:t>
      </w:r>
      <w:r w:rsidR="00C52F48" w:rsidRPr="00152BC3">
        <w:rPr>
          <w:rFonts w:ascii="Verdana" w:hAnsi="Verdana" w:cs="Arial"/>
        </w:rPr>
        <w:t>%</w:t>
      </w:r>
      <w:r>
        <w:rPr>
          <w:rFonts w:ascii="Verdana" w:hAnsi="Verdana" w:cs="Arial"/>
        </w:rPr>
        <w:t>.</w:t>
      </w:r>
    </w:p>
    <w:p w14:paraId="1E0AEE86" w14:textId="678191EC" w:rsidR="00E24CC1" w:rsidRDefault="000736BB" w:rsidP="00BC7570">
      <w:pPr>
        <w:jc w:val="both"/>
        <w:rPr>
          <w:rFonts w:ascii="Verdana" w:hAnsi="Verdana" w:cs="Arial"/>
          <w:i/>
          <w:iCs/>
        </w:rPr>
      </w:pPr>
      <w:r>
        <w:rPr>
          <w:rFonts w:ascii="Verdana" w:hAnsi="Verdana" w:cs="Arial"/>
          <w:i/>
          <w:iCs/>
        </w:rPr>
        <w:t xml:space="preserve"> </w:t>
      </w:r>
      <w:r w:rsidR="00C945D7">
        <w:rPr>
          <w:rFonts w:ascii="Verdana" w:hAnsi="Verdana" w:cs="Arial"/>
          <w:i/>
          <w:iCs/>
        </w:rPr>
        <w:t>G</w:t>
      </w:r>
      <w:r w:rsidR="001E3415">
        <w:rPr>
          <w:rFonts w:ascii="Verdana" w:hAnsi="Verdana" w:cs="Arial"/>
          <w:i/>
          <w:iCs/>
        </w:rPr>
        <w:t>rafica</w:t>
      </w:r>
      <w:r w:rsidR="00E24CC1" w:rsidRPr="001E3415">
        <w:rPr>
          <w:rFonts w:ascii="Verdana" w:hAnsi="Verdana" w:cs="Arial"/>
          <w:i/>
          <w:iCs/>
        </w:rPr>
        <w:t xml:space="preserve"> 1: Aportes de Entidades Intermediarias</w:t>
      </w:r>
    </w:p>
    <w:p w14:paraId="70C7EE9C" w14:textId="77777777" w:rsidR="00C25F1E" w:rsidRPr="001E3415" w:rsidRDefault="00C25F1E" w:rsidP="00BC7570">
      <w:pPr>
        <w:jc w:val="both"/>
        <w:rPr>
          <w:rFonts w:ascii="Verdana" w:hAnsi="Verdana" w:cs="Arial"/>
          <w:i/>
          <w:iCs/>
        </w:rPr>
      </w:pPr>
    </w:p>
    <w:p w14:paraId="0DAE5E95" w14:textId="698F3621" w:rsidR="008F0546" w:rsidRDefault="008F0546" w:rsidP="008F0546">
      <w:pPr>
        <w:jc w:val="both"/>
        <w:rPr>
          <w:rFonts w:ascii="Verdana" w:hAnsi="Verdana" w:cs="Arial"/>
          <w:b/>
          <w:bCs/>
          <w:color w:val="000000" w:themeColor="text1"/>
        </w:rPr>
      </w:pPr>
      <w:r w:rsidRPr="00105187">
        <w:rPr>
          <w:rFonts w:ascii="Verdana" w:hAnsi="Verdana" w:cs="Arial"/>
          <w:b/>
          <w:bCs/>
          <w:color w:val="000000" w:themeColor="text1"/>
        </w:rPr>
        <w:t>DISTRIBUCIÓN GEOGRÁFICA: DEPARTAMENTOS</w:t>
      </w:r>
    </w:p>
    <w:p w14:paraId="64674637" w14:textId="227212E6" w:rsidR="003F49ED" w:rsidRPr="001E3415" w:rsidRDefault="00C25F1E" w:rsidP="003F49ED">
      <w:pPr>
        <w:jc w:val="both"/>
        <w:rPr>
          <w:rFonts w:ascii="Verdana" w:hAnsi="Verdana" w:cs="Arial"/>
          <w:i/>
          <w:iCs/>
        </w:rPr>
      </w:pPr>
      <w:r>
        <w:rPr>
          <w:noProof/>
        </w:rPr>
        <w:drawing>
          <wp:anchor distT="0" distB="0" distL="114300" distR="114300" simplePos="0" relativeHeight="251690496" behindDoc="0" locked="0" layoutInCell="1" allowOverlap="1" wp14:anchorId="0D4BCD76" wp14:editId="3E4501C1">
            <wp:simplePos x="0" y="0"/>
            <wp:positionH relativeFrom="margin">
              <wp:align>left</wp:align>
            </wp:positionH>
            <wp:positionV relativeFrom="paragraph">
              <wp:posOffset>0</wp:posOffset>
            </wp:positionV>
            <wp:extent cx="5464175" cy="3009900"/>
            <wp:effectExtent l="0" t="0" r="3175" b="0"/>
            <wp:wrapSquare wrapText="bothSides"/>
            <wp:docPr id="22" name="Gráfico 22">
              <a:extLst xmlns:a="http://schemas.openxmlformats.org/drawingml/2006/main">
                <a:ext uri="{FF2B5EF4-FFF2-40B4-BE49-F238E27FC236}">
                  <a16:creationId xmlns:a16="http://schemas.microsoft.com/office/drawing/2014/main" id="{B31590E8-8A57-4FE7-B800-F0CA68AC84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anchor>
        </w:drawing>
      </w:r>
      <w:r w:rsidR="00026929">
        <w:rPr>
          <w:rFonts w:ascii="Verdana" w:hAnsi="Verdana" w:cs="Arial"/>
          <w:i/>
          <w:iCs/>
        </w:rPr>
        <w:t xml:space="preserve"> </w:t>
      </w:r>
      <w:r w:rsidR="003F49ED">
        <w:rPr>
          <w:rFonts w:ascii="Verdana" w:hAnsi="Verdana" w:cs="Arial"/>
          <w:i/>
          <w:iCs/>
        </w:rPr>
        <w:t>Grafica</w:t>
      </w:r>
      <w:r w:rsidR="003F49ED" w:rsidRPr="001E3415">
        <w:rPr>
          <w:rFonts w:ascii="Verdana" w:hAnsi="Verdana" w:cs="Arial"/>
          <w:i/>
          <w:iCs/>
        </w:rPr>
        <w:t xml:space="preserve"> </w:t>
      </w:r>
      <w:r w:rsidR="003F49ED">
        <w:rPr>
          <w:rFonts w:ascii="Verdana" w:hAnsi="Verdana" w:cs="Arial"/>
          <w:i/>
          <w:iCs/>
        </w:rPr>
        <w:t>2</w:t>
      </w:r>
      <w:r w:rsidR="003F49ED" w:rsidRPr="001E3415">
        <w:rPr>
          <w:rFonts w:ascii="Verdana" w:hAnsi="Verdana" w:cs="Arial"/>
          <w:i/>
          <w:iCs/>
        </w:rPr>
        <w:t xml:space="preserve">: </w:t>
      </w:r>
      <w:r w:rsidR="003F49ED">
        <w:rPr>
          <w:rFonts w:ascii="Verdana" w:hAnsi="Verdana" w:cs="Arial"/>
          <w:i/>
          <w:iCs/>
        </w:rPr>
        <w:t>Dese</w:t>
      </w:r>
      <w:r w:rsidR="008F5922">
        <w:rPr>
          <w:rFonts w:ascii="Verdana" w:hAnsi="Verdana" w:cs="Arial"/>
          <w:i/>
          <w:iCs/>
        </w:rPr>
        <w:t>mbolso principales Departamentos</w:t>
      </w:r>
    </w:p>
    <w:p w14:paraId="2466DB03" w14:textId="619B0FA2" w:rsidR="003515FD" w:rsidRDefault="008267C9" w:rsidP="00F426DC">
      <w:pPr>
        <w:jc w:val="both"/>
        <w:rPr>
          <w:rFonts w:ascii="Verdana" w:hAnsi="Verdana" w:cs="Arial"/>
        </w:rPr>
      </w:pPr>
      <w:r>
        <w:rPr>
          <w:rFonts w:ascii="Verdana" w:hAnsi="Verdana" w:cs="Arial"/>
        </w:rPr>
        <w:t>Bogotá</w:t>
      </w:r>
      <w:r w:rsidR="003515FD" w:rsidRPr="003515FD">
        <w:rPr>
          <w:rFonts w:ascii="Verdana" w:hAnsi="Verdana" w:cs="Arial"/>
        </w:rPr>
        <w:t xml:space="preserve"> </w:t>
      </w:r>
      <w:r w:rsidR="00B34F09">
        <w:rPr>
          <w:rFonts w:ascii="Verdana" w:hAnsi="Verdana" w:cs="Arial"/>
        </w:rPr>
        <w:t>registra</w:t>
      </w:r>
      <w:r w:rsidR="003515FD" w:rsidRPr="003515FD">
        <w:rPr>
          <w:rFonts w:ascii="Verdana" w:hAnsi="Verdana" w:cs="Arial"/>
        </w:rPr>
        <w:t xml:space="preserve"> el mayor monto de desembolsos con $</w:t>
      </w:r>
      <w:r>
        <w:rPr>
          <w:rFonts w:ascii="Verdana" w:hAnsi="Verdana" w:cs="Arial"/>
        </w:rPr>
        <w:t>60.300</w:t>
      </w:r>
      <w:r w:rsidR="00C74059">
        <w:rPr>
          <w:rFonts w:ascii="Verdana" w:hAnsi="Verdana" w:cs="Arial"/>
        </w:rPr>
        <w:t xml:space="preserve"> millones</w:t>
      </w:r>
      <w:r w:rsidR="003515FD" w:rsidRPr="003515FD">
        <w:rPr>
          <w:rFonts w:ascii="Verdana" w:hAnsi="Verdana" w:cs="Arial"/>
        </w:rPr>
        <w:t xml:space="preserve">, seguido por </w:t>
      </w:r>
      <w:r>
        <w:rPr>
          <w:rFonts w:ascii="Verdana" w:hAnsi="Verdana" w:cs="Arial"/>
        </w:rPr>
        <w:t>Nariño</w:t>
      </w:r>
      <w:r w:rsidR="003515FD" w:rsidRPr="003515FD">
        <w:rPr>
          <w:rFonts w:ascii="Verdana" w:hAnsi="Verdana" w:cs="Arial"/>
        </w:rPr>
        <w:t xml:space="preserve"> con $</w:t>
      </w:r>
      <w:r>
        <w:rPr>
          <w:rFonts w:ascii="Verdana" w:hAnsi="Verdana" w:cs="Arial"/>
        </w:rPr>
        <w:t>28.534 m</w:t>
      </w:r>
      <w:r w:rsidR="00C74059">
        <w:rPr>
          <w:rFonts w:ascii="Verdana" w:hAnsi="Verdana" w:cs="Arial"/>
        </w:rPr>
        <w:t>illones</w:t>
      </w:r>
      <w:r w:rsidR="003515FD" w:rsidRPr="003515FD">
        <w:rPr>
          <w:rFonts w:ascii="Verdana" w:hAnsi="Verdana" w:cs="Arial"/>
        </w:rPr>
        <w:t xml:space="preserve"> </w:t>
      </w:r>
      <w:r>
        <w:rPr>
          <w:rFonts w:ascii="Verdana" w:hAnsi="Verdana" w:cs="Arial"/>
        </w:rPr>
        <w:t>y Santander</w:t>
      </w:r>
      <w:r w:rsidR="003515FD" w:rsidRPr="003515FD">
        <w:rPr>
          <w:rFonts w:ascii="Verdana" w:hAnsi="Verdana" w:cs="Arial"/>
        </w:rPr>
        <w:t xml:space="preserve"> con $</w:t>
      </w:r>
      <w:r>
        <w:rPr>
          <w:rFonts w:ascii="Verdana" w:hAnsi="Verdana" w:cs="Arial"/>
        </w:rPr>
        <w:t>26.500</w:t>
      </w:r>
      <w:r w:rsidR="00C74059">
        <w:rPr>
          <w:rFonts w:ascii="Verdana" w:hAnsi="Verdana" w:cs="Arial"/>
        </w:rPr>
        <w:t xml:space="preserve"> millones</w:t>
      </w:r>
      <w:r w:rsidR="003515FD" w:rsidRPr="003515FD">
        <w:rPr>
          <w:rFonts w:ascii="Verdana" w:hAnsi="Verdana" w:cs="Arial"/>
        </w:rPr>
        <w:t xml:space="preserve">, evidenciando una alta concentración de los recursos en estos territorios. </w:t>
      </w:r>
    </w:p>
    <w:p w14:paraId="1AC254CA" w14:textId="74E639BD" w:rsidR="00EE45B8" w:rsidRPr="00105187" w:rsidRDefault="00C25F1E" w:rsidP="00EE45B8">
      <w:pPr>
        <w:jc w:val="both"/>
        <w:rPr>
          <w:rFonts w:ascii="Verdana" w:hAnsi="Verdana" w:cs="Arial"/>
          <w:b/>
          <w:bCs/>
          <w:color w:val="000000" w:themeColor="text1"/>
        </w:rPr>
      </w:pPr>
      <w:r>
        <w:rPr>
          <w:noProof/>
        </w:rPr>
        <w:drawing>
          <wp:anchor distT="0" distB="0" distL="114300" distR="114300" simplePos="0" relativeHeight="251689472" behindDoc="0" locked="0" layoutInCell="1" allowOverlap="1" wp14:anchorId="06161DF4" wp14:editId="60636CF2">
            <wp:simplePos x="0" y="0"/>
            <wp:positionH relativeFrom="margin">
              <wp:align>left</wp:align>
            </wp:positionH>
            <wp:positionV relativeFrom="paragraph">
              <wp:posOffset>285750</wp:posOffset>
            </wp:positionV>
            <wp:extent cx="5072380" cy="2661285"/>
            <wp:effectExtent l="0" t="0" r="13970" b="5715"/>
            <wp:wrapSquare wrapText="bothSides"/>
            <wp:docPr id="21" name="Gráfico 21">
              <a:extLst xmlns:a="http://schemas.openxmlformats.org/drawingml/2006/main">
                <a:ext uri="{FF2B5EF4-FFF2-40B4-BE49-F238E27FC236}">
                  <a16:creationId xmlns:a16="http://schemas.microsoft.com/office/drawing/2014/main" id="{EDD74B6B-D3E0-4CB5-ABA8-979F28AB8A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EE45B8" w:rsidRPr="00105187">
        <w:rPr>
          <w:rFonts w:ascii="Verdana" w:hAnsi="Verdana" w:cs="Arial"/>
          <w:b/>
          <w:bCs/>
          <w:color w:val="000000" w:themeColor="text1"/>
        </w:rPr>
        <w:t>DISTRIBUCIÓN POR MUNICIPIOS</w:t>
      </w:r>
    </w:p>
    <w:p w14:paraId="6240F5DF" w14:textId="785F239D" w:rsidR="00105F03" w:rsidRDefault="00105F03" w:rsidP="00105F03">
      <w:pPr>
        <w:jc w:val="both"/>
        <w:rPr>
          <w:rFonts w:ascii="Verdana" w:hAnsi="Verdana" w:cs="Arial"/>
          <w:i/>
          <w:iCs/>
          <w:color w:val="000000" w:themeColor="text1"/>
        </w:rPr>
      </w:pPr>
      <w:r w:rsidRPr="00105F03">
        <w:rPr>
          <w:rFonts w:ascii="Verdana" w:hAnsi="Verdana" w:cs="Arial"/>
          <w:i/>
          <w:iCs/>
          <w:color w:val="000000" w:themeColor="text1"/>
        </w:rPr>
        <w:t xml:space="preserve"> </w:t>
      </w:r>
      <w:r w:rsidR="00026929" w:rsidRPr="00105187">
        <w:rPr>
          <w:rFonts w:ascii="Verdana" w:hAnsi="Verdana" w:cs="Arial"/>
          <w:i/>
          <w:iCs/>
          <w:color w:val="000000" w:themeColor="text1"/>
        </w:rPr>
        <w:t xml:space="preserve"> </w:t>
      </w:r>
      <w:r w:rsidRPr="00105187">
        <w:rPr>
          <w:rFonts w:ascii="Verdana" w:hAnsi="Verdana" w:cs="Arial"/>
          <w:i/>
          <w:iCs/>
          <w:color w:val="000000" w:themeColor="text1"/>
        </w:rPr>
        <w:t>Grafica 3: Desembolso por Municipios</w:t>
      </w:r>
    </w:p>
    <w:p w14:paraId="726C3479" w14:textId="44B7E8AE" w:rsidR="00BC7570" w:rsidRDefault="005877A8" w:rsidP="00F426DC">
      <w:pPr>
        <w:jc w:val="both"/>
        <w:rPr>
          <w:rFonts w:ascii="Verdana" w:hAnsi="Verdana" w:cs="Arial"/>
          <w:color w:val="000000" w:themeColor="text1"/>
        </w:rPr>
      </w:pPr>
      <w:r>
        <w:rPr>
          <w:rFonts w:ascii="Verdana" w:hAnsi="Verdana" w:cs="Arial"/>
          <w:color w:val="000000" w:themeColor="text1"/>
        </w:rPr>
        <w:t xml:space="preserve">Bogotá </w:t>
      </w:r>
      <w:r w:rsidR="001557D1" w:rsidRPr="001557D1">
        <w:rPr>
          <w:rFonts w:ascii="Verdana" w:hAnsi="Verdana" w:cs="Arial"/>
          <w:color w:val="000000" w:themeColor="text1"/>
        </w:rPr>
        <w:t xml:space="preserve">registra el mayor monto </w:t>
      </w:r>
      <w:r w:rsidR="00DD62D6">
        <w:rPr>
          <w:rFonts w:ascii="Verdana" w:hAnsi="Verdana" w:cs="Arial"/>
          <w:color w:val="000000" w:themeColor="text1"/>
        </w:rPr>
        <w:t xml:space="preserve">con </w:t>
      </w:r>
      <w:r w:rsidR="00723F6F" w:rsidRPr="00723F6F">
        <w:rPr>
          <w:rFonts w:ascii="Verdana" w:hAnsi="Verdana" w:cs="Arial"/>
          <w:color w:val="000000" w:themeColor="text1"/>
        </w:rPr>
        <w:t xml:space="preserve">$ </w:t>
      </w:r>
      <w:r w:rsidR="00026929">
        <w:rPr>
          <w:rFonts w:ascii="Verdana" w:hAnsi="Verdana" w:cs="Arial"/>
          <w:color w:val="000000" w:themeColor="text1"/>
        </w:rPr>
        <w:t>5.495</w:t>
      </w:r>
      <w:r w:rsidR="00C74059">
        <w:rPr>
          <w:rFonts w:ascii="Verdana" w:hAnsi="Verdana" w:cs="Arial"/>
          <w:color w:val="000000" w:themeColor="text1"/>
        </w:rPr>
        <w:t xml:space="preserve"> </w:t>
      </w:r>
      <w:r w:rsidR="00C74059">
        <w:rPr>
          <w:rFonts w:ascii="Verdana" w:hAnsi="Verdana" w:cs="Arial"/>
        </w:rPr>
        <w:t>millones</w:t>
      </w:r>
      <w:r w:rsidR="001557D1" w:rsidRPr="001557D1">
        <w:rPr>
          <w:rFonts w:ascii="Verdana" w:hAnsi="Verdana" w:cs="Arial"/>
          <w:color w:val="000000" w:themeColor="text1"/>
        </w:rPr>
        <w:t>, seguido por</w:t>
      </w:r>
      <w:r w:rsidR="00DD62D6">
        <w:rPr>
          <w:rFonts w:ascii="Verdana" w:hAnsi="Verdana" w:cs="Arial"/>
          <w:color w:val="000000" w:themeColor="text1"/>
        </w:rPr>
        <w:t xml:space="preserve"> </w:t>
      </w:r>
      <w:r>
        <w:rPr>
          <w:rFonts w:ascii="Verdana" w:hAnsi="Verdana" w:cs="Arial"/>
          <w:color w:val="000000" w:themeColor="text1"/>
        </w:rPr>
        <w:t>Cali</w:t>
      </w:r>
      <w:r w:rsidR="00DD62D6">
        <w:rPr>
          <w:rFonts w:ascii="Verdana" w:hAnsi="Verdana" w:cs="Arial"/>
          <w:color w:val="000000" w:themeColor="text1"/>
        </w:rPr>
        <w:t xml:space="preserve">, con un monto </w:t>
      </w:r>
      <w:r w:rsidR="007B5CB7">
        <w:rPr>
          <w:rFonts w:ascii="Verdana" w:hAnsi="Verdana" w:cs="Arial"/>
          <w:color w:val="000000" w:themeColor="text1"/>
        </w:rPr>
        <w:t xml:space="preserve">de </w:t>
      </w:r>
      <w:r w:rsidR="007B5CB7" w:rsidRPr="00DE12F6">
        <w:rPr>
          <w:rFonts w:ascii="Verdana" w:hAnsi="Verdana" w:cs="Arial"/>
          <w:color w:val="000000" w:themeColor="text1"/>
        </w:rPr>
        <w:t>$</w:t>
      </w:r>
      <w:r w:rsidR="00DE12F6" w:rsidRPr="00DE12F6">
        <w:rPr>
          <w:rFonts w:ascii="Verdana" w:hAnsi="Verdana" w:cs="Arial"/>
          <w:color w:val="000000" w:themeColor="text1"/>
        </w:rPr>
        <w:t xml:space="preserve"> </w:t>
      </w:r>
      <w:r>
        <w:rPr>
          <w:rFonts w:ascii="Verdana" w:hAnsi="Verdana" w:cs="Arial"/>
          <w:color w:val="000000" w:themeColor="text1"/>
        </w:rPr>
        <w:t>4.3</w:t>
      </w:r>
      <w:r w:rsidR="00026929">
        <w:rPr>
          <w:rFonts w:ascii="Verdana" w:hAnsi="Verdana" w:cs="Arial"/>
          <w:color w:val="000000" w:themeColor="text1"/>
        </w:rPr>
        <w:t>69</w:t>
      </w:r>
      <w:r w:rsidR="00C74059">
        <w:rPr>
          <w:rFonts w:ascii="Verdana" w:hAnsi="Verdana" w:cs="Arial"/>
          <w:color w:val="000000" w:themeColor="text1"/>
        </w:rPr>
        <w:t xml:space="preserve"> </w:t>
      </w:r>
      <w:r w:rsidR="00C74059">
        <w:rPr>
          <w:rFonts w:ascii="Verdana" w:hAnsi="Verdana" w:cs="Arial"/>
        </w:rPr>
        <w:t>millones</w:t>
      </w:r>
      <w:r>
        <w:rPr>
          <w:rFonts w:ascii="Verdana" w:hAnsi="Verdana" w:cs="Arial"/>
          <w:color w:val="000000" w:themeColor="text1"/>
        </w:rPr>
        <w:t xml:space="preserve"> y Medellín con un monto de $ 3</w:t>
      </w:r>
      <w:r w:rsidR="00026929">
        <w:rPr>
          <w:rFonts w:ascii="Verdana" w:hAnsi="Verdana" w:cs="Arial"/>
          <w:color w:val="000000" w:themeColor="text1"/>
        </w:rPr>
        <w:t>.669</w:t>
      </w:r>
      <w:r>
        <w:rPr>
          <w:rFonts w:ascii="Verdana" w:hAnsi="Verdana" w:cs="Arial"/>
          <w:color w:val="000000" w:themeColor="text1"/>
        </w:rPr>
        <w:t xml:space="preserve"> millones lo que </w:t>
      </w:r>
      <w:r w:rsidR="006E5044">
        <w:rPr>
          <w:rFonts w:ascii="Verdana" w:hAnsi="Verdana" w:cs="Arial"/>
          <w:color w:val="000000" w:themeColor="text1"/>
        </w:rPr>
        <w:t xml:space="preserve">la suma de los tres municipios </w:t>
      </w:r>
      <w:r>
        <w:rPr>
          <w:rFonts w:ascii="Verdana" w:hAnsi="Verdana" w:cs="Arial"/>
          <w:color w:val="000000" w:themeColor="text1"/>
        </w:rPr>
        <w:t>representan el 23% d</w:t>
      </w:r>
      <w:r w:rsidR="000B02A7">
        <w:rPr>
          <w:rFonts w:ascii="Verdana" w:hAnsi="Verdana" w:cs="Arial"/>
          <w:color w:val="000000" w:themeColor="text1"/>
        </w:rPr>
        <w:t>el total de los desembolsos</w:t>
      </w:r>
      <w:r w:rsidR="001557D1" w:rsidRPr="001557D1">
        <w:rPr>
          <w:rFonts w:ascii="Verdana" w:hAnsi="Verdana" w:cs="Arial"/>
          <w:color w:val="000000" w:themeColor="text1"/>
        </w:rPr>
        <w:t xml:space="preserve">. En un segundo nivel se encuentran </w:t>
      </w:r>
      <w:r w:rsidR="00050B56">
        <w:rPr>
          <w:rFonts w:ascii="Verdana" w:hAnsi="Verdana" w:cs="Arial"/>
          <w:color w:val="000000" w:themeColor="text1"/>
        </w:rPr>
        <w:t>Itagüí,</w:t>
      </w:r>
      <w:r w:rsidR="00026929">
        <w:rPr>
          <w:rFonts w:ascii="Verdana" w:hAnsi="Verdana" w:cs="Arial"/>
          <w:color w:val="000000" w:themeColor="text1"/>
        </w:rPr>
        <w:t xml:space="preserve"> con 3.548 millones, seguido por </w:t>
      </w:r>
      <w:r>
        <w:rPr>
          <w:rFonts w:ascii="Verdana" w:hAnsi="Verdana" w:cs="Arial"/>
          <w:color w:val="000000" w:themeColor="text1"/>
        </w:rPr>
        <w:t>Bucaramanga,</w:t>
      </w:r>
      <w:r w:rsidR="00026929">
        <w:rPr>
          <w:rFonts w:ascii="Verdana" w:hAnsi="Verdana" w:cs="Arial"/>
          <w:color w:val="000000" w:themeColor="text1"/>
        </w:rPr>
        <w:t xml:space="preserve"> Barranquilla, Sabaneta,</w:t>
      </w:r>
      <w:r>
        <w:rPr>
          <w:rFonts w:ascii="Verdana" w:hAnsi="Verdana" w:cs="Arial"/>
          <w:color w:val="000000" w:themeColor="text1"/>
        </w:rPr>
        <w:t xml:space="preserve"> Cartagena, Pasto y </w:t>
      </w:r>
      <w:r>
        <w:rPr>
          <w:rFonts w:ascii="Verdana" w:hAnsi="Verdana" w:cs="Arial"/>
          <w:color w:val="000000" w:themeColor="text1"/>
        </w:rPr>
        <w:lastRenderedPageBreak/>
        <w:t>Yumbo</w:t>
      </w:r>
      <w:r w:rsidR="001557D1" w:rsidRPr="001557D1">
        <w:rPr>
          <w:rFonts w:ascii="Verdana" w:hAnsi="Verdana" w:cs="Arial"/>
          <w:color w:val="000000" w:themeColor="text1"/>
        </w:rPr>
        <w:t xml:space="preserve"> con montos entre $</w:t>
      </w:r>
      <w:r w:rsidR="00026929">
        <w:rPr>
          <w:rFonts w:ascii="Verdana" w:hAnsi="Verdana" w:cs="Arial"/>
          <w:color w:val="000000" w:themeColor="text1"/>
        </w:rPr>
        <w:t>2.800 y $1.400</w:t>
      </w:r>
      <w:r w:rsidR="001557D1" w:rsidRPr="001557D1">
        <w:rPr>
          <w:rFonts w:ascii="Verdana" w:hAnsi="Verdana" w:cs="Arial"/>
          <w:color w:val="000000" w:themeColor="text1"/>
        </w:rPr>
        <w:t xml:space="preserve"> millones</w:t>
      </w:r>
      <w:r w:rsidR="006E5044">
        <w:rPr>
          <w:rFonts w:ascii="Verdana" w:hAnsi="Verdana" w:cs="Arial"/>
          <w:color w:val="000000" w:themeColor="text1"/>
        </w:rPr>
        <w:t xml:space="preserve"> y los demás municipios con desembolsos entre $1.000 y $1.300 aproximadamente</w:t>
      </w:r>
      <w:r w:rsidR="001557D1" w:rsidRPr="001557D1">
        <w:rPr>
          <w:rFonts w:ascii="Verdana" w:hAnsi="Verdana" w:cs="Arial"/>
          <w:color w:val="000000" w:themeColor="text1"/>
        </w:rPr>
        <w:t xml:space="preserve">. </w:t>
      </w:r>
    </w:p>
    <w:p w14:paraId="5E663DF7" w14:textId="3448099F" w:rsidR="00E64591" w:rsidRDefault="00E64591" w:rsidP="00F426DC">
      <w:pPr>
        <w:jc w:val="both"/>
        <w:rPr>
          <w:rFonts w:ascii="Verdana" w:hAnsi="Verdana" w:cs="Arial"/>
          <w:b/>
          <w:bCs/>
          <w:color w:val="000000" w:themeColor="text1"/>
        </w:rPr>
      </w:pPr>
      <w:r>
        <w:rPr>
          <w:rFonts w:ascii="Verdana" w:hAnsi="Verdana" w:cs="Arial"/>
          <w:b/>
          <w:bCs/>
          <w:color w:val="000000" w:themeColor="text1"/>
        </w:rPr>
        <w:t xml:space="preserve">SUBCUPOS </w:t>
      </w:r>
    </w:p>
    <w:p w14:paraId="24FF1F0E" w14:textId="77777777" w:rsidR="00DE1C88" w:rsidRDefault="00DE1C88" w:rsidP="00F426DC">
      <w:pPr>
        <w:jc w:val="both"/>
        <w:rPr>
          <w:rFonts w:ascii="Verdana" w:hAnsi="Verdana" w:cs="Arial"/>
          <w:color w:val="000000" w:themeColor="text1"/>
        </w:rPr>
      </w:pPr>
      <w:r w:rsidRPr="00DE1C88">
        <w:rPr>
          <w:rFonts w:ascii="Verdana" w:hAnsi="Verdana" w:cs="Arial"/>
          <w:b/>
          <w:bCs/>
          <w:color w:val="000000" w:themeColor="text1"/>
        </w:rPr>
        <w:t>Subcupos 1 y 2</w:t>
      </w:r>
      <w:r>
        <w:rPr>
          <w:rFonts w:ascii="Verdana" w:hAnsi="Verdana" w:cs="Arial"/>
          <w:color w:val="000000" w:themeColor="text1"/>
        </w:rPr>
        <w:t>:</w:t>
      </w:r>
      <w:r w:rsidRPr="00DE1C88">
        <w:rPr>
          <w:rFonts w:ascii="Verdana" w:hAnsi="Verdana" w:cs="Arial"/>
          <w:color w:val="000000" w:themeColor="text1"/>
        </w:rPr>
        <w:t xml:space="preserve"> Personas naturales y jurídicas, consideradas como microempresas, de todos los sectores económicos, con domicilio principal en el Departamento de San Andrés, Providencia y Santa Catalina, situación que refrendarán mediante la presentación de certificado de existencia y representación legal expedido por la Cámara de Comercio. </w:t>
      </w:r>
    </w:p>
    <w:p w14:paraId="7E5EFA76" w14:textId="68A88B91" w:rsidR="00DE1C88" w:rsidRPr="00DE1C88" w:rsidRDefault="00DE1C88" w:rsidP="00F426DC">
      <w:pPr>
        <w:jc w:val="both"/>
        <w:rPr>
          <w:rFonts w:ascii="Verdana" w:hAnsi="Verdana" w:cs="Arial"/>
          <w:color w:val="000000" w:themeColor="text1"/>
        </w:rPr>
      </w:pPr>
      <w:r w:rsidRPr="00DE1C88">
        <w:rPr>
          <w:rFonts w:ascii="Verdana" w:hAnsi="Verdana" w:cs="Arial"/>
          <w:color w:val="000000" w:themeColor="text1"/>
        </w:rPr>
        <w:t xml:space="preserve">En el caso de beneficiarios persona natural sin vínculo con cámara de comercio, créditos otorgados a través de microfinancieras, créditos de bajo monto y empresas Fintech, el domicilio deberá ser establecido por la entidad intermediaria en el proceso de solicitud del crédito, a través de cualquier medio disponible en el proceso de crédito. </w:t>
      </w:r>
    </w:p>
    <w:p w14:paraId="04AEE84B" w14:textId="77777777" w:rsidR="00DE1C88" w:rsidRDefault="00DE1C88" w:rsidP="00F426DC">
      <w:pPr>
        <w:jc w:val="both"/>
        <w:rPr>
          <w:rFonts w:ascii="Verdana" w:hAnsi="Verdana" w:cs="Arial"/>
          <w:color w:val="000000" w:themeColor="text1"/>
        </w:rPr>
      </w:pPr>
      <w:r w:rsidRPr="00DE1C88">
        <w:rPr>
          <w:rFonts w:ascii="Verdana" w:hAnsi="Verdana" w:cs="Arial"/>
          <w:b/>
          <w:bCs/>
          <w:color w:val="000000" w:themeColor="text1"/>
        </w:rPr>
        <w:t>Subcupo 3</w:t>
      </w:r>
      <w:r>
        <w:rPr>
          <w:rFonts w:ascii="Verdana" w:hAnsi="Verdana" w:cs="Arial"/>
          <w:b/>
          <w:bCs/>
          <w:color w:val="000000" w:themeColor="text1"/>
        </w:rPr>
        <w:t xml:space="preserve">: </w:t>
      </w:r>
      <w:r w:rsidRPr="00DE1C88">
        <w:rPr>
          <w:rFonts w:ascii="Verdana" w:hAnsi="Verdana" w:cs="Arial"/>
          <w:color w:val="000000" w:themeColor="text1"/>
        </w:rPr>
        <w:t xml:space="preserve">Personas naturales y jurídicas, consideradas como microempresas, de todos los sectores económicos, con domicilio principal en los departamentos y municipios considerados zonas de frontera, que se relacionan en el Anexo 1 de esta circular, situación que refrendarán mediante la presentación de certificado de existencia y representación legal expedido por la Cámara de Comercio. </w:t>
      </w:r>
    </w:p>
    <w:p w14:paraId="18FF376F" w14:textId="1F6FC0CD" w:rsidR="00DE1C88" w:rsidRPr="00DE1C88" w:rsidRDefault="00DE1C88" w:rsidP="00F426DC">
      <w:pPr>
        <w:jc w:val="both"/>
        <w:rPr>
          <w:rFonts w:ascii="Verdana" w:hAnsi="Verdana" w:cs="Arial"/>
          <w:color w:val="000000" w:themeColor="text1"/>
        </w:rPr>
      </w:pPr>
      <w:r w:rsidRPr="00DE1C88">
        <w:rPr>
          <w:rFonts w:ascii="Verdana" w:hAnsi="Verdana" w:cs="Arial"/>
          <w:color w:val="000000" w:themeColor="text1"/>
        </w:rPr>
        <w:t>En el caso de beneficiarios persona natural sin vínculo con cámara de comercio, créditos otorgados a través de microfinancieras y empresas Fintech, el domicilio deberá ser establecido por la entidad intermediaria en el proceso de solicitud del crédito, a través de cualquier medio disponible en el proceso de crédito. Los intermediarios financieros deben mantener la información con la cual se establezca que la empresa reúne las condiciones para ser beneficiaria de estos recursos.</w:t>
      </w:r>
    </w:p>
    <w:p w14:paraId="44AD4657" w14:textId="02A67624" w:rsidR="00DE1C88" w:rsidRDefault="00DE1C88" w:rsidP="00F426DC">
      <w:pPr>
        <w:jc w:val="both"/>
        <w:rPr>
          <w:rFonts w:ascii="Verdana" w:hAnsi="Verdana" w:cs="Arial"/>
          <w:b/>
          <w:bCs/>
          <w:color w:val="000000" w:themeColor="text1"/>
        </w:rPr>
      </w:pPr>
      <w:r>
        <w:rPr>
          <w:noProof/>
        </w:rPr>
        <w:drawing>
          <wp:anchor distT="0" distB="0" distL="114300" distR="114300" simplePos="0" relativeHeight="251688448" behindDoc="0" locked="0" layoutInCell="1" allowOverlap="1" wp14:anchorId="18891805" wp14:editId="1FF7EE8D">
            <wp:simplePos x="0" y="0"/>
            <wp:positionH relativeFrom="margin">
              <wp:posOffset>421005</wp:posOffset>
            </wp:positionH>
            <wp:positionV relativeFrom="paragraph">
              <wp:posOffset>27940</wp:posOffset>
            </wp:positionV>
            <wp:extent cx="4419600" cy="2956560"/>
            <wp:effectExtent l="0" t="0" r="0" b="15240"/>
            <wp:wrapSquare wrapText="bothSides"/>
            <wp:docPr id="20" name="Gráfico 20">
              <a:extLst xmlns:a="http://schemas.openxmlformats.org/drawingml/2006/main">
                <a:ext uri="{FF2B5EF4-FFF2-40B4-BE49-F238E27FC236}">
                  <a16:creationId xmlns:a16="http://schemas.microsoft.com/office/drawing/2014/main" id="{4600CB11-71A3-4B2C-BFBE-CB31F6896D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B4AF29B" w14:textId="366C8062" w:rsidR="00DE1C88" w:rsidRDefault="00DE1C88" w:rsidP="00F426DC">
      <w:pPr>
        <w:jc w:val="both"/>
        <w:rPr>
          <w:rFonts w:ascii="Verdana" w:hAnsi="Verdana" w:cs="Arial"/>
          <w:b/>
          <w:bCs/>
          <w:color w:val="000000" w:themeColor="text1"/>
        </w:rPr>
      </w:pPr>
    </w:p>
    <w:p w14:paraId="2B9A0BE4" w14:textId="77777777" w:rsidR="00DE1C88" w:rsidRDefault="00DE1C88" w:rsidP="00F426DC">
      <w:pPr>
        <w:jc w:val="both"/>
        <w:rPr>
          <w:rFonts w:ascii="Verdana" w:hAnsi="Verdana" w:cs="Arial"/>
          <w:b/>
          <w:bCs/>
          <w:color w:val="000000" w:themeColor="text1"/>
        </w:rPr>
      </w:pPr>
    </w:p>
    <w:p w14:paraId="1EFEBEA7" w14:textId="77777777" w:rsidR="00DE1C88" w:rsidRDefault="00DE1C88" w:rsidP="00F426DC">
      <w:pPr>
        <w:jc w:val="both"/>
        <w:rPr>
          <w:rFonts w:ascii="Verdana" w:hAnsi="Verdana" w:cs="Arial"/>
          <w:b/>
          <w:bCs/>
          <w:color w:val="000000" w:themeColor="text1"/>
        </w:rPr>
      </w:pPr>
    </w:p>
    <w:p w14:paraId="3C7DF3AC" w14:textId="77777777" w:rsidR="00DE1C88" w:rsidRDefault="00DE1C88" w:rsidP="00F426DC">
      <w:pPr>
        <w:jc w:val="both"/>
        <w:rPr>
          <w:rFonts w:ascii="Verdana" w:hAnsi="Verdana" w:cs="Arial"/>
          <w:b/>
          <w:bCs/>
          <w:color w:val="000000" w:themeColor="text1"/>
        </w:rPr>
      </w:pPr>
    </w:p>
    <w:p w14:paraId="7D03C31F" w14:textId="77777777" w:rsidR="00DE1C88" w:rsidRDefault="00DE1C88" w:rsidP="00F426DC">
      <w:pPr>
        <w:jc w:val="both"/>
        <w:rPr>
          <w:rFonts w:ascii="Verdana" w:hAnsi="Verdana" w:cs="Arial"/>
          <w:b/>
          <w:bCs/>
          <w:color w:val="000000" w:themeColor="text1"/>
        </w:rPr>
      </w:pPr>
    </w:p>
    <w:p w14:paraId="7A8C176D" w14:textId="77777777" w:rsidR="00DE1C88" w:rsidRDefault="00DE1C88" w:rsidP="00F426DC">
      <w:pPr>
        <w:jc w:val="both"/>
        <w:rPr>
          <w:rFonts w:ascii="Verdana" w:hAnsi="Verdana" w:cs="Arial"/>
          <w:b/>
          <w:bCs/>
          <w:color w:val="000000" w:themeColor="text1"/>
        </w:rPr>
      </w:pPr>
    </w:p>
    <w:p w14:paraId="5E7BE36D" w14:textId="5DA59360" w:rsidR="00DE1C88" w:rsidRDefault="00DE1C88" w:rsidP="00DE1C88">
      <w:pPr>
        <w:rPr>
          <w:rFonts w:ascii="Verdana" w:hAnsi="Verdana" w:cs="Arial"/>
          <w:i/>
          <w:iCs/>
          <w:color w:val="000000" w:themeColor="text1"/>
        </w:rPr>
      </w:pPr>
      <w:r w:rsidRPr="0084546A">
        <w:rPr>
          <w:rFonts w:ascii="Verdana" w:hAnsi="Verdana" w:cs="Arial"/>
          <w:i/>
          <w:iCs/>
          <w:color w:val="000000" w:themeColor="text1"/>
        </w:rPr>
        <w:t xml:space="preserve">Grafica </w:t>
      </w:r>
      <w:r>
        <w:rPr>
          <w:rFonts w:ascii="Verdana" w:hAnsi="Verdana" w:cs="Arial"/>
          <w:i/>
          <w:iCs/>
          <w:color w:val="000000" w:themeColor="text1"/>
        </w:rPr>
        <w:t>3</w:t>
      </w:r>
      <w:r w:rsidRPr="0084546A">
        <w:rPr>
          <w:rFonts w:ascii="Verdana" w:hAnsi="Verdana" w:cs="Arial"/>
          <w:i/>
          <w:iCs/>
          <w:color w:val="000000" w:themeColor="text1"/>
        </w:rPr>
        <w:t xml:space="preserve">: </w:t>
      </w:r>
      <w:r>
        <w:rPr>
          <w:rFonts w:ascii="Verdana" w:hAnsi="Verdana" w:cs="Arial"/>
          <w:i/>
          <w:iCs/>
          <w:color w:val="000000" w:themeColor="text1"/>
        </w:rPr>
        <w:t>Subcupos</w:t>
      </w:r>
    </w:p>
    <w:p w14:paraId="3413A776" w14:textId="522A7F83" w:rsidR="008267C9" w:rsidRPr="008267C9" w:rsidRDefault="008267C9" w:rsidP="008267C9">
      <w:pPr>
        <w:jc w:val="both"/>
        <w:rPr>
          <w:rFonts w:ascii="Verdana" w:hAnsi="Verdana" w:cs="Arial"/>
          <w:color w:val="000000" w:themeColor="text1"/>
        </w:rPr>
      </w:pPr>
      <w:r>
        <w:rPr>
          <w:rFonts w:ascii="Verdana" w:hAnsi="Verdana" w:cs="Arial"/>
          <w:color w:val="000000" w:themeColor="text1"/>
        </w:rPr>
        <w:lastRenderedPageBreak/>
        <w:t xml:space="preserve">Se evidencia que el Subcupo 2- para Microempresas San Andrés y Providencia y San Catalina presentan mayor participación con $61.184 millones, seguido por el Subcupo 3 para microempresas Zonas de Frontera con $45.142 millones y el Subcupo 1 </w:t>
      </w:r>
      <w:proofErr w:type="spellStart"/>
      <w:r>
        <w:rPr>
          <w:rFonts w:ascii="Verdana" w:hAnsi="Verdana" w:cs="Arial"/>
          <w:color w:val="000000" w:themeColor="text1"/>
        </w:rPr>
        <w:t>credito</w:t>
      </w:r>
      <w:proofErr w:type="spellEnd"/>
      <w:r>
        <w:rPr>
          <w:rFonts w:ascii="Verdana" w:hAnsi="Verdana" w:cs="Arial"/>
          <w:color w:val="000000" w:themeColor="text1"/>
        </w:rPr>
        <w:t xml:space="preserve"> para bajo monto con $17.600 millones. </w:t>
      </w:r>
    </w:p>
    <w:p w14:paraId="6B9F2854" w14:textId="7BAF82EA" w:rsidR="00812073" w:rsidRPr="00E24CC1" w:rsidRDefault="00812073" w:rsidP="008267C9">
      <w:pPr>
        <w:jc w:val="both"/>
        <w:rPr>
          <w:rFonts w:ascii="Verdana" w:hAnsi="Verdana" w:cs="Arial"/>
          <w:b/>
          <w:bCs/>
        </w:rPr>
      </w:pPr>
      <w:r w:rsidRPr="00E24CC1">
        <w:rPr>
          <w:rFonts w:ascii="Verdana" w:hAnsi="Verdana" w:cs="Arial"/>
          <w:b/>
          <w:bCs/>
        </w:rPr>
        <w:t>SECTOR ECONÓMICO – CLASIFICACIÓN CII</w:t>
      </w:r>
      <w:r w:rsidR="00A34EBC" w:rsidRPr="00E24CC1">
        <w:rPr>
          <w:rFonts w:ascii="Verdana" w:hAnsi="Verdana" w:cs="Arial"/>
          <w:b/>
          <w:bCs/>
        </w:rPr>
        <w:t>U</w:t>
      </w:r>
    </w:p>
    <w:p w14:paraId="1875EB7A" w14:textId="594B217D" w:rsidR="00E24CC1" w:rsidRPr="004E15AA" w:rsidRDefault="00AC12AE" w:rsidP="00812073">
      <w:pPr>
        <w:jc w:val="both"/>
        <w:rPr>
          <w:rFonts w:ascii="Verdana" w:hAnsi="Verdana" w:cs="Arial"/>
          <w:highlight w:val="yellow"/>
        </w:rPr>
      </w:pPr>
      <w:r>
        <w:rPr>
          <w:noProof/>
        </w:rPr>
        <w:drawing>
          <wp:inline distT="0" distB="0" distL="0" distR="0" wp14:anchorId="3250AAE7" wp14:editId="7E92C88D">
            <wp:extent cx="5090160" cy="2743200"/>
            <wp:effectExtent l="0" t="0" r="15240" b="0"/>
            <wp:docPr id="19" name="Gráfico 19">
              <a:extLst xmlns:a="http://schemas.openxmlformats.org/drawingml/2006/main">
                <a:ext uri="{FF2B5EF4-FFF2-40B4-BE49-F238E27FC236}">
                  <a16:creationId xmlns:a16="http://schemas.microsoft.com/office/drawing/2014/main" id="{A670A730-D1A4-4955-9D01-2FE07E7F78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7CD85C" w14:textId="05C3D550" w:rsidR="001E3415" w:rsidRPr="0084546A" w:rsidRDefault="001E3415" w:rsidP="00161172">
      <w:pPr>
        <w:rPr>
          <w:rFonts w:ascii="Verdana" w:hAnsi="Verdana" w:cs="Arial"/>
          <w:i/>
          <w:iCs/>
          <w:color w:val="000000" w:themeColor="text1"/>
        </w:rPr>
      </w:pPr>
      <w:r w:rsidRPr="0084546A">
        <w:rPr>
          <w:rFonts w:ascii="Verdana" w:hAnsi="Verdana" w:cs="Arial"/>
          <w:i/>
          <w:iCs/>
          <w:color w:val="000000" w:themeColor="text1"/>
        </w:rPr>
        <w:t xml:space="preserve">Grafica </w:t>
      </w:r>
      <w:r w:rsidR="00D70AA4" w:rsidRPr="0084546A">
        <w:rPr>
          <w:rFonts w:ascii="Verdana" w:hAnsi="Verdana" w:cs="Arial"/>
          <w:i/>
          <w:iCs/>
          <w:color w:val="000000" w:themeColor="text1"/>
        </w:rPr>
        <w:t>4</w:t>
      </w:r>
      <w:r w:rsidR="00EE4FAA" w:rsidRPr="0084546A">
        <w:rPr>
          <w:rFonts w:ascii="Verdana" w:hAnsi="Verdana" w:cs="Arial"/>
          <w:i/>
          <w:iCs/>
          <w:color w:val="000000" w:themeColor="text1"/>
        </w:rPr>
        <w:t>: Actividad Económica</w:t>
      </w:r>
      <w:r w:rsidR="00161172" w:rsidRPr="0084546A">
        <w:rPr>
          <w:rFonts w:ascii="Verdana" w:hAnsi="Verdana" w:cs="Arial"/>
          <w:i/>
          <w:iCs/>
          <w:color w:val="000000" w:themeColor="text1"/>
        </w:rPr>
        <w:t xml:space="preserve"> Código</w:t>
      </w:r>
      <w:r w:rsidRPr="0084546A">
        <w:rPr>
          <w:rFonts w:ascii="Verdana" w:hAnsi="Verdana" w:cs="Arial"/>
          <w:i/>
          <w:iCs/>
          <w:color w:val="000000" w:themeColor="text1"/>
        </w:rPr>
        <w:t xml:space="preserve"> CIIU</w:t>
      </w:r>
    </w:p>
    <w:p w14:paraId="5EF376EB" w14:textId="5BFED876" w:rsidR="00C6731C" w:rsidRPr="0084546A" w:rsidRDefault="00C6731C" w:rsidP="00A74ED4">
      <w:pPr>
        <w:jc w:val="both"/>
        <w:rPr>
          <w:rFonts w:ascii="Verdana" w:hAnsi="Verdana" w:cs="Arial"/>
          <w:color w:val="000000" w:themeColor="text1"/>
        </w:rPr>
      </w:pPr>
      <w:r w:rsidRPr="0084546A">
        <w:rPr>
          <w:rFonts w:ascii="Verdana" w:hAnsi="Verdana" w:cs="Arial"/>
          <w:color w:val="000000" w:themeColor="text1"/>
        </w:rPr>
        <w:t xml:space="preserve">Se evidencia una alta concentración en la actividad de </w:t>
      </w:r>
      <w:r w:rsidR="00A74ED4" w:rsidRPr="00A74ED4">
        <w:rPr>
          <w:rFonts w:ascii="Verdana" w:hAnsi="Verdana" w:cs="Arial"/>
          <w:color w:val="000000" w:themeColor="text1"/>
        </w:rPr>
        <w:t xml:space="preserve">Otras actividades de servicios personales </w:t>
      </w:r>
      <w:proofErr w:type="spellStart"/>
      <w:r w:rsidR="00A74ED4" w:rsidRPr="00A74ED4">
        <w:rPr>
          <w:rFonts w:ascii="Verdana" w:hAnsi="Verdana" w:cs="Arial"/>
          <w:color w:val="000000" w:themeColor="text1"/>
        </w:rPr>
        <w:t>n.c.p</w:t>
      </w:r>
      <w:proofErr w:type="spellEnd"/>
      <w:r w:rsidR="00A74ED4" w:rsidRPr="00A74ED4">
        <w:rPr>
          <w:rFonts w:ascii="Verdana" w:hAnsi="Verdana" w:cs="Arial"/>
          <w:color w:val="000000" w:themeColor="text1"/>
        </w:rPr>
        <w:t>.</w:t>
      </w:r>
      <w:r w:rsidRPr="0084546A">
        <w:rPr>
          <w:rFonts w:ascii="Verdana" w:hAnsi="Verdana" w:cs="Arial"/>
          <w:color w:val="000000" w:themeColor="text1"/>
        </w:rPr>
        <w:t xml:space="preserve">, con </w:t>
      </w:r>
      <w:r w:rsidR="00A74ED4">
        <w:rPr>
          <w:rFonts w:ascii="Verdana" w:hAnsi="Verdana" w:cs="Arial"/>
          <w:color w:val="000000" w:themeColor="text1"/>
        </w:rPr>
        <w:t>1729</w:t>
      </w:r>
      <w:r w:rsidR="0084546A">
        <w:rPr>
          <w:rFonts w:ascii="Verdana" w:hAnsi="Verdana" w:cs="Arial"/>
          <w:color w:val="000000" w:themeColor="text1"/>
        </w:rPr>
        <w:t xml:space="preserve"> </w:t>
      </w:r>
      <w:r w:rsidR="005D3CCF" w:rsidRPr="0084546A">
        <w:rPr>
          <w:rFonts w:ascii="Verdana" w:hAnsi="Verdana" w:cs="Arial"/>
          <w:color w:val="000000" w:themeColor="text1"/>
        </w:rPr>
        <w:t>operaciones</w:t>
      </w:r>
      <w:r w:rsidR="00A74ED4">
        <w:rPr>
          <w:rFonts w:ascii="Verdana" w:hAnsi="Verdana" w:cs="Arial"/>
          <w:color w:val="000000" w:themeColor="text1"/>
        </w:rPr>
        <w:t xml:space="preserve">. </w:t>
      </w:r>
      <w:r w:rsidRPr="0084546A">
        <w:rPr>
          <w:rFonts w:ascii="Verdana" w:hAnsi="Verdana" w:cs="Arial"/>
          <w:color w:val="000000" w:themeColor="text1"/>
        </w:rPr>
        <w:t>En un segundo nivel se ubica</w:t>
      </w:r>
      <w:r w:rsidR="00A74ED4">
        <w:rPr>
          <w:rFonts w:ascii="Verdana" w:hAnsi="Verdana" w:cs="Arial"/>
          <w:color w:val="000000" w:themeColor="text1"/>
        </w:rPr>
        <w:t xml:space="preserve"> el c</w:t>
      </w:r>
      <w:r w:rsidR="00A74ED4" w:rsidRPr="00A74ED4">
        <w:rPr>
          <w:rFonts w:ascii="Verdana" w:hAnsi="Verdana" w:cs="Arial"/>
          <w:color w:val="000000" w:themeColor="text1"/>
        </w:rPr>
        <w:t>omercio al por menor en establecimientos no especializados con surtido compuesto principalmente por alimentos, bebidas (alcohólicas y no alcohólicas) o tabaco</w:t>
      </w:r>
      <w:r w:rsidR="00A74ED4">
        <w:rPr>
          <w:rFonts w:ascii="Verdana" w:hAnsi="Verdana" w:cs="Arial"/>
          <w:color w:val="000000" w:themeColor="text1"/>
        </w:rPr>
        <w:t xml:space="preserve"> c</w:t>
      </w:r>
      <w:r w:rsidRPr="0084546A">
        <w:rPr>
          <w:rFonts w:ascii="Verdana" w:hAnsi="Verdana" w:cs="Arial"/>
          <w:color w:val="000000" w:themeColor="text1"/>
        </w:rPr>
        <w:t xml:space="preserve">on </w:t>
      </w:r>
      <w:r w:rsidR="00A74ED4">
        <w:rPr>
          <w:rFonts w:ascii="Verdana" w:hAnsi="Verdana" w:cs="Arial"/>
          <w:color w:val="000000" w:themeColor="text1"/>
        </w:rPr>
        <w:t>951</w:t>
      </w:r>
      <w:r w:rsidRPr="0084546A">
        <w:rPr>
          <w:rFonts w:ascii="Verdana" w:hAnsi="Verdana" w:cs="Arial"/>
          <w:color w:val="000000" w:themeColor="text1"/>
        </w:rPr>
        <w:t xml:space="preserve"> </w:t>
      </w:r>
      <w:r w:rsidR="005D3CCF" w:rsidRPr="0084546A">
        <w:rPr>
          <w:rFonts w:ascii="Verdana" w:hAnsi="Verdana" w:cs="Arial"/>
          <w:color w:val="000000" w:themeColor="text1"/>
        </w:rPr>
        <w:t>operaciones</w:t>
      </w:r>
      <w:r w:rsidRPr="0084546A">
        <w:rPr>
          <w:rFonts w:ascii="Verdana" w:hAnsi="Verdana" w:cs="Arial"/>
          <w:color w:val="000000" w:themeColor="text1"/>
        </w:rPr>
        <w:t xml:space="preserve">, seguida por </w:t>
      </w:r>
      <w:r w:rsidR="00A74ED4">
        <w:rPr>
          <w:rFonts w:ascii="Verdana" w:hAnsi="Verdana" w:cs="Arial"/>
          <w:color w:val="000000" w:themeColor="text1"/>
        </w:rPr>
        <w:t>c</w:t>
      </w:r>
      <w:r w:rsidR="00A74ED4" w:rsidRPr="00A74ED4">
        <w:rPr>
          <w:rFonts w:ascii="Verdana" w:hAnsi="Verdana" w:cs="Arial"/>
          <w:color w:val="000000" w:themeColor="text1"/>
        </w:rPr>
        <w:t>omercio al por menor de otros artículos domésticos en establecimientos especializados</w:t>
      </w:r>
      <w:r w:rsidR="00A74ED4">
        <w:rPr>
          <w:rFonts w:ascii="Verdana" w:hAnsi="Verdana" w:cs="Arial"/>
          <w:color w:val="000000" w:themeColor="text1"/>
        </w:rPr>
        <w:t xml:space="preserve"> </w:t>
      </w:r>
      <w:r w:rsidRPr="0084546A">
        <w:rPr>
          <w:rFonts w:ascii="Verdana" w:hAnsi="Verdana" w:cs="Arial"/>
          <w:color w:val="000000" w:themeColor="text1"/>
        </w:rPr>
        <w:t xml:space="preserve">con </w:t>
      </w:r>
      <w:r w:rsidR="00A74ED4">
        <w:rPr>
          <w:rFonts w:ascii="Verdana" w:hAnsi="Verdana" w:cs="Arial"/>
          <w:color w:val="000000" w:themeColor="text1"/>
        </w:rPr>
        <w:t>602</w:t>
      </w:r>
      <w:r w:rsidR="005D3CCF" w:rsidRPr="0084546A">
        <w:rPr>
          <w:rFonts w:ascii="Verdana" w:hAnsi="Verdana" w:cs="Arial"/>
          <w:color w:val="000000" w:themeColor="text1"/>
        </w:rPr>
        <w:t xml:space="preserve"> operaciones</w:t>
      </w:r>
      <w:r w:rsidR="00A74ED4">
        <w:rPr>
          <w:rFonts w:ascii="Verdana" w:hAnsi="Verdana" w:cs="Arial"/>
          <w:color w:val="000000" w:themeColor="text1"/>
        </w:rPr>
        <w:t>, seguido por</w:t>
      </w:r>
      <w:r w:rsidRPr="0084546A">
        <w:rPr>
          <w:rFonts w:ascii="Verdana" w:hAnsi="Verdana" w:cs="Arial"/>
          <w:color w:val="000000" w:themeColor="text1"/>
        </w:rPr>
        <w:t xml:space="preserve"> </w:t>
      </w:r>
      <w:r w:rsidR="00A74ED4" w:rsidRPr="00A74ED4">
        <w:rPr>
          <w:rFonts w:ascii="Verdana" w:hAnsi="Verdana" w:cs="Arial"/>
          <w:color w:val="000000" w:themeColor="text1"/>
        </w:rPr>
        <w:t>Peluquería y otros tratamientos de belleza</w:t>
      </w:r>
      <w:r w:rsidR="00A74ED4">
        <w:rPr>
          <w:rFonts w:ascii="Verdana" w:hAnsi="Verdana" w:cs="Arial"/>
          <w:color w:val="000000" w:themeColor="text1"/>
        </w:rPr>
        <w:t xml:space="preserve"> y </w:t>
      </w:r>
      <w:r w:rsidR="00A74ED4" w:rsidRPr="00A74ED4">
        <w:rPr>
          <w:rFonts w:ascii="Verdana" w:hAnsi="Verdana" w:cs="Arial"/>
          <w:color w:val="000000" w:themeColor="text1"/>
        </w:rPr>
        <w:t>Expendio a la mesa de comidas preparadas</w:t>
      </w:r>
      <w:r w:rsidRPr="0084546A">
        <w:rPr>
          <w:rFonts w:ascii="Verdana" w:hAnsi="Verdana" w:cs="Arial"/>
          <w:color w:val="000000" w:themeColor="text1"/>
        </w:rPr>
        <w:t xml:space="preserve">, con </w:t>
      </w:r>
      <w:r w:rsidR="00A74ED4">
        <w:rPr>
          <w:rFonts w:ascii="Verdana" w:hAnsi="Verdana" w:cs="Arial"/>
          <w:color w:val="000000" w:themeColor="text1"/>
        </w:rPr>
        <w:t>478</w:t>
      </w:r>
      <w:r w:rsidRPr="0084546A">
        <w:rPr>
          <w:rFonts w:ascii="Verdana" w:hAnsi="Verdana" w:cs="Arial"/>
          <w:color w:val="000000" w:themeColor="text1"/>
        </w:rPr>
        <w:t xml:space="preserve"> </w:t>
      </w:r>
      <w:r w:rsidR="00A74ED4">
        <w:rPr>
          <w:rFonts w:ascii="Verdana" w:hAnsi="Verdana" w:cs="Arial"/>
          <w:color w:val="000000" w:themeColor="text1"/>
        </w:rPr>
        <w:t xml:space="preserve">y 457 </w:t>
      </w:r>
      <w:r w:rsidR="005D3CCF" w:rsidRPr="0084546A">
        <w:rPr>
          <w:rFonts w:ascii="Verdana" w:hAnsi="Verdana" w:cs="Arial"/>
          <w:color w:val="000000" w:themeColor="text1"/>
        </w:rPr>
        <w:t>operaciones</w:t>
      </w:r>
      <w:r w:rsidRPr="0084546A">
        <w:rPr>
          <w:rFonts w:ascii="Verdana" w:hAnsi="Verdana" w:cs="Arial"/>
          <w:color w:val="000000" w:themeColor="text1"/>
        </w:rPr>
        <w:t>.</w:t>
      </w:r>
    </w:p>
    <w:p w14:paraId="216A76E6" w14:textId="5AF8F542" w:rsidR="00EE4FAA" w:rsidRDefault="00DF41AF" w:rsidP="0015132E">
      <w:pPr>
        <w:jc w:val="both"/>
        <w:rPr>
          <w:rFonts w:ascii="Verdana" w:hAnsi="Verdana" w:cs="Arial"/>
          <w:b/>
          <w:bCs/>
        </w:rPr>
      </w:pPr>
      <w:r>
        <w:rPr>
          <w:noProof/>
        </w:rPr>
        <w:drawing>
          <wp:anchor distT="0" distB="0" distL="114300" distR="114300" simplePos="0" relativeHeight="251683328" behindDoc="0" locked="0" layoutInCell="1" allowOverlap="1" wp14:anchorId="3E30C13B" wp14:editId="55287348">
            <wp:simplePos x="0" y="0"/>
            <wp:positionH relativeFrom="margin">
              <wp:align>left</wp:align>
            </wp:positionH>
            <wp:positionV relativeFrom="paragraph">
              <wp:posOffset>283210</wp:posOffset>
            </wp:positionV>
            <wp:extent cx="5160645" cy="2743200"/>
            <wp:effectExtent l="0" t="0" r="1905" b="0"/>
            <wp:wrapSquare wrapText="bothSides"/>
            <wp:docPr id="2" name="Gráfico 2">
              <a:extLst xmlns:a="http://schemas.openxmlformats.org/drawingml/2006/main">
                <a:ext uri="{FF2B5EF4-FFF2-40B4-BE49-F238E27FC236}">
                  <a16:creationId xmlns:a16="http://schemas.microsoft.com/office/drawing/2014/main" id="{A83EC014-0426-4614-B631-2442D81C56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r w:rsidR="00F426DC" w:rsidRPr="004E15AA">
        <w:rPr>
          <w:rFonts w:ascii="Verdana" w:hAnsi="Verdana" w:cs="Arial"/>
          <w:b/>
          <w:bCs/>
        </w:rPr>
        <w:t>DESTINO DE LOS RECURSOS</w:t>
      </w:r>
    </w:p>
    <w:p w14:paraId="140686DE" w14:textId="6F84B9C9" w:rsidR="00EE4FAA" w:rsidRPr="001E3415" w:rsidRDefault="00DF41AF" w:rsidP="00EE4FAA">
      <w:pPr>
        <w:rPr>
          <w:rFonts w:ascii="Verdana" w:hAnsi="Verdana" w:cs="Arial"/>
          <w:i/>
          <w:iCs/>
        </w:rPr>
      </w:pPr>
      <w:r>
        <w:rPr>
          <w:rFonts w:ascii="Verdana" w:hAnsi="Verdana" w:cs="Arial"/>
          <w:i/>
          <w:iCs/>
        </w:rPr>
        <w:lastRenderedPageBreak/>
        <w:t xml:space="preserve"> </w:t>
      </w:r>
      <w:r w:rsidR="00EE4FAA">
        <w:rPr>
          <w:rFonts w:ascii="Verdana" w:hAnsi="Verdana" w:cs="Arial"/>
          <w:i/>
          <w:iCs/>
        </w:rPr>
        <w:t xml:space="preserve">Grafica </w:t>
      </w:r>
      <w:r w:rsidR="00D70AA4">
        <w:rPr>
          <w:rFonts w:ascii="Verdana" w:hAnsi="Verdana" w:cs="Arial"/>
          <w:i/>
          <w:iCs/>
        </w:rPr>
        <w:t>5</w:t>
      </w:r>
      <w:r w:rsidR="00EE4FAA" w:rsidRPr="001E3415">
        <w:rPr>
          <w:rFonts w:ascii="Verdana" w:hAnsi="Verdana" w:cs="Arial"/>
          <w:i/>
          <w:iCs/>
        </w:rPr>
        <w:t>:</w:t>
      </w:r>
      <w:r w:rsidR="00EE4FAA">
        <w:rPr>
          <w:rFonts w:ascii="Verdana" w:hAnsi="Verdana" w:cs="Arial"/>
          <w:i/>
          <w:iCs/>
        </w:rPr>
        <w:t xml:space="preserve"> Porcentaje Destino de los Recursos</w:t>
      </w:r>
    </w:p>
    <w:p w14:paraId="30E474D2" w14:textId="27F5849D" w:rsidR="00B71F3E" w:rsidRDefault="00B71F3E" w:rsidP="00B71F3E">
      <w:pPr>
        <w:jc w:val="both"/>
        <w:rPr>
          <w:rFonts w:ascii="Verdana" w:hAnsi="Verdana" w:cs="Arial"/>
          <w:color w:val="000000" w:themeColor="text1"/>
        </w:rPr>
      </w:pPr>
      <w:r w:rsidRPr="00105187">
        <w:rPr>
          <w:rFonts w:ascii="Verdana" w:hAnsi="Verdana" w:cs="Arial"/>
          <w:color w:val="000000" w:themeColor="text1"/>
        </w:rPr>
        <w:t xml:space="preserve">El </w:t>
      </w:r>
      <w:r w:rsidR="004E15AA">
        <w:rPr>
          <w:rFonts w:ascii="Verdana" w:hAnsi="Verdana" w:cs="Arial"/>
          <w:color w:val="000000" w:themeColor="text1"/>
        </w:rPr>
        <w:t>9</w:t>
      </w:r>
      <w:r w:rsidR="001B23B0">
        <w:rPr>
          <w:rFonts w:ascii="Verdana" w:hAnsi="Verdana" w:cs="Arial"/>
          <w:color w:val="000000" w:themeColor="text1"/>
        </w:rPr>
        <w:t>5</w:t>
      </w:r>
      <w:r w:rsidRPr="00105187">
        <w:rPr>
          <w:rFonts w:ascii="Verdana" w:hAnsi="Verdana" w:cs="Arial"/>
          <w:color w:val="000000" w:themeColor="text1"/>
        </w:rPr>
        <w:t>% de las operaciones está destinado a capital de trabajo, contribuyendo al fortalecimiento de la liquidez y a la sostenibilidad financiera de las empresas beneficiarias.</w:t>
      </w:r>
      <w:r>
        <w:rPr>
          <w:rFonts w:ascii="Verdana" w:hAnsi="Verdana" w:cs="Arial"/>
          <w:color w:val="000000" w:themeColor="text1"/>
        </w:rPr>
        <w:t xml:space="preserve"> Mientras que el </w:t>
      </w:r>
      <w:r w:rsidR="001B23B0">
        <w:rPr>
          <w:rFonts w:ascii="Verdana" w:hAnsi="Verdana" w:cs="Arial"/>
          <w:color w:val="000000" w:themeColor="text1"/>
        </w:rPr>
        <w:t>5</w:t>
      </w:r>
      <w:r w:rsidR="003C001F">
        <w:rPr>
          <w:rFonts w:ascii="Verdana" w:hAnsi="Verdana" w:cs="Arial"/>
          <w:color w:val="000000" w:themeColor="text1"/>
        </w:rPr>
        <w:t xml:space="preserve">% </w:t>
      </w:r>
      <w:r>
        <w:rPr>
          <w:rFonts w:ascii="Verdana" w:hAnsi="Verdana" w:cs="Arial"/>
          <w:color w:val="000000" w:themeColor="text1"/>
        </w:rPr>
        <w:t xml:space="preserve">equivalen a </w:t>
      </w:r>
      <w:r w:rsidR="001B23B0">
        <w:rPr>
          <w:rFonts w:ascii="Verdana" w:hAnsi="Verdana" w:cs="Arial"/>
          <w:color w:val="000000" w:themeColor="text1"/>
        </w:rPr>
        <w:t>inversión fija.</w:t>
      </w:r>
    </w:p>
    <w:p w14:paraId="7BA3C74F" w14:textId="1448157E" w:rsidR="00202395" w:rsidRPr="00105187" w:rsidRDefault="00FA58C9" w:rsidP="00202395">
      <w:pPr>
        <w:jc w:val="both"/>
        <w:rPr>
          <w:rFonts w:ascii="Verdana" w:hAnsi="Verdana" w:cs="Arial"/>
          <w:b/>
          <w:bCs/>
          <w:color w:val="000000" w:themeColor="text1"/>
        </w:rPr>
      </w:pPr>
      <w:r>
        <w:rPr>
          <w:noProof/>
        </w:rPr>
        <w:drawing>
          <wp:anchor distT="0" distB="0" distL="114300" distR="114300" simplePos="0" relativeHeight="251685376" behindDoc="0" locked="0" layoutInCell="1" allowOverlap="1" wp14:anchorId="2DE26B75" wp14:editId="0BDB7E8E">
            <wp:simplePos x="0" y="0"/>
            <wp:positionH relativeFrom="margin">
              <wp:align>center</wp:align>
            </wp:positionH>
            <wp:positionV relativeFrom="paragraph">
              <wp:posOffset>250479</wp:posOffset>
            </wp:positionV>
            <wp:extent cx="4572000" cy="2743200"/>
            <wp:effectExtent l="0" t="0" r="0" b="0"/>
            <wp:wrapSquare wrapText="bothSides"/>
            <wp:docPr id="4" name="Gráfico 4">
              <a:extLst xmlns:a="http://schemas.openxmlformats.org/drawingml/2006/main">
                <a:ext uri="{FF2B5EF4-FFF2-40B4-BE49-F238E27FC236}">
                  <a16:creationId xmlns:a16="http://schemas.microsoft.com/office/drawing/2014/main" id="{F52A6BCE-05E9-478F-9BE8-A34E9C77C8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202395" w:rsidRPr="00105187">
        <w:rPr>
          <w:rFonts w:ascii="Verdana" w:hAnsi="Verdana" w:cs="Arial"/>
          <w:b/>
          <w:bCs/>
          <w:color w:val="000000" w:themeColor="text1"/>
        </w:rPr>
        <w:t xml:space="preserve">TAMAÑO EMPRESAS BENEFICIADAS: </w:t>
      </w:r>
    </w:p>
    <w:p w14:paraId="1AAC50ED" w14:textId="3713F919" w:rsidR="00EE4FAA" w:rsidRDefault="00EE4FAA" w:rsidP="00EE4FAA">
      <w:pPr>
        <w:jc w:val="both"/>
        <w:rPr>
          <w:rFonts w:ascii="Verdana" w:hAnsi="Verdana" w:cs="Arial"/>
          <w:i/>
          <w:iCs/>
          <w:color w:val="000000" w:themeColor="text1"/>
        </w:rPr>
      </w:pPr>
      <w:r w:rsidRPr="00105187">
        <w:rPr>
          <w:rFonts w:ascii="Verdana" w:hAnsi="Verdana" w:cs="Arial"/>
          <w:i/>
          <w:iCs/>
          <w:color w:val="000000" w:themeColor="text1"/>
        </w:rPr>
        <w:t xml:space="preserve">Grafica </w:t>
      </w:r>
      <w:r w:rsidR="00D70AA4">
        <w:rPr>
          <w:rFonts w:ascii="Verdana" w:hAnsi="Verdana" w:cs="Arial"/>
          <w:i/>
          <w:iCs/>
          <w:color w:val="000000" w:themeColor="text1"/>
        </w:rPr>
        <w:t>6</w:t>
      </w:r>
      <w:r w:rsidRPr="00105187">
        <w:rPr>
          <w:rFonts w:ascii="Verdana" w:hAnsi="Verdana" w:cs="Arial"/>
          <w:i/>
          <w:iCs/>
          <w:color w:val="000000" w:themeColor="text1"/>
        </w:rPr>
        <w:t xml:space="preserve">: </w:t>
      </w:r>
      <w:r w:rsidR="00D70AA4" w:rsidRPr="00D70AA4">
        <w:rPr>
          <w:rFonts w:ascii="Verdana" w:hAnsi="Verdana" w:cs="Arial"/>
          <w:i/>
          <w:iCs/>
          <w:color w:val="000000" w:themeColor="text1"/>
        </w:rPr>
        <w:t>N</w:t>
      </w:r>
      <w:r w:rsidR="00D70AA4">
        <w:rPr>
          <w:rFonts w:ascii="Verdana" w:hAnsi="Verdana" w:cs="Arial"/>
          <w:i/>
          <w:iCs/>
          <w:color w:val="000000" w:themeColor="text1"/>
        </w:rPr>
        <w:t>úmero</w:t>
      </w:r>
      <w:r w:rsidR="00D70AA4" w:rsidRPr="00D70AA4">
        <w:rPr>
          <w:rFonts w:ascii="Verdana" w:hAnsi="Verdana" w:cs="Arial"/>
          <w:i/>
          <w:iCs/>
          <w:color w:val="000000" w:themeColor="text1"/>
        </w:rPr>
        <w:t xml:space="preserve"> Desembolsos por Tamaño Empresarial</w:t>
      </w:r>
    </w:p>
    <w:p w14:paraId="4424F594" w14:textId="066476BA" w:rsidR="00BE1D78" w:rsidRDefault="00BE1D78" w:rsidP="00F426DC">
      <w:pPr>
        <w:spacing w:before="100" w:beforeAutospacing="1" w:after="100" w:afterAutospacing="1" w:line="240" w:lineRule="auto"/>
        <w:jc w:val="both"/>
        <w:rPr>
          <w:rFonts w:ascii="Verdana" w:hAnsi="Verdana"/>
          <w:color w:val="000000" w:themeColor="text1"/>
        </w:rPr>
      </w:pPr>
      <w:r w:rsidRPr="00BE1D78">
        <w:rPr>
          <w:rFonts w:ascii="Verdana" w:hAnsi="Verdana"/>
          <w:color w:val="000000" w:themeColor="text1"/>
        </w:rPr>
        <w:t>El</w:t>
      </w:r>
      <w:r w:rsidR="00EE4FAA">
        <w:rPr>
          <w:rFonts w:ascii="Verdana" w:hAnsi="Verdana"/>
          <w:color w:val="000000" w:themeColor="text1"/>
        </w:rPr>
        <w:t xml:space="preserve"> </w:t>
      </w:r>
      <w:r w:rsidR="00DF41AF">
        <w:rPr>
          <w:rFonts w:ascii="Verdana" w:hAnsi="Verdana"/>
          <w:color w:val="000000" w:themeColor="text1"/>
        </w:rPr>
        <w:t>99,99</w:t>
      </w:r>
      <w:r w:rsidRPr="00BE1D78">
        <w:rPr>
          <w:rFonts w:ascii="Verdana" w:hAnsi="Verdana"/>
          <w:color w:val="000000" w:themeColor="text1"/>
        </w:rPr>
        <w:t xml:space="preserve">% de las empresas beneficiadas corresponde a microempresas, evidenciando que la mayor parte de los recursos está dirigida a este </w:t>
      </w:r>
      <w:r w:rsidR="00D70AA4">
        <w:rPr>
          <w:rFonts w:ascii="Verdana" w:hAnsi="Verdana"/>
          <w:color w:val="000000" w:themeColor="text1"/>
        </w:rPr>
        <w:t>tamaño</w:t>
      </w:r>
      <w:r w:rsidRPr="00BE1D78">
        <w:rPr>
          <w:rFonts w:ascii="Verdana" w:hAnsi="Verdana"/>
          <w:color w:val="000000" w:themeColor="text1"/>
        </w:rPr>
        <w:t xml:space="preserve">. </w:t>
      </w:r>
      <w:r w:rsidR="00DF41AF">
        <w:rPr>
          <w:rFonts w:ascii="Verdana" w:hAnsi="Verdana"/>
          <w:color w:val="000000" w:themeColor="text1"/>
        </w:rPr>
        <w:t>Con el 0,01% para pequeñas empresas.</w:t>
      </w:r>
    </w:p>
    <w:p w14:paraId="6CCAB968" w14:textId="5A86CB7E" w:rsidR="00F426DC" w:rsidRPr="00F426DC" w:rsidRDefault="00FA58C9" w:rsidP="00F426DC">
      <w:pPr>
        <w:spacing w:before="100" w:beforeAutospacing="1" w:after="100" w:afterAutospacing="1" w:line="240" w:lineRule="auto"/>
        <w:jc w:val="both"/>
        <w:rPr>
          <w:rFonts w:ascii="Verdana" w:hAnsi="Verdana" w:cs="Arial"/>
          <w:b/>
          <w:bCs/>
        </w:rPr>
      </w:pPr>
      <w:r>
        <w:rPr>
          <w:noProof/>
        </w:rPr>
        <w:drawing>
          <wp:anchor distT="0" distB="0" distL="114300" distR="114300" simplePos="0" relativeHeight="251684352" behindDoc="0" locked="0" layoutInCell="1" allowOverlap="1" wp14:anchorId="7099CC69" wp14:editId="6024C78D">
            <wp:simplePos x="0" y="0"/>
            <wp:positionH relativeFrom="margin">
              <wp:align>left</wp:align>
            </wp:positionH>
            <wp:positionV relativeFrom="paragraph">
              <wp:posOffset>350520</wp:posOffset>
            </wp:positionV>
            <wp:extent cx="5568950" cy="2971800"/>
            <wp:effectExtent l="0" t="0" r="12700" b="0"/>
            <wp:wrapSquare wrapText="bothSides"/>
            <wp:docPr id="10" name="Gráfico 10">
              <a:extLst xmlns:a="http://schemas.openxmlformats.org/drawingml/2006/main">
                <a:ext uri="{FF2B5EF4-FFF2-40B4-BE49-F238E27FC236}">
                  <a16:creationId xmlns:a16="http://schemas.microsoft.com/office/drawing/2014/main" id="{5D596065-D301-47F8-8F4F-F3B4E5595F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F426DC" w:rsidRPr="00F426DC">
        <w:rPr>
          <w:rFonts w:ascii="Verdana" w:hAnsi="Verdana" w:cs="Arial"/>
          <w:b/>
          <w:bCs/>
        </w:rPr>
        <w:t>ANÁLISIS DE LA TASA DE INTERÉS AL BENEFICIARIO FINAL</w:t>
      </w:r>
    </w:p>
    <w:p w14:paraId="531BE0F6" w14:textId="35535F96" w:rsidR="00F52957" w:rsidRDefault="00062451" w:rsidP="00F52957">
      <w:pPr>
        <w:jc w:val="both"/>
        <w:rPr>
          <w:rFonts w:ascii="Verdana" w:hAnsi="Verdana" w:cs="Arial"/>
          <w:i/>
          <w:iCs/>
          <w:color w:val="000000" w:themeColor="text1"/>
        </w:rPr>
      </w:pPr>
      <w:r w:rsidRPr="00105187">
        <w:rPr>
          <w:rFonts w:ascii="Verdana" w:hAnsi="Verdana" w:cs="Arial"/>
          <w:i/>
          <w:iCs/>
          <w:color w:val="000000" w:themeColor="text1"/>
        </w:rPr>
        <w:t xml:space="preserve"> </w:t>
      </w:r>
      <w:r w:rsidR="00F52957" w:rsidRPr="00105187">
        <w:rPr>
          <w:rFonts w:ascii="Verdana" w:hAnsi="Verdana" w:cs="Arial"/>
          <w:i/>
          <w:iCs/>
          <w:color w:val="000000" w:themeColor="text1"/>
        </w:rPr>
        <w:t xml:space="preserve">Grafica </w:t>
      </w:r>
      <w:r w:rsidR="00F52957">
        <w:rPr>
          <w:rFonts w:ascii="Verdana" w:hAnsi="Verdana" w:cs="Arial"/>
          <w:i/>
          <w:iCs/>
          <w:color w:val="000000" w:themeColor="text1"/>
        </w:rPr>
        <w:t>7</w:t>
      </w:r>
      <w:r w:rsidR="00F52957" w:rsidRPr="00105187">
        <w:rPr>
          <w:rFonts w:ascii="Verdana" w:hAnsi="Verdana" w:cs="Arial"/>
          <w:i/>
          <w:iCs/>
          <w:color w:val="000000" w:themeColor="text1"/>
        </w:rPr>
        <w:t xml:space="preserve">: </w:t>
      </w:r>
      <w:r w:rsidR="00F52957" w:rsidRPr="00D70AA4">
        <w:rPr>
          <w:rFonts w:ascii="Verdana" w:hAnsi="Verdana" w:cs="Arial"/>
          <w:i/>
          <w:iCs/>
          <w:color w:val="000000" w:themeColor="text1"/>
        </w:rPr>
        <w:t>N</w:t>
      </w:r>
      <w:r w:rsidR="00F52957">
        <w:rPr>
          <w:rFonts w:ascii="Verdana" w:hAnsi="Verdana" w:cs="Arial"/>
          <w:i/>
          <w:iCs/>
          <w:color w:val="000000" w:themeColor="text1"/>
        </w:rPr>
        <w:t>úmero</w:t>
      </w:r>
      <w:r w:rsidR="00F52957" w:rsidRPr="00D70AA4">
        <w:rPr>
          <w:rFonts w:ascii="Verdana" w:hAnsi="Verdana" w:cs="Arial"/>
          <w:i/>
          <w:iCs/>
          <w:color w:val="000000" w:themeColor="text1"/>
        </w:rPr>
        <w:t xml:space="preserve"> </w:t>
      </w:r>
      <w:r w:rsidR="00F52957">
        <w:rPr>
          <w:rFonts w:ascii="Verdana" w:hAnsi="Verdana" w:cs="Arial"/>
          <w:i/>
          <w:iCs/>
          <w:color w:val="000000" w:themeColor="text1"/>
        </w:rPr>
        <w:t>operaciones por Tasa de interés</w:t>
      </w:r>
    </w:p>
    <w:p w14:paraId="634D7CFC" w14:textId="3A1A987F" w:rsidR="001B4FB1" w:rsidRDefault="00F52957" w:rsidP="001B4FB1">
      <w:pPr>
        <w:jc w:val="both"/>
        <w:rPr>
          <w:rFonts w:ascii="Verdana" w:hAnsi="Verdana" w:cs="Arial"/>
        </w:rPr>
      </w:pPr>
      <w:r>
        <w:rPr>
          <w:rFonts w:ascii="Verdana" w:hAnsi="Verdana" w:cs="Arial"/>
        </w:rPr>
        <w:lastRenderedPageBreak/>
        <w:t>Se evidencia que la mayor</w:t>
      </w:r>
      <w:r w:rsidRPr="00F52957">
        <w:rPr>
          <w:rFonts w:ascii="Verdana" w:hAnsi="Verdana" w:cs="Arial"/>
        </w:rPr>
        <w:t xml:space="preserve"> concentración de operaciones se encuentra en el rango de tasas superiores al 50%, con </w:t>
      </w:r>
      <w:r w:rsidR="00FA58C9">
        <w:rPr>
          <w:rFonts w:ascii="Verdana" w:hAnsi="Verdana" w:cs="Arial"/>
        </w:rPr>
        <w:t>8713</w:t>
      </w:r>
      <w:r w:rsidRPr="00F52957">
        <w:rPr>
          <w:rFonts w:ascii="Verdana" w:hAnsi="Verdana" w:cs="Arial"/>
        </w:rPr>
        <w:t xml:space="preserve"> operaciones, lo que evidencia que la mayoría de los créditos se otorgan a tasas altas</w:t>
      </w:r>
      <w:r>
        <w:rPr>
          <w:rFonts w:ascii="Verdana" w:hAnsi="Verdana" w:cs="Arial"/>
        </w:rPr>
        <w:t xml:space="preserve">. Así mismo, </w:t>
      </w:r>
      <w:r w:rsidRPr="00F52957">
        <w:rPr>
          <w:rFonts w:ascii="Verdana" w:hAnsi="Verdana" w:cs="Arial"/>
        </w:rPr>
        <w:t>se ubican las operaciones</w:t>
      </w:r>
      <w:r w:rsidR="00825A85">
        <w:rPr>
          <w:rFonts w:ascii="Verdana" w:hAnsi="Verdana" w:cs="Arial"/>
        </w:rPr>
        <w:t xml:space="preserve"> con tasas</w:t>
      </w:r>
      <w:r w:rsidRPr="00F52957">
        <w:rPr>
          <w:rFonts w:ascii="Verdana" w:hAnsi="Verdana" w:cs="Arial"/>
        </w:rPr>
        <w:t xml:space="preserve"> entre </w:t>
      </w:r>
      <w:r w:rsidR="00FA58C9">
        <w:rPr>
          <w:rFonts w:ascii="Verdana" w:hAnsi="Verdana" w:cs="Arial"/>
        </w:rPr>
        <w:t>40</w:t>
      </w:r>
      <w:r w:rsidRPr="00F52957">
        <w:rPr>
          <w:rFonts w:ascii="Verdana" w:hAnsi="Verdana" w:cs="Arial"/>
        </w:rPr>
        <w:t xml:space="preserve">% y </w:t>
      </w:r>
      <w:r w:rsidR="00FA58C9">
        <w:rPr>
          <w:rFonts w:ascii="Verdana" w:hAnsi="Verdana" w:cs="Arial"/>
        </w:rPr>
        <w:t>50</w:t>
      </w:r>
      <w:r w:rsidRPr="00F52957">
        <w:rPr>
          <w:rFonts w:ascii="Verdana" w:hAnsi="Verdana" w:cs="Arial"/>
        </w:rPr>
        <w:t xml:space="preserve">% </w:t>
      </w:r>
      <w:r w:rsidR="00602E07">
        <w:rPr>
          <w:rFonts w:ascii="Verdana" w:hAnsi="Verdana" w:cs="Arial"/>
        </w:rPr>
        <w:t>(</w:t>
      </w:r>
      <w:r w:rsidR="00FA58C9">
        <w:rPr>
          <w:rFonts w:ascii="Verdana" w:hAnsi="Verdana" w:cs="Arial"/>
        </w:rPr>
        <w:t>2169</w:t>
      </w:r>
      <w:r w:rsidR="00602E07">
        <w:rPr>
          <w:rFonts w:ascii="Verdana" w:hAnsi="Verdana" w:cs="Arial"/>
        </w:rPr>
        <w:t xml:space="preserve"> operac</w:t>
      </w:r>
      <w:r w:rsidRPr="00F52957">
        <w:rPr>
          <w:rFonts w:ascii="Verdana" w:hAnsi="Verdana" w:cs="Arial"/>
        </w:rPr>
        <w:t xml:space="preserve">iones) y entre </w:t>
      </w:r>
      <w:r w:rsidR="00FA58C9">
        <w:rPr>
          <w:rFonts w:ascii="Verdana" w:hAnsi="Verdana" w:cs="Arial"/>
        </w:rPr>
        <w:t>30</w:t>
      </w:r>
      <w:r w:rsidRPr="00F52957">
        <w:rPr>
          <w:rFonts w:ascii="Verdana" w:hAnsi="Verdana" w:cs="Arial"/>
        </w:rPr>
        <w:t xml:space="preserve">% y </w:t>
      </w:r>
      <w:r w:rsidR="00FA58C9">
        <w:rPr>
          <w:rFonts w:ascii="Verdana" w:hAnsi="Verdana" w:cs="Arial"/>
        </w:rPr>
        <w:t>40</w:t>
      </w:r>
      <w:r w:rsidRPr="00F52957">
        <w:rPr>
          <w:rFonts w:ascii="Verdana" w:hAnsi="Verdana" w:cs="Arial"/>
        </w:rPr>
        <w:t>% (</w:t>
      </w:r>
      <w:r w:rsidR="00FA58C9">
        <w:rPr>
          <w:rFonts w:ascii="Verdana" w:hAnsi="Verdana" w:cs="Arial"/>
        </w:rPr>
        <w:t>1895</w:t>
      </w:r>
      <w:r w:rsidRPr="00F52957">
        <w:rPr>
          <w:rFonts w:ascii="Verdana" w:hAnsi="Verdana" w:cs="Arial"/>
        </w:rPr>
        <w:t xml:space="preserve"> operaciones).</w:t>
      </w:r>
    </w:p>
    <w:p w14:paraId="09CAF845" w14:textId="02CD5594" w:rsidR="00B71F3E" w:rsidRDefault="0086468E" w:rsidP="0086468E">
      <w:pPr>
        <w:rPr>
          <w:rFonts w:ascii="Verdana" w:hAnsi="Verdana" w:cs="Arial"/>
          <w:i/>
          <w:iCs/>
          <w:color w:val="000000" w:themeColor="text1"/>
        </w:rPr>
      </w:pPr>
      <w:r>
        <w:rPr>
          <w:noProof/>
        </w:rPr>
        <w:drawing>
          <wp:anchor distT="0" distB="0" distL="114300" distR="114300" simplePos="0" relativeHeight="251686400" behindDoc="0" locked="0" layoutInCell="1" allowOverlap="1" wp14:anchorId="179DC617" wp14:editId="7E084FA6">
            <wp:simplePos x="0" y="0"/>
            <wp:positionH relativeFrom="column">
              <wp:posOffset>159847</wp:posOffset>
            </wp:positionH>
            <wp:positionV relativeFrom="paragraph">
              <wp:posOffset>1155</wp:posOffset>
            </wp:positionV>
            <wp:extent cx="5077691" cy="2784763"/>
            <wp:effectExtent l="0" t="0" r="8890" b="15875"/>
            <wp:wrapSquare wrapText="bothSides"/>
            <wp:docPr id="11" name="Gráfico 11">
              <a:extLst xmlns:a="http://schemas.openxmlformats.org/drawingml/2006/main">
                <a:ext uri="{FF2B5EF4-FFF2-40B4-BE49-F238E27FC236}">
                  <a16:creationId xmlns:a16="http://schemas.microsoft.com/office/drawing/2014/main" id="{B83AE9FB-27C5-4614-B6BD-F09EB70006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B71F3E" w:rsidRPr="00105187">
        <w:rPr>
          <w:rFonts w:ascii="Verdana" w:hAnsi="Verdana" w:cs="Arial"/>
          <w:i/>
          <w:iCs/>
          <w:color w:val="000000" w:themeColor="text1"/>
        </w:rPr>
        <w:t xml:space="preserve">Grafica </w:t>
      </w:r>
      <w:r w:rsidR="00B71F3E">
        <w:rPr>
          <w:rFonts w:ascii="Verdana" w:hAnsi="Verdana" w:cs="Arial"/>
          <w:i/>
          <w:iCs/>
          <w:color w:val="000000" w:themeColor="text1"/>
        </w:rPr>
        <w:t>7</w:t>
      </w:r>
      <w:r w:rsidR="00B71F3E" w:rsidRPr="00105187">
        <w:rPr>
          <w:rFonts w:ascii="Verdana" w:hAnsi="Verdana" w:cs="Arial"/>
          <w:i/>
          <w:iCs/>
          <w:color w:val="000000" w:themeColor="text1"/>
        </w:rPr>
        <w:t xml:space="preserve">: </w:t>
      </w:r>
      <w:r w:rsidR="00B71F3E">
        <w:rPr>
          <w:rFonts w:ascii="Verdana" w:hAnsi="Verdana" w:cs="Arial"/>
          <w:i/>
          <w:iCs/>
          <w:color w:val="000000" w:themeColor="text1"/>
        </w:rPr>
        <w:t xml:space="preserve">Concentración de tasas </w:t>
      </w:r>
      <w:r w:rsidR="00404B4B">
        <w:rPr>
          <w:rFonts w:ascii="Verdana" w:hAnsi="Verdana" w:cs="Arial"/>
          <w:i/>
          <w:iCs/>
          <w:color w:val="000000" w:themeColor="text1"/>
        </w:rPr>
        <w:t>mayor a 50% de interés.</w:t>
      </w:r>
    </w:p>
    <w:p w14:paraId="3B1A818D" w14:textId="3777F9B9" w:rsidR="00B6361E" w:rsidRDefault="00B6361E" w:rsidP="00E024C7">
      <w:pPr>
        <w:jc w:val="both"/>
        <w:rPr>
          <w:rFonts w:ascii="Verdana" w:hAnsi="Verdana" w:cs="Arial"/>
        </w:rPr>
      </w:pPr>
      <w:r w:rsidRPr="00B6361E">
        <w:rPr>
          <w:rFonts w:ascii="Verdana" w:hAnsi="Verdana" w:cs="Arial"/>
        </w:rPr>
        <w:t>Se identificó que</w:t>
      </w:r>
      <w:r w:rsidR="009A4378">
        <w:rPr>
          <w:rFonts w:ascii="Verdana" w:hAnsi="Verdana" w:cs="Arial"/>
        </w:rPr>
        <w:t xml:space="preserve"> de las </w:t>
      </w:r>
      <w:r w:rsidR="0086468E">
        <w:rPr>
          <w:rFonts w:ascii="Verdana" w:hAnsi="Verdana" w:cs="Arial"/>
        </w:rPr>
        <w:t xml:space="preserve">8713 </w:t>
      </w:r>
      <w:r w:rsidR="009A4378">
        <w:rPr>
          <w:rFonts w:ascii="Verdana" w:hAnsi="Verdana" w:cs="Arial"/>
        </w:rPr>
        <w:t>operaciones</w:t>
      </w:r>
      <w:r w:rsidRPr="00B6361E">
        <w:rPr>
          <w:rFonts w:ascii="Verdana" w:hAnsi="Verdana" w:cs="Arial"/>
        </w:rPr>
        <w:t xml:space="preserve"> la mayor concentración de operaciones con tasas superiores al 50% se presenta en el </w:t>
      </w:r>
      <w:r w:rsidR="0086468E" w:rsidRPr="0086468E">
        <w:rPr>
          <w:rFonts w:ascii="Verdana" w:hAnsi="Verdana" w:cs="Arial"/>
        </w:rPr>
        <w:t>MIBANCO BANCO DE LA MICROEMPRESA DE COLOMBIA SA</w:t>
      </w:r>
      <w:r w:rsidRPr="00B6361E">
        <w:rPr>
          <w:rFonts w:ascii="Verdana" w:hAnsi="Verdana" w:cs="Arial"/>
        </w:rPr>
        <w:t xml:space="preserve">, </w:t>
      </w:r>
      <w:r w:rsidR="00E024C7">
        <w:rPr>
          <w:rFonts w:ascii="Verdana" w:hAnsi="Verdana" w:cs="Arial"/>
        </w:rPr>
        <w:t xml:space="preserve">con </w:t>
      </w:r>
      <w:r w:rsidR="0086468E">
        <w:rPr>
          <w:rFonts w:ascii="Verdana" w:hAnsi="Verdana" w:cs="Arial"/>
        </w:rPr>
        <w:t>4148</w:t>
      </w:r>
      <w:r w:rsidRPr="00B6361E">
        <w:rPr>
          <w:rFonts w:ascii="Verdana" w:hAnsi="Verdana" w:cs="Arial"/>
        </w:rPr>
        <w:t xml:space="preserve"> operaciones, con una participación significativamente superior frente a las demás entidades analizadas. En segundo lugar, se ubica </w:t>
      </w:r>
      <w:r w:rsidR="0086468E" w:rsidRPr="0086468E">
        <w:rPr>
          <w:rFonts w:ascii="Verdana" w:hAnsi="Verdana" w:cs="Arial"/>
        </w:rPr>
        <w:t xml:space="preserve">BCO. CONTACTAR SA </w:t>
      </w:r>
      <w:r w:rsidRPr="00B6361E">
        <w:rPr>
          <w:rFonts w:ascii="Verdana" w:hAnsi="Verdana" w:cs="Arial"/>
        </w:rPr>
        <w:t xml:space="preserve">con </w:t>
      </w:r>
      <w:r w:rsidR="00E024C7">
        <w:rPr>
          <w:rFonts w:ascii="Verdana" w:hAnsi="Verdana" w:cs="Arial"/>
        </w:rPr>
        <w:t>2664</w:t>
      </w:r>
      <w:r w:rsidRPr="00B6361E">
        <w:rPr>
          <w:rFonts w:ascii="Verdana" w:hAnsi="Verdana" w:cs="Arial"/>
        </w:rPr>
        <w:t xml:space="preserve"> operaciones,</w:t>
      </w:r>
      <w:r w:rsidR="00E024C7">
        <w:rPr>
          <w:rFonts w:ascii="Verdana" w:hAnsi="Verdana" w:cs="Arial"/>
        </w:rPr>
        <w:t xml:space="preserve"> seguido por </w:t>
      </w:r>
      <w:r w:rsidR="00E024C7" w:rsidRPr="00E024C7">
        <w:rPr>
          <w:rFonts w:ascii="Verdana" w:hAnsi="Verdana" w:cs="Arial"/>
        </w:rPr>
        <w:t>CREZCAMOS S.A. COMPAÑIA DE FINANCIAMIENTO</w:t>
      </w:r>
      <w:r w:rsidR="00E024C7">
        <w:rPr>
          <w:rFonts w:ascii="Verdana" w:hAnsi="Verdana" w:cs="Arial"/>
        </w:rPr>
        <w:t xml:space="preserve"> con 1456 operaciones,</w:t>
      </w:r>
      <w:r w:rsidRPr="00B6361E">
        <w:rPr>
          <w:rFonts w:ascii="Verdana" w:hAnsi="Verdana" w:cs="Arial"/>
        </w:rPr>
        <w:t xml:space="preserve"> mientras que</w:t>
      </w:r>
      <w:r w:rsidR="00E024C7">
        <w:rPr>
          <w:rFonts w:ascii="Verdana" w:hAnsi="Verdana" w:cs="Arial"/>
        </w:rPr>
        <w:t xml:space="preserve"> entre la </w:t>
      </w:r>
      <w:r w:rsidR="00E024C7" w:rsidRPr="00E024C7">
        <w:rPr>
          <w:rFonts w:ascii="Verdana" w:hAnsi="Verdana" w:cs="Arial"/>
        </w:rPr>
        <w:t>COOPERATIVA DE AHORRO Y CREDITO NACIONAL</w:t>
      </w:r>
      <w:r w:rsidR="00E024C7">
        <w:rPr>
          <w:rFonts w:ascii="Verdana" w:hAnsi="Verdana" w:cs="Arial"/>
        </w:rPr>
        <w:t xml:space="preserve">, </w:t>
      </w:r>
      <w:r w:rsidR="00E024C7" w:rsidRPr="00E024C7">
        <w:rPr>
          <w:rFonts w:ascii="Verdana" w:hAnsi="Verdana" w:cs="Arial"/>
        </w:rPr>
        <w:t>CREDIFUTURO DE NARIÑO SAS</w:t>
      </w:r>
      <w:r w:rsidR="00E024C7">
        <w:rPr>
          <w:rFonts w:ascii="Verdana" w:hAnsi="Verdana" w:cs="Arial"/>
        </w:rPr>
        <w:t xml:space="preserve">, </w:t>
      </w:r>
      <w:r w:rsidR="00E024C7" w:rsidRPr="00E024C7">
        <w:rPr>
          <w:rFonts w:ascii="Verdana" w:hAnsi="Verdana" w:cs="Arial"/>
        </w:rPr>
        <w:t>BCO. DE LAS MICROFINANZAS BANCAMIA S.A</w:t>
      </w:r>
      <w:r w:rsidRPr="00B6361E">
        <w:rPr>
          <w:rFonts w:ascii="Verdana" w:hAnsi="Verdana" w:cs="Arial"/>
        </w:rPr>
        <w:t xml:space="preserve"> registra</w:t>
      </w:r>
      <w:r w:rsidR="00E024C7">
        <w:rPr>
          <w:rFonts w:ascii="Verdana" w:hAnsi="Verdana" w:cs="Arial"/>
        </w:rPr>
        <w:t>n</w:t>
      </w:r>
      <w:r w:rsidRPr="00B6361E">
        <w:rPr>
          <w:rFonts w:ascii="Verdana" w:hAnsi="Verdana" w:cs="Arial"/>
        </w:rPr>
        <w:t xml:space="preserve"> una participación</w:t>
      </w:r>
      <w:r w:rsidR="00E024C7">
        <w:rPr>
          <w:rFonts w:ascii="Verdana" w:hAnsi="Verdana" w:cs="Arial"/>
        </w:rPr>
        <w:t xml:space="preserve"> entre las 395 o</w:t>
      </w:r>
      <w:r w:rsidRPr="00B6361E">
        <w:rPr>
          <w:rFonts w:ascii="Verdana" w:hAnsi="Verdana" w:cs="Arial"/>
        </w:rPr>
        <w:t>peraciones.</w:t>
      </w:r>
    </w:p>
    <w:p w14:paraId="2AF740EB" w14:textId="5334EE4A" w:rsidR="004F1F98" w:rsidRDefault="004F1F98" w:rsidP="00D70904">
      <w:pPr>
        <w:ind w:left="708" w:hanging="708"/>
        <w:jc w:val="both"/>
        <w:rPr>
          <w:rFonts w:ascii="Verdana" w:eastAsia="Times New Roman" w:hAnsi="Verdana" w:cs="Times New Roman"/>
          <w:b/>
          <w:bCs/>
          <w:sz w:val="24"/>
          <w:szCs w:val="24"/>
          <w:lang w:val="es-CO" w:eastAsia="es-CO"/>
        </w:rPr>
      </w:pPr>
      <w:r>
        <w:rPr>
          <w:rFonts w:ascii="Verdana" w:eastAsia="Times New Roman" w:hAnsi="Verdana" w:cs="Times New Roman"/>
          <w:b/>
          <w:bCs/>
          <w:sz w:val="24"/>
          <w:szCs w:val="24"/>
          <w:lang w:val="es-CO" w:eastAsia="es-CO"/>
        </w:rPr>
        <w:t xml:space="preserve">DESEMBOLSO ACUMULADO </w:t>
      </w:r>
    </w:p>
    <w:p w14:paraId="4CD83970" w14:textId="7EB5EEFB" w:rsidR="00AC2B5C" w:rsidRDefault="00AC2B5C" w:rsidP="00D333E2">
      <w:pPr>
        <w:jc w:val="both"/>
        <w:rPr>
          <w:noProof/>
        </w:rPr>
      </w:pPr>
      <w:r>
        <w:rPr>
          <w:noProof/>
        </w:rPr>
        <w:drawing>
          <wp:inline distT="0" distB="0" distL="0" distR="0" wp14:anchorId="249DFFAF" wp14:editId="634D6DBA">
            <wp:extent cx="5400040" cy="2545080"/>
            <wp:effectExtent l="0" t="0" r="0" b="7620"/>
            <wp:docPr id="5" name="Imagen 4">
              <a:extLst xmlns:a="http://schemas.openxmlformats.org/drawingml/2006/main">
                <a:ext uri="{FF2B5EF4-FFF2-40B4-BE49-F238E27FC236}">
                  <a16:creationId xmlns:a16="http://schemas.microsoft.com/office/drawing/2014/main" id="{689159D6-840B-4689-938D-040DD84185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689159D6-840B-4689-938D-040DD8418560}"/>
                        </a:ext>
                      </a:extLst>
                    </pic:cNvPr>
                    <pic:cNvPicPr>
                      <a:picLocks noChangeAspect="1"/>
                    </pic:cNvPicPr>
                  </pic:nvPicPr>
                  <pic:blipFill>
                    <a:blip r:embed="rId17"/>
                    <a:stretch>
                      <a:fillRect/>
                    </a:stretch>
                  </pic:blipFill>
                  <pic:spPr>
                    <a:xfrm>
                      <a:off x="0" y="0"/>
                      <a:ext cx="5400040" cy="2545080"/>
                    </a:xfrm>
                    <a:prstGeom prst="rect">
                      <a:avLst/>
                    </a:prstGeom>
                  </pic:spPr>
                </pic:pic>
              </a:graphicData>
            </a:graphic>
          </wp:inline>
        </w:drawing>
      </w:r>
    </w:p>
    <w:p w14:paraId="633BECDB" w14:textId="378D8FF3" w:rsidR="00D333E2" w:rsidRDefault="00062451" w:rsidP="00D333E2">
      <w:pPr>
        <w:jc w:val="both"/>
        <w:rPr>
          <w:rFonts w:ascii="Verdana" w:hAnsi="Verdana" w:cs="Arial"/>
          <w:i/>
          <w:iCs/>
          <w:color w:val="000000" w:themeColor="text1"/>
        </w:rPr>
      </w:pPr>
      <w:r w:rsidRPr="00105187">
        <w:rPr>
          <w:rFonts w:ascii="Verdana" w:hAnsi="Verdana" w:cs="Arial"/>
          <w:i/>
          <w:iCs/>
          <w:color w:val="000000" w:themeColor="text1"/>
        </w:rPr>
        <w:lastRenderedPageBreak/>
        <w:t xml:space="preserve"> </w:t>
      </w:r>
      <w:r w:rsidR="00D333E2" w:rsidRPr="00105187">
        <w:rPr>
          <w:rFonts w:ascii="Verdana" w:hAnsi="Verdana" w:cs="Arial"/>
          <w:i/>
          <w:iCs/>
          <w:color w:val="000000" w:themeColor="text1"/>
        </w:rPr>
        <w:t xml:space="preserve">Grafica </w:t>
      </w:r>
      <w:r w:rsidR="00D517A5">
        <w:rPr>
          <w:rFonts w:ascii="Verdana" w:hAnsi="Verdana" w:cs="Arial"/>
          <w:i/>
          <w:iCs/>
          <w:color w:val="000000" w:themeColor="text1"/>
        </w:rPr>
        <w:t>9</w:t>
      </w:r>
      <w:r w:rsidR="00D333E2" w:rsidRPr="00105187">
        <w:rPr>
          <w:rFonts w:ascii="Verdana" w:hAnsi="Verdana" w:cs="Arial"/>
          <w:i/>
          <w:iCs/>
          <w:color w:val="000000" w:themeColor="text1"/>
        </w:rPr>
        <w:t xml:space="preserve">: </w:t>
      </w:r>
      <w:r w:rsidR="00D333E2">
        <w:rPr>
          <w:rFonts w:ascii="Verdana" w:hAnsi="Verdana" w:cs="Arial"/>
          <w:i/>
          <w:iCs/>
          <w:color w:val="000000" w:themeColor="text1"/>
        </w:rPr>
        <w:t>Desembolso acumulado</w:t>
      </w:r>
    </w:p>
    <w:p w14:paraId="6BE143EC" w14:textId="27787C6B" w:rsidR="00567129" w:rsidRPr="00D333E2" w:rsidRDefault="00AC2B5C" w:rsidP="00F8205D">
      <w:pPr>
        <w:jc w:val="both"/>
        <w:rPr>
          <w:rFonts w:ascii="Verdana" w:hAnsi="Verdana" w:cs="Arial"/>
        </w:rPr>
      </w:pPr>
      <w:r>
        <w:rPr>
          <w:rFonts w:ascii="Verdana" w:hAnsi="Verdana" w:cs="Arial"/>
        </w:rPr>
        <w:t>Se evidencia que d</w:t>
      </w:r>
      <w:r w:rsidRPr="00AC2B5C">
        <w:rPr>
          <w:rFonts w:ascii="Verdana" w:hAnsi="Verdana" w:cs="Arial"/>
        </w:rPr>
        <w:t xml:space="preserve">urante el periodo comprendido entre abril y noviembre de 2025 se observa un incremento moderado y sostenido, manteniéndose alrededor de los $25.000 a $28.000 millones. A partir de diciembre de 2025 se presenta </w:t>
      </w:r>
      <w:r>
        <w:rPr>
          <w:rFonts w:ascii="Verdana" w:hAnsi="Verdana" w:cs="Arial"/>
        </w:rPr>
        <w:t>un incremento</w:t>
      </w:r>
      <w:r w:rsidRPr="00AC2B5C">
        <w:rPr>
          <w:rFonts w:ascii="Verdana" w:hAnsi="Verdana" w:cs="Arial"/>
        </w:rPr>
        <w:t xml:space="preserve"> en el desembolso, alcanzando $36.410 millones</w:t>
      </w:r>
      <w:r>
        <w:rPr>
          <w:rFonts w:ascii="Verdana" w:hAnsi="Verdana" w:cs="Arial"/>
        </w:rPr>
        <w:t xml:space="preserve">. Se presenta un incremento </w:t>
      </w:r>
      <w:r w:rsidRPr="00AC2B5C">
        <w:rPr>
          <w:rFonts w:ascii="Verdana" w:hAnsi="Verdana" w:cs="Arial"/>
        </w:rPr>
        <w:t xml:space="preserve">en enero y febrero de 2026, </w:t>
      </w:r>
      <w:r>
        <w:rPr>
          <w:rFonts w:ascii="Verdana" w:hAnsi="Verdana" w:cs="Arial"/>
        </w:rPr>
        <w:t xml:space="preserve">con valores entre </w:t>
      </w:r>
      <w:r w:rsidRPr="00AC2B5C">
        <w:rPr>
          <w:rFonts w:ascii="Verdana" w:hAnsi="Verdana" w:cs="Arial"/>
        </w:rPr>
        <w:t>$</w:t>
      </w:r>
      <w:r w:rsidRPr="00AC2B5C">
        <w:rPr>
          <w:rFonts w:ascii="Verdana" w:hAnsi="Verdana" w:cs="Arial"/>
        </w:rPr>
        <w:t xml:space="preserve">40.765 millones y llega a $53.993 millones. </w:t>
      </w:r>
      <w:r>
        <w:rPr>
          <w:rFonts w:ascii="Verdana" w:hAnsi="Verdana" w:cs="Arial"/>
        </w:rPr>
        <w:t>Sin embargo, p</w:t>
      </w:r>
      <w:r w:rsidRPr="00AC2B5C">
        <w:rPr>
          <w:rFonts w:ascii="Verdana" w:hAnsi="Verdana" w:cs="Arial"/>
        </w:rPr>
        <w:t>ara el mes de abril de 2026 no se registraron nuevos desembolsos, manteniéndose el valor acumulado en $58.914 millones, lo que evidencia una estabilización en la ejecución financiera al cierre del periodo analizado.</w:t>
      </w:r>
    </w:p>
    <w:sectPr w:rsidR="00567129" w:rsidRPr="00D333E2" w:rsidSect="0019019D">
      <w:headerReference w:type="default" r:id="rId18"/>
      <w:pgSz w:w="11906" w:h="16838"/>
      <w:pgMar w:top="1417" w:right="1701" w:bottom="1417" w:left="1701" w:header="34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4CA19" w14:textId="77777777" w:rsidR="000B66C5" w:rsidRDefault="000B66C5" w:rsidP="0019019D">
      <w:pPr>
        <w:spacing w:after="0" w:line="240" w:lineRule="auto"/>
      </w:pPr>
      <w:r>
        <w:separator/>
      </w:r>
    </w:p>
  </w:endnote>
  <w:endnote w:type="continuationSeparator" w:id="0">
    <w:p w14:paraId="4E87F2DD" w14:textId="77777777" w:rsidR="000B66C5" w:rsidRDefault="000B66C5" w:rsidP="00190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01691" w14:textId="77777777" w:rsidR="000B66C5" w:rsidRDefault="000B66C5" w:rsidP="0019019D">
      <w:pPr>
        <w:spacing w:after="0" w:line="240" w:lineRule="auto"/>
      </w:pPr>
      <w:r>
        <w:separator/>
      </w:r>
    </w:p>
  </w:footnote>
  <w:footnote w:type="continuationSeparator" w:id="0">
    <w:p w14:paraId="6D04983E" w14:textId="77777777" w:rsidR="000B66C5" w:rsidRDefault="000B66C5" w:rsidP="001901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FD543" w14:textId="7199B05B" w:rsidR="0019019D" w:rsidRDefault="0019019D" w:rsidP="0019019D">
    <w:pPr>
      <w:pStyle w:val="Encabezado"/>
      <w:jc w:val="center"/>
    </w:pPr>
    <w:r>
      <w:rPr>
        <w:noProof/>
      </w:rPr>
      <w:drawing>
        <wp:inline distT="0" distB="0" distL="0" distR="0" wp14:anchorId="300F8CBE" wp14:editId="1C54BD3D">
          <wp:extent cx="1028700" cy="619975"/>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40164" cy="6268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215A"/>
    <w:multiLevelType w:val="hybridMultilevel"/>
    <w:tmpl w:val="619E4E98"/>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 w15:restartNumberingAfterBreak="0">
    <w:nsid w:val="0B4D46E7"/>
    <w:multiLevelType w:val="hybridMultilevel"/>
    <w:tmpl w:val="A1D01382"/>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DFF0F09"/>
    <w:multiLevelType w:val="hybridMultilevel"/>
    <w:tmpl w:val="BB18362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23524214"/>
    <w:multiLevelType w:val="hybridMultilevel"/>
    <w:tmpl w:val="5EE0440C"/>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24C3187E"/>
    <w:multiLevelType w:val="hybridMultilevel"/>
    <w:tmpl w:val="9BBE69B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2C765A6C"/>
    <w:multiLevelType w:val="hybridMultilevel"/>
    <w:tmpl w:val="67F2328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31FE1110"/>
    <w:multiLevelType w:val="hybridMultilevel"/>
    <w:tmpl w:val="0BAAC4E4"/>
    <w:lvl w:ilvl="0" w:tplc="EC8A06AA">
      <w:start w:val="1"/>
      <w:numFmt w:val="decimal"/>
      <w:lvlText w:val="%1."/>
      <w:lvlJc w:val="left"/>
      <w:pPr>
        <w:ind w:left="720" w:hanging="360"/>
      </w:pPr>
      <w:rPr>
        <w:rFonts w:hint="default"/>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39EF3FAE"/>
    <w:multiLevelType w:val="hybridMultilevel"/>
    <w:tmpl w:val="BEF67DC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3AB852AA"/>
    <w:multiLevelType w:val="hybridMultilevel"/>
    <w:tmpl w:val="DB7E203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3CDF6D4A"/>
    <w:multiLevelType w:val="hybridMultilevel"/>
    <w:tmpl w:val="BD865334"/>
    <w:lvl w:ilvl="0" w:tplc="D6F411DE">
      <w:start w:val="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6C41A7F"/>
    <w:multiLevelType w:val="hybridMultilevel"/>
    <w:tmpl w:val="CB0416EE"/>
    <w:lvl w:ilvl="0" w:tplc="C3BA415C">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483F6F43"/>
    <w:multiLevelType w:val="hybridMultilevel"/>
    <w:tmpl w:val="200CE3E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4A63730B"/>
    <w:multiLevelType w:val="hybridMultilevel"/>
    <w:tmpl w:val="83D047C4"/>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3" w15:restartNumberingAfterBreak="0">
    <w:nsid w:val="561653A8"/>
    <w:multiLevelType w:val="hybridMultilevel"/>
    <w:tmpl w:val="485431CC"/>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4" w15:restartNumberingAfterBreak="0">
    <w:nsid w:val="59CC3894"/>
    <w:multiLevelType w:val="multilevel"/>
    <w:tmpl w:val="8270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F36E8D"/>
    <w:multiLevelType w:val="hybridMultilevel"/>
    <w:tmpl w:val="DBC0F692"/>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665F0732"/>
    <w:multiLevelType w:val="multilevel"/>
    <w:tmpl w:val="57EA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6F35A0"/>
    <w:multiLevelType w:val="hybridMultilevel"/>
    <w:tmpl w:val="A0D6CAEC"/>
    <w:lvl w:ilvl="0" w:tplc="256AB420">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8" w15:restartNumberingAfterBreak="0">
    <w:nsid w:val="68F257B3"/>
    <w:multiLevelType w:val="multilevel"/>
    <w:tmpl w:val="8AA0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0112AF"/>
    <w:multiLevelType w:val="hybridMultilevel"/>
    <w:tmpl w:val="D7709192"/>
    <w:lvl w:ilvl="0" w:tplc="D6F411DE">
      <w:start w:val="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5F4685"/>
    <w:multiLevelType w:val="hybridMultilevel"/>
    <w:tmpl w:val="35D82D8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15:restartNumberingAfterBreak="0">
    <w:nsid w:val="75DC5107"/>
    <w:multiLevelType w:val="hybridMultilevel"/>
    <w:tmpl w:val="1A300646"/>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7BAE1964"/>
    <w:multiLevelType w:val="hybridMultilevel"/>
    <w:tmpl w:val="AE5ED41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3" w15:restartNumberingAfterBreak="0">
    <w:nsid w:val="7DD0672A"/>
    <w:multiLevelType w:val="hybridMultilevel"/>
    <w:tmpl w:val="A0D6CAEC"/>
    <w:lvl w:ilvl="0" w:tplc="256AB420">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1"/>
  </w:num>
  <w:num w:numId="2">
    <w:abstractNumId w:val="21"/>
  </w:num>
  <w:num w:numId="3">
    <w:abstractNumId w:val="13"/>
  </w:num>
  <w:num w:numId="4">
    <w:abstractNumId w:val="12"/>
  </w:num>
  <w:num w:numId="5">
    <w:abstractNumId w:val="22"/>
  </w:num>
  <w:num w:numId="6">
    <w:abstractNumId w:val="6"/>
  </w:num>
  <w:num w:numId="7">
    <w:abstractNumId w:val="17"/>
  </w:num>
  <w:num w:numId="8">
    <w:abstractNumId w:val="3"/>
  </w:num>
  <w:num w:numId="9">
    <w:abstractNumId w:val="23"/>
  </w:num>
  <w:num w:numId="10">
    <w:abstractNumId w:val="15"/>
  </w:num>
  <w:num w:numId="11">
    <w:abstractNumId w:val="5"/>
  </w:num>
  <w:num w:numId="12">
    <w:abstractNumId w:val="14"/>
  </w:num>
  <w:num w:numId="13">
    <w:abstractNumId w:val="16"/>
  </w:num>
  <w:num w:numId="14">
    <w:abstractNumId w:val="18"/>
  </w:num>
  <w:num w:numId="15">
    <w:abstractNumId w:val="7"/>
  </w:num>
  <w:num w:numId="16">
    <w:abstractNumId w:val="10"/>
  </w:num>
  <w:num w:numId="17">
    <w:abstractNumId w:val="4"/>
  </w:num>
  <w:num w:numId="18">
    <w:abstractNumId w:val="20"/>
  </w:num>
  <w:num w:numId="19">
    <w:abstractNumId w:val="8"/>
  </w:num>
  <w:num w:numId="20">
    <w:abstractNumId w:val="11"/>
  </w:num>
  <w:num w:numId="21">
    <w:abstractNumId w:val="2"/>
  </w:num>
  <w:num w:numId="22">
    <w:abstractNumId w:val="0"/>
  </w:num>
  <w:num w:numId="23">
    <w:abstractNumId w:val="9"/>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19D"/>
    <w:rsid w:val="00002419"/>
    <w:rsid w:val="00002716"/>
    <w:rsid w:val="00004C98"/>
    <w:rsid w:val="00007A11"/>
    <w:rsid w:val="000137C9"/>
    <w:rsid w:val="00026929"/>
    <w:rsid w:val="00040C9D"/>
    <w:rsid w:val="00042D64"/>
    <w:rsid w:val="00050B56"/>
    <w:rsid w:val="00050B79"/>
    <w:rsid w:val="00062451"/>
    <w:rsid w:val="00063DE8"/>
    <w:rsid w:val="00065EC7"/>
    <w:rsid w:val="0006604E"/>
    <w:rsid w:val="00066F43"/>
    <w:rsid w:val="000736BB"/>
    <w:rsid w:val="00087018"/>
    <w:rsid w:val="0009005D"/>
    <w:rsid w:val="00094EE5"/>
    <w:rsid w:val="000A39AF"/>
    <w:rsid w:val="000A5B12"/>
    <w:rsid w:val="000B02A7"/>
    <w:rsid w:val="000B2469"/>
    <w:rsid w:val="000B4EF2"/>
    <w:rsid w:val="000B66C5"/>
    <w:rsid w:val="000D5DF5"/>
    <w:rsid w:val="000E2E37"/>
    <w:rsid w:val="00102EB2"/>
    <w:rsid w:val="00105F03"/>
    <w:rsid w:val="001071B1"/>
    <w:rsid w:val="0012519C"/>
    <w:rsid w:val="00126851"/>
    <w:rsid w:val="001400B3"/>
    <w:rsid w:val="001453A1"/>
    <w:rsid w:val="0015132E"/>
    <w:rsid w:val="00151F43"/>
    <w:rsid w:val="00152BC3"/>
    <w:rsid w:val="001557D1"/>
    <w:rsid w:val="00155D56"/>
    <w:rsid w:val="00161172"/>
    <w:rsid w:val="001719B4"/>
    <w:rsid w:val="0017555C"/>
    <w:rsid w:val="00176749"/>
    <w:rsid w:val="0017674C"/>
    <w:rsid w:val="001841B0"/>
    <w:rsid w:val="0019019D"/>
    <w:rsid w:val="00197B66"/>
    <w:rsid w:val="001A4397"/>
    <w:rsid w:val="001B23B0"/>
    <w:rsid w:val="001B498A"/>
    <w:rsid w:val="001B4FB1"/>
    <w:rsid w:val="001B7E5B"/>
    <w:rsid w:val="001D7BB5"/>
    <w:rsid w:val="001E3415"/>
    <w:rsid w:val="001E34F1"/>
    <w:rsid w:val="001E774B"/>
    <w:rsid w:val="001E787A"/>
    <w:rsid w:val="001F3B49"/>
    <w:rsid w:val="001F6615"/>
    <w:rsid w:val="00202395"/>
    <w:rsid w:val="00214DFD"/>
    <w:rsid w:val="002404FC"/>
    <w:rsid w:val="00241BFC"/>
    <w:rsid w:val="00257080"/>
    <w:rsid w:val="002626D0"/>
    <w:rsid w:val="00273BC7"/>
    <w:rsid w:val="00280ECB"/>
    <w:rsid w:val="002831CA"/>
    <w:rsid w:val="0029399D"/>
    <w:rsid w:val="0029574E"/>
    <w:rsid w:val="002A248A"/>
    <w:rsid w:val="002E67CA"/>
    <w:rsid w:val="002E6F95"/>
    <w:rsid w:val="002F30ED"/>
    <w:rsid w:val="002F433E"/>
    <w:rsid w:val="00300538"/>
    <w:rsid w:val="003033D1"/>
    <w:rsid w:val="0030678D"/>
    <w:rsid w:val="003102E6"/>
    <w:rsid w:val="00311E6B"/>
    <w:rsid w:val="0031373A"/>
    <w:rsid w:val="00330F9B"/>
    <w:rsid w:val="0033581E"/>
    <w:rsid w:val="00340AB5"/>
    <w:rsid w:val="003416ED"/>
    <w:rsid w:val="003426EA"/>
    <w:rsid w:val="003515FD"/>
    <w:rsid w:val="00357980"/>
    <w:rsid w:val="00360159"/>
    <w:rsid w:val="00362B29"/>
    <w:rsid w:val="00364F64"/>
    <w:rsid w:val="003704BB"/>
    <w:rsid w:val="00371052"/>
    <w:rsid w:val="00371EC5"/>
    <w:rsid w:val="00375FF5"/>
    <w:rsid w:val="0038201D"/>
    <w:rsid w:val="00384D27"/>
    <w:rsid w:val="00393E07"/>
    <w:rsid w:val="003A1545"/>
    <w:rsid w:val="003B094A"/>
    <w:rsid w:val="003C001F"/>
    <w:rsid w:val="003C081B"/>
    <w:rsid w:val="003C6540"/>
    <w:rsid w:val="003E2494"/>
    <w:rsid w:val="003E50F9"/>
    <w:rsid w:val="003E6384"/>
    <w:rsid w:val="003F00CA"/>
    <w:rsid w:val="003F1AF6"/>
    <w:rsid w:val="003F49ED"/>
    <w:rsid w:val="00404B4B"/>
    <w:rsid w:val="00406092"/>
    <w:rsid w:val="00416631"/>
    <w:rsid w:val="00427BF8"/>
    <w:rsid w:val="00431332"/>
    <w:rsid w:val="00431D3C"/>
    <w:rsid w:val="00472EE9"/>
    <w:rsid w:val="004754EB"/>
    <w:rsid w:val="0049350E"/>
    <w:rsid w:val="004B021E"/>
    <w:rsid w:val="004B6B1D"/>
    <w:rsid w:val="004C7BC3"/>
    <w:rsid w:val="004D5E23"/>
    <w:rsid w:val="004E06C4"/>
    <w:rsid w:val="004E15AA"/>
    <w:rsid w:val="004E5D5B"/>
    <w:rsid w:val="004F1F98"/>
    <w:rsid w:val="004F388A"/>
    <w:rsid w:val="005008FB"/>
    <w:rsid w:val="00502219"/>
    <w:rsid w:val="0050289C"/>
    <w:rsid w:val="00512071"/>
    <w:rsid w:val="00524F77"/>
    <w:rsid w:val="005373D9"/>
    <w:rsid w:val="00540EC4"/>
    <w:rsid w:val="00544137"/>
    <w:rsid w:val="00544B84"/>
    <w:rsid w:val="00555422"/>
    <w:rsid w:val="005622E0"/>
    <w:rsid w:val="00563408"/>
    <w:rsid w:val="005661AC"/>
    <w:rsid w:val="00567129"/>
    <w:rsid w:val="005775BA"/>
    <w:rsid w:val="005838A6"/>
    <w:rsid w:val="00584210"/>
    <w:rsid w:val="0058671C"/>
    <w:rsid w:val="005877A8"/>
    <w:rsid w:val="005966E1"/>
    <w:rsid w:val="005A4071"/>
    <w:rsid w:val="005A76DD"/>
    <w:rsid w:val="005B6E7A"/>
    <w:rsid w:val="005D1CBE"/>
    <w:rsid w:val="005D2FE2"/>
    <w:rsid w:val="005D3CCF"/>
    <w:rsid w:val="005E7238"/>
    <w:rsid w:val="005F690F"/>
    <w:rsid w:val="005F7CFE"/>
    <w:rsid w:val="006015F5"/>
    <w:rsid w:val="00602E07"/>
    <w:rsid w:val="0060385A"/>
    <w:rsid w:val="00611042"/>
    <w:rsid w:val="00615A50"/>
    <w:rsid w:val="006217B8"/>
    <w:rsid w:val="00634EA2"/>
    <w:rsid w:val="00637B4B"/>
    <w:rsid w:val="0065496C"/>
    <w:rsid w:val="006657C1"/>
    <w:rsid w:val="006658AA"/>
    <w:rsid w:val="00666B6C"/>
    <w:rsid w:val="006716F2"/>
    <w:rsid w:val="00677629"/>
    <w:rsid w:val="00696D28"/>
    <w:rsid w:val="006A2C59"/>
    <w:rsid w:val="006A53FD"/>
    <w:rsid w:val="006B465B"/>
    <w:rsid w:val="006B77E3"/>
    <w:rsid w:val="006D2CA3"/>
    <w:rsid w:val="006D3E0F"/>
    <w:rsid w:val="006D45E0"/>
    <w:rsid w:val="006E5044"/>
    <w:rsid w:val="0070503D"/>
    <w:rsid w:val="00707426"/>
    <w:rsid w:val="0071020F"/>
    <w:rsid w:val="00720AA2"/>
    <w:rsid w:val="00722925"/>
    <w:rsid w:val="00723F6F"/>
    <w:rsid w:val="00731A9D"/>
    <w:rsid w:val="00740217"/>
    <w:rsid w:val="007520EC"/>
    <w:rsid w:val="00757412"/>
    <w:rsid w:val="0077242C"/>
    <w:rsid w:val="007768F9"/>
    <w:rsid w:val="007821BF"/>
    <w:rsid w:val="00786A3E"/>
    <w:rsid w:val="00787ADA"/>
    <w:rsid w:val="00793209"/>
    <w:rsid w:val="007B1E11"/>
    <w:rsid w:val="007B269E"/>
    <w:rsid w:val="007B5CB7"/>
    <w:rsid w:val="007D486E"/>
    <w:rsid w:val="007D79C7"/>
    <w:rsid w:val="007E62B9"/>
    <w:rsid w:val="007E6F56"/>
    <w:rsid w:val="00812073"/>
    <w:rsid w:val="00822F8F"/>
    <w:rsid w:val="00825A85"/>
    <w:rsid w:val="008267C9"/>
    <w:rsid w:val="0084546A"/>
    <w:rsid w:val="0084550C"/>
    <w:rsid w:val="008639F3"/>
    <w:rsid w:val="0086468E"/>
    <w:rsid w:val="008725CB"/>
    <w:rsid w:val="00875427"/>
    <w:rsid w:val="00882C83"/>
    <w:rsid w:val="00883FA5"/>
    <w:rsid w:val="00884D57"/>
    <w:rsid w:val="0089261B"/>
    <w:rsid w:val="00896154"/>
    <w:rsid w:val="008A2EB2"/>
    <w:rsid w:val="008A6BB8"/>
    <w:rsid w:val="008B5D2B"/>
    <w:rsid w:val="008C46FC"/>
    <w:rsid w:val="008C7EF1"/>
    <w:rsid w:val="008D684B"/>
    <w:rsid w:val="008F0546"/>
    <w:rsid w:val="008F5922"/>
    <w:rsid w:val="009066CD"/>
    <w:rsid w:val="00925548"/>
    <w:rsid w:val="00931679"/>
    <w:rsid w:val="00936D13"/>
    <w:rsid w:val="009475E6"/>
    <w:rsid w:val="00950782"/>
    <w:rsid w:val="00955015"/>
    <w:rsid w:val="009636C5"/>
    <w:rsid w:val="009869CA"/>
    <w:rsid w:val="00987F1E"/>
    <w:rsid w:val="00990B0A"/>
    <w:rsid w:val="009A4378"/>
    <w:rsid w:val="009A5A34"/>
    <w:rsid w:val="009B05FC"/>
    <w:rsid w:val="009B266C"/>
    <w:rsid w:val="009C25CE"/>
    <w:rsid w:val="009C3EA4"/>
    <w:rsid w:val="009C4C57"/>
    <w:rsid w:val="009C7843"/>
    <w:rsid w:val="009E69EB"/>
    <w:rsid w:val="009F724E"/>
    <w:rsid w:val="00A070F7"/>
    <w:rsid w:val="00A10F53"/>
    <w:rsid w:val="00A2276A"/>
    <w:rsid w:val="00A34288"/>
    <w:rsid w:val="00A34EBC"/>
    <w:rsid w:val="00A42452"/>
    <w:rsid w:val="00A517E9"/>
    <w:rsid w:val="00A52D29"/>
    <w:rsid w:val="00A57BF5"/>
    <w:rsid w:val="00A606C9"/>
    <w:rsid w:val="00A74CD1"/>
    <w:rsid w:val="00A74ED4"/>
    <w:rsid w:val="00A7759A"/>
    <w:rsid w:val="00A8081C"/>
    <w:rsid w:val="00A85747"/>
    <w:rsid w:val="00A9372B"/>
    <w:rsid w:val="00AB4F6C"/>
    <w:rsid w:val="00AB5259"/>
    <w:rsid w:val="00AC0A15"/>
    <w:rsid w:val="00AC12AE"/>
    <w:rsid w:val="00AC2B5C"/>
    <w:rsid w:val="00AE6923"/>
    <w:rsid w:val="00AF01D3"/>
    <w:rsid w:val="00AF0DD3"/>
    <w:rsid w:val="00B02534"/>
    <w:rsid w:val="00B143CB"/>
    <w:rsid w:val="00B23CCA"/>
    <w:rsid w:val="00B31682"/>
    <w:rsid w:val="00B34F09"/>
    <w:rsid w:val="00B439EF"/>
    <w:rsid w:val="00B50903"/>
    <w:rsid w:val="00B52A59"/>
    <w:rsid w:val="00B6361E"/>
    <w:rsid w:val="00B67AD8"/>
    <w:rsid w:val="00B70748"/>
    <w:rsid w:val="00B70FF3"/>
    <w:rsid w:val="00B71F3E"/>
    <w:rsid w:val="00B74FAE"/>
    <w:rsid w:val="00B829C1"/>
    <w:rsid w:val="00B85988"/>
    <w:rsid w:val="00BA5B5A"/>
    <w:rsid w:val="00BA6814"/>
    <w:rsid w:val="00BB0639"/>
    <w:rsid w:val="00BB4968"/>
    <w:rsid w:val="00BB4B42"/>
    <w:rsid w:val="00BC40DD"/>
    <w:rsid w:val="00BC7570"/>
    <w:rsid w:val="00BD7644"/>
    <w:rsid w:val="00BE1D78"/>
    <w:rsid w:val="00BE2AF7"/>
    <w:rsid w:val="00BF10FF"/>
    <w:rsid w:val="00C1327D"/>
    <w:rsid w:val="00C2497B"/>
    <w:rsid w:val="00C25F1E"/>
    <w:rsid w:val="00C41EB3"/>
    <w:rsid w:val="00C472CE"/>
    <w:rsid w:val="00C510FB"/>
    <w:rsid w:val="00C517E5"/>
    <w:rsid w:val="00C52F48"/>
    <w:rsid w:val="00C5568A"/>
    <w:rsid w:val="00C562FE"/>
    <w:rsid w:val="00C56D81"/>
    <w:rsid w:val="00C6657C"/>
    <w:rsid w:val="00C6731C"/>
    <w:rsid w:val="00C67741"/>
    <w:rsid w:val="00C71748"/>
    <w:rsid w:val="00C74059"/>
    <w:rsid w:val="00C7578E"/>
    <w:rsid w:val="00C83923"/>
    <w:rsid w:val="00C945D7"/>
    <w:rsid w:val="00CA0C69"/>
    <w:rsid w:val="00CA1E54"/>
    <w:rsid w:val="00CB0C97"/>
    <w:rsid w:val="00CB22DA"/>
    <w:rsid w:val="00CC2F54"/>
    <w:rsid w:val="00CC3F49"/>
    <w:rsid w:val="00CC6FD1"/>
    <w:rsid w:val="00CD1FBB"/>
    <w:rsid w:val="00CD3338"/>
    <w:rsid w:val="00CE4D37"/>
    <w:rsid w:val="00CF0988"/>
    <w:rsid w:val="00CF11EF"/>
    <w:rsid w:val="00CF1391"/>
    <w:rsid w:val="00D074A4"/>
    <w:rsid w:val="00D112C6"/>
    <w:rsid w:val="00D12688"/>
    <w:rsid w:val="00D1630F"/>
    <w:rsid w:val="00D211CE"/>
    <w:rsid w:val="00D27AF1"/>
    <w:rsid w:val="00D333E2"/>
    <w:rsid w:val="00D42235"/>
    <w:rsid w:val="00D50310"/>
    <w:rsid w:val="00D517A5"/>
    <w:rsid w:val="00D52841"/>
    <w:rsid w:val="00D533DB"/>
    <w:rsid w:val="00D70904"/>
    <w:rsid w:val="00D70AA4"/>
    <w:rsid w:val="00D83970"/>
    <w:rsid w:val="00D848E8"/>
    <w:rsid w:val="00D85D8E"/>
    <w:rsid w:val="00D91643"/>
    <w:rsid w:val="00DA1860"/>
    <w:rsid w:val="00DD62D6"/>
    <w:rsid w:val="00DE12F6"/>
    <w:rsid w:val="00DE1ABB"/>
    <w:rsid w:val="00DE1C88"/>
    <w:rsid w:val="00DF41AF"/>
    <w:rsid w:val="00E024C7"/>
    <w:rsid w:val="00E06A2C"/>
    <w:rsid w:val="00E11A3C"/>
    <w:rsid w:val="00E20A4E"/>
    <w:rsid w:val="00E24CC1"/>
    <w:rsid w:val="00E25EA3"/>
    <w:rsid w:val="00E278F2"/>
    <w:rsid w:val="00E4024C"/>
    <w:rsid w:val="00E43C0F"/>
    <w:rsid w:val="00E531BD"/>
    <w:rsid w:val="00E614E9"/>
    <w:rsid w:val="00E64591"/>
    <w:rsid w:val="00E663AE"/>
    <w:rsid w:val="00E728CA"/>
    <w:rsid w:val="00E746B4"/>
    <w:rsid w:val="00E91EC9"/>
    <w:rsid w:val="00E92BBF"/>
    <w:rsid w:val="00EA7EA3"/>
    <w:rsid w:val="00EB2FF2"/>
    <w:rsid w:val="00ED314D"/>
    <w:rsid w:val="00ED33FA"/>
    <w:rsid w:val="00EE45B8"/>
    <w:rsid w:val="00EE4FAA"/>
    <w:rsid w:val="00EF00CF"/>
    <w:rsid w:val="00EF0FD7"/>
    <w:rsid w:val="00EF2F89"/>
    <w:rsid w:val="00EF3C2A"/>
    <w:rsid w:val="00F06F51"/>
    <w:rsid w:val="00F17A5F"/>
    <w:rsid w:val="00F3396B"/>
    <w:rsid w:val="00F33A1D"/>
    <w:rsid w:val="00F426DC"/>
    <w:rsid w:val="00F4307C"/>
    <w:rsid w:val="00F52957"/>
    <w:rsid w:val="00F654AF"/>
    <w:rsid w:val="00F66F4B"/>
    <w:rsid w:val="00F71D33"/>
    <w:rsid w:val="00F8205D"/>
    <w:rsid w:val="00F927A8"/>
    <w:rsid w:val="00F945C0"/>
    <w:rsid w:val="00F95B0A"/>
    <w:rsid w:val="00FA58C9"/>
    <w:rsid w:val="00FA7D4F"/>
    <w:rsid w:val="00FB38DD"/>
    <w:rsid w:val="00FC3D5C"/>
    <w:rsid w:val="00FC3F22"/>
    <w:rsid w:val="00FC5534"/>
    <w:rsid w:val="00FE0857"/>
    <w:rsid w:val="00FF06F4"/>
    <w:rsid w:val="00FF1F94"/>
    <w:rsid w:val="00FF246D"/>
    <w:rsid w:val="00FF4733"/>
    <w:rsid w:val="1F7ECD5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2AA1A1"/>
  <w15:chartTrackingRefBased/>
  <w15:docId w15:val="{8ED04E50-0438-4EE8-820C-F224A27F7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019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9019D"/>
  </w:style>
  <w:style w:type="paragraph" w:styleId="Piedepgina">
    <w:name w:val="footer"/>
    <w:basedOn w:val="Normal"/>
    <w:link w:val="PiedepginaCar"/>
    <w:uiPriority w:val="99"/>
    <w:unhideWhenUsed/>
    <w:rsid w:val="0019019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9019D"/>
  </w:style>
  <w:style w:type="paragraph" w:customStyle="1" w:styleId="Default">
    <w:name w:val="Default"/>
    <w:rsid w:val="000B2469"/>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0B2469"/>
    <w:pPr>
      <w:ind w:left="720"/>
      <w:contextualSpacing/>
    </w:pPr>
  </w:style>
  <w:style w:type="character" w:styleId="Hipervnculo">
    <w:name w:val="Hyperlink"/>
    <w:basedOn w:val="Fuentedeprrafopredeter"/>
    <w:uiPriority w:val="99"/>
    <w:unhideWhenUsed/>
    <w:rsid w:val="00D074A4"/>
    <w:rPr>
      <w:color w:val="0563C1" w:themeColor="hyperlink"/>
      <w:u w:val="single"/>
    </w:rPr>
  </w:style>
  <w:style w:type="character" w:styleId="Mencinsinresolver">
    <w:name w:val="Unresolved Mention"/>
    <w:basedOn w:val="Fuentedeprrafopredeter"/>
    <w:uiPriority w:val="99"/>
    <w:semiHidden/>
    <w:unhideWhenUsed/>
    <w:rsid w:val="00D074A4"/>
    <w:rPr>
      <w:color w:val="605E5C"/>
      <w:shd w:val="clear" w:color="auto" w:fill="E1DFDD"/>
    </w:rPr>
  </w:style>
  <w:style w:type="paragraph" w:styleId="NormalWeb">
    <w:name w:val="Normal (Web)"/>
    <w:basedOn w:val="Normal"/>
    <w:uiPriority w:val="99"/>
    <w:semiHidden/>
    <w:unhideWhenUsed/>
    <w:rsid w:val="00126851"/>
    <w:pPr>
      <w:spacing w:before="100" w:beforeAutospacing="1" w:after="100" w:afterAutospacing="1" w:line="240" w:lineRule="auto"/>
    </w:pPr>
    <w:rPr>
      <w:rFonts w:ascii="Times New Roman" w:eastAsia="Times New Roman" w:hAnsi="Times New Roman" w:cs="Times New Roman"/>
      <w:sz w:val="24"/>
      <w:szCs w:val="24"/>
      <w:lang w:eastAsia="es-419"/>
    </w:rPr>
  </w:style>
  <w:style w:type="character" w:styleId="Textoennegrita">
    <w:name w:val="Strong"/>
    <w:basedOn w:val="Fuentedeprrafopredeter"/>
    <w:uiPriority w:val="22"/>
    <w:qFormat/>
    <w:rsid w:val="00126851"/>
    <w:rPr>
      <w:b/>
      <w:bCs/>
    </w:rPr>
  </w:style>
  <w:style w:type="paragraph" w:styleId="Sinespaciado">
    <w:name w:val="No Spacing"/>
    <w:uiPriority w:val="1"/>
    <w:qFormat/>
    <w:rsid w:val="00812073"/>
    <w:pPr>
      <w:spacing w:after="0" w:line="240" w:lineRule="auto"/>
    </w:pPr>
    <w:rPr>
      <w:lang w:val="es-CO"/>
    </w:rPr>
  </w:style>
  <w:style w:type="table" w:styleId="Tablaconcuadrcula">
    <w:name w:val="Table Grid"/>
    <w:basedOn w:val="Tablanormal"/>
    <w:uiPriority w:val="39"/>
    <w:rsid w:val="0081207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FC5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6721">
      <w:bodyDiv w:val="1"/>
      <w:marLeft w:val="0"/>
      <w:marRight w:val="0"/>
      <w:marTop w:val="0"/>
      <w:marBottom w:val="0"/>
      <w:divBdr>
        <w:top w:val="none" w:sz="0" w:space="0" w:color="auto"/>
        <w:left w:val="none" w:sz="0" w:space="0" w:color="auto"/>
        <w:bottom w:val="none" w:sz="0" w:space="0" w:color="auto"/>
        <w:right w:val="none" w:sz="0" w:space="0" w:color="auto"/>
      </w:divBdr>
    </w:div>
    <w:div w:id="35858634">
      <w:bodyDiv w:val="1"/>
      <w:marLeft w:val="0"/>
      <w:marRight w:val="0"/>
      <w:marTop w:val="0"/>
      <w:marBottom w:val="0"/>
      <w:divBdr>
        <w:top w:val="none" w:sz="0" w:space="0" w:color="auto"/>
        <w:left w:val="none" w:sz="0" w:space="0" w:color="auto"/>
        <w:bottom w:val="none" w:sz="0" w:space="0" w:color="auto"/>
        <w:right w:val="none" w:sz="0" w:space="0" w:color="auto"/>
      </w:divBdr>
    </w:div>
    <w:div w:id="156768169">
      <w:bodyDiv w:val="1"/>
      <w:marLeft w:val="0"/>
      <w:marRight w:val="0"/>
      <w:marTop w:val="0"/>
      <w:marBottom w:val="0"/>
      <w:divBdr>
        <w:top w:val="none" w:sz="0" w:space="0" w:color="auto"/>
        <w:left w:val="none" w:sz="0" w:space="0" w:color="auto"/>
        <w:bottom w:val="none" w:sz="0" w:space="0" w:color="auto"/>
        <w:right w:val="none" w:sz="0" w:space="0" w:color="auto"/>
      </w:divBdr>
    </w:div>
    <w:div w:id="181941639">
      <w:bodyDiv w:val="1"/>
      <w:marLeft w:val="0"/>
      <w:marRight w:val="0"/>
      <w:marTop w:val="0"/>
      <w:marBottom w:val="0"/>
      <w:divBdr>
        <w:top w:val="none" w:sz="0" w:space="0" w:color="auto"/>
        <w:left w:val="none" w:sz="0" w:space="0" w:color="auto"/>
        <w:bottom w:val="none" w:sz="0" w:space="0" w:color="auto"/>
        <w:right w:val="none" w:sz="0" w:space="0" w:color="auto"/>
      </w:divBdr>
    </w:div>
    <w:div w:id="244000380">
      <w:bodyDiv w:val="1"/>
      <w:marLeft w:val="0"/>
      <w:marRight w:val="0"/>
      <w:marTop w:val="0"/>
      <w:marBottom w:val="0"/>
      <w:divBdr>
        <w:top w:val="none" w:sz="0" w:space="0" w:color="auto"/>
        <w:left w:val="none" w:sz="0" w:space="0" w:color="auto"/>
        <w:bottom w:val="none" w:sz="0" w:space="0" w:color="auto"/>
        <w:right w:val="none" w:sz="0" w:space="0" w:color="auto"/>
      </w:divBdr>
    </w:div>
    <w:div w:id="376589976">
      <w:bodyDiv w:val="1"/>
      <w:marLeft w:val="0"/>
      <w:marRight w:val="0"/>
      <w:marTop w:val="0"/>
      <w:marBottom w:val="0"/>
      <w:divBdr>
        <w:top w:val="none" w:sz="0" w:space="0" w:color="auto"/>
        <w:left w:val="none" w:sz="0" w:space="0" w:color="auto"/>
        <w:bottom w:val="none" w:sz="0" w:space="0" w:color="auto"/>
        <w:right w:val="none" w:sz="0" w:space="0" w:color="auto"/>
      </w:divBdr>
    </w:div>
    <w:div w:id="505484436">
      <w:bodyDiv w:val="1"/>
      <w:marLeft w:val="0"/>
      <w:marRight w:val="0"/>
      <w:marTop w:val="0"/>
      <w:marBottom w:val="0"/>
      <w:divBdr>
        <w:top w:val="none" w:sz="0" w:space="0" w:color="auto"/>
        <w:left w:val="none" w:sz="0" w:space="0" w:color="auto"/>
        <w:bottom w:val="none" w:sz="0" w:space="0" w:color="auto"/>
        <w:right w:val="none" w:sz="0" w:space="0" w:color="auto"/>
      </w:divBdr>
    </w:div>
    <w:div w:id="642537712">
      <w:bodyDiv w:val="1"/>
      <w:marLeft w:val="0"/>
      <w:marRight w:val="0"/>
      <w:marTop w:val="0"/>
      <w:marBottom w:val="0"/>
      <w:divBdr>
        <w:top w:val="none" w:sz="0" w:space="0" w:color="auto"/>
        <w:left w:val="none" w:sz="0" w:space="0" w:color="auto"/>
        <w:bottom w:val="none" w:sz="0" w:space="0" w:color="auto"/>
        <w:right w:val="none" w:sz="0" w:space="0" w:color="auto"/>
      </w:divBdr>
    </w:div>
    <w:div w:id="694772421">
      <w:bodyDiv w:val="1"/>
      <w:marLeft w:val="0"/>
      <w:marRight w:val="0"/>
      <w:marTop w:val="0"/>
      <w:marBottom w:val="0"/>
      <w:divBdr>
        <w:top w:val="none" w:sz="0" w:space="0" w:color="auto"/>
        <w:left w:val="none" w:sz="0" w:space="0" w:color="auto"/>
        <w:bottom w:val="none" w:sz="0" w:space="0" w:color="auto"/>
        <w:right w:val="none" w:sz="0" w:space="0" w:color="auto"/>
      </w:divBdr>
    </w:div>
    <w:div w:id="752514235">
      <w:bodyDiv w:val="1"/>
      <w:marLeft w:val="0"/>
      <w:marRight w:val="0"/>
      <w:marTop w:val="0"/>
      <w:marBottom w:val="0"/>
      <w:divBdr>
        <w:top w:val="none" w:sz="0" w:space="0" w:color="auto"/>
        <w:left w:val="none" w:sz="0" w:space="0" w:color="auto"/>
        <w:bottom w:val="none" w:sz="0" w:space="0" w:color="auto"/>
        <w:right w:val="none" w:sz="0" w:space="0" w:color="auto"/>
      </w:divBdr>
    </w:div>
    <w:div w:id="782312041">
      <w:bodyDiv w:val="1"/>
      <w:marLeft w:val="0"/>
      <w:marRight w:val="0"/>
      <w:marTop w:val="0"/>
      <w:marBottom w:val="0"/>
      <w:divBdr>
        <w:top w:val="none" w:sz="0" w:space="0" w:color="auto"/>
        <w:left w:val="none" w:sz="0" w:space="0" w:color="auto"/>
        <w:bottom w:val="none" w:sz="0" w:space="0" w:color="auto"/>
        <w:right w:val="none" w:sz="0" w:space="0" w:color="auto"/>
      </w:divBdr>
    </w:div>
    <w:div w:id="800420141">
      <w:bodyDiv w:val="1"/>
      <w:marLeft w:val="0"/>
      <w:marRight w:val="0"/>
      <w:marTop w:val="0"/>
      <w:marBottom w:val="0"/>
      <w:divBdr>
        <w:top w:val="none" w:sz="0" w:space="0" w:color="auto"/>
        <w:left w:val="none" w:sz="0" w:space="0" w:color="auto"/>
        <w:bottom w:val="none" w:sz="0" w:space="0" w:color="auto"/>
        <w:right w:val="none" w:sz="0" w:space="0" w:color="auto"/>
      </w:divBdr>
    </w:div>
    <w:div w:id="820922242">
      <w:bodyDiv w:val="1"/>
      <w:marLeft w:val="0"/>
      <w:marRight w:val="0"/>
      <w:marTop w:val="0"/>
      <w:marBottom w:val="0"/>
      <w:divBdr>
        <w:top w:val="none" w:sz="0" w:space="0" w:color="auto"/>
        <w:left w:val="none" w:sz="0" w:space="0" w:color="auto"/>
        <w:bottom w:val="none" w:sz="0" w:space="0" w:color="auto"/>
        <w:right w:val="none" w:sz="0" w:space="0" w:color="auto"/>
      </w:divBdr>
    </w:div>
    <w:div w:id="841091111">
      <w:bodyDiv w:val="1"/>
      <w:marLeft w:val="0"/>
      <w:marRight w:val="0"/>
      <w:marTop w:val="0"/>
      <w:marBottom w:val="0"/>
      <w:divBdr>
        <w:top w:val="none" w:sz="0" w:space="0" w:color="auto"/>
        <w:left w:val="none" w:sz="0" w:space="0" w:color="auto"/>
        <w:bottom w:val="none" w:sz="0" w:space="0" w:color="auto"/>
        <w:right w:val="none" w:sz="0" w:space="0" w:color="auto"/>
      </w:divBdr>
    </w:div>
    <w:div w:id="842203224">
      <w:bodyDiv w:val="1"/>
      <w:marLeft w:val="0"/>
      <w:marRight w:val="0"/>
      <w:marTop w:val="0"/>
      <w:marBottom w:val="0"/>
      <w:divBdr>
        <w:top w:val="none" w:sz="0" w:space="0" w:color="auto"/>
        <w:left w:val="none" w:sz="0" w:space="0" w:color="auto"/>
        <w:bottom w:val="none" w:sz="0" w:space="0" w:color="auto"/>
        <w:right w:val="none" w:sz="0" w:space="0" w:color="auto"/>
      </w:divBdr>
    </w:div>
    <w:div w:id="870268238">
      <w:bodyDiv w:val="1"/>
      <w:marLeft w:val="0"/>
      <w:marRight w:val="0"/>
      <w:marTop w:val="0"/>
      <w:marBottom w:val="0"/>
      <w:divBdr>
        <w:top w:val="none" w:sz="0" w:space="0" w:color="auto"/>
        <w:left w:val="none" w:sz="0" w:space="0" w:color="auto"/>
        <w:bottom w:val="none" w:sz="0" w:space="0" w:color="auto"/>
        <w:right w:val="none" w:sz="0" w:space="0" w:color="auto"/>
      </w:divBdr>
    </w:div>
    <w:div w:id="954021895">
      <w:bodyDiv w:val="1"/>
      <w:marLeft w:val="0"/>
      <w:marRight w:val="0"/>
      <w:marTop w:val="0"/>
      <w:marBottom w:val="0"/>
      <w:divBdr>
        <w:top w:val="none" w:sz="0" w:space="0" w:color="auto"/>
        <w:left w:val="none" w:sz="0" w:space="0" w:color="auto"/>
        <w:bottom w:val="none" w:sz="0" w:space="0" w:color="auto"/>
        <w:right w:val="none" w:sz="0" w:space="0" w:color="auto"/>
      </w:divBdr>
    </w:div>
    <w:div w:id="957493478">
      <w:bodyDiv w:val="1"/>
      <w:marLeft w:val="0"/>
      <w:marRight w:val="0"/>
      <w:marTop w:val="0"/>
      <w:marBottom w:val="0"/>
      <w:divBdr>
        <w:top w:val="none" w:sz="0" w:space="0" w:color="auto"/>
        <w:left w:val="none" w:sz="0" w:space="0" w:color="auto"/>
        <w:bottom w:val="none" w:sz="0" w:space="0" w:color="auto"/>
        <w:right w:val="none" w:sz="0" w:space="0" w:color="auto"/>
      </w:divBdr>
    </w:div>
    <w:div w:id="970474995">
      <w:bodyDiv w:val="1"/>
      <w:marLeft w:val="0"/>
      <w:marRight w:val="0"/>
      <w:marTop w:val="0"/>
      <w:marBottom w:val="0"/>
      <w:divBdr>
        <w:top w:val="none" w:sz="0" w:space="0" w:color="auto"/>
        <w:left w:val="none" w:sz="0" w:space="0" w:color="auto"/>
        <w:bottom w:val="none" w:sz="0" w:space="0" w:color="auto"/>
        <w:right w:val="none" w:sz="0" w:space="0" w:color="auto"/>
      </w:divBdr>
    </w:div>
    <w:div w:id="988636900">
      <w:bodyDiv w:val="1"/>
      <w:marLeft w:val="0"/>
      <w:marRight w:val="0"/>
      <w:marTop w:val="0"/>
      <w:marBottom w:val="0"/>
      <w:divBdr>
        <w:top w:val="none" w:sz="0" w:space="0" w:color="auto"/>
        <w:left w:val="none" w:sz="0" w:space="0" w:color="auto"/>
        <w:bottom w:val="none" w:sz="0" w:space="0" w:color="auto"/>
        <w:right w:val="none" w:sz="0" w:space="0" w:color="auto"/>
      </w:divBdr>
    </w:div>
    <w:div w:id="1079015596">
      <w:bodyDiv w:val="1"/>
      <w:marLeft w:val="0"/>
      <w:marRight w:val="0"/>
      <w:marTop w:val="0"/>
      <w:marBottom w:val="0"/>
      <w:divBdr>
        <w:top w:val="none" w:sz="0" w:space="0" w:color="auto"/>
        <w:left w:val="none" w:sz="0" w:space="0" w:color="auto"/>
        <w:bottom w:val="none" w:sz="0" w:space="0" w:color="auto"/>
        <w:right w:val="none" w:sz="0" w:space="0" w:color="auto"/>
      </w:divBdr>
    </w:div>
    <w:div w:id="1091202274">
      <w:bodyDiv w:val="1"/>
      <w:marLeft w:val="0"/>
      <w:marRight w:val="0"/>
      <w:marTop w:val="0"/>
      <w:marBottom w:val="0"/>
      <w:divBdr>
        <w:top w:val="none" w:sz="0" w:space="0" w:color="auto"/>
        <w:left w:val="none" w:sz="0" w:space="0" w:color="auto"/>
        <w:bottom w:val="none" w:sz="0" w:space="0" w:color="auto"/>
        <w:right w:val="none" w:sz="0" w:space="0" w:color="auto"/>
      </w:divBdr>
    </w:div>
    <w:div w:id="1091659692">
      <w:bodyDiv w:val="1"/>
      <w:marLeft w:val="0"/>
      <w:marRight w:val="0"/>
      <w:marTop w:val="0"/>
      <w:marBottom w:val="0"/>
      <w:divBdr>
        <w:top w:val="none" w:sz="0" w:space="0" w:color="auto"/>
        <w:left w:val="none" w:sz="0" w:space="0" w:color="auto"/>
        <w:bottom w:val="none" w:sz="0" w:space="0" w:color="auto"/>
        <w:right w:val="none" w:sz="0" w:space="0" w:color="auto"/>
      </w:divBdr>
    </w:div>
    <w:div w:id="1100176833">
      <w:bodyDiv w:val="1"/>
      <w:marLeft w:val="0"/>
      <w:marRight w:val="0"/>
      <w:marTop w:val="0"/>
      <w:marBottom w:val="0"/>
      <w:divBdr>
        <w:top w:val="none" w:sz="0" w:space="0" w:color="auto"/>
        <w:left w:val="none" w:sz="0" w:space="0" w:color="auto"/>
        <w:bottom w:val="none" w:sz="0" w:space="0" w:color="auto"/>
        <w:right w:val="none" w:sz="0" w:space="0" w:color="auto"/>
      </w:divBdr>
    </w:div>
    <w:div w:id="1109010345">
      <w:bodyDiv w:val="1"/>
      <w:marLeft w:val="0"/>
      <w:marRight w:val="0"/>
      <w:marTop w:val="0"/>
      <w:marBottom w:val="0"/>
      <w:divBdr>
        <w:top w:val="none" w:sz="0" w:space="0" w:color="auto"/>
        <w:left w:val="none" w:sz="0" w:space="0" w:color="auto"/>
        <w:bottom w:val="none" w:sz="0" w:space="0" w:color="auto"/>
        <w:right w:val="none" w:sz="0" w:space="0" w:color="auto"/>
      </w:divBdr>
    </w:div>
    <w:div w:id="1120343176">
      <w:bodyDiv w:val="1"/>
      <w:marLeft w:val="0"/>
      <w:marRight w:val="0"/>
      <w:marTop w:val="0"/>
      <w:marBottom w:val="0"/>
      <w:divBdr>
        <w:top w:val="none" w:sz="0" w:space="0" w:color="auto"/>
        <w:left w:val="none" w:sz="0" w:space="0" w:color="auto"/>
        <w:bottom w:val="none" w:sz="0" w:space="0" w:color="auto"/>
        <w:right w:val="none" w:sz="0" w:space="0" w:color="auto"/>
      </w:divBdr>
    </w:div>
    <w:div w:id="1144586796">
      <w:bodyDiv w:val="1"/>
      <w:marLeft w:val="0"/>
      <w:marRight w:val="0"/>
      <w:marTop w:val="0"/>
      <w:marBottom w:val="0"/>
      <w:divBdr>
        <w:top w:val="none" w:sz="0" w:space="0" w:color="auto"/>
        <w:left w:val="none" w:sz="0" w:space="0" w:color="auto"/>
        <w:bottom w:val="none" w:sz="0" w:space="0" w:color="auto"/>
        <w:right w:val="none" w:sz="0" w:space="0" w:color="auto"/>
      </w:divBdr>
    </w:div>
    <w:div w:id="1277253057">
      <w:bodyDiv w:val="1"/>
      <w:marLeft w:val="0"/>
      <w:marRight w:val="0"/>
      <w:marTop w:val="0"/>
      <w:marBottom w:val="0"/>
      <w:divBdr>
        <w:top w:val="none" w:sz="0" w:space="0" w:color="auto"/>
        <w:left w:val="none" w:sz="0" w:space="0" w:color="auto"/>
        <w:bottom w:val="none" w:sz="0" w:space="0" w:color="auto"/>
        <w:right w:val="none" w:sz="0" w:space="0" w:color="auto"/>
      </w:divBdr>
    </w:div>
    <w:div w:id="1281304041">
      <w:bodyDiv w:val="1"/>
      <w:marLeft w:val="0"/>
      <w:marRight w:val="0"/>
      <w:marTop w:val="0"/>
      <w:marBottom w:val="0"/>
      <w:divBdr>
        <w:top w:val="none" w:sz="0" w:space="0" w:color="auto"/>
        <w:left w:val="none" w:sz="0" w:space="0" w:color="auto"/>
        <w:bottom w:val="none" w:sz="0" w:space="0" w:color="auto"/>
        <w:right w:val="none" w:sz="0" w:space="0" w:color="auto"/>
      </w:divBdr>
    </w:div>
    <w:div w:id="1295479858">
      <w:bodyDiv w:val="1"/>
      <w:marLeft w:val="0"/>
      <w:marRight w:val="0"/>
      <w:marTop w:val="0"/>
      <w:marBottom w:val="0"/>
      <w:divBdr>
        <w:top w:val="none" w:sz="0" w:space="0" w:color="auto"/>
        <w:left w:val="none" w:sz="0" w:space="0" w:color="auto"/>
        <w:bottom w:val="none" w:sz="0" w:space="0" w:color="auto"/>
        <w:right w:val="none" w:sz="0" w:space="0" w:color="auto"/>
      </w:divBdr>
    </w:div>
    <w:div w:id="1491944224">
      <w:bodyDiv w:val="1"/>
      <w:marLeft w:val="0"/>
      <w:marRight w:val="0"/>
      <w:marTop w:val="0"/>
      <w:marBottom w:val="0"/>
      <w:divBdr>
        <w:top w:val="none" w:sz="0" w:space="0" w:color="auto"/>
        <w:left w:val="none" w:sz="0" w:space="0" w:color="auto"/>
        <w:bottom w:val="none" w:sz="0" w:space="0" w:color="auto"/>
        <w:right w:val="none" w:sz="0" w:space="0" w:color="auto"/>
      </w:divBdr>
    </w:div>
    <w:div w:id="1527330933">
      <w:bodyDiv w:val="1"/>
      <w:marLeft w:val="0"/>
      <w:marRight w:val="0"/>
      <w:marTop w:val="0"/>
      <w:marBottom w:val="0"/>
      <w:divBdr>
        <w:top w:val="none" w:sz="0" w:space="0" w:color="auto"/>
        <w:left w:val="none" w:sz="0" w:space="0" w:color="auto"/>
        <w:bottom w:val="none" w:sz="0" w:space="0" w:color="auto"/>
        <w:right w:val="none" w:sz="0" w:space="0" w:color="auto"/>
      </w:divBdr>
    </w:div>
    <w:div w:id="1535196130">
      <w:bodyDiv w:val="1"/>
      <w:marLeft w:val="0"/>
      <w:marRight w:val="0"/>
      <w:marTop w:val="0"/>
      <w:marBottom w:val="0"/>
      <w:divBdr>
        <w:top w:val="none" w:sz="0" w:space="0" w:color="auto"/>
        <w:left w:val="none" w:sz="0" w:space="0" w:color="auto"/>
        <w:bottom w:val="none" w:sz="0" w:space="0" w:color="auto"/>
        <w:right w:val="none" w:sz="0" w:space="0" w:color="auto"/>
      </w:divBdr>
    </w:div>
    <w:div w:id="1602226359">
      <w:bodyDiv w:val="1"/>
      <w:marLeft w:val="0"/>
      <w:marRight w:val="0"/>
      <w:marTop w:val="0"/>
      <w:marBottom w:val="0"/>
      <w:divBdr>
        <w:top w:val="none" w:sz="0" w:space="0" w:color="auto"/>
        <w:left w:val="none" w:sz="0" w:space="0" w:color="auto"/>
        <w:bottom w:val="none" w:sz="0" w:space="0" w:color="auto"/>
        <w:right w:val="none" w:sz="0" w:space="0" w:color="auto"/>
      </w:divBdr>
    </w:div>
    <w:div w:id="1713848067">
      <w:bodyDiv w:val="1"/>
      <w:marLeft w:val="0"/>
      <w:marRight w:val="0"/>
      <w:marTop w:val="0"/>
      <w:marBottom w:val="0"/>
      <w:divBdr>
        <w:top w:val="none" w:sz="0" w:space="0" w:color="auto"/>
        <w:left w:val="none" w:sz="0" w:space="0" w:color="auto"/>
        <w:bottom w:val="none" w:sz="0" w:space="0" w:color="auto"/>
        <w:right w:val="none" w:sz="0" w:space="0" w:color="auto"/>
      </w:divBdr>
    </w:div>
    <w:div w:id="1797721487">
      <w:bodyDiv w:val="1"/>
      <w:marLeft w:val="0"/>
      <w:marRight w:val="0"/>
      <w:marTop w:val="0"/>
      <w:marBottom w:val="0"/>
      <w:divBdr>
        <w:top w:val="none" w:sz="0" w:space="0" w:color="auto"/>
        <w:left w:val="none" w:sz="0" w:space="0" w:color="auto"/>
        <w:bottom w:val="none" w:sz="0" w:space="0" w:color="auto"/>
        <w:right w:val="none" w:sz="0" w:space="0" w:color="auto"/>
      </w:divBdr>
    </w:div>
    <w:div w:id="1817988102">
      <w:bodyDiv w:val="1"/>
      <w:marLeft w:val="0"/>
      <w:marRight w:val="0"/>
      <w:marTop w:val="0"/>
      <w:marBottom w:val="0"/>
      <w:divBdr>
        <w:top w:val="none" w:sz="0" w:space="0" w:color="auto"/>
        <w:left w:val="none" w:sz="0" w:space="0" w:color="auto"/>
        <w:bottom w:val="none" w:sz="0" w:space="0" w:color="auto"/>
        <w:right w:val="none" w:sz="0" w:space="0" w:color="auto"/>
      </w:divBdr>
    </w:div>
    <w:div w:id="1968512086">
      <w:bodyDiv w:val="1"/>
      <w:marLeft w:val="0"/>
      <w:marRight w:val="0"/>
      <w:marTop w:val="0"/>
      <w:marBottom w:val="0"/>
      <w:divBdr>
        <w:top w:val="none" w:sz="0" w:space="0" w:color="auto"/>
        <w:left w:val="none" w:sz="0" w:space="0" w:color="auto"/>
        <w:bottom w:val="none" w:sz="0" w:space="0" w:color="auto"/>
        <w:right w:val="none" w:sz="0" w:space="0" w:color="auto"/>
      </w:divBdr>
    </w:div>
    <w:div w:id="2065981926">
      <w:bodyDiv w:val="1"/>
      <w:marLeft w:val="0"/>
      <w:marRight w:val="0"/>
      <w:marTop w:val="0"/>
      <w:marBottom w:val="0"/>
      <w:divBdr>
        <w:top w:val="none" w:sz="0" w:space="0" w:color="auto"/>
        <w:left w:val="none" w:sz="0" w:space="0" w:color="auto"/>
        <w:bottom w:val="none" w:sz="0" w:space="0" w:color="auto"/>
        <w:right w:val="none" w:sz="0" w:space="0" w:color="auto"/>
      </w:divBdr>
    </w:div>
    <w:div w:id="2077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E:\User\Documents\CONTRATOS%202026\CONTRATO%20MINISTERIO\INFORMES\ABRIL\CERRADAS\LINEA%20DE%20CREDITO%20SAN%20ANDRES%20Y%20PROVIDENCIA%20JULIO%202025%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User\Documents\CONTRATOS%202026\CONTRATO%20MINISTERIO\INFORMES\ABRIL\CERRADAS\LINEA%20DE%20CREDITO%20SAN%20ANDRES%20Y%20PROVIDENCIA%20JULIO%202025%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User\Documents\CONTRATOS%202026\CONTRATO%20MINISTERIO\INFORMES\ABRIL\CERRADAS\LINEA%20DE%20CREDITO%20SAN%20ANDRES%20Y%20PROVIDENCIA%20JULIO%202025%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User\Documents\CONTRATOS%202026\CONTRATO%20MINISTERIO\INFORMES\ABRIL\CERRADAS\LINEA%20DE%20CREDITO%20SAN%20ANDRES%20Y%20PROVIDENCIA%20JULIO%202025%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User\Documents\CONTRATOS%202026\CONTRATO%20MINISTERIO\INFORMES\ABRIL\CERRADAS\LINEA%20DE%20CREDITO%20SAN%20ANDRES%20Y%20PROVIDENCIA%20JULIO%202025%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User\Documents\CONTRATOS%202026\CONTRATO%20MINISTERIO\INFORMES\ABRIL\CERRADAS\LINEA%20DE%20CREDITO%20SAN%20ANDRES%20Y%20PROVIDENCIA%20JULIO%202025%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User\Documents\CONTRATOS%202026\CONTRATO%20MINISTERIO\INFORMES\ABRIL\CERRADAS\LINEA%20DE%20CREDITO%20SAN%20ANDRES%20Y%20PROVIDENCIA%20JULIO%202025%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User\Documents\CONTRATOS%202026\CONTRATO%20MINISTERIO\INFORMES\ABRIL\CERRADAS\LINEA%20DE%20CREDITO%20SAN%20ANDRES%20Y%20PROVIDENCIA%20JULIO%202025%20(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User\Documents\CONTRATOS%202026\CONTRATO%20MINISTERIO\INFORMES\ABRIL\CERRADAS\LINEA%20DE%20CREDITO%20SAN%20ANDRES%20Y%20PROVIDENCIA%20JULIO%202025%20(1).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Desembolso</a:t>
            </a:r>
            <a:r>
              <a:rPr lang="es-CO" baseline="0"/>
              <a:t> Entidades Financieras </a:t>
            </a:r>
          </a:p>
        </c:rich>
      </c:tx>
      <c:layout>
        <c:manualLayout>
          <c:xMode val="edge"/>
          <c:yMode val="edge"/>
          <c:x val="0.30540266841644792"/>
          <c:y val="1.91021967526265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ENTIDADES!$C$1</c:f>
              <c:strCache>
                <c:ptCount val="1"/>
                <c:pt idx="0">
                  <c:v>DESEMBOLSO</c:v>
                </c:pt>
              </c:strCache>
            </c:strRef>
          </c:tx>
          <c:spPr>
            <a:solidFill>
              <a:schemeClr val="accent1"/>
            </a:solidFill>
            <a:ln>
              <a:noFill/>
            </a:ln>
            <a:effectLst/>
            <a:sp3d/>
          </c:spPr>
          <c:invertIfNegative val="0"/>
          <c:cat>
            <c:strRef>
              <c:f>ENTIDADES!$B$2:$B$9</c:f>
              <c:strCache>
                <c:ptCount val="8"/>
                <c:pt idx="0">
                  <c:v>MIBANCO BANCO DE LA MICROEMPRESA DE COLOMBIA SA</c:v>
                </c:pt>
                <c:pt idx="1">
                  <c:v>CREZCAMOS S.A. COMPAÑIA DE FINANCIAMIENTO</c:v>
                </c:pt>
                <c:pt idx="2">
                  <c:v>CORPORACION DE CREDITO CONTACTAR</c:v>
                </c:pt>
                <c:pt idx="3">
                  <c:v>COOPERATIVA DE AHORRO Y CREDITO DE SANTANDER LIMIT</c:v>
                </c:pt>
                <c:pt idx="4">
                  <c:v>BCO. CONTACTAR SA</c:v>
                </c:pt>
                <c:pt idx="5">
                  <c:v>BCO. DE LAS MICROFINANZAS BANCAMIA S.A</c:v>
                </c:pt>
                <c:pt idx="6">
                  <c:v>COOPERATIVA DE AHORRO Y CREDITO NACIONAL</c:v>
                </c:pt>
                <c:pt idx="7">
                  <c:v>BCO. BANCOLOMBIA S.A</c:v>
                </c:pt>
              </c:strCache>
            </c:strRef>
          </c:cat>
          <c:val>
            <c:numRef>
              <c:f>ENTIDADES!$C$2:$C$9</c:f>
              <c:numCache>
                <c:formatCode>_-"$"\ * #,##0_-;\-"$"\ * #,##0_-;_-"$"\ * "-"??_-;_-@_-</c:formatCode>
                <c:ptCount val="8"/>
                <c:pt idx="0">
                  <c:v>55300000000</c:v>
                </c:pt>
                <c:pt idx="1">
                  <c:v>16500000000</c:v>
                </c:pt>
                <c:pt idx="2">
                  <c:v>15940000000</c:v>
                </c:pt>
                <c:pt idx="3">
                  <c:v>10000000000</c:v>
                </c:pt>
                <c:pt idx="4">
                  <c:v>7400000000</c:v>
                </c:pt>
                <c:pt idx="5">
                  <c:v>5000000000</c:v>
                </c:pt>
                <c:pt idx="6">
                  <c:v>4000000000</c:v>
                </c:pt>
                <c:pt idx="7">
                  <c:v>2147828666</c:v>
                </c:pt>
              </c:numCache>
            </c:numRef>
          </c:val>
          <c:extLst>
            <c:ext xmlns:c16="http://schemas.microsoft.com/office/drawing/2014/chart" uri="{C3380CC4-5D6E-409C-BE32-E72D297353CC}">
              <c16:uniqueId val="{00000000-B982-448B-8A88-635E2DD20DE5}"/>
            </c:ext>
          </c:extLst>
        </c:ser>
        <c:ser>
          <c:idx val="1"/>
          <c:order val="1"/>
          <c:tx>
            <c:strRef>
              <c:f>ENTIDADES!$D$1</c:f>
              <c:strCache>
                <c:ptCount val="1"/>
                <c:pt idx="0">
                  <c:v>porcentaje</c:v>
                </c:pt>
              </c:strCache>
            </c:strRef>
          </c:tx>
          <c:spPr>
            <a:solidFill>
              <a:schemeClr val="accent2"/>
            </a:solidFill>
            <a:ln>
              <a:noFill/>
            </a:ln>
            <a:effectLst/>
            <a:sp3d/>
          </c:spPr>
          <c:invertIfNegative val="0"/>
          <c:dLbls>
            <c:dLbl>
              <c:idx val="0"/>
              <c:layout>
                <c:manualLayout>
                  <c:x val="2.777767454123416E-3"/>
                  <c:y val="-3.5308743030127272E-2"/>
                </c:manualLayout>
              </c:layout>
              <c:tx>
                <c:rich>
                  <a:bodyPr/>
                  <a:lstStyle/>
                  <a:p>
                    <a:fld id="{C70CEF8F-C910-4AF7-BAAC-10AB9DF9004A}" type="CELLRANGE">
                      <a:rPr lang="en-US"/>
                      <a:pPr/>
                      <a:t>[CELLRANGE]</a:t>
                    </a:fld>
                    <a:endParaRPr lang="es-CO"/>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B982-448B-8A88-635E2DD20DE5}"/>
                </c:ext>
              </c:extLst>
            </c:dLbl>
            <c:dLbl>
              <c:idx val="1"/>
              <c:layout>
                <c:manualLayout>
                  <c:x val="1.1105822970995606E-2"/>
                  <c:y val="-4.7590862593973021E-2"/>
                </c:manualLayout>
              </c:layout>
              <c:tx>
                <c:rich>
                  <a:bodyPr/>
                  <a:lstStyle/>
                  <a:p>
                    <a:fld id="{555725E4-331B-48FF-BD2C-31ED4D6E98DE}" type="CELLRANGE">
                      <a:rPr lang="en-US"/>
                      <a:pPr/>
                      <a:t>[CELLRANGE]</a:t>
                    </a:fld>
                    <a:endParaRPr lang="es-CO"/>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B982-448B-8A88-635E2DD20DE5}"/>
                </c:ext>
              </c:extLst>
            </c:dLbl>
            <c:dLbl>
              <c:idx val="2"/>
              <c:layout>
                <c:manualLayout>
                  <c:x val="1.6669228147489702E-2"/>
                  <c:y val="-5.0939271852131554E-2"/>
                </c:manualLayout>
              </c:layout>
              <c:tx>
                <c:rich>
                  <a:bodyPr/>
                  <a:lstStyle/>
                  <a:p>
                    <a:fld id="{D21EE60A-9201-45BD-B438-890BDA2D1102}" type="CELLRANGE">
                      <a:rPr lang="en-US"/>
                      <a:pPr/>
                      <a:t>[CELLRANGE]</a:t>
                    </a:fld>
                    <a:endParaRPr lang="es-CO"/>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B982-448B-8A88-635E2DD20DE5}"/>
                </c:ext>
              </c:extLst>
            </c:dLbl>
            <c:dLbl>
              <c:idx val="3"/>
              <c:delete val="1"/>
              <c:extLst>
                <c:ext xmlns:c15="http://schemas.microsoft.com/office/drawing/2012/chart" uri="{CE6537A1-D6FC-4f65-9D91-7224C49458BB}"/>
                <c:ext xmlns:c16="http://schemas.microsoft.com/office/drawing/2014/chart" uri="{C3380CC4-5D6E-409C-BE32-E72D297353CC}">
                  <c16:uniqueId val="{00000004-B982-448B-8A88-635E2DD20DE5}"/>
                </c:ext>
              </c:extLst>
            </c:dLbl>
            <c:dLbl>
              <c:idx val="4"/>
              <c:delete val="1"/>
              <c:extLst>
                <c:ext xmlns:c15="http://schemas.microsoft.com/office/drawing/2012/chart" uri="{CE6537A1-D6FC-4f65-9D91-7224C49458BB}"/>
                <c:ext xmlns:c16="http://schemas.microsoft.com/office/drawing/2014/chart" uri="{C3380CC4-5D6E-409C-BE32-E72D297353CC}">
                  <c16:uniqueId val="{00000005-B982-448B-8A88-635E2DD20DE5}"/>
                </c:ext>
              </c:extLst>
            </c:dLbl>
            <c:dLbl>
              <c:idx val="5"/>
              <c:delete val="1"/>
              <c:extLst>
                <c:ext xmlns:c15="http://schemas.microsoft.com/office/drawing/2012/chart" uri="{CE6537A1-D6FC-4f65-9D91-7224C49458BB}"/>
                <c:ext xmlns:c16="http://schemas.microsoft.com/office/drawing/2014/chart" uri="{C3380CC4-5D6E-409C-BE32-E72D297353CC}">
                  <c16:uniqueId val="{00000006-B982-448B-8A88-635E2DD20DE5}"/>
                </c:ext>
              </c:extLst>
            </c:dLbl>
            <c:dLbl>
              <c:idx val="6"/>
              <c:delete val="1"/>
              <c:extLst>
                <c:ext xmlns:c15="http://schemas.microsoft.com/office/drawing/2012/chart" uri="{CE6537A1-D6FC-4f65-9D91-7224C49458BB}"/>
                <c:ext xmlns:c16="http://schemas.microsoft.com/office/drawing/2014/chart" uri="{C3380CC4-5D6E-409C-BE32-E72D297353CC}">
                  <c16:uniqueId val="{00000007-B982-448B-8A88-635E2DD20DE5}"/>
                </c:ext>
              </c:extLst>
            </c:dLbl>
            <c:dLbl>
              <c:idx val="7"/>
              <c:delete val="1"/>
              <c:extLst>
                <c:ext xmlns:c15="http://schemas.microsoft.com/office/drawing/2012/chart" uri="{CE6537A1-D6FC-4f65-9D91-7224C49458BB}"/>
                <c:ext xmlns:c16="http://schemas.microsoft.com/office/drawing/2014/chart" uri="{C3380CC4-5D6E-409C-BE32-E72D297353CC}">
                  <c16:uniqueId val="{00000008-B982-448B-8A88-635E2DD20D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cat>
            <c:strRef>
              <c:f>ENTIDADES!$B$2:$B$9</c:f>
              <c:strCache>
                <c:ptCount val="8"/>
                <c:pt idx="0">
                  <c:v>MIBANCO BANCO DE LA MICROEMPRESA DE COLOMBIA SA</c:v>
                </c:pt>
                <c:pt idx="1">
                  <c:v>CREZCAMOS S.A. COMPAÑIA DE FINANCIAMIENTO</c:v>
                </c:pt>
                <c:pt idx="2">
                  <c:v>CORPORACION DE CREDITO CONTACTAR</c:v>
                </c:pt>
                <c:pt idx="3">
                  <c:v>COOPERATIVA DE AHORRO Y CREDITO DE SANTANDER LIMIT</c:v>
                </c:pt>
                <c:pt idx="4">
                  <c:v>BCO. CONTACTAR SA</c:v>
                </c:pt>
                <c:pt idx="5">
                  <c:v>BCO. DE LAS MICROFINANZAS BANCAMIA S.A</c:v>
                </c:pt>
                <c:pt idx="6">
                  <c:v>COOPERATIVA DE AHORRO Y CREDITO NACIONAL</c:v>
                </c:pt>
                <c:pt idx="7">
                  <c:v>BCO. BANCOLOMBIA S.A</c:v>
                </c:pt>
              </c:strCache>
            </c:strRef>
          </c:cat>
          <c:val>
            <c:numRef>
              <c:f>ENTIDADES!$D$2:$D$9</c:f>
              <c:numCache>
                <c:formatCode>0%</c:formatCode>
                <c:ptCount val="8"/>
                <c:pt idx="0">
                  <c:v>0.44623159916228655</c:v>
                </c:pt>
                <c:pt idx="1">
                  <c:v>0.13314324387301496</c:v>
                </c:pt>
                <c:pt idx="2">
                  <c:v>0.12862444286883992</c:v>
                </c:pt>
                <c:pt idx="3">
                  <c:v>8.0692875074554526E-2</c:v>
                </c:pt>
                <c:pt idx="4">
                  <c:v>5.9712727555170354E-2</c:v>
                </c:pt>
                <c:pt idx="5">
                  <c:v>4.0346437537277263E-2</c:v>
                </c:pt>
                <c:pt idx="6">
                  <c:v>3.2277150029821809E-2</c:v>
                </c:pt>
                <c:pt idx="7">
                  <c:v>1.7331447022708512E-2</c:v>
                </c:pt>
              </c:numCache>
            </c:numRef>
          </c:val>
          <c:extLst>
            <c:ext xmlns:c15="http://schemas.microsoft.com/office/drawing/2012/chart" uri="{02D57815-91ED-43cb-92C2-25804820EDAC}">
              <c15:datalabelsRange>
                <c15:f>ENTIDADES!$D$2:$D$12</c15:f>
                <c15:dlblRangeCache>
                  <c:ptCount val="11"/>
                  <c:pt idx="0">
                    <c:v>45%</c:v>
                  </c:pt>
                  <c:pt idx="1">
                    <c:v>13%</c:v>
                  </c:pt>
                  <c:pt idx="2">
                    <c:v>13%</c:v>
                  </c:pt>
                  <c:pt idx="3">
                    <c:v>8%</c:v>
                  </c:pt>
                  <c:pt idx="4">
                    <c:v>6%</c:v>
                  </c:pt>
                  <c:pt idx="5">
                    <c:v>4%</c:v>
                  </c:pt>
                  <c:pt idx="6">
                    <c:v>3%</c:v>
                  </c:pt>
                  <c:pt idx="7">
                    <c:v>2%</c:v>
                  </c:pt>
                  <c:pt idx="8">
                    <c:v>2%</c:v>
                  </c:pt>
                  <c:pt idx="9">
                    <c:v>2%</c:v>
                  </c:pt>
                  <c:pt idx="10">
                    <c:v>2%</c:v>
                  </c:pt>
                </c15:dlblRangeCache>
              </c15:datalabelsRange>
            </c:ext>
            <c:ext xmlns:c16="http://schemas.microsoft.com/office/drawing/2014/chart" uri="{C3380CC4-5D6E-409C-BE32-E72D297353CC}">
              <c16:uniqueId val="{00000009-B982-448B-8A88-635E2DD20DE5}"/>
            </c:ext>
          </c:extLst>
        </c:ser>
        <c:dLbls>
          <c:showLegendKey val="0"/>
          <c:showVal val="0"/>
          <c:showCatName val="0"/>
          <c:showSerName val="0"/>
          <c:showPercent val="0"/>
          <c:showBubbleSize val="0"/>
        </c:dLbls>
        <c:gapWidth val="150"/>
        <c:shape val="box"/>
        <c:axId val="228779359"/>
        <c:axId val="228780191"/>
        <c:axId val="0"/>
      </c:bar3DChart>
      <c:catAx>
        <c:axId val="228779359"/>
        <c:scaling>
          <c:orientation val="minMax"/>
        </c:scaling>
        <c:delete val="0"/>
        <c:axPos val="b"/>
        <c:numFmt formatCode="General" sourceLinked="1"/>
        <c:majorTickMark val="none"/>
        <c:minorTickMark val="none"/>
        <c:tickLblPos val="nextTo"/>
        <c:spPr>
          <a:noFill/>
          <a:ln>
            <a:noFill/>
          </a:ln>
          <a:effectLst/>
        </c:spPr>
        <c:txPr>
          <a:bodyPr rot="-5400000" spcFirstLastPara="1" vertOverflow="ellipsis"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CO"/>
          </a:p>
        </c:txPr>
        <c:crossAx val="228780191"/>
        <c:crosses val="autoZero"/>
        <c:auto val="1"/>
        <c:lblAlgn val="ctr"/>
        <c:lblOffset val="100"/>
        <c:noMultiLvlLbl val="0"/>
      </c:catAx>
      <c:valAx>
        <c:axId val="228780191"/>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 #,##0_-;\-&quot;$&quot;\ * #,##0_-;_-&quot;$&quot;\ *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28779359"/>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DESEMBOLSO</a:t>
            </a:r>
            <a:r>
              <a:rPr lang="es-CO" baseline="0"/>
              <a:t> POR DEPARTAMENTOS</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DEPARTAMENTOS!$C$1</c:f>
              <c:strCache>
                <c:ptCount val="1"/>
                <c:pt idx="0">
                  <c:v>DESEMBOLSO</c:v>
                </c:pt>
              </c:strCache>
            </c:strRef>
          </c:tx>
          <c:spPr>
            <a:solidFill>
              <a:schemeClr val="accent1"/>
            </a:solidFill>
            <a:ln>
              <a:noFill/>
            </a:ln>
            <a:effectLst/>
            <a:sp3d/>
          </c:spPr>
          <c:invertIfNegative val="0"/>
          <c:dLbls>
            <c:dLbl>
              <c:idx val="0"/>
              <c:layout>
                <c:manualLayout>
                  <c:x val="-9.2969203951190956E-3"/>
                  <c:y val="-0.2489451476793249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FD0-4248-84E6-F1264B86B9D6}"/>
                </c:ext>
              </c:extLst>
            </c:dLbl>
            <c:dLbl>
              <c:idx val="1"/>
              <c:layout>
                <c:manualLayout>
                  <c:x val="-1.1621150493898896E-2"/>
                  <c:y val="-0.1687763713080168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FD0-4248-84E6-F1264B86B9D6}"/>
                </c:ext>
              </c:extLst>
            </c:dLbl>
            <c:dLbl>
              <c:idx val="2"/>
              <c:layout>
                <c:manualLayout>
                  <c:x val="1.3945380592678717E-2"/>
                  <c:y val="-0.1476793248945147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BFD0-4248-84E6-F1264B86B9D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DEPARTAMENTOS!$B$2:$B$10</c:f>
              <c:strCache>
                <c:ptCount val="9"/>
                <c:pt idx="0">
                  <c:v>Bogota DC</c:v>
                </c:pt>
                <c:pt idx="1">
                  <c:v>Narino</c:v>
                </c:pt>
                <c:pt idx="2">
                  <c:v>Santander</c:v>
                </c:pt>
                <c:pt idx="3">
                  <c:v>Valle</c:v>
                </c:pt>
                <c:pt idx="4">
                  <c:v>Norte de Santander</c:v>
                </c:pt>
                <c:pt idx="5">
                  <c:v>San Andres</c:v>
                </c:pt>
                <c:pt idx="6">
                  <c:v>Guajira</c:v>
                </c:pt>
                <c:pt idx="7">
                  <c:v>Arauca</c:v>
                </c:pt>
                <c:pt idx="8">
                  <c:v>Cesar</c:v>
                </c:pt>
              </c:strCache>
            </c:strRef>
          </c:cat>
          <c:val>
            <c:numRef>
              <c:f>DEPARTAMENTOS!$C$2:$C$10</c:f>
              <c:numCache>
                <c:formatCode>_-"$"\ * #,##0_-;\-"$"\ * #,##0_-;_-"$"\ * "-"??_-;_-@_-</c:formatCode>
                <c:ptCount val="9"/>
                <c:pt idx="0">
                  <c:v>60300000000</c:v>
                </c:pt>
                <c:pt idx="1">
                  <c:v>28533948000</c:v>
                </c:pt>
                <c:pt idx="2">
                  <c:v>26500000000</c:v>
                </c:pt>
                <c:pt idx="3">
                  <c:v>3870000000</c:v>
                </c:pt>
                <c:pt idx="4">
                  <c:v>2476666666</c:v>
                </c:pt>
                <c:pt idx="5">
                  <c:v>1402776000</c:v>
                </c:pt>
                <c:pt idx="6">
                  <c:v>583288000</c:v>
                </c:pt>
                <c:pt idx="7">
                  <c:v>210000000</c:v>
                </c:pt>
                <c:pt idx="8">
                  <c:v>50000000</c:v>
                </c:pt>
              </c:numCache>
            </c:numRef>
          </c:val>
          <c:extLst>
            <c:ext xmlns:c16="http://schemas.microsoft.com/office/drawing/2014/chart" uri="{C3380CC4-5D6E-409C-BE32-E72D297353CC}">
              <c16:uniqueId val="{00000000-BFD0-4248-84E6-F1264B86B9D6}"/>
            </c:ext>
          </c:extLst>
        </c:ser>
        <c:ser>
          <c:idx val="1"/>
          <c:order val="1"/>
          <c:tx>
            <c:strRef>
              <c:f>DEPARTAMENTOS!$D$1</c:f>
              <c:strCache>
                <c:ptCount val="1"/>
                <c:pt idx="0">
                  <c:v>PORCENTAJE</c:v>
                </c:pt>
              </c:strCache>
            </c:strRef>
          </c:tx>
          <c:spPr>
            <a:solidFill>
              <a:schemeClr val="accent2"/>
            </a:solidFill>
            <a:ln>
              <a:noFill/>
            </a:ln>
            <a:effectLst/>
            <a:sp3d/>
          </c:spPr>
          <c:invertIfNegative val="0"/>
          <c:cat>
            <c:strRef>
              <c:f>DEPARTAMENTOS!$B$2:$B$10</c:f>
              <c:strCache>
                <c:ptCount val="9"/>
                <c:pt idx="0">
                  <c:v>Bogota DC</c:v>
                </c:pt>
                <c:pt idx="1">
                  <c:v>Narino</c:v>
                </c:pt>
                <c:pt idx="2">
                  <c:v>Santander</c:v>
                </c:pt>
                <c:pt idx="3">
                  <c:v>Valle</c:v>
                </c:pt>
                <c:pt idx="4">
                  <c:v>Norte de Santander</c:v>
                </c:pt>
                <c:pt idx="5">
                  <c:v>San Andres</c:v>
                </c:pt>
                <c:pt idx="6">
                  <c:v>Guajira</c:v>
                </c:pt>
                <c:pt idx="7">
                  <c:v>Arauca</c:v>
                </c:pt>
                <c:pt idx="8">
                  <c:v>Cesar</c:v>
                </c:pt>
              </c:strCache>
            </c:strRef>
          </c:cat>
          <c:val>
            <c:numRef>
              <c:f>DEPARTAMENTOS!$D$2:$D$10</c:f>
              <c:numCache>
                <c:formatCode>0%</c:formatCode>
                <c:ptCount val="9"/>
                <c:pt idx="0">
                  <c:v>0.48657803669956379</c:v>
                </c:pt>
                <c:pt idx="1">
                  <c:v>0.2302486301347835</c:v>
                </c:pt>
                <c:pt idx="2">
                  <c:v>0.21383611894756951</c:v>
                </c:pt>
                <c:pt idx="3">
                  <c:v>3.1228142653852604E-2</c:v>
                </c:pt>
                <c:pt idx="4">
                  <c:v>1.9984935388085146E-2</c:v>
                </c:pt>
                <c:pt idx="5">
                  <c:v>1.131940285255833E-2</c:v>
                </c:pt>
                <c:pt idx="6">
                  <c:v>4.7067185716486767E-3</c:v>
                </c:pt>
                <c:pt idx="7">
                  <c:v>1.6945503765656452E-3</c:v>
                </c:pt>
                <c:pt idx="8">
                  <c:v>4.0346437537277266E-4</c:v>
                </c:pt>
              </c:numCache>
            </c:numRef>
          </c:val>
          <c:extLst>
            <c:ext xmlns:c16="http://schemas.microsoft.com/office/drawing/2014/chart" uri="{C3380CC4-5D6E-409C-BE32-E72D297353CC}">
              <c16:uniqueId val="{0000000A-BFD0-4248-84E6-F1264B86B9D6}"/>
            </c:ext>
          </c:extLst>
        </c:ser>
        <c:dLbls>
          <c:showLegendKey val="0"/>
          <c:showVal val="0"/>
          <c:showCatName val="0"/>
          <c:showSerName val="0"/>
          <c:showPercent val="0"/>
          <c:showBubbleSize val="0"/>
        </c:dLbls>
        <c:gapWidth val="150"/>
        <c:shape val="box"/>
        <c:axId val="269188383"/>
        <c:axId val="269189631"/>
        <c:axId val="0"/>
      </c:bar3DChart>
      <c:catAx>
        <c:axId val="269188383"/>
        <c:scaling>
          <c:orientation val="minMax"/>
        </c:scaling>
        <c:delete val="0"/>
        <c:axPos val="b"/>
        <c:numFmt formatCode="General" sourceLinked="1"/>
        <c:majorTickMark val="none"/>
        <c:minorTickMark val="none"/>
        <c:tickLblPos val="nextTo"/>
        <c:spPr>
          <a:noFill/>
          <a:ln>
            <a:noFill/>
          </a:ln>
          <a:effectLst/>
        </c:spPr>
        <c:txPr>
          <a:bodyPr rot="-54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crossAx val="269189631"/>
        <c:crosses val="autoZero"/>
        <c:auto val="1"/>
        <c:lblAlgn val="ctr"/>
        <c:lblOffset val="100"/>
        <c:noMultiLvlLbl val="0"/>
      </c:catAx>
      <c:valAx>
        <c:axId val="269189631"/>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_(&quot;$&quot;* \(#,##0\);_(&quot;$&quot;* &quot;-&quot;_);_(@_)"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69188383"/>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DESEMBOLSO POR MUNICIPIOS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MUNICIPIOS!$C$1</c:f>
              <c:strCache>
                <c:ptCount val="1"/>
                <c:pt idx="0">
                  <c:v>DESEMBOLSO</c:v>
                </c:pt>
              </c:strCache>
            </c:strRef>
          </c:tx>
          <c:spPr>
            <a:solidFill>
              <a:schemeClr val="accent1"/>
            </a:solidFill>
            <a:ln>
              <a:noFill/>
            </a:ln>
            <a:effectLst/>
            <a:sp3d/>
          </c:spPr>
          <c:invertIfNegative val="0"/>
          <c:cat>
            <c:strRef>
              <c:f>MUNICIPIOS!$B$2:$B$7</c:f>
              <c:strCache>
                <c:ptCount val="6"/>
                <c:pt idx="0">
                  <c:v>BOGOTA </c:v>
                </c:pt>
                <c:pt idx="1">
                  <c:v>PASTO </c:v>
                </c:pt>
                <c:pt idx="2">
                  <c:v>BUCARAMANGA </c:v>
                </c:pt>
                <c:pt idx="3">
                  <c:v>CALI </c:v>
                </c:pt>
                <c:pt idx="4">
                  <c:v>OCANA </c:v>
                </c:pt>
                <c:pt idx="5">
                  <c:v>SAN ANDRES </c:v>
                </c:pt>
              </c:strCache>
            </c:strRef>
          </c:cat>
          <c:val>
            <c:numRef>
              <c:f>MUNICIPIOS!$C$2:$C$7</c:f>
              <c:numCache>
                <c:formatCode>_-"$"\ * #,##0_-;\-"$"\ * #,##0_-;_-"$"\ * "-"??_-;_-@_-</c:formatCode>
                <c:ptCount val="6"/>
                <c:pt idx="0">
                  <c:v>60300000000</c:v>
                </c:pt>
                <c:pt idx="1">
                  <c:v>28248948000</c:v>
                </c:pt>
                <c:pt idx="2">
                  <c:v>26500000000</c:v>
                </c:pt>
                <c:pt idx="3">
                  <c:v>3870000000</c:v>
                </c:pt>
                <c:pt idx="4">
                  <c:v>2121666666</c:v>
                </c:pt>
                <c:pt idx="5">
                  <c:v>1387776000</c:v>
                </c:pt>
              </c:numCache>
            </c:numRef>
          </c:val>
          <c:extLst>
            <c:ext xmlns:c16="http://schemas.microsoft.com/office/drawing/2014/chart" uri="{C3380CC4-5D6E-409C-BE32-E72D297353CC}">
              <c16:uniqueId val="{00000000-9BA2-45DE-9067-9E09BE409E0C}"/>
            </c:ext>
          </c:extLst>
        </c:ser>
        <c:ser>
          <c:idx val="1"/>
          <c:order val="1"/>
          <c:tx>
            <c:strRef>
              <c:f>MUNICIPIOS!$D$1</c:f>
              <c:strCache>
                <c:ptCount val="1"/>
                <c:pt idx="0">
                  <c:v>PORCENTAJE</c:v>
                </c:pt>
              </c:strCache>
            </c:strRef>
          </c:tx>
          <c:spPr>
            <a:solidFill>
              <a:schemeClr val="accent2"/>
            </a:solidFill>
            <a:ln>
              <a:noFill/>
            </a:ln>
            <a:effectLst/>
            <a:sp3d/>
          </c:spPr>
          <c:invertIfNegative val="0"/>
          <c:dLbls>
            <c:dLbl>
              <c:idx val="0"/>
              <c:layout>
                <c:manualLayout>
                  <c:x val="0"/>
                  <c:y val="-6.9444444444444448E-2"/>
                </c:manualLayout>
              </c:layout>
              <c:tx>
                <c:rich>
                  <a:bodyPr/>
                  <a:lstStyle/>
                  <a:p>
                    <a:fld id="{2FF18296-75A9-45C5-AF2F-7F76CCD676C0}" type="CELLRANGE">
                      <a:rPr lang="en-US"/>
                      <a:pPr/>
                      <a:t>[CELLRANGE]</a:t>
                    </a:fld>
                    <a:endParaRPr lang="es-CO"/>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9BA2-45DE-9067-9E09BE409E0C}"/>
                </c:ext>
              </c:extLst>
            </c:dLbl>
            <c:dLbl>
              <c:idx val="1"/>
              <c:layout>
                <c:manualLayout>
                  <c:x val="1.9444444444444445E-2"/>
                  <c:y val="-8.333333333333337E-2"/>
                </c:manualLayout>
              </c:layout>
              <c:tx>
                <c:rich>
                  <a:bodyPr/>
                  <a:lstStyle/>
                  <a:p>
                    <a:fld id="{6965D014-2F3A-4ED6-ACBD-F325A55801F9}" type="CELLRANGE">
                      <a:rPr lang="en-US"/>
                      <a:pPr/>
                      <a:t>[CELLRANGE]</a:t>
                    </a:fld>
                    <a:endParaRPr lang="es-CO"/>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9BA2-45DE-9067-9E09BE409E0C}"/>
                </c:ext>
              </c:extLst>
            </c:dLbl>
            <c:dLbl>
              <c:idx val="2"/>
              <c:layout>
                <c:manualLayout>
                  <c:x val="1.1111111111111112E-2"/>
                  <c:y val="-7.8703703703703665E-2"/>
                </c:manualLayout>
              </c:layout>
              <c:tx>
                <c:rich>
                  <a:bodyPr/>
                  <a:lstStyle/>
                  <a:p>
                    <a:fld id="{17829E25-D156-42FF-B745-E06F20029F44}" type="CELLRANGE">
                      <a:rPr lang="en-US"/>
                      <a:pPr/>
                      <a:t>[CELLRANGE]</a:t>
                    </a:fld>
                    <a:endParaRPr lang="es-CO"/>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9BA2-45DE-9067-9E09BE409E0C}"/>
                </c:ext>
              </c:extLst>
            </c:dLbl>
            <c:dLbl>
              <c:idx val="3"/>
              <c:delete val="1"/>
              <c:extLst>
                <c:ext xmlns:c15="http://schemas.microsoft.com/office/drawing/2012/chart" uri="{CE6537A1-D6FC-4f65-9D91-7224C49458BB}"/>
                <c:ext xmlns:c16="http://schemas.microsoft.com/office/drawing/2014/chart" uri="{C3380CC4-5D6E-409C-BE32-E72D297353CC}">
                  <c16:uniqueId val="{00000004-9BA2-45DE-9067-9E09BE409E0C}"/>
                </c:ext>
              </c:extLst>
            </c:dLbl>
            <c:dLbl>
              <c:idx val="4"/>
              <c:delete val="1"/>
              <c:extLst>
                <c:ext xmlns:c15="http://schemas.microsoft.com/office/drawing/2012/chart" uri="{CE6537A1-D6FC-4f65-9D91-7224C49458BB}"/>
                <c:ext xmlns:c16="http://schemas.microsoft.com/office/drawing/2014/chart" uri="{C3380CC4-5D6E-409C-BE32-E72D297353CC}">
                  <c16:uniqueId val="{00000005-9BA2-45DE-9067-9E09BE409E0C}"/>
                </c:ext>
              </c:extLst>
            </c:dLbl>
            <c:dLbl>
              <c:idx val="5"/>
              <c:delete val="1"/>
              <c:extLst>
                <c:ext xmlns:c15="http://schemas.microsoft.com/office/drawing/2012/chart" uri="{CE6537A1-D6FC-4f65-9D91-7224C49458BB}"/>
                <c:ext xmlns:c16="http://schemas.microsoft.com/office/drawing/2014/chart" uri="{C3380CC4-5D6E-409C-BE32-E72D297353CC}">
                  <c16:uniqueId val="{00000006-9BA2-45DE-9067-9E09BE409E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cat>
            <c:strRef>
              <c:f>MUNICIPIOS!$B$2:$B$7</c:f>
              <c:strCache>
                <c:ptCount val="6"/>
                <c:pt idx="0">
                  <c:v>BOGOTA </c:v>
                </c:pt>
                <c:pt idx="1">
                  <c:v>PASTO </c:v>
                </c:pt>
                <c:pt idx="2">
                  <c:v>BUCARAMANGA </c:v>
                </c:pt>
                <c:pt idx="3">
                  <c:v>CALI </c:v>
                </c:pt>
                <c:pt idx="4">
                  <c:v>OCANA </c:v>
                </c:pt>
                <c:pt idx="5">
                  <c:v>SAN ANDRES </c:v>
                </c:pt>
              </c:strCache>
            </c:strRef>
          </c:cat>
          <c:val>
            <c:numRef>
              <c:f>MUNICIPIOS!$D$2:$D$7</c:f>
              <c:numCache>
                <c:formatCode>0%</c:formatCode>
                <c:ptCount val="6"/>
                <c:pt idx="0">
                  <c:v>0.48657803669956379</c:v>
                </c:pt>
                <c:pt idx="1">
                  <c:v>0.22794888319515871</c:v>
                </c:pt>
                <c:pt idx="2">
                  <c:v>0.21383611894756951</c:v>
                </c:pt>
                <c:pt idx="3">
                  <c:v>3.1228142653852604E-2</c:v>
                </c:pt>
                <c:pt idx="4">
                  <c:v>1.712033832293846E-2</c:v>
                </c:pt>
                <c:pt idx="5">
                  <c:v>1.1198363539946498E-2</c:v>
                </c:pt>
              </c:numCache>
            </c:numRef>
          </c:val>
          <c:extLst>
            <c:ext xmlns:c15="http://schemas.microsoft.com/office/drawing/2012/chart" uri="{02D57815-91ED-43cb-92C2-25804820EDAC}">
              <c15:datalabelsRange>
                <c15:f>MUNICIPIOS!$D$2:$D$7</c15:f>
                <c15:dlblRangeCache>
                  <c:ptCount val="6"/>
                  <c:pt idx="0">
                    <c:v>49%</c:v>
                  </c:pt>
                  <c:pt idx="1">
                    <c:v>23%</c:v>
                  </c:pt>
                  <c:pt idx="2">
                    <c:v>21%</c:v>
                  </c:pt>
                  <c:pt idx="3">
                    <c:v>3%</c:v>
                  </c:pt>
                  <c:pt idx="4">
                    <c:v>2%</c:v>
                  </c:pt>
                  <c:pt idx="5">
                    <c:v>1%</c:v>
                  </c:pt>
                </c15:dlblRangeCache>
              </c15:datalabelsRange>
            </c:ext>
            <c:ext xmlns:c16="http://schemas.microsoft.com/office/drawing/2014/chart" uri="{C3380CC4-5D6E-409C-BE32-E72D297353CC}">
              <c16:uniqueId val="{00000007-9BA2-45DE-9067-9E09BE409E0C}"/>
            </c:ext>
          </c:extLst>
        </c:ser>
        <c:dLbls>
          <c:showLegendKey val="0"/>
          <c:showVal val="0"/>
          <c:showCatName val="0"/>
          <c:showSerName val="0"/>
          <c:showPercent val="0"/>
          <c:showBubbleSize val="0"/>
        </c:dLbls>
        <c:gapWidth val="150"/>
        <c:shape val="box"/>
        <c:axId val="280727183"/>
        <c:axId val="280726767"/>
        <c:axId val="0"/>
      </c:bar3DChart>
      <c:catAx>
        <c:axId val="280727183"/>
        <c:scaling>
          <c:orientation val="minMax"/>
        </c:scaling>
        <c:delete val="0"/>
        <c:axPos val="b"/>
        <c:numFmt formatCode="General" sourceLinked="1"/>
        <c:majorTickMark val="none"/>
        <c:minorTickMark val="none"/>
        <c:tickLblPos val="nextTo"/>
        <c:spPr>
          <a:noFill/>
          <a:ln>
            <a:noFill/>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80726767"/>
        <c:crosses val="autoZero"/>
        <c:auto val="1"/>
        <c:lblAlgn val="ctr"/>
        <c:lblOffset val="100"/>
        <c:noMultiLvlLbl val="0"/>
      </c:catAx>
      <c:valAx>
        <c:axId val="280726767"/>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 #,##0_-;\-&quot;$&quot;\ * #,##0_-;_-&quot;$&quot;\ *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80727183"/>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SUBCUPOS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SUBCUPOS!$B$11:$B$13</c:f>
              <c:strCache>
                <c:ptCount val="3"/>
                <c:pt idx="0">
                  <c:v>SUBCUPO 1- CRÉDITO BAJO MONTO SAN ANDRÉS PROVIDENCIA Y SANTA CATALINA </c:v>
                </c:pt>
                <c:pt idx="1">
                  <c:v>SUBCUPO 3- MICROEMPRESAS  ZONAS DE FRONTERA </c:v>
                </c:pt>
                <c:pt idx="2">
                  <c:v>SUBCUPO 2- MICROEMPRESAS SAN ANDRÉS PROVIDENCIA Y SANTA CATALINA </c:v>
                </c:pt>
              </c:strCache>
            </c:strRef>
          </c:cat>
          <c:val>
            <c:numRef>
              <c:f>SUBCUPOS!$C$11:$C$13</c:f>
              <c:numCache>
                <c:formatCode>_-"$"\ * #,##0_-;\-"$"\ * #,##0_-;_-"$"\ * "-"??_-;_-@_-</c:formatCode>
                <c:ptCount val="3"/>
                <c:pt idx="0">
                  <c:v>17600000000</c:v>
                </c:pt>
                <c:pt idx="1">
                  <c:v>45142348000</c:v>
                </c:pt>
                <c:pt idx="2">
                  <c:v>61184330666</c:v>
                </c:pt>
              </c:numCache>
            </c:numRef>
          </c:val>
          <c:extLst>
            <c:ext xmlns:c16="http://schemas.microsoft.com/office/drawing/2014/chart" uri="{C3380CC4-5D6E-409C-BE32-E72D297353CC}">
              <c16:uniqueId val="{00000000-43A5-4600-A28F-51E7D7C7FD50}"/>
            </c:ext>
          </c:extLst>
        </c:ser>
        <c:dLbls>
          <c:showLegendKey val="0"/>
          <c:showVal val="0"/>
          <c:showCatName val="0"/>
          <c:showSerName val="0"/>
          <c:showPercent val="0"/>
          <c:showBubbleSize val="0"/>
        </c:dLbls>
        <c:gapWidth val="150"/>
        <c:shape val="box"/>
        <c:axId val="228763551"/>
        <c:axId val="228754815"/>
        <c:axId val="0"/>
      </c:bar3DChart>
      <c:catAx>
        <c:axId val="22876355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28754815"/>
        <c:crosses val="autoZero"/>
        <c:auto val="1"/>
        <c:lblAlgn val="ctr"/>
        <c:lblOffset val="100"/>
        <c:noMultiLvlLbl val="0"/>
      </c:catAx>
      <c:valAx>
        <c:axId val="228754815"/>
        <c:scaling>
          <c:orientation val="minMax"/>
        </c:scaling>
        <c:delete val="0"/>
        <c:axPos val="b"/>
        <c:majorGridlines>
          <c:spPr>
            <a:ln w="9525" cap="flat" cmpd="sng" algn="ctr">
              <a:solidFill>
                <a:schemeClr val="tx1">
                  <a:lumMod val="15000"/>
                  <a:lumOff val="85000"/>
                </a:schemeClr>
              </a:solidFill>
              <a:round/>
            </a:ln>
            <a:effectLst/>
          </c:spPr>
        </c:majorGridlines>
        <c:numFmt formatCode="_-&quot;$&quot;\ * #,##0_-;\-&quot;$&quot;\ * #,##0_-;_-&quot;$&quot;\ *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28763551"/>
        <c:crosses val="autoZero"/>
        <c:crossBetween val="between"/>
        <c:dispUnits>
          <c:builtInUnit val="millions"/>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ACTIVIDAD ECONOMICA</a:t>
            </a:r>
            <a:r>
              <a:rPr lang="es-CO" baseline="0"/>
              <a:t> CIIU</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CIIU!$H$2:$H$6</c:f>
              <c:strCache>
                <c:ptCount val="5"/>
                <c:pt idx="0">
                  <c:v>Expendio a la mesa de comidas preparadas</c:v>
                </c:pt>
                <c:pt idx="1">
                  <c:v>Peluquería y otros tratamientos de belleza</c:v>
                </c:pt>
                <c:pt idx="2">
                  <c:v>	
Comercio al por menor de otros artículos domésticos en establecimientos especializados</c:v>
                </c:pt>
                <c:pt idx="3">
                  <c:v>Comercio al por menor en establecimientos no especializados con surtido compuesto principalmente por alimentos, bebidas (alcohólicas y no alcohólicas) o tabaco</c:v>
                </c:pt>
                <c:pt idx="4">
                  <c:v>Otras actividades de servicios personales n.c.p.</c:v>
                </c:pt>
              </c:strCache>
            </c:strRef>
          </c:cat>
          <c:val>
            <c:numRef>
              <c:f>CIIU!$I$2:$I$6</c:f>
              <c:numCache>
                <c:formatCode>General</c:formatCode>
                <c:ptCount val="5"/>
                <c:pt idx="0">
                  <c:v>457</c:v>
                </c:pt>
                <c:pt idx="1">
                  <c:v>478</c:v>
                </c:pt>
                <c:pt idx="2">
                  <c:v>602</c:v>
                </c:pt>
                <c:pt idx="3">
                  <c:v>951</c:v>
                </c:pt>
                <c:pt idx="4">
                  <c:v>1729</c:v>
                </c:pt>
              </c:numCache>
            </c:numRef>
          </c:val>
          <c:extLst>
            <c:ext xmlns:c16="http://schemas.microsoft.com/office/drawing/2014/chart" uri="{C3380CC4-5D6E-409C-BE32-E72D297353CC}">
              <c16:uniqueId val="{00000000-9CE9-4BF0-BC73-C23EB1FBD040}"/>
            </c:ext>
          </c:extLst>
        </c:ser>
        <c:dLbls>
          <c:showLegendKey val="0"/>
          <c:showVal val="0"/>
          <c:showCatName val="0"/>
          <c:showSerName val="0"/>
          <c:showPercent val="0"/>
          <c:showBubbleSize val="0"/>
        </c:dLbls>
        <c:gapWidth val="150"/>
        <c:shape val="box"/>
        <c:axId val="1679852607"/>
        <c:axId val="1679853023"/>
        <c:axId val="0"/>
      </c:bar3DChart>
      <c:catAx>
        <c:axId val="167985260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679853023"/>
        <c:crosses val="autoZero"/>
        <c:auto val="1"/>
        <c:lblAlgn val="ctr"/>
        <c:lblOffset val="100"/>
        <c:noMultiLvlLbl val="0"/>
      </c:catAx>
      <c:valAx>
        <c:axId val="16798530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6798526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Destino de los Recursos</a:t>
            </a:r>
            <a:r>
              <a:rPr lang="es-CO" baseline="0"/>
              <a:t> </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'DESTINO '!$C$2</c:f>
              <c:strCache>
                <c:ptCount val="1"/>
                <c:pt idx="0">
                  <c:v>CANTIDAD</c:v>
                </c:pt>
              </c:strCache>
            </c:strRef>
          </c:tx>
          <c:spPr>
            <a:solidFill>
              <a:schemeClr val="accent1"/>
            </a:solidFill>
            <a:ln>
              <a:noFill/>
            </a:ln>
            <a:effectLst/>
            <a:sp3d/>
          </c:spPr>
          <c:invertIfNegative val="0"/>
          <c:cat>
            <c:strRef>
              <c:f>'DESTINO '!$B$3:$B$4</c:f>
              <c:strCache>
                <c:ptCount val="2"/>
                <c:pt idx="0">
                  <c:v>INVERSION FIJA</c:v>
                </c:pt>
                <c:pt idx="1">
                  <c:v>CAPITAL DE TRABAJO</c:v>
                </c:pt>
              </c:strCache>
            </c:strRef>
          </c:cat>
          <c:val>
            <c:numRef>
              <c:f>'DESTINO '!$C$3:$C$4</c:f>
            </c:numRef>
          </c:val>
          <c:extLst>
            <c:ext xmlns:c16="http://schemas.microsoft.com/office/drawing/2014/chart" uri="{C3380CC4-5D6E-409C-BE32-E72D297353CC}">
              <c16:uniqueId val="{00000000-0F94-46D3-ABCD-304D125A2B6D}"/>
            </c:ext>
          </c:extLst>
        </c:ser>
        <c:ser>
          <c:idx val="1"/>
          <c:order val="1"/>
          <c:tx>
            <c:strRef>
              <c:f>'DESTINO '!$D$2</c:f>
              <c:strCache>
                <c:ptCount val="1"/>
                <c:pt idx="0">
                  <c:v>PORCENTAJE</c:v>
                </c:pt>
              </c:strCache>
            </c:strRef>
          </c:tx>
          <c:spPr>
            <a:solidFill>
              <a:schemeClr val="accent2"/>
            </a:solidFill>
            <a:ln>
              <a:noFill/>
            </a:ln>
            <a:effectLst/>
            <a:sp3d/>
          </c:spPr>
          <c:invertIfNegative val="0"/>
          <c:dLbls>
            <c:dLbl>
              <c:idx val="0"/>
              <c:layout>
                <c:manualLayout>
                  <c:x val="1.9444444444444445E-2"/>
                  <c:y val="-4.629629629629671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F94-46D3-ABCD-304D125A2B6D}"/>
                </c:ext>
              </c:extLst>
            </c:dLbl>
            <c:dLbl>
              <c:idx val="1"/>
              <c:layout>
                <c:manualLayout>
                  <c:x val="3.333333333333333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F94-46D3-ABCD-304D125A2B6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'DESTINO '!$B$3:$B$4</c:f>
              <c:strCache>
                <c:ptCount val="2"/>
                <c:pt idx="0">
                  <c:v>INVERSION FIJA</c:v>
                </c:pt>
                <c:pt idx="1">
                  <c:v>CAPITAL DE TRABAJO</c:v>
                </c:pt>
              </c:strCache>
            </c:strRef>
          </c:cat>
          <c:val>
            <c:numRef>
              <c:f>'DESTINO '!$D$3:$D$4</c:f>
              <c:numCache>
                <c:formatCode>0%</c:formatCode>
                <c:ptCount val="2"/>
                <c:pt idx="0">
                  <c:v>4.8124454783367257E-2</c:v>
                </c:pt>
                <c:pt idx="1">
                  <c:v>0.95187554521663276</c:v>
                </c:pt>
              </c:numCache>
            </c:numRef>
          </c:val>
          <c:extLst>
            <c:ext xmlns:c16="http://schemas.microsoft.com/office/drawing/2014/chart" uri="{C3380CC4-5D6E-409C-BE32-E72D297353CC}">
              <c16:uniqueId val="{00000003-0F94-46D3-ABCD-304D125A2B6D}"/>
            </c:ext>
          </c:extLst>
        </c:ser>
        <c:dLbls>
          <c:showLegendKey val="0"/>
          <c:showVal val="0"/>
          <c:showCatName val="0"/>
          <c:showSerName val="0"/>
          <c:showPercent val="0"/>
          <c:showBubbleSize val="0"/>
        </c:dLbls>
        <c:gapWidth val="150"/>
        <c:shape val="box"/>
        <c:axId val="223857791"/>
        <c:axId val="223861535"/>
        <c:axId val="0"/>
      </c:bar3DChart>
      <c:catAx>
        <c:axId val="22385779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23861535"/>
        <c:crosses val="autoZero"/>
        <c:auto val="1"/>
        <c:lblAlgn val="ctr"/>
        <c:lblOffset val="100"/>
        <c:noMultiLvlLbl val="0"/>
      </c:catAx>
      <c:valAx>
        <c:axId val="223861535"/>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238577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i="0" cap="all" baseline="0">
                <a:effectLst/>
              </a:rPr>
              <a:t>Número de desembolsos por tamaño empresarial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pieChart>
        <c:varyColors val="1"/>
        <c:ser>
          <c:idx val="0"/>
          <c:order val="0"/>
          <c:tx>
            <c:strRef>
              <c:f>TAMAÑO!$C$2</c:f>
              <c:strCache>
                <c:ptCount val="1"/>
                <c:pt idx="0">
                  <c:v>Microempresa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9B4-4F68-920B-75714D63134D}"/>
              </c:ext>
            </c:extLst>
          </c:dPt>
          <c:dLbls>
            <c:dLbl>
              <c:idx val="0"/>
              <c:layout>
                <c:manualLayout>
                  <c:x val="-0.20937609361329834"/>
                  <c:y val="-0.1422346165062700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9B4-4F68-920B-75714D63134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TAMAÑO!$D$1:$E$1</c:f>
              <c:strCache>
                <c:ptCount val="1"/>
                <c:pt idx="0">
                  <c:v>PORCENTAJE</c:v>
                </c:pt>
              </c:strCache>
            </c:strRef>
          </c:cat>
          <c:val>
            <c:numRef>
              <c:f>TAMAÑO!$D$2:$E$2</c:f>
              <c:numCache>
                <c:formatCode>0.00%</c:formatCode>
                <c:ptCount val="1"/>
                <c:pt idx="0">
                  <c:v>0.99992730444896771</c:v>
                </c:pt>
              </c:numCache>
            </c:numRef>
          </c:val>
          <c:extLst>
            <c:ext xmlns:c16="http://schemas.microsoft.com/office/drawing/2014/chart" uri="{C3380CC4-5D6E-409C-BE32-E72D297353CC}">
              <c16:uniqueId val="{00000002-E9B4-4F68-920B-75714D63134D}"/>
            </c:ext>
          </c:extLst>
        </c:ser>
        <c:ser>
          <c:idx val="1"/>
          <c:order val="1"/>
          <c:tx>
            <c:strRef>
              <c:f>TAMAÑO!$C$3</c:f>
              <c:strCache>
                <c:ptCount val="1"/>
                <c:pt idx="0">
                  <c:v>Pequeña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4-E9B4-4F68-920B-75714D63134D}"/>
              </c:ext>
            </c:extLst>
          </c:dPt>
          <c:cat>
            <c:strRef>
              <c:f>TAMAÑO!$D$1:$E$1</c:f>
              <c:strCache>
                <c:ptCount val="1"/>
                <c:pt idx="0">
                  <c:v>PORCENTAJE</c:v>
                </c:pt>
              </c:strCache>
            </c:strRef>
          </c:cat>
          <c:val>
            <c:numRef>
              <c:f>TAMAÑO!$D$3:$E$3</c:f>
              <c:numCache>
                <c:formatCode>0.00%</c:formatCode>
                <c:ptCount val="1"/>
                <c:pt idx="0">
                  <c:v>7.2695551032276822E-5</c:v>
                </c:pt>
              </c:numCache>
            </c:numRef>
          </c:val>
          <c:extLst>
            <c:ext xmlns:c16="http://schemas.microsoft.com/office/drawing/2014/chart" uri="{C3380CC4-5D6E-409C-BE32-E72D297353CC}">
              <c16:uniqueId val="{00000005-E9B4-4F68-920B-75714D63134D}"/>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sz="1800" b="0" i="0" baseline="0">
                <a:effectLst/>
              </a:rPr>
              <a:t>OPERACIONES POR TASA DE INTERES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dLbl>
              <c:idx val="0"/>
              <c:layout>
                <c:manualLayout>
                  <c:x val="0"/>
                  <c:y val="-0.1018518518518519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010-4CDB-8551-165DA3B8B3E9}"/>
                </c:ext>
              </c:extLst>
            </c:dLbl>
            <c:dLbl>
              <c:idx val="1"/>
              <c:layout>
                <c:manualLayout>
                  <c:x val="-5.0925337632079971E-17"/>
                  <c:y val="-8.79629629629629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010-4CDB-8551-165DA3B8B3E9}"/>
                </c:ext>
              </c:extLst>
            </c:dLbl>
            <c:dLbl>
              <c:idx val="2"/>
              <c:layout>
                <c:manualLayout>
                  <c:x val="1.3888888888888888E-2"/>
                  <c:y val="-0.1296296296296297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010-4CDB-8551-165DA3B8B3E9}"/>
                </c:ext>
              </c:extLst>
            </c:dLbl>
            <c:dLbl>
              <c:idx val="3"/>
              <c:layout>
                <c:manualLayout>
                  <c:x val="2.7777777777777779E-3"/>
                  <c:y val="-0.1481481481481482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010-4CDB-8551-165DA3B8B3E9}"/>
                </c:ext>
              </c:extLst>
            </c:dLbl>
            <c:dLbl>
              <c:idx val="4"/>
              <c:layout>
                <c:manualLayout>
                  <c:x val="1.6666666666666566E-2"/>
                  <c:y val="-0.3564814814814814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010-4CDB-8551-165DA3B8B3E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'TASA '!$H$1:$H$5</c:f>
              <c:strCache>
                <c:ptCount val="5"/>
                <c:pt idx="0">
                  <c:v>ENTRE EL 10% Y 20% </c:v>
                </c:pt>
                <c:pt idx="1">
                  <c:v>ENTRE EL 20% Y 30%</c:v>
                </c:pt>
                <c:pt idx="2">
                  <c:v>ENTRE EL 30% Y 40%</c:v>
                </c:pt>
                <c:pt idx="3">
                  <c:v>ENTRE EL 40% Y 50% </c:v>
                </c:pt>
                <c:pt idx="4">
                  <c:v>MAYOR A 50%</c:v>
                </c:pt>
              </c:strCache>
            </c:strRef>
          </c:cat>
          <c:val>
            <c:numRef>
              <c:f>'TASA '!$I$1:$I$5</c:f>
              <c:numCache>
                <c:formatCode>General</c:formatCode>
                <c:ptCount val="5"/>
                <c:pt idx="0">
                  <c:v>108</c:v>
                </c:pt>
                <c:pt idx="1">
                  <c:v>871</c:v>
                </c:pt>
                <c:pt idx="2">
                  <c:v>1895</c:v>
                </c:pt>
                <c:pt idx="3">
                  <c:v>2169</c:v>
                </c:pt>
                <c:pt idx="4">
                  <c:v>8713</c:v>
                </c:pt>
              </c:numCache>
            </c:numRef>
          </c:val>
          <c:extLst>
            <c:ext xmlns:c16="http://schemas.microsoft.com/office/drawing/2014/chart" uri="{C3380CC4-5D6E-409C-BE32-E72D297353CC}">
              <c16:uniqueId val="{00000005-B010-4CDB-8551-165DA3B8B3E9}"/>
            </c:ext>
          </c:extLst>
        </c:ser>
        <c:dLbls>
          <c:showLegendKey val="0"/>
          <c:showVal val="0"/>
          <c:showCatName val="0"/>
          <c:showSerName val="0"/>
          <c:showPercent val="0"/>
          <c:showBubbleSize val="0"/>
        </c:dLbls>
        <c:gapWidth val="150"/>
        <c:shape val="box"/>
        <c:axId val="236916447"/>
        <c:axId val="236916863"/>
        <c:axId val="0"/>
      </c:bar3DChart>
      <c:catAx>
        <c:axId val="23691644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36916863"/>
        <c:crosses val="autoZero"/>
        <c:auto val="1"/>
        <c:lblAlgn val="ctr"/>
        <c:lblOffset val="100"/>
        <c:noMultiLvlLbl val="0"/>
      </c:catAx>
      <c:valAx>
        <c:axId val="2369168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369164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CONCENTRACIÓN TASAS MAS ALTAS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'TASA INTE'!$F$2:$F$7</c:f>
              <c:strCache>
                <c:ptCount val="6"/>
                <c:pt idx="0">
                  <c:v>COOPERATIVA DE AHORRO Y CREDITO NACIONAL</c:v>
                </c:pt>
                <c:pt idx="1">
                  <c:v>CREDIFUTURO DE NARIÑO SAS</c:v>
                </c:pt>
                <c:pt idx="2">
                  <c:v>BCO. DE LAS MICROFINANZAS BANCAMIA S.A</c:v>
                </c:pt>
                <c:pt idx="3">
                  <c:v>CREZCAMOS S.A. COMPAÑIA DE FINANCIAMIENTO</c:v>
                </c:pt>
                <c:pt idx="4">
                  <c:v>BCO. CONTACTAR SA</c:v>
                </c:pt>
                <c:pt idx="5">
                  <c:v>MIBANCO BANCO DE LA MICROEMPRESA DE COLOMBIA SA</c:v>
                </c:pt>
              </c:strCache>
            </c:strRef>
          </c:cat>
          <c:val>
            <c:numRef>
              <c:f>'TASA INTE'!$G$2:$G$7</c:f>
              <c:numCache>
                <c:formatCode>General</c:formatCode>
                <c:ptCount val="6"/>
                <c:pt idx="0">
                  <c:v>67</c:v>
                </c:pt>
                <c:pt idx="1">
                  <c:v>29</c:v>
                </c:pt>
                <c:pt idx="2">
                  <c:v>299</c:v>
                </c:pt>
                <c:pt idx="3">
                  <c:v>1456</c:v>
                </c:pt>
                <c:pt idx="4">
                  <c:v>2664</c:v>
                </c:pt>
                <c:pt idx="5">
                  <c:v>4148</c:v>
                </c:pt>
              </c:numCache>
            </c:numRef>
          </c:val>
          <c:extLst>
            <c:ext xmlns:c16="http://schemas.microsoft.com/office/drawing/2014/chart" uri="{C3380CC4-5D6E-409C-BE32-E72D297353CC}">
              <c16:uniqueId val="{00000000-A0B5-4882-A5FA-4B1273BFEB66}"/>
            </c:ext>
          </c:extLst>
        </c:ser>
        <c:dLbls>
          <c:showLegendKey val="0"/>
          <c:showVal val="0"/>
          <c:showCatName val="0"/>
          <c:showSerName val="0"/>
          <c:showPercent val="0"/>
          <c:showBubbleSize val="0"/>
        </c:dLbls>
        <c:gapWidth val="150"/>
        <c:shape val="box"/>
        <c:axId val="1585438047"/>
        <c:axId val="1585433055"/>
        <c:axId val="0"/>
      </c:bar3DChart>
      <c:catAx>
        <c:axId val="158543804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85433055"/>
        <c:crosses val="autoZero"/>
        <c:auto val="1"/>
        <c:lblAlgn val="ctr"/>
        <c:lblOffset val="100"/>
        <c:noMultiLvlLbl val="0"/>
      </c:catAx>
      <c:valAx>
        <c:axId val="15854330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854380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DA887-B4F1-4978-A3C1-835A148E9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7</Pages>
  <Words>1072</Words>
  <Characters>5896</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Orozco Giraldo</dc:creator>
  <cp:keywords/>
  <dc:description/>
  <cp:lastModifiedBy>Angie Lorena Murcia Currea - Cont</cp:lastModifiedBy>
  <cp:revision>65</cp:revision>
  <cp:lastPrinted>2026-05-20T14:47:00Z</cp:lastPrinted>
  <dcterms:created xsi:type="dcterms:W3CDTF">2026-03-16T21:10:00Z</dcterms:created>
  <dcterms:modified xsi:type="dcterms:W3CDTF">2026-05-28T18:40:00Z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30ae86aa-7763-4a15-b993-0884f858e0a5</vt:lpwstr>
  </property>
</Properties>
</file>