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371B1A52"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696F849F" w:rsidRPr="00D23BA9">
        <w:rPr>
          <w:rFonts w:ascii="Verdana" w:hAnsi="Verdana" w:cs="Arial"/>
          <w:b/>
          <w:bCs/>
          <w:lang w:val="es-ES"/>
        </w:rPr>
        <w:t>5</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051FB64" w14:textId="17F5C724" w:rsidR="22C0DA5B" w:rsidRPr="00D23BA9" w:rsidRDefault="16AAF97D" w:rsidP="00F81A20">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lastRenderedPageBreak/>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F81A20"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lang w:val="es-CO"/>
        </w:rPr>
      </w:pPr>
      <w:r w:rsidRPr="00F81A20">
        <w:rPr>
          <w:rFonts w:ascii="Verdana" w:hAnsi="Verdana" w:cs="Arial"/>
          <w:b/>
          <w:bCs/>
          <w:sz w:val="22"/>
          <w:szCs w:val="22"/>
          <w:lang w:val="es-CO"/>
        </w:rPr>
        <w:t xml:space="preserve">Aportes Legales: </w:t>
      </w:r>
      <w:r w:rsidR="00187A52" w:rsidRPr="00F81A20">
        <w:rPr>
          <w:rFonts w:ascii="Verdana" w:hAnsi="Verdana" w:cs="Arial"/>
          <w:sz w:val="22"/>
          <w:szCs w:val="22"/>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F81A20">
        <w:rPr>
          <w:rFonts w:ascii="Verdana" w:hAnsi="Verdana" w:cs="Arial"/>
          <w:sz w:val="22"/>
          <w:szCs w:val="22"/>
          <w:lang w:val="es-CO"/>
        </w:rPr>
        <w:t>.</w:t>
      </w:r>
      <w:r w:rsidRPr="00F81A20">
        <w:rPr>
          <w:rFonts w:ascii="Verdana" w:hAnsi="Verdana" w:cs="Arial"/>
          <w:b/>
          <w:bCs/>
          <w:sz w:val="22"/>
          <w:szCs w:val="22"/>
          <w:lang w:val="es-CO"/>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w:t>
      </w:r>
      <w:r w:rsidRPr="00D23BA9">
        <w:rPr>
          <w:rFonts w:ascii="Verdana" w:hAnsi="Verdana" w:cs="Arial"/>
          <w:sz w:val="22"/>
          <w:szCs w:val="22"/>
          <w:lang w:val="es-ES"/>
        </w:rPr>
        <w:lastRenderedPageBreak/>
        <w:t xml:space="preserve">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w:t>
      </w:r>
      <w:r w:rsidRPr="00D23BA9">
        <w:rPr>
          <w:rFonts w:ascii="Verdana" w:hAnsi="Verdana" w:cs="Arial"/>
          <w:sz w:val="22"/>
          <w:szCs w:val="22"/>
          <w:lang w:val="es-ES"/>
        </w:rPr>
        <w:lastRenderedPageBreak/>
        <w:t>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w:t>
      </w:r>
      <w:r w:rsidR="00B3691A" w:rsidRPr="00D23BA9">
        <w:rPr>
          <w:rFonts w:ascii="Verdana" w:hAnsi="Verdana" w:cs="Arial"/>
          <w:sz w:val="22"/>
          <w:szCs w:val="22"/>
          <w:lang w:val="es-CO"/>
        </w:rPr>
        <w:lastRenderedPageBreak/>
        <w:t>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Engineering, Procurement and Construction</w:t>
      </w:r>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w:t>
      </w:r>
      <w:r w:rsidR="00B3691A" w:rsidRPr="00D23BA9">
        <w:rPr>
          <w:rFonts w:ascii="Verdana" w:hAnsi="Verdana" w:cs="Arial"/>
          <w:sz w:val="22"/>
          <w:szCs w:val="22"/>
          <w:lang w:val="es-ES"/>
        </w:rPr>
        <w:lastRenderedPageBreak/>
        <w:t>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 xml:space="preserve">Seguimiento y cumplimiento de la legislación ambiental vigente y específica para el proyecto, así como de los controles </w:t>
      </w:r>
      <w:r w:rsidRPr="00D23BA9">
        <w:rPr>
          <w:rFonts w:ascii="Verdana" w:hAnsi="Verdana" w:cs="Arial"/>
          <w:bCs/>
          <w:sz w:val="22"/>
          <w:szCs w:val="22"/>
          <w:lang w:val="es-ES"/>
        </w:rPr>
        <w:lastRenderedPageBreak/>
        <w:t>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F81A20"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F81A20">
        <w:rPr>
          <w:rFonts w:ascii="Verdana" w:hAnsi="Verdana" w:cs="Arial"/>
          <w:b/>
          <w:bCs/>
          <w:sz w:val="22"/>
          <w:szCs w:val="22"/>
          <w:lang w:val="es-CO"/>
        </w:rPr>
        <w:t>Pliego de Condiciones Tipo</w:t>
      </w:r>
      <w:r w:rsidRPr="00F81A20">
        <w:rPr>
          <w:rFonts w:ascii="Verdana" w:hAnsi="Verdana" w:cs="Arial"/>
          <w:sz w:val="22"/>
          <w:szCs w:val="22"/>
          <w:lang w:val="es-CO"/>
        </w:rPr>
        <w:t xml:space="preserve">: </w:t>
      </w:r>
      <w:r w:rsidR="4A5593C6" w:rsidRPr="00F81A20">
        <w:rPr>
          <w:rFonts w:ascii="Verdana" w:hAnsi="Verdana" w:cs="Arial"/>
          <w:sz w:val="22"/>
          <w:szCs w:val="22"/>
          <w:lang w:val="es-CO"/>
        </w:rPr>
        <w:t xml:space="preserve">Documento estructurado, actualizado y publicado por </w:t>
      </w:r>
      <w:r w:rsidR="1AA8A239" w:rsidRPr="00F81A20">
        <w:rPr>
          <w:rFonts w:ascii="Verdana" w:hAnsi="Verdana" w:cs="Arial"/>
          <w:sz w:val="22"/>
          <w:szCs w:val="22"/>
          <w:lang w:val="es-CO"/>
        </w:rPr>
        <w:t xml:space="preserve">la Agencia Nacional de Contratación </w:t>
      </w:r>
      <w:r w:rsidR="180DE065" w:rsidRPr="00F81A20">
        <w:rPr>
          <w:rFonts w:ascii="Verdana" w:hAnsi="Verdana" w:cs="Arial"/>
          <w:sz w:val="22"/>
          <w:szCs w:val="22"/>
          <w:lang w:val="es-CO"/>
        </w:rPr>
        <w:t xml:space="preserve">Pública - </w:t>
      </w:r>
      <w:r w:rsidR="4A5593C6" w:rsidRPr="00F81A20">
        <w:rPr>
          <w:rFonts w:ascii="Verdana" w:hAnsi="Verdana" w:cs="Arial"/>
          <w:sz w:val="22"/>
          <w:szCs w:val="22"/>
          <w:lang w:val="es-CO"/>
        </w:rPr>
        <w:t>Colombia Compra Eficiente que incorpora las condiciones habilitantes, requisitos de puntaje y demás aspectos señalados en el artículo 1 de la Ley 2022 de 2020</w:t>
      </w:r>
      <w:r w:rsidRPr="00F81A20">
        <w:rPr>
          <w:rFonts w:ascii="Verdana" w:hAnsi="Verdana" w:cs="Arial"/>
          <w:sz w:val="22"/>
          <w:szCs w:val="22"/>
          <w:lang w:val="es-CO"/>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Ciclopista: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Material granular resultante de la desintegración natural de las rocas cuyo tamaño oscila entre 2 mm y 8 mm.</w:t>
      </w:r>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r w:rsidR="5624FF75" w:rsidRPr="00D23BA9">
        <w:rPr>
          <w:rFonts w:ascii="Verdana" w:eastAsia="Arial" w:hAnsi="Verdana" w:cs="Arial"/>
          <w:sz w:val="22"/>
          <w:szCs w:val="22"/>
          <w:lang w:val="es-ES"/>
        </w:rPr>
        <w:t>recreo deportivos</w:t>
      </w:r>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médico, cuidado intermedio, consulta externa, consulta virtual, triage,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 xml:space="preserve">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asi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F81A20">
        <w:rPr>
          <w:rFonts w:ascii="Verdana" w:hAnsi="Verdana"/>
          <w:sz w:val="28"/>
          <w:szCs w:val="28"/>
          <w:lang w:val="pt-BR"/>
        </w:rPr>
        <w:tab/>
      </w:r>
      <w:r w:rsidRPr="00D23BA9">
        <w:rPr>
          <w:rFonts w:ascii="Verdana" w:eastAsia="Arial" w:hAnsi="Verdana" w:cs="Arial"/>
          <w:sz w:val="22"/>
          <w:szCs w:val="22"/>
          <w:lang w:val="pt-BR"/>
        </w:rPr>
        <w:t>Arquitectura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F81A20">
        <w:rPr>
          <w:rFonts w:ascii="Verdana" w:hAnsi="Verdana"/>
          <w:sz w:val="28"/>
          <w:szCs w:val="28"/>
          <w:lang w:val="pt-BR"/>
        </w:rPr>
        <w:tab/>
      </w:r>
      <w:r w:rsidRPr="00D23BA9">
        <w:rPr>
          <w:rFonts w:ascii="Verdana" w:eastAsia="Arial" w:hAnsi="Verdana" w:cs="Arial"/>
          <w:sz w:val="22"/>
          <w:szCs w:val="22"/>
          <w:lang w:val="pt-BR"/>
        </w:rPr>
        <w:t>Arquitectura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F81A20">
        <w:rPr>
          <w:rFonts w:ascii="Verdana" w:hAnsi="Verdana"/>
          <w:sz w:val="28"/>
          <w:szCs w:val="28"/>
          <w:lang w:val="pt-BR"/>
        </w:rPr>
        <w:tab/>
      </w:r>
      <w:r w:rsidRPr="00D23BA9">
        <w:rPr>
          <w:rFonts w:ascii="Verdana" w:eastAsia="Arial" w:hAnsi="Verdana" w:cs="Arial"/>
          <w:sz w:val="22"/>
          <w:szCs w:val="22"/>
          <w:lang w:val="pt-BR"/>
        </w:rPr>
        <w:t>Arquitectura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F81A20">
        <w:rPr>
          <w:rFonts w:ascii="Verdana" w:hAnsi="Verdana"/>
          <w:sz w:val="28"/>
          <w:szCs w:val="28"/>
          <w:lang w:val="pt-BR"/>
        </w:rPr>
        <w:tab/>
      </w:r>
      <w:r w:rsidRPr="00D23BA9">
        <w:rPr>
          <w:rFonts w:ascii="Verdana" w:eastAsia="Arial" w:hAnsi="Verdana" w:cs="Arial"/>
          <w:sz w:val="22"/>
          <w:szCs w:val="22"/>
          <w:lang w:val="pt-BR"/>
        </w:rPr>
        <w:t>Arquitectura institucional</w:t>
      </w:r>
    </w:p>
    <w:p w14:paraId="166FFD7B" w14:textId="78B91C44" w:rsidR="4B35280D" w:rsidRPr="00F81A20" w:rsidRDefault="4B35280D" w:rsidP="00D23BA9">
      <w:pPr>
        <w:ind w:left="851" w:hanging="851"/>
        <w:jc w:val="both"/>
        <w:rPr>
          <w:rFonts w:ascii="Verdana" w:eastAsia="Calibri" w:hAnsi="Verdana" w:cs="Calibri"/>
          <w:lang w:val="pt-BR"/>
        </w:rPr>
      </w:pPr>
      <w:r w:rsidRPr="00D23BA9">
        <w:rPr>
          <w:rFonts w:ascii="Verdana" w:eastAsia="Arial" w:hAnsi="Verdana" w:cs="Arial"/>
          <w:sz w:val="22"/>
          <w:szCs w:val="22"/>
          <w:lang w:val="pt-BR"/>
        </w:rPr>
        <w:t>•</w:t>
      </w:r>
      <w:r w:rsidRPr="00F81A20">
        <w:rPr>
          <w:rFonts w:ascii="Verdana" w:hAnsi="Verdana"/>
          <w:sz w:val="28"/>
          <w:szCs w:val="28"/>
          <w:lang w:val="pt-BR"/>
        </w:rPr>
        <w:tab/>
      </w:r>
      <w:r w:rsidRPr="00D23BA9">
        <w:rPr>
          <w:rFonts w:ascii="Verdana" w:eastAsia="Arial" w:hAnsi="Verdana" w:cs="Arial"/>
          <w:sz w:val="22"/>
          <w:szCs w:val="22"/>
          <w:lang w:val="pt-BR"/>
        </w:rPr>
        <w:t>Arquitectura para el comercio</w:t>
      </w:r>
      <w:r w:rsidRPr="00F81A20">
        <w:rPr>
          <w:rFonts w:ascii="Verdana" w:eastAsia="Calibri" w:hAnsi="Verdana" w:cs="Calibri"/>
          <w:lang w:val="pt-BR"/>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Persona pospenada:</w:t>
      </w:r>
      <w:r w:rsidRPr="00D23BA9">
        <w:rPr>
          <w:rFonts w:ascii="Verdana" w:eastAsia="Arial" w:hAnsi="Verdana" w:cs="Arial"/>
          <w:sz w:val="22"/>
          <w:szCs w:val="22"/>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04199217" w14:textId="77777777" w:rsidR="00F81A20" w:rsidRPr="00F81A20" w:rsidRDefault="5DD2BE7F" w:rsidP="00F81A20">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4062856" w14:textId="77777777" w:rsidR="00F81A20" w:rsidRPr="00F81A20" w:rsidRDefault="00F81A20" w:rsidP="00F81A20">
      <w:pPr>
        <w:pStyle w:val="Prrafodelista"/>
        <w:rPr>
          <w:rFonts w:ascii="Verdana" w:eastAsia="Arial" w:hAnsi="Verdana" w:cs="Arial"/>
          <w:sz w:val="22"/>
          <w:szCs w:val="22"/>
          <w:lang w:val="es-ES"/>
        </w:rPr>
      </w:pPr>
    </w:p>
    <w:p w14:paraId="68B7EB66" w14:textId="79E93EC2" w:rsidR="00E56956" w:rsidRPr="00F81A20" w:rsidRDefault="1180BE99" w:rsidP="00F81A20">
      <w:pPr>
        <w:pStyle w:val="Prrafodelista"/>
        <w:spacing w:after="240"/>
        <w:ind w:left="851"/>
        <w:jc w:val="both"/>
        <w:rPr>
          <w:rFonts w:ascii="Verdana" w:eastAsia="Arial" w:hAnsi="Verdana" w:cs="Arial"/>
          <w:sz w:val="22"/>
          <w:szCs w:val="22"/>
          <w:lang w:val="es-ES"/>
        </w:rPr>
      </w:pPr>
      <w:r w:rsidRPr="00F81A20">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 xml:space="preserve">Espacio que tiene como una de sus principales funciones conservar y difundir el conocimiento, la historia y la cultura, además de ofrecer servicios de préstamo de libros o material bibliográfico, allí reposan bienes materiales relevantes para la sociedad como obras </w:t>
      </w:r>
      <w:r w:rsidRPr="00D23BA9">
        <w:rPr>
          <w:rFonts w:ascii="Verdana" w:hAnsi="Verdana" w:cstheme="minorHAnsi"/>
          <w:sz w:val="22"/>
          <w:szCs w:val="22"/>
          <w:lang w:val="es-ES"/>
        </w:rPr>
        <w:lastRenderedPageBreak/>
        <w:t>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w:t>
      </w:r>
      <w:r w:rsidR="564B3A39" w:rsidRPr="00D23BA9">
        <w:rPr>
          <w:rFonts w:ascii="Verdana" w:eastAsiaTheme="minorEastAsia" w:hAnsi="Verdana" w:cstheme="minorBidi"/>
          <w:sz w:val="22"/>
          <w:szCs w:val="22"/>
          <w:lang w:val="es-ES" w:eastAsia="es-ES"/>
        </w:rPr>
        <w:lastRenderedPageBreak/>
        <w:t xml:space="preserve">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lastRenderedPageBreak/>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 xml:space="preserve">Son los índices que determinan la intervención máxima requerida para la construcción o adecuación de edificaciones en el suelo rural, en función de racionalizar la </w:t>
      </w:r>
      <w:r w:rsidRPr="00D23BA9">
        <w:rPr>
          <w:rFonts w:ascii="Verdana" w:eastAsiaTheme="minorEastAsia" w:hAnsi="Verdana" w:cstheme="minorHAnsi"/>
          <w:sz w:val="22"/>
          <w:szCs w:val="22"/>
          <w:lang w:val="es-ES" w:eastAsia="es-ES"/>
        </w:rPr>
        <w:lastRenderedPageBreak/>
        <w:t>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deque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w:t>
      </w:r>
      <w:r w:rsidRPr="00D23BA9">
        <w:rPr>
          <w:rFonts w:ascii="Verdana" w:hAnsi="Verdana" w:cstheme="minorHAnsi"/>
          <w:sz w:val="22"/>
          <w:szCs w:val="22"/>
          <w:lang w:val="es-ES"/>
        </w:rPr>
        <w:lastRenderedPageBreak/>
        <w:t>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w:t>
      </w:r>
      <w:r w:rsidRPr="00D23BA9">
        <w:rPr>
          <w:rFonts w:ascii="Verdana" w:eastAsiaTheme="minorEastAsia" w:hAnsi="Verdana" w:cstheme="minorBidi"/>
          <w:sz w:val="22"/>
          <w:szCs w:val="22"/>
          <w:lang w:eastAsia="es-ES"/>
        </w:rPr>
        <w:lastRenderedPageBreak/>
        <w:t>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xml:space="preserve">: Conjunto de personas y bienes promovida por las autoridades públicas o por particulares, cuya finalidad es prestar un año de educación preescolar y nueve (9) grados de educación básica como mínimo y la media. Deben contar con licencia de funcionamiento o </w:t>
      </w:r>
      <w:r w:rsidRPr="00D23BA9">
        <w:rPr>
          <w:rFonts w:ascii="Verdana" w:hAnsi="Verdana" w:cstheme="minorHAnsi"/>
          <w:sz w:val="22"/>
          <w:szCs w:val="22"/>
          <w:lang w:val="es-ES"/>
        </w:rPr>
        <w:lastRenderedPageBreak/>
        <w:t>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w:t>
      </w:r>
      <w:r w:rsidRPr="00D23BA9">
        <w:rPr>
          <w:rFonts w:ascii="Verdana" w:eastAsiaTheme="minorEastAsia" w:hAnsi="Verdana" w:cstheme="minorHAnsi"/>
          <w:sz w:val="22"/>
          <w:szCs w:val="22"/>
          <w:lang w:val="es-ES" w:eastAsia="es-ES"/>
        </w:rPr>
        <w:lastRenderedPageBreak/>
        <w:t>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w:t>
      </w:r>
      <w:r w:rsidRPr="00D23BA9">
        <w:rPr>
          <w:rFonts w:ascii="Verdana" w:eastAsiaTheme="minorEastAsia" w:hAnsi="Verdana" w:cstheme="minorHAnsi"/>
          <w:sz w:val="22"/>
          <w:szCs w:val="22"/>
          <w:lang w:val="es-ES" w:eastAsia="es-ES"/>
        </w:rPr>
        <w:lastRenderedPageBreak/>
        <w:t>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xml:space="preserve"> Parques en los que entre el 1% y el 30% de área está destinada a la recreación activa, permitiendo </w:t>
      </w:r>
      <w:r w:rsidRPr="00D23BA9">
        <w:rPr>
          <w:rFonts w:ascii="Verdana" w:hAnsi="Verdana" w:cstheme="minorHAnsi"/>
          <w:sz w:val="22"/>
          <w:szCs w:val="22"/>
          <w:lang w:val="es-ES"/>
        </w:rPr>
        <w:lastRenderedPageBreak/>
        <w:t>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w:t>
      </w:r>
      <w:r w:rsidRPr="00D23BA9">
        <w:rPr>
          <w:rFonts w:ascii="Verdana" w:hAnsi="Verdana" w:cstheme="minorHAnsi"/>
          <w:sz w:val="22"/>
          <w:szCs w:val="22"/>
          <w:lang w:val="es-ES"/>
        </w:rPr>
        <w:lastRenderedPageBreak/>
        <w:t>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lastRenderedPageBreak/>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subespecializado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(artículo </w:t>
      </w:r>
      <w:r w:rsidRPr="00D23BA9">
        <w:rPr>
          <w:rFonts w:ascii="Verdana" w:eastAsiaTheme="minorEastAsia" w:hAnsi="Verdana" w:cstheme="minorHAnsi"/>
          <w:sz w:val="22"/>
          <w:szCs w:val="22"/>
          <w:lang w:eastAsia="es-ES"/>
        </w:rPr>
        <w:lastRenderedPageBreak/>
        <w:t>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dependiendo </w:t>
      </w:r>
      <w:r w:rsidRPr="00D23BA9">
        <w:rPr>
          <w:rFonts w:ascii="Verdana" w:eastAsiaTheme="minorEastAsia" w:hAnsi="Verdana" w:cstheme="minorHAnsi"/>
          <w:sz w:val="22"/>
          <w:szCs w:val="22"/>
          <w:lang w:eastAsia="es-ES"/>
        </w:rPr>
        <w:lastRenderedPageBreak/>
        <w:t>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35213" w14:textId="77777777" w:rsidR="00D23C61" w:rsidRDefault="00D23C61" w:rsidP="004F2C35">
      <w:r>
        <w:separator/>
      </w:r>
    </w:p>
  </w:endnote>
  <w:endnote w:type="continuationSeparator" w:id="0">
    <w:p w14:paraId="5CBE9702" w14:textId="77777777" w:rsidR="00D23C61" w:rsidRDefault="00D23C61" w:rsidP="004F2C35">
      <w:r>
        <w:continuationSeparator/>
      </w:r>
    </w:p>
  </w:endnote>
  <w:endnote w:type="continuationNotice" w:id="1">
    <w:p w14:paraId="1686DCFE" w14:textId="77777777" w:rsidR="00D23C61" w:rsidRDefault="00D23C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7E0986DC" w:rsidR="00702111" w:rsidRPr="000B34F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w:t>
    </w:r>
    <w:r w:rsidR="003A7AB8" w:rsidRPr="000B34F9">
      <w:rPr>
        <w:rFonts w:ascii="Verdana" w:hAnsi="Verdana" w:cs="Arial"/>
        <w:color w:val="1A1818" w:themeColor="accent1"/>
        <w:sz w:val="18"/>
        <w:szCs w:val="18"/>
      </w:rPr>
      <w:t>1</w:t>
    </w:r>
    <w:r w:rsidRPr="000B34F9">
      <w:rPr>
        <w:rFonts w:ascii="Verdana" w:hAnsi="Verdana" w:cs="Arial"/>
        <w:color w:val="1A1818" w:themeColor="accent1"/>
        <w:sz w:val="18"/>
        <w:szCs w:val="18"/>
      </w:rPr>
      <w:t xml:space="preserve"> del </w:t>
    </w:r>
    <w:r w:rsidR="000B34F9">
      <w:rPr>
        <w:rFonts w:ascii="Verdana" w:hAnsi="Verdana" w:cs="Arial"/>
        <w:color w:val="1A1818" w:themeColor="accent1"/>
        <w:sz w:val="18"/>
        <w:szCs w:val="18"/>
      </w:rPr>
      <w:t>21</w:t>
    </w:r>
    <w:r w:rsidRPr="000B34F9">
      <w:rPr>
        <w:rFonts w:ascii="Verdana" w:hAnsi="Verdana" w:cs="Arial"/>
        <w:color w:val="1A1818" w:themeColor="accent1"/>
        <w:sz w:val="18"/>
        <w:szCs w:val="18"/>
      </w:rPr>
      <w:t xml:space="preserve"> de </w:t>
    </w:r>
    <w:r w:rsidR="000B34F9">
      <w:rPr>
        <w:rFonts w:ascii="Verdana" w:hAnsi="Verdana" w:cs="Arial"/>
        <w:color w:val="1A1818" w:themeColor="accent1"/>
        <w:sz w:val="18"/>
        <w:szCs w:val="18"/>
      </w:rPr>
      <w:t>agosto</w:t>
    </w:r>
    <w:r w:rsidRPr="000B34F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92CAC" w14:textId="77777777" w:rsidR="00D23C61" w:rsidRDefault="00D23C61" w:rsidP="004F2C35">
      <w:r>
        <w:separator/>
      </w:r>
    </w:p>
  </w:footnote>
  <w:footnote w:type="continuationSeparator" w:id="0">
    <w:p w14:paraId="4A9ACE90" w14:textId="77777777" w:rsidR="00D23C61" w:rsidRDefault="00D23C61" w:rsidP="004F2C35">
      <w:r>
        <w:continuationSeparator/>
      </w:r>
    </w:p>
  </w:footnote>
  <w:footnote w:type="continuationNotice" w:id="1">
    <w:p w14:paraId="223141DA" w14:textId="77777777" w:rsidR="00D23C61" w:rsidRDefault="00D23C61"/>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81A20" w:rsidRDefault="000B19F2">
      <w:pPr>
        <w:pStyle w:val="Textonotapie"/>
        <w:rPr>
          <w:rFonts w:asciiTheme="minorHAnsi" w:hAnsiTheme="minorHAnsi" w:cstheme="minorHAnsi"/>
          <w:sz w:val="16"/>
          <w:szCs w:val="16"/>
          <w:lang w:val="pt-BR"/>
        </w:rPr>
      </w:pPr>
      <w:r w:rsidRPr="00FA119E">
        <w:rPr>
          <w:rStyle w:val="Refdenotaalpie"/>
          <w:rFonts w:asciiTheme="minorHAnsi" w:hAnsiTheme="minorHAnsi" w:cstheme="minorHAnsi"/>
          <w:sz w:val="16"/>
          <w:szCs w:val="16"/>
        </w:rPr>
        <w:footnoteRef/>
      </w:r>
      <w:r w:rsidRPr="00F81A20">
        <w:rPr>
          <w:rFonts w:asciiTheme="minorHAnsi" w:hAnsiTheme="minorHAnsi" w:cstheme="minorHAnsi"/>
          <w:sz w:val="16"/>
          <w:szCs w:val="16"/>
          <w:lang w:val="pt-BR"/>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9A066" w14:textId="45529B4F" w:rsidR="007B3A97" w:rsidRPr="007B3A97"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ANEXO 5 – GLOSARIO</w:t>
    </w:r>
  </w:p>
  <w:p w14:paraId="67993770" w14:textId="7C5B334E" w:rsidR="000B19F2"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LICITACIÓN DE OBRA PÚBLICA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2143232482">
    <w:abstractNumId w:val="2"/>
  </w:num>
  <w:num w:numId="2" w16cid:durableId="1731688593">
    <w:abstractNumId w:val="5"/>
  </w:num>
  <w:num w:numId="3" w16cid:durableId="697781188">
    <w:abstractNumId w:val="11"/>
  </w:num>
  <w:num w:numId="4" w16cid:durableId="1474519127">
    <w:abstractNumId w:val="7"/>
  </w:num>
  <w:num w:numId="5" w16cid:durableId="1410694079">
    <w:abstractNumId w:val="15"/>
  </w:num>
  <w:num w:numId="6" w16cid:durableId="923026780">
    <w:abstractNumId w:val="9"/>
  </w:num>
  <w:num w:numId="7" w16cid:durableId="192349187">
    <w:abstractNumId w:val="12"/>
  </w:num>
  <w:num w:numId="8" w16cid:durableId="596209619">
    <w:abstractNumId w:val="0"/>
  </w:num>
  <w:num w:numId="9" w16cid:durableId="1030646963">
    <w:abstractNumId w:val="8"/>
  </w:num>
  <w:num w:numId="10" w16cid:durableId="156961967">
    <w:abstractNumId w:val="13"/>
  </w:num>
  <w:num w:numId="11" w16cid:durableId="191580673">
    <w:abstractNumId w:val="14"/>
  </w:num>
  <w:num w:numId="12" w16cid:durableId="1221867470">
    <w:abstractNumId w:val="4"/>
  </w:num>
  <w:num w:numId="13" w16cid:durableId="288829318">
    <w:abstractNumId w:val="3"/>
  </w:num>
  <w:num w:numId="14" w16cid:durableId="780880690">
    <w:abstractNumId w:val="10"/>
  </w:num>
  <w:num w:numId="15" w16cid:durableId="1348865372">
    <w:abstractNumId w:val="1"/>
  </w:num>
  <w:num w:numId="16" w16cid:durableId="16340418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5D23"/>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3C61"/>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A20"/>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A1E41CF-47DC-4697-B85D-62A50A2A1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67</Pages>
  <Words>23715</Words>
  <Characters>130437</Characters>
  <Application>Microsoft Office Word</Application>
  <DocSecurity>0</DocSecurity>
  <Lines>1086</Lines>
  <Paragraphs>307</Paragraphs>
  <ScaleCrop>false</ScaleCrop>
  <Company/>
  <LinksUpToDate>false</LinksUpToDate>
  <CharactersWithSpaces>153845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Jairo Gomez Rodriguez</cp:lastModifiedBy>
  <cp:revision>122</cp:revision>
  <cp:lastPrinted>2022-06-28T19:25:00Z</cp:lastPrinted>
  <dcterms:created xsi:type="dcterms:W3CDTF">2024-06-06T15:04:00Z</dcterms:created>
  <dcterms:modified xsi:type="dcterms:W3CDTF">2026-07-27T22:40:00Z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