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0B1124EA" w14:textId="2831468F" w:rsidR="002F66D1" w:rsidRPr="00D23BA9" w:rsidRDefault="16AAF97D" w:rsidP="540FEC18">
      <w:pPr>
        <w:jc w:val="both"/>
        <w:rPr>
          <w:rFonts w:ascii="Verdana" w:hAnsi="Verdana" w:cs="Arial"/>
          <w:sz w:val="22"/>
          <w:szCs w:val="22"/>
          <w:highlight w:val="lightGray"/>
          <w:lang w:val="es-ES"/>
        </w:rPr>
      </w:pPr>
      <w:r w:rsidRPr="00D23BA9">
        <w:rPr>
          <w:rFonts w:ascii="Verdana" w:hAnsi="Verdana" w:cs="Arial"/>
          <w:sz w:val="22"/>
          <w:szCs w:val="22"/>
          <w:lang w:val="es-ES"/>
        </w:rPr>
        <w:t>Para efectos de interpretación del pliego de condiciones: [</w:t>
      </w:r>
      <w:r w:rsidRPr="00D23BA9">
        <w:rPr>
          <w:rFonts w:ascii="Verdana" w:hAnsi="Verdana" w:cs="Arial"/>
          <w:sz w:val="22"/>
          <w:szCs w:val="22"/>
          <w:highlight w:val="lightGray"/>
          <w:lang w:val="es-ES"/>
        </w:rPr>
        <w:t xml:space="preserve">La </w:t>
      </w:r>
      <w:r w:rsidR="31BFDC30" w:rsidRPr="00D23BA9">
        <w:rPr>
          <w:rFonts w:ascii="Verdana" w:eastAsia="Arial" w:hAnsi="Verdana" w:cs="Arial"/>
          <w:sz w:val="22"/>
          <w:szCs w:val="22"/>
          <w:highlight w:val="lightGray"/>
          <w:lang w:val="es-ES"/>
        </w:rPr>
        <w:t>E</w:t>
      </w:r>
      <w:r w:rsidRPr="00D23BA9">
        <w:rPr>
          <w:rFonts w:ascii="Verdana" w:eastAsia="Arial" w:hAnsi="Verdana" w:cs="Arial"/>
          <w:sz w:val="22"/>
          <w:szCs w:val="22"/>
          <w:highlight w:val="lightGray"/>
          <w:lang w:val="es-ES"/>
        </w:rPr>
        <w:t>ntidad</w:t>
      </w:r>
      <w:r w:rsidRPr="00D23BA9">
        <w:rPr>
          <w:rFonts w:ascii="Verdana" w:hAnsi="Verdana" w:cs="Arial"/>
          <w:sz w:val="22"/>
          <w:szCs w:val="22"/>
          <w:highlight w:val="lightGray"/>
          <w:lang w:val="es-ES"/>
        </w:rPr>
        <w:t xml:space="preserve"> </w:t>
      </w:r>
      <w:r w:rsidR="1B92E055" w:rsidRPr="00D23BA9">
        <w:rPr>
          <w:rFonts w:ascii="Verdana" w:hAnsi="Verdana" w:cs="Arial"/>
          <w:sz w:val="22"/>
          <w:szCs w:val="22"/>
          <w:highlight w:val="lightGray"/>
          <w:lang w:val="es-ES"/>
        </w:rPr>
        <w:t xml:space="preserve">deberá </w:t>
      </w:r>
      <w:r w:rsidRPr="00D23BA9">
        <w:rPr>
          <w:rFonts w:ascii="Verdana" w:hAnsi="Verdana" w:cs="Arial"/>
          <w:sz w:val="22"/>
          <w:szCs w:val="22"/>
          <w:highlight w:val="lightGray"/>
          <w:lang w:val="es-ES"/>
        </w:rPr>
        <w:t>incluir en orden alfabético los conceptos</w:t>
      </w:r>
      <w:r w:rsidR="38595D24" w:rsidRPr="00D23BA9">
        <w:rPr>
          <w:rFonts w:ascii="Verdana" w:hAnsi="Verdana" w:cs="Arial"/>
          <w:sz w:val="22"/>
          <w:szCs w:val="22"/>
          <w:highlight w:val="lightGray"/>
          <w:lang w:val="es-ES"/>
        </w:rPr>
        <w:t xml:space="preserve"> y/o definiciones </w:t>
      </w:r>
      <w:r w:rsidRPr="00D23BA9">
        <w:rPr>
          <w:rFonts w:ascii="Verdana" w:hAnsi="Verdana" w:cs="Arial"/>
          <w:sz w:val="22"/>
          <w:szCs w:val="22"/>
          <w:highlight w:val="lightGray"/>
          <w:lang w:val="es-ES"/>
        </w:rPr>
        <w:t xml:space="preserve">adicionales que apliquen al </w:t>
      </w:r>
      <w:r w:rsidR="31BFDC30" w:rsidRPr="00D23BA9">
        <w:rPr>
          <w:rFonts w:ascii="Verdana" w:eastAsia="Arial" w:hAnsi="Verdana" w:cs="Arial"/>
          <w:sz w:val="22"/>
          <w:szCs w:val="22"/>
          <w:highlight w:val="lightGray"/>
          <w:lang w:val="es-ES"/>
        </w:rPr>
        <w:t>P</w:t>
      </w:r>
      <w:r w:rsidRPr="00D23BA9">
        <w:rPr>
          <w:rFonts w:ascii="Verdana" w:eastAsia="Arial" w:hAnsi="Verdana" w:cs="Arial"/>
          <w:sz w:val="22"/>
          <w:szCs w:val="22"/>
          <w:highlight w:val="lightGray"/>
          <w:lang w:val="es-ES"/>
        </w:rPr>
        <w:t>roceso</w:t>
      </w:r>
      <w:r w:rsidRPr="00D23BA9">
        <w:rPr>
          <w:rFonts w:ascii="Verdana" w:hAnsi="Verdana" w:cs="Arial"/>
          <w:sz w:val="22"/>
          <w:szCs w:val="22"/>
          <w:highlight w:val="lightGray"/>
          <w:lang w:val="es-ES"/>
        </w:rPr>
        <w:t xml:space="preserve"> de </w:t>
      </w:r>
      <w:r w:rsidR="31BFDC30" w:rsidRPr="00D23BA9">
        <w:rPr>
          <w:rFonts w:ascii="Verdana" w:eastAsia="Arial" w:hAnsi="Verdana" w:cs="Arial"/>
          <w:sz w:val="22"/>
          <w:szCs w:val="22"/>
          <w:highlight w:val="lightGray"/>
          <w:lang w:val="es-ES"/>
        </w:rPr>
        <w:t>Contratación</w:t>
      </w:r>
      <w:r w:rsidR="31BFDC30" w:rsidRPr="00D23BA9">
        <w:rPr>
          <w:rFonts w:ascii="Verdana" w:hAnsi="Verdana" w:cs="Arial"/>
          <w:sz w:val="22"/>
          <w:szCs w:val="22"/>
          <w:highlight w:val="lightGray"/>
          <w:lang w:val="es-ES"/>
        </w:rPr>
        <w:t xml:space="preserve"> </w:t>
      </w:r>
      <w:r w:rsidRPr="00D23BA9">
        <w:rPr>
          <w:rFonts w:ascii="Verdana" w:hAnsi="Verdana" w:cs="Arial"/>
          <w:sz w:val="22"/>
          <w:szCs w:val="22"/>
          <w:highlight w:val="lightGray"/>
          <w:lang w:val="es-ES"/>
        </w:rPr>
        <w:t>que no estén incorporados en el presente anexo</w:t>
      </w:r>
      <w:r w:rsidR="720252D3" w:rsidRPr="00D23BA9">
        <w:rPr>
          <w:rFonts w:ascii="Verdana" w:hAnsi="Verdana" w:cs="Arial"/>
          <w:sz w:val="22"/>
          <w:szCs w:val="22"/>
          <w:highlight w:val="lightGray"/>
          <w:lang w:val="es-ES"/>
        </w:rPr>
        <w:t xml:space="preserve"> y </w:t>
      </w:r>
      <w:r w:rsidRPr="00D23BA9">
        <w:rPr>
          <w:rFonts w:ascii="Verdana" w:hAnsi="Verdana" w:cs="Arial"/>
          <w:sz w:val="22"/>
          <w:szCs w:val="22"/>
          <w:highlight w:val="lightGray"/>
          <w:lang w:val="es-ES"/>
        </w:rPr>
        <w:t>se definan en una ley o normativa que en orden de jerarquía esté por encima del pliego de condiciones, siendo estos obligatorios con independencia de que se encuentren detallados, o no.</w:t>
      </w:r>
    </w:p>
    <w:p w14:paraId="27CD1360" w14:textId="0DE86AE0" w:rsidR="002F66D1" w:rsidRPr="00D23BA9" w:rsidRDefault="002F66D1" w:rsidP="540FEC18">
      <w:pPr>
        <w:jc w:val="both"/>
        <w:rPr>
          <w:rFonts w:ascii="Verdana" w:hAnsi="Verdana" w:cs="Arial"/>
          <w:sz w:val="22"/>
          <w:szCs w:val="22"/>
          <w:highlight w:val="lightGray"/>
          <w:lang w:val="es-ES"/>
        </w:rPr>
      </w:pPr>
    </w:p>
    <w:p w14:paraId="0A44CF9A" w14:textId="4E861123" w:rsidR="002F66D1" w:rsidRPr="00D23BA9" w:rsidRDefault="7AF27B7A" w:rsidP="540FEC18">
      <w:pPr>
        <w:jc w:val="both"/>
        <w:rPr>
          <w:rFonts w:ascii="Verdana" w:hAnsi="Verdana" w:cs="Arial"/>
          <w:sz w:val="22"/>
          <w:szCs w:val="22"/>
          <w:lang w:val="es-ES"/>
        </w:rPr>
      </w:pPr>
      <w:r w:rsidRPr="00D23BA9">
        <w:rPr>
          <w:rFonts w:ascii="Verdana" w:hAnsi="Verdana" w:cs="Arial"/>
          <w:sz w:val="22"/>
          <w:szCs w:val="22"/>
          <w:highlight w:val="lightGray"/>
          <w:lang w:val="es-ES"/>
        </w:rPr>
        <w:t>En caso de definiciones propias de la entidad o que no se encuentren definidas en una ley o normativa de mayor jerarquía al pliego de condiciones, l</w:t>
      </w:r>
      <w:r w:rsidR="0586D46D" w:rsidRPr="00D23BA9">
        <w:rPr>
          <w:rFonts w:ascii="Verdana" w:hAnsi="Verdana" w:cs="Arial"/>
          <w:sz w:val="22"/>
          <w:szCs w:val="22"/>
          <w:highlight w:val="lightGray"/>
          <w:lang w:val="es-ES"/>
        </w:rPr>
        <w:t xml:space="preserve">a </w:t>
      </w:r>
      <w:r w:rsidR="0586D46D" w:rsidRPr="00D23BA9">
        <w:rPr>
          <w:rFonts w:ascii="Verdana" w:eastAsia="Arial" w:hAnsi="Verdana" w:cs="Arial"/>
          <w:sz w:val="22"/>
          <w:szCs w:val="22"/>
          <w:highlight w:val="lightGray"/>
          <w:lang w:val="es-ES"/>
        </w:rPr>
        <w:t>Entidad</w:t>
      </w:r>
      <w:r w:rsidR="0586D46D" w:rsidRPr="00D23BA9">
        <w:rPr>
          <w:rFonts w:ascii="Verdana" w:hAnsi="Verdana" w:cs="Arial"/>
          <w:sz w:val="22"/>
          <w:szCs w:val="22"/>
          <w:highlight w:val="lightGray"/>
          <w:lang w:val="es-ES"/>
        </w:rPr>
        <w:t xml:space="preserve"> podrá incluir en orden alfabético los conceptos y/o definiciones adicionales </w:t>
      </w:r>
      <w:r w:rsidR="561C7B11" w:rsidRPr="00D23BA9">
        <w:rPr>
          <w:rFonts w:ascii="Verdana" w:hAnsi="Verdana" w:cs="Arial"/>
          <w:sz w:val="22"/>
          <w:szCs w:val="22"/>
          <w:highlight w:val="lightGray"/>
          <w:lang w:val="es-ES"/>
        </w:rPr>
        <w:t xml:space="preserve">para lo cual </w:t>
      </w:r>
      <w:r w:rsidR="2935E101" w:rsidRPr="00D23BA9">
        <w:rPr>
          <w:rFonts w:ascii="Verdana" w:hAnsi="Verdana" w:cs="Arial"/>
          <w:sz w:val="22"/>
          <w:szCs w:val="22"/>
          <w:highlight w:val="lightGray"/>
          <w:lang w:val="es-ES"/>
        </w:rPr>
        <w:t xml:space="preserve">deberá definir de manera amplia, clara y suficiente cada uno de </w:t>
      </w:r>
      <w:r w:rsidR="27888748" w:rsidRPr="00D23BA9">
        <w:rPr>
          <w:rFonts w:ascii="Verdana" w:hAnsi="Verdana" w:cs="Arial"/>
          <w:sz w:val="22"/>
          <w:szCs w:val="22"/>
          <w:highlight w:val="lightGray"/>
          <w:lang w:val="es-ES"/>
        </w:rPr>
        <w:t>ellos</w:t>
      </w:r>
      <w:r w:rsidR="7CFBC7F6" w:rsidRPr="00D23BA9">
        <w:rPr>
          <w:rFonts w:ascii="Verdana" w:hAnsi="Verdana" w:cs="Arial"/>
          <w:sz w:val="22"/>
          <w:szCs w:val="22"/>
          <w:highlight w:val="lightGray"/>
          <w:lang w:val="es-ES"/>
        </w:rPr>
        <w:t xml:space="preserve">, sin que se preste a ambigüedades </w:t>
      </w:r>
      <w:r w:rsidR="09C6502D" w:rsidRPr="00D23BA9">
        <w:rPr>
          <w:rFonts w:ascii="Verdana" w:hAnsi="Verdana" w:cs="Arial"/>
          <w:sz w:val="22"/>
          <w:szCs w:val="22"/>
          <w:highlight w:val="lightGray"/>
          <w:lang w:val="es-ES"/>
        </w:rPr>
        <w:t>o sea contraria a la definición técnica y jurídica comúnmente utilizada</w:t>
      </w:r>
      <w:r w:rsidR="0586D46D" w:rsidRPr="00D23BA9">
        <w:rPr>
          <w:rFonts w:ascii="Verdana" w:hAnsi="Verdana" w:cs="Arial"/>
          <w:sz w:val="22"/>
          <w:szCs w:val="22"/>
          <w:highlight w:val="lightGray"/>
          <w:lang w:val="es-ES"/>
        </w:rPr>
        <w:t>.</w:t>
      </w:r>
      <w:r w:rsidR="16AAF97D" w:rsidRPr="00D23BA9">
        <w:rPr>
          <w:rFonts w:ascii="Verdana" w:hAnsi="Verdana" w:cs="Arial"/>
          <w:sz w:val="22"/>
          <w:szCs w:val="22"/>
          <w:lang w:val="es-ES"/>
        </w:rPr>
        <w:t xml:space="preserve"> </w:t>
      </w:r>
    </w:p>
    <w:p w14:paraId="24EE210D" w14:textId="34BC3717" w:rsidR="22C0DA5B" w:rsidRPr="00D23BA9" w:rsidRDefault="22C0DA5B" w:rsidP="22C0DA5B">
      <w:pPr>
        <w:jc w:val="both"/>
        <w:rPr>
          <w:rFonts w:ascii="Verdana" w:hAnsi="Verdana" w:cs="Arial"/>
          <w:sz w:val="22"/>
          <w:szCs w:val="22"/>
          <w:lang w:val="es-ES"/>
        </w:rPr>
      </w:pPr>
    </w:p>
    <w:p w14:paraId="5DDF1567" w14:textId="38320EA4" w:rsidR="3520600D" w:rsidRPr="00D23BA9" w:rsidRDefault="392CF354" w:rsidP="22C0DA5B">
      <w:pPr>
        <w:jc w:val="both"/>
        <w:rPr>
          <w:rFonts w:ascii="Verdana" w:hAnsi="Verdana" w:cs="Arial"/>
          <w:sz w:val="22"/>
          <w:szCs w:val="22"/>
          <w:lang w:val="es-ES"/>
        </w:rPr>
      </w:pPr>
      <w:r w:rsidRPr="00D23BA9">
        <w:rPr>
          <w:rFonts w:ascii="Verdana" w:hAnsi="Verdana" w:cs="Arial"/>
          <w:sz w:val="22"/>
          <w:szCs w:val="22"/>
          <w:highlight w:val="lightGray"/>
          <w:lang w:val="es-ES"/>
        </w:rPr>
        <w:t>La entidad podrá hacer uso de las definiciones establecidas en cualquiera de los glosarios que hagan parte de los D</w:t>
      </w:r>
      <w:r w:rsidR="70E30498" w:rsidRPr="00D23BA9">
        <w:rPr>
          <w:rFonts w:ascii="Verdana" w:hAnsi="Verdana" w:cs="Arial"/>
          <w:sz w:val="22"/>
          <w:szCs w:val="22"/>
          <w:highlight w:val="lightGray"/>
          <w:lang w:val="es-ES"/>
        </w:rPr>
        <w:t xml:space="preserve">ocumentos </w:t>
      </w:r>
      <w:r w:rsidRPr="00D23BA9">
        <w:rPr>
          <w:rFonts w:ascii="Verdana" w:hAnsi="Verdana" w:cs="Arial"/>
          <w:sz w:val="22"/>
          <w:szCs w:val="22"/>
          <w:highlight w:val="lightGray"/>
          <w:lang w:val="es-ES"/>
        </w:rPr>
        <w:t>T</w:t>
      </w:r>
      <w:r w:rsidR="2F31D755" w:rsidRPr="00D23BA9">
        <w:rPr>
          <w:rFonts w:ascii="Verdana" w:hAnsi="Verdana" w:cs="Arial"/>
          <w:sz w:val="22"/>
          <w:szCs w:val="22"/>
          <w:highlight w:val="lightGray"/>
          <w:lang w:val="es-ES"/>
        </w:rPr>
        <w:t>ipo vigentes</w:t>
      </w:r>
      <w:r w:rsidRPr="00D23BA9">
        <w:rPr>
          <w:rFonts w:ascii="Verdana" w:hAnsi="Verdana" w:cs="Arial"/>
          <w:sz w:val="22"/>
          <w:szCs w:val="22"/>
          <w:highlight w:val="lightGray"/>
          <w:lang w:val="es-ES"/>
        </w:rPr>
        <w:t xml:space="preserve"> expedidos por </w:t>
      </w:r>
      <w:r w:rsidR="237B3C62" w:rsidRPr="00D23BA9">
        <w:rPr>
          <w:rFonts w:ascii="Verdana" w:hAnsi="Verdana" w:cs="Arial"/>
          <w:sz w:val="22"/>
          <w:szCs w:val="22"/>
          <w:highlight w:val="lightGray"/>
          <w:lang w:val="es-ES"/>
        </w:rPr>
        <w:t xml:space="preserve">parte de la ANCP-CCE en caso de </w:t>
      </w:r>
      <w:r w:rsidR="1BA86769" w:rsidRPr="00D23BA9">
        <w:rPr>
          <w:rFonts w:ascii="Verdana" w:hAnsi="Verdana" w:cs="Arial"/>
          <w:sz w:val="22"/>
          <w:szCs w:val="22"/>
          <w:highlight w:val="lightGray"/>
          <w:lang w:val="es-ES"/>
        </w:rPr>
        <w:t>ser requerido</w:t>
      </w:r>
      <w:r w:rsidRPr="00D23BA9">
        <w:rPr>
          <w:rFonts w:ascii="Verdana" w:hAnsi="Verdana" w:cs="Arial"/>
          <w:sz w:val="22"/>
          <w:szCs w:val="22"/>
          <w:highlight w:val="lightGray"/>
          <w:lang w:val="es-ES"/>
        </w:rPr>
        <w:t>]</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Los activos representan recursos contralados por la empresa producto de sucesos pasados de los cuales espera obtener beneficios económicos </w:t>
      </w:r>
      <w:r w:rsidRPr="00D23BA9">
        <w:rPr>
          <w:rFonts w:ascii="Verdana" w:hAnsi="Verdana" w:cs="Arial"/>
          <w:sz w:val="22"/>
          <w:szCs w:val="22"/>
          <w:lang w:val="es-ES"/>
        </w:rPr>
        <w:lastRenderedPageBreak/>
        <w:t>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lastRenderedPageBreak/>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por</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w:t>
      </w:r>
      <w:proofErr w:type="spellStart"/>
      <w:r w:rsidR="00187A52" w:rsidRPr="00D23BA9">
        <w:rPr>
          <w:rFonts w:ascii="Verdana" w:hAnsi="Verdana" w:cs="Arial"/>
          <w:sz w:val="22"/>
          <w:szCs w:val="22"/>
        </w:rPr>
        <w:t>que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los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Condiciones financieras mínimas que debe tener un Proponente en razón de su liquidez, endeudamiento y los demás </w:t>
      </w:r>
      <w:r w:rsidR="00B3691A" w:rsidRPr="00D23BA9">
        <w:rPr>
          <w:rFonts w:ascii="Verdana" w:hAnsi="Verdana" w:cs="Arial"/>
          <w:sz w:val="22"/>
          <w:szCs w:val="22"/>
          <w:lang w:val="es-ES"/>
        </w:rPr>
        <w:lastRenderedPageBreak/>
        <w:t>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w:t>
      </w:r>
      <w:r w:rsidR="00B3691A" w:rsidRPr="00D23BA9">
        <w:rPr>
          <w:rFonts w:ascii="Verdana" w:hAnsi="Verdana" w:cs="Arial"/>
          <w:sz w:val="22"/>
          <w:szCs w:val="22"/>
          <w:lang w:val="es-ES"/>
        </w:rPr>
        <w:lastRenderedPageBreak/>
        <w:t>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w:t>
      </w:r>
      <w:r w:rsidRPr="00D23BA9">
        <w:rPr>
          <w:rFonts w:ascii="Verdana" w:hAnsi="Verdana" w:cs="Arial"/>
          <w:bCs/>
          <w:sz w:val="22"/>
          <w:szCs w:val="22"/>
          <w:lang w:val="es-ES"/>
        </w:rPr>
        <w:lastRenderedPageBreak/>
        <w:t>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xml:space="preserve">: Verificación de que el objeto y los recursos y procesos técnicos que conducen a su obtención se realicen de acuerdo con </w:t>
      </w:r>
      <w:r w:rsidRPr="00D23BA9">
        <w:rPr>
          <w:rFonts w:ascii="Verdana" w:hAnsi="Verdana" w:cs="Arial"/>
          <w:bCs/>
          <w:sz w:val="22"/>
          <w:szCs w:val="22"/>
          <w:lang w:val="es-ES"/>
        </w:rPr>
        <w:lastRenderedPageBreak/>
        <w:t>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 xml:space="preserve">Pliego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Agencia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r w:rsidR="180DE065" w:rsidRPr="00D23BA9">
        <w:rPr>
          <w:rFonts w:ascii="Verdana" w:hAnsi="Verdana" w:cs="Arial"/>
          <w:sz w:val="22"/>
          <w:szCs w:val="22"/>
        </w:rPr>
        <w:t xml:space="preserve">Pública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que</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w:t>
      </w:r>
      <w:r w:rsidR="00B3691A" w:rsidRPr="00D23BA9">
        <w:rPr>
          <w:rFonts w:ascii="Verdana" w:hAnsi="Verdana" w:cs="Arial"/>
          <w:sz w:val="22"/>
          <w:szCs w:val="22"/>
          <w:lang w:val="es-ES"/>
        </w:rPr>
        <w:lastRenderedPageBreak/>
        <w:t xml:space="preserve">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 xml:space="preserve">dos o más personas en forma conjunta se unen para la presentación de una propuesta, celebrar y </w:t>
      </w:r>
      <w:r w:rsidR="00D37E60" w:rsidRPr="00D23BA9">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w:t>
      </w:r>
      <w:r w:rsidRPr="00D23BA9">
        <w:rPr>
          <w:rFonts w:ascii="Verdana" w:eastAsia="Arial" w:hAnsi="Verdana" w:cs="Arial"/>
          <w:sz w:val="22"/>
          <w:szCs w:val="22"/>
          <w:lang w:val="es-ES"/>
        </w:rPr>
        <w:lastRenderedPageBreak/>
        <w:t xml:space="preserve">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 xml:space="preserve">Corresponden a los suelos que, debido a las dinámicas urbanas y su vocación, se les asigna un determinado régimen de usos. Las Áreas de Actividad son: Residencial, Múltiple, Dotacional e </w:t>
      </w:r>
      <w:r w:rsidRPr="00D23BA9">
        <w:rPr>
          <w:rFonts w:ascii="Verdana" w:eastAsia="Arial" w:hAnsi="Verdana" w:cs="Arial"/>
          <w:sz w:val="22"/>
          <w:szCs w:val="22"/>
          <w:lang w:val="es-ES"/>
        </w:rPr>
        <w:lastRenderedPageBreak/>
        <w:t>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La declaratoria de interés cultural podrá recaer sobre un bien material en particular, o sobre una determinada colección o conjunto caso en el cual </w:t>
      </w:r>
      <w:r w:rsidRPr="00D23BA9">
        <w:rPr>
          <w:rFonts w:ascii="Verdana" w:eastAsia="Arial" w:hAnsi="Verdana" w:cs="Arial"/>
          <w:sz w:val="22"/>
          <w:szCs w:val="22"/>
          <w:lang w:val="es-ES" w:eastAsia="es-ES"/>
        </w:rPr>
        <w:lastRenderedPageBreak/>
        <w:t>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lastRenderedPageBreak/>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 xml:space="preserve">Equipamientos de atención a la comunidad que deben funcionar durante y después de un sismo, cuya </w:t>
      </w:r>
      <w:r w:rsidRPr="00D23BA9">
        <w:rPr>
          <w:rFonts w:ascii="Verdana" w:eastAsia="Arial" w:hAnsi="Verdana" w:cs="Arial"/>
          <w:sz w:val="22"/>
          <w:szCs w:val="22"/>
          <w:lang w:val="es-ES"/>
        </w:rPr>
        <w:lastRenderedPageBreak/>
        <w:t>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 xml:space="preserve">Conjunto de inmuebles públicos y los elementos arquitectónicos y naturales de los inmuebles privados destinados por naturaleza, usos o afectación a la satisfacción de necesidades urbanas </w:t>
      </w:r>
      <w:r w:rsidRPr="00D23BA9">
        <w:rPr>
          <w:rFonts w:ascii="Verdana" w:eastAsia="Arial" w:hAnsi="Verdana" w:cs="Arial"/>
          <w:sz w:val="22"/>
          <w:szCs w:val="22"/>
          <w:lang w:val="es-ES"/>
        </w:rPr>
        <w:lastRenderedPageBreak/>
        <w:t>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 xml:space="preserve">Es el conjunto de áreas que contienen elementos bióticos y abióticos que dan sustento a los procesos </w:t>
      </w:r>
      <w:r w:rsidRPr="00D23BA9">
        <w:rPr>
          <w:rFonts w:ascii="Verdana" w:eastAsia="Arial" w:hAnsi="Verdana" w:cs="Arial"/>
          <w:sz w:val="22"/>
          <w:szCs w:val="22"/>
          <w:lang w:val="es-ES"/>
        </w:rPr>
        <w:lastRenderedPageBreak/>
        <w:t>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w:t>
      </w:r>
      <w:r w:rsidRPr="00D23BA9">
        <w:rPr>
          <w:rFonts w:ascii="Verdana" w:eastAsia="Arial" w:hAnsi="Verdana" w:cs="Arial"/>
          <w:sz w:val="22"/>
          <w:szCs w:val="22"/>
          <w:lang w:val="es-ES"/>
        </w:rPr>
        <w:lastRenderedPageBreak/>
        <w:t xml:space="preserve">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w:t>
      </w:r>
      <w:r w:rsidRPr="00D23BA9">
        <w:rPr>
          <w:rFonts w:ascii="Verdana" w:eastAsia="Arial" w:hAnsi="Verdana" w:cs="Arial"/>
          <w:sz w:val="22"/>
          <w:szCs w:val="22"/>
          <w:lang w:val="es-ES"/>
        </w:rPr>
        <w:lastRenderedPageBreak/>
        <w:t xml:space="preserve">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lastRenderedPageBreak/>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 xml:space="preserve">Es el conjunto de equipamientos, elementos, instalaciones, edificaciones, dotaciones y espacios básicos, públicos y privados, destinados a la promoción de servicios y a la oferta social que demanda una comunidad para su desarrollo, funcionamiento y goce </w:t>
      </w:r>
      <w:r w:rsidRPr="00D23BA9">
        <w:rPr>
          <w:rFonts w:ascii="Verdana" w:eastAsia="Arial" w:hAnsi="Verdana" w:cs="Arial"/>
          <w:sz w:val="22"/>
          <w:szCs w:val="22"/>
          <w:lang w:val="es-ES"/>
        </w:rPr>
        <w:lastRenderedPageBreak/>
        <w:t>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xml:space="preserve">: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w:t>
      </w:r>
      <w:r w:rsidRPr="00D23BA9">
        <w:rPr>
          <w:rFonts w:ascii="Verdana" w:eastAsia="Arial" w:hAnsi="Verdana" w:cs="Arial"/>
          <w:sz w:val="22"/>
          <w:szCs w:val="22"/>
          <w:lang w:val="es-ES"/>
        </w:rPr>
        <w:lastRenderedPageBreak/>
        <w:t>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lastRenderedPageBreak/>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xml:space="preserve">, con el fin de que sigan </w:t>
      </w:r>
      <w:r w:rsidR="00127220" w:rsidRPr="00D23BA9">
        <w:rPr>
          <w:rFonts w:ascii="Verdana" w:eastAsia="Arial" w:hAnsi="Verdana" w:cs="Arial"/>
          <w:sz w:val="22"/>
          <w:szCs w:val="22"/>
          <w:lang w:val="es-ES"/>
        </w:rPr>
        <w:lastRenderedPageBreak/>
        <w:t>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w:t>
      </w:r>
      <w:r w:rsidRPr="00D23BA9">
        <w:rPr>
          <w:rFonts w:ascii="Verdana" w:eastAsia="Arial" w:hAnsi="Verdana" w:cs="Arial"/>
          <w:sz w:val="22"/>
          <w:szCs w:val="22"/>
          <w:lang w:val="es-ES"/>
        </w:rPr>
        <w:lastRenderedPageBreak/>
        <w:t>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 xml:space="preserve">Conjunto de acciones encaminadas a mejorar la capacidad, eficiencia y eficacia de la infraestructura, mediante su intervención parcial o total. se refiere a la aplicación de prácticas y estrategias para mejorar la eficiencia, funcionalidad y rendimiento de los </w:t>
      </w:r>
      <w:r w:rsidRPr="00D23BA9">
        <w:rPr>
          <w:rFonts w:ascii="Verdana" w:eastAsia="Arial" w:hAnsi="Verdana" w:cs="Arial"/>
          <w:sz w:val="22"/>
          <w:szCs w:val="22"/>
          <w:lang w:val="es-ES"/>
        </w:rPr>
        <w:lastRenderedPageBreak/>
        <w:t>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lastRenderedPageBreak/>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w:t>
      </w:r>
      <w:r w:rsidRPr="00D23BA9">
        <w:rPr>
          <w:rFonts w:ascii="Verdana" w:eastAsia="Arial" w:hAnsi="Verdana" w:cs="Arial"/>
          <w:sz w:val="22"/>
          <w:szCs w:val="22"/>
          <w:lang w:val="es-ES"/>
        </w:rPr>
        <w:lastRenderedPageBreak/>
        <w:t>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w:t>
      </w:r>
      <w:r w:rsidRPr="00D23BA9">
        <w:rPr>
          <w:rFonts w:ascii="Verdana" w:eastAsia="Arial" w:hAnsi="Verdana" w:cs="Arial"/>
          <w:sz w:val="22"/>
          <w:szCs w:val="22"/>
          <w:lang w:val="es-ES"/>
        </w:rPr>
        <w:lastRenderedPageBreak/>
        <w:t>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w:t>
      </w:r>
      <w:r w:rsidRPr="00D23BA9">
        <w:rPr>
          <w:rFonts w:ascii="Verdana" w:eastAsia="Arial" w:hAnsi="Verdana" w:cs="Arial"/>
          <w:sz w:val="22"/>
          <w:szCs w:val="22"/>
          <w:lang w:val="es-ES"/>
        </w:rPr>
        <w:lastRenderedPageBreak/>
        <w:t>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 xml:space="preserve">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w:t>
      </w:r>
      <w:r w:rsidRPr="00D23BA9">
        <w:rPr>
          <w:rFonts w:ascii="Verdana" w:eastAsia="Arial" w:hAnsi="Verdana" w:cs="Arial"/>
          <w:sz w:val="22"/>
          <w:szCs w:val="22"/>
          <w:lang w:val="es-ES"/>
        </w:rPr>
        <w:lastRenderedPageBreak/>
        <w:t>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w:t>
      </w:r>
      <w:r w:rsidR="30E8E45C" w:rsidRPr="00D23BA9">
        <w:rPr>
          <w:rFonts w:ascii="Verdana" w:eastAsiaTheme="minorEastAsia" w:hAnsi="Verdana" w:cstheme="minorBidi"/>
          <w:color w:val="000000"/>
          <w:sz w:val="22"/>
          <w:szCs w:val="22"/>
          <w:highlight w:val="lightGray"/>
          <w:lang w:eastAsia="es-ES"/>
        </w:rPr>
        <w:lastRenderedPageBreak/>
        <w:t>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w:t>
      </w:r>
      <w:r w:rsidR="564B3A39" w:rsidRPr="00D23BA9">
        <w:rPr>
          <w:rFonts w:ascii="Verdana" w:eastAsiaTheme="minorEastAsia" w:hAnsi="Verdana" w:cstheme="minorBidi"/>
          <w:sz w:val="22"/>
          <w:szCs w:val="22"/>
          <w:lang w:val="es-ES" w:eastAsia="es-ES"/>
        </w:rPr>
        <w:lastRenderedPageBreak/>
        <w:t xml:space="preserve">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w:t>
      </w:r>
      <w:r w:rsidRPr="00D23BA9">
        <w:rPr>
          <w:rFonts w:ascii="Verdana" w:hAnsi="Verdana" w:cstheme="minorHAnsi"/>
          <w:sz w:val="22"/>
          <w:szCs w:val="22"/>
          <w:lang w:val="es-ES"/>
        </w:rPr>
        <w:lastRenderedPageBreak/>
        <w:t xml:space="preserve">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w:t>
      </w:r>
      <w:r w:rsidRPr="00D23BA9">
        <w:rPr>
          <w:rFonts w:ascii="Verdana" w:hAnsi="Verdana" w:cstheme="minorHAnsi"/>
          <w:sz w:val="22"/>
          <w:szCs w:val="22"/>
          <w:lang w:val="es-ES"/>
        </w:rPr>
        <w:lastRenderedPageBreak/>
        <w:t xml:space="preserve">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lastRenderedPageBreak/>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w:t>
      </w:r>
      <w:r w:rsidRPr="00D23BA9">
        <w:rPr>
          <w:rFonts w:ascii="Verdana" w:eastAsiaTheme="minorEastAsia" w:hAnsi="Verdana" w:cstheme="minorBidi"/>
          <w:sz w:val="22"/>
          <w:szCs w:val="22"/>
          <w:lang w:eastAsia="es-ES"/>
        </w:rPr>
        <w:lastRenderedPageBreak/>
        <w:t>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lastRenderedPageBreak/>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w:t>
      </w:r>
      <w:r w:rsidRPr="00D23BA9">
        <w:rPr>
          <w:rFonts w:ascii="Verdana" w:hAnsi="Verdana" w:cstheme="minorHAnsi"/>
          <w:sz w:val="22"/>
          <w:szCs w:val="22"/>
          <w:lang w:val="es-ES"/>
        </w:rPr>
        <w:lastRenderedPageBreak/>
        <w:t xml:space="preserve">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 xml:space="preserve">Las Instituciones Educativas combinarán los recursos para brindar una educación de calidad, la evaluación permanente, el </w:t>
      </w:r>
      <w:r w:rsidRPr="00D23BA9">
        <w:rPr>
          <w:rFonts w:ascii="Verdana" w:hAnsi="Verdana" w:cstheme="minorBidi"/>
          <w:sz w:val="22"/>
          <w:szCs w:val="22"/>
          <w:lang w:val="es-ES"/>
        </w:rPr>
        <w:lastRenderedPageBreak/>
        <w:t>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w:t>
      </w:r>
      <w:r w:rsidRPr="00D23BA9">
        <w:rPr>
          <w:rFonts w:ascii="Verdana" w:hAnsi="Verdana" w:cstheme="minorHAnsi"/>
          <w:sz w:val="22"/>
          <w:szCs w:val="22"/>
          <w:lang w:val="es-ES"/>
        </w:rPr>
        <w:lastRenderedPageBreak/>
        <w:t>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w:t>
      </w:r>
      <w:r w:rsidRPr="00D23BA9">
        <w:rPr>
          <w:rFonts w:ascii="Verdana" w:eastAsia="Verdana" w:hAnsi="Verdana" w:cs="Verdana"/>
          <w:sz w:val="22"/>
          <w:szCs w:val="22"/>
        </w:rPr>
        <w:lastRenderedPageBreak/>
        <w:t xml:space="preserve">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 xml:space="preserve">estatal o parafiscal en dinero o especie entregado al beneficiario por la entidad otorgante </w:t>
      </w:r>
      <w:r w:rsidRPr="00D23BA9">
        <w:rPr>
          <w:rFonts w:ascii="Verdana" w:eastAsiaTheme="minorEastAsia" w:hAnsi="Verdana" w:cstheme="minorHAnsi"/>
          <w:sz w:val="22"/>
          <w:szCs w:val="22"/>
          <w:lang w:eastAsia="es-ES"/>
        </w:rPr>
        <w:lastRenderedPageBreak/>
        <w:t>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lastRenderedPageBreak/>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xml:space="preserve">. A partir de esta descripción esta Corporación ha identificado entonces dos elementos que configuran la </w:t>
      </w:r>
      <w:r w:rsidRPr="00D23BA9">
        <w:rPr>
          <w:rFonts w:ascii="Verdana" w:eastAsiaTheme="minorEastAsia" w:hAnsi="Verdana" w:cstheme="minorHAnsi"/>
          <w:sz w:val="22"/>
          <w:szCs w:val="22"/>
          <w:lang w:val="es-ES" w:eastAsia="es-ES"/>
        </w:rPr>
        <w:lastRenderedPageBreak/>
        <w:t>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7C9F7" w14:textId="77777777" w:rsidR="0083349F" w:rsidRDefault="0083349F" w:rsidP="004F2C35">
      <w:r>
        <w:separator/>
      </w:r>
    </w:p>
  </w:endnote>
  <w:endnote w:type="continuationSeparator" w:id="0">
    <w:p w14:paraId="2C0C5BA8" w14:textId="77777777" w:rsidR="0083349F" w:rsidRDefault="0083349F" w:rsidP="004F2C35">
      <w:r>
        <w:continuationSeparator/>
      </w:r>
    </w:p>
  </w:endnote>
  <w:endnote w:type="continuationNotice" w:id="1">
    <w:p w14:paraId="36ADDEB8" w14:textId="77777777" w:rsidR="0083349F" w:rsidRDefault="008334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907BA" w14:textId="77777777" w:rsidR="009E7CEF" w:rsidRDefault="009E7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1F66349A" w:rsidR="000B19F2" w:rsidRDefault="009E7CEF">
    <w:pPr>
      <w:pStyle w:val="Piedepgina"/>
      <w:jc w:val="right"/>
    </w:pPr>
    <w:r>
      <w:rPr>
        <w:noProof/>
      </w:rPr>
      <w:drawing>
        <wp:anchor distT="0" distB="0" distL="114300" distR="114300" simplePos="0" relativeHeight="251661312" behindDoc="1" locked="0" layoutInCell="1" allowOverlap="1" wp14:anchorId="2EFCC25A" wp14:editId="0C59DD7B">
          <wp:simplePos x="0" y="0"/>
          <wp:positionH relativeFrom="page">
            <wp:posOffset>26670</wp:posOffset>
          </wp:positionH>
          <wp:positionV relativeFrom="paragraph">
            <wp:posOffset>-138314</wp:posOffset>
          </wp:positionV>
          <wp:extent cx="7726913" cy="1217316"/>
          <wp:effectExtent l="0" t="0" r="7620" b="1905"/>
          <wp:wrapNone/>
          <wp:docPr id="1726096999" name="Imagen 2"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4322" name="Imagen 2" descr="Escala de tiem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726913" cy="1217316"/>
                  </a:xfrm>
                  <a:prstGeom prst="rect">
                    <a:avLst/>
                  </a:prstGeom>
                </pic:spPr>
              </pic:pic>
            </a:graphicData>
          </a:graphic>
          <wp14:sizeRelH relativeFrom="margin">
            <wp14:pctWidth>0</wp14:pctWidth>
          </wp14:sizeRelH>
          <wp14:sizeRelV relativeFrom="margin">
            <wp14:pctHeight>0</wp14:pctHeight>
          </wp14:sizeRelV>
        </wp:anchor>
      </w:drawing>
    </w:r>
  </w:p>
  <w:p w14:paraId="4A860892" w14:textId="77777777" w:rsidR="000B19F2" w:rsidRPr="00C50D27" w:rsidRDefault="000B19F2"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9AA82" w14:textId="77777777" w:rsidR="009E7CEF" w:rsidRDefault="009E7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AA73A" w14:textId="77777777" w:rsidR="0083349F" w:rsidRDefault="0083349F" w:rsidP="004F2C35">
      <w:r>
        <w:separator/>
      </w:r>
    </w:p>
  </w:footnote>
  <w:footnote w:type="continuationSeparator" w:id="0">
    <w:p w14:paraId="42CBF5F6" w14:textId="77777777" w:rsidR="0083349F" w:rsidRDefault="0083349F" w:rsidP="004F2C35">
      <w:r>
        <w:continuationSeparator/>
      </w:r>
    </w:p>
  </w:footnote>
  <w:footnote w:type="continuationNotice" w:id="1">
    <w:p w14:paraId="2E8C23CE" w14:textId="77777777" w:rsidR="0083349F" w:rsidRDefault="0083349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189D0" w14:textId="77777777" w:rsidR="009E7CEF" w:rsidRDefault="009E7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747BF" w14:textId="0D45B142" w:rsidR="009E7CEF" w:rsidRDefault="009E7CEF" w:rsidP="00C530F4">
    <w:pPr>
      <w:pStyle w:val="Encabezado"/>
      <w:jc w:val="center"/>
      <w:rPr>
        <w:rFonts w:ascii="Verdana" w:hAnsi="Verdana" w:cs="Arial"/>
        <w:b/>
        <w:bCs/>
        <w:sz w:val="22"/>
        <w:szCs w:val="22"/>
      </w:rPr>
    </w:pPr>
    <w:r>
      <w:rPr>
        <w:noProof/>
      </w:rPr>
      <w:drawing>
        <wp:anchor distT="0" distB="0" distL="114300" distR="114300" simplePos="0" relativeHeight="251659264" behindDoc="1" locked="0" layoutInCell="1" allowOverlap="1" wp14:anchorId="3865F794" wp14:editId="45488B09">
          <wp:simplePos x="0" y="0"/>
          <wp:positionH relativeFrom="page">
            <wp:posOffset>-738967</wp:posOffset>
          </wp:positionH>
          <wp:positionV relativeFrom="paragraph">
            <wp:posOffset>-512156</wp:posOffset>
          </wp:positionV>
          <wp:extent cx="10222008" cy="1261653"/>
          <wp:effectExtent l="0" t="0" r="0" b="0"/>
          <wp:wrapNone/>
          <wp:docPr id="1080558826"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32543" name="Imagen 1" descr="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0222008" cy="1261653"/>
                  </a:xfrm>
                  <a:prstGeom prst="rect">
                    <a:avLst/>
                  </a:prstGeom>
                </pic:spPr>
              </pic:pic>
            </a:graphicData>
          </a:graphic>
          <wp14:sizeRelH relativeFrom="margin">
            <wp14:pctWidth>0</wp14:pctWidth>
          </wp14:sizeRelH>
          <wp14:sizeRelV relativeFrom="margin">
            <wp14:pctHeight>0</wp14:pctHeight>
          </wp14:sizeRelV>
        </wp:anchor>
      </w:drawing>
    </w:r>
  </w:p>
  <w:p w14:paraId="2894836B" w14:textId="77777777" w:rsidR="009E7CEF" w:rsidRDefault="009E7CEF" w:rsidP="00C530F4">
    <w:pPr>
      <w:pStyle w:val="Encabezado"/>
      <w:jc w:val="center"/>
      <w:rPr>
        <w:rFonts w:ascii="Verdana" w:hAnsi="Verdana" w:cs="Arial"/>
        <w:b/>
        <w:bCs/>
        <w:sz w:val="22"/>
        <w:szCs w:val="22"/>
      </w:rPr>
    </w:pPr>
  </w:p>
  <w:p w14:paraId="79BB2CDC" w14:textId="77777777" w:rsidR="009E7CEF" w:rsidRDefault="009E7CEF" w:rsidP="00C530F4">
    <w:pPr>
      <w:pStyle w:val="Encabezado"/>
      <w:jc w:val="center"/>
      <w:rPr>
        <w:rFonts w:ascii="Verdana" w:hAnsi="Verdana" w:cs="Arial"/>
        <w:b/>
        <w:bCs/>
        <w:sz w:val="22"/>
        <w:szCs w:val="22"/>
      </w:rPr>
    </w:pPr>
  </w:p>
  <w:p w14:paraId="62E419F1" w14:textId="77777777" w:rsidR="009E7CEF" w:rsidRDefault="009E7CEF" w:rsidP="00C530F4">
    <w:pPr>
      <w:pStyle w:val="Encabezado"/>
      <w:jc w:val="center"/>
      <w:rPr>
        <w:rFonts w:ascii="Verdana" w:hAnsi="Verdana" w:cs="Arial"/>
        <w:b/>
        <w:bCs/>
        <w:sz w:val="22"/>
        <w:szCs w:val="22"/>
      </w:rPr>
    </w:pPr>
  </w:p>
  <w:p w14:paraId="3D4CCEDA" w14:textId="77777777" w:rsidR="009E7CEF" w:rsidRDefault="009E7CEF" w:rsidP="00C530F4">
    <w:pPr>
      <w:pStyle w:val="Encabezado"/>
      <w:jc w:val="center"/>
      <w:rPr>
        <w:rFonts w:ascii="Verdana" w:hAnsi="Verdana" w:cs="Arial"/>
        <w:b/>
        <w:bCs/>
        <w:sz w:val="22"/>
        <w:szCs w:val="22"/>
      </w:rPr>
    </w:pPr>
  </w:p>
  <w:p w14:paraId="02EA98E6" w14:textId="45ADF2EA"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54A1" w14:textId="77777777" w:rsidR="009E7CEF" w:rsidRDefault="009E7CEF">
    <w:pPr>
      <w:pStyle w:val="Encabezado"/>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395470689">
    <w:abstractNumId w:val="2"/>
  </w:num>
  <w:num w:numId="2" w16cid:durableId="2033023237">
    <w:abstractNumId w:val="5"/>
  </w:num>
  <w:num w:numId="3" w16cid:durableId="792137173">
    <w:abstractNumId w:val="11"/>
  </w:num>
  <w:num w:numId="4" w16cid:durableId="723874996">
    <w:abstractNumId w:val="7"/>
  </w:num>
  <w:num w:numId="5" w16cid:durableId="2140566347">
    <w:abstractNumId w:val="15"/>
  </w:num>
  <w:num w:numId="6" w16cid:durableId="1316490908">
    <w:abstractNumId w:val="9"/>
  </w:num>
  <w:num w:numId="7" w16cid:durableId="87506290">
    <w:abstractNumId w:val="12"/>
  </w:num>
  <w:num w:numId="8" w16cid:durableId="2073654240">
    <w:abstractNumId w:val="0"/>
  </w:num>
  <w:num w:numId="9" w16cid:durableId="1642885156">
    <w:abstractNumId w:val="8"/>
  </w:num>
  <w:num w:numId="10" w16cid:durableId="808745715">
    <w:abstractNumId w:val="13"/>
  </w:num>
  <w:num w:numId="11" w16cid:durableId="2110655983">
    <w:abstractNumId w:val="14"/>
  </w:num>
  <w:num w:numId="12" w16cid:durableId="1505437774">
    <w:abstractNumId w:val="4"/>
  </w:num>
  <w:num w:numId="13" w16cid:durableId="2004552315">
    <w:abstractNumId w:val="3"/>
  </w:num>
  <w:num w:numId="14" w16cid:durableId="1663267461">
    <w:abstractNumId w:val="10"/>
  </w:num>
  <w:num w:numId="15" w16cid:durableId="890653721">
    <w:abstractNumId w:val="1"/>
  </w:num>
  <w:num w:numId="16" w16cid:durableId="25004508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49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CEF"/>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14C02"/>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76</Pages>
  <Words>24841</Words>
  <Characters>135387</Characters>
  <Application>Microsoft Office Word</Application>
  <DocSecurity>0</DocSecurity>
  <Lines>3471</Lines>
  <Paragraphs>1978</Paragraphs>
  <ScaleCrop>false</ScaleCrop>
  <Company/>
  <LinksUpToDate>false</LinksUpToDate>
  <CharactersWithSpaces>158250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Valeria Alejandra Povea Cantillo</cp:lastModifiedBy>
  <cp:revision>4</cp:revision>
  <cp:lastPrinted>2022-06-28T19:25:00Z</cp:lastPrinted>
  <dcterms:created xsi:type="dcterms:W3CDTF">2025-08-22T23:44:00Z</dcterms:created>
  <dcterms:modified xsi:type="dcterms:W3CDTF">2026-08-05T21:16:00Z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