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47901" w14:textId="349A201D" w:rsidR="006155F5" w:rsidRPr="006155F5" w:rsidRDefault="006155F5" w:rsidP="006155F5">
      <w:pPr>
        <w:pStyle w:val="paragraph"/>
        <w:spacing w:before="0" w:beforeAutospacing="0" w:after="0" w:afterAutospacing="0"/>
        <w:jc w:val="center"/>
        <w:textAlignment w:val="baseline"/>
        <w:rPr>
          <w:rFonts w:ascii="Arial" w:hAnsi="Arial" w:cs="Arial"/>
          <w:b/>
          <w:bCs/>
          <w:sz w:val="22"/>
          <w:szCs w:val="22"/>
        </w:rPr>
      </w:pPr>
      <w:r w:rsidRPr="006155F5">
        <w:rPr>
          <w:rFonts w:ascii="Arial" w:hAnsi="Arial" w:cs="Arial"/>
          <w:b/>
          <w:bCs/>
          <w:sz w:val="22"/>
          <w:szCs w:val="22"/>
        </w:rPr>
        <w:t>PROPUESTA ECONOMICA</w:t>
      </w:r>
    </w:p>
    <w:p w14:paraId="28BEF15E" w14:textId="77777777" w:rsidR="006155F5" w:rsidRDefault="006155F5" w:rsidP="006155F5">
      <w:pPr>
        <w:pStyle w:val="paragraph"/>
        <w:spacing w:before="0" w:beforeAutospacing="0" w:after="0" w:afterAutospacing="0"/>
        <w:jc w:val="both"/>
        <w:textAlignment w:val="baseline"/>
        <w:rPr>
          <w:rFonts w:ascii="Arial" w:hAnsi="Arial" w:cs="Arial"/>
          <w:sz w:val="22"/>
          <w:szCs w:val="22"/>
        </w:rPr>
      </w:pPr>
    </w:p>
    <w:p w14:paraId="360361F7" w14:textId="653597C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E349BF">
        <w:rPr>
          <w:rFonts w:ascii="Arial" w:hAnsi="Arial" w:cs="Arial"/>
          <w:sz w:val="22"/>
          <w:szCs w:val="22"/>
        </w:rPr>
        <w:t xml:space="preserve">El Valor estimado del Convenio, es por la suma de </w:t>
      </w:r>
      <w:r w:rsidR="00E349BF" w:rsidRPr="00E349BF">
        <w:rPr>
          <w:rFonts w:ascii="Arial" w:hAnsi="Arial" w:cs="Arial"/>
          <w:b/>
          <w:bCs/>
          <w:sz w:val="22"/>
          <w:szCs w:val="22"/>
        </w:rPr>
        <w:t>DOSCIENTOS CINCUENTA Y TRES MILLONES TRESCIENTOS VEINTICINCO MIL SEISCIENTOS PESOS M/CTE</w:t>
      </w:r>
      <w:r w:rsidR="00E349BF" w:rsidRPr="00E349BF">
        <w:rPr>
          <w:rFonts w:ascii="Arial" w:hAnsi="Arial" w:cs="Arial"/>
          <w:sz w:val="22"/>
          <w:szCs w:val="22"/>
        </w:rPr>
        <w:t xml:space="preserve"> </w:t>
      </w:r>
      <w:r w:rsidR="00E349BF" w:rsidRPr="00E349BF">
        <w:rPr>
          <w:rFonts w:ascii="Arial" w:hAnsi="Arial" w:cs="Arial"/>
          <w:b/>
          <w:bCs/>
          <w:sz w:val="22"/>
          <w:szCs w:val="22"/>
        </w:rPr>
        <w:t>($253.325.600,00)</w:t>
      </w:r>
      <w:r w:rsidRPr="00E349BF">
        <w:rPr>
          <w:rFonts w:ascii="Arial" w:eastAsia="Calibri" w:hAnsi="Arial" w:cs="Arial"/>
          <w:b/>
          <w:sz w:val="22"/>
          <w:szCs w:val="22"/>
          <w:lang w:val="es-ES"/>
        </w:rPr>
        <w:t xml:space="preserve"> </w:t>
      </w:r>
      <w:r w:rsidRPr="00E349BF">
        <w:rPr>
          <w:rFonts w:ascii="Arial" w:eastAsia="Calibri" w:hAnsi="Arial" w:cs="Arial"/>
          <w:sz w:val="22"/>
          <w:szCs w:val="22"/>
          <w:lang w:val="es-ES"/>
        </w:rPr>
        <w:t>incluido IVA</w:t>
      </w:r>
      <w:r w:rsidRPr="00E349BF">
        <w:rPr>
          <w:rFonts w:ascii="Arial" w:eastAsia="Calibri" w:hAnsi="Arial" w:cs="Arial"/>
          <w:b/>
          <w:sz w:val="22"/>
          <w:szCs w:val="22"/>
          <w:lang w:val="es-ES"/>
        </w:rPr>
        <w:t xml:space="preserve"> </w:t>
      </w:r>
      <w:r w:rsidRPr="00E349BF">
        <w:rPr>
          <w:rFonts w:ascii="Arial" w:eastAsia="Calibri" w:hAnsi="Arial" w:cs="Arial"/>
          <w:sz w:val="22"/>
          <w:szCs w:val="22"/>
          <w:lang w:val="es-ES"/>
        </w:rPr>
        <w:t>y</w:t>
      </w:r>
      <w:r w:rsidRPr="00E349BF">
        <w:rPr>
          <w:rFonts w:ascii="Arial" w:eastAsia="Calibri" w:hAnsi="Arial" w:cs="Arial"/>
          <w:bCs/>
          <w:sz w:val="22"/>
          <w:szCs w:val="22"/>
          <w:lang w:val="es-ES"/>
        </w:rPr>
        <w:t xml:space="preserve"> demás impuestos municipales y nacionales</w:t>
      </w:r>
    </w:p>
    <w:p w14:paraId="28C26B2E"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3A782650"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E349BF">
        <w:rPr>
          <w:rFonts w:ascii="Arial" w:hAnsi="Arial" w:cs="Arial"/>
          <w:sz w:val="22"/>
          <w:szCs w:val="22"/>
        </w:rPr>
        <w:t xml:space="preserve">Que la OFERTA de cofinanciación en </w:t>
      </w:r>
      <w:r w:rsidRPr="00E349BF">
        <w:rPr>
          <w:rFonts w:ascii="Arial" w:hAnsi="Arial" w:cs="Arial"/>
          <w:b/>
          <w:bCs/>
          <w:color w:val="EE0000"/>
          <w:sz w:val="22"/>
          <w:szCs w:val="22"/>
        </w:rPr>
        <w:t>especie o dinero</w:t>
      </w:r>
      <w:r w:rsidRPr="00E349BF">
        <w:rPr>
          <w:rFonts w:ascii="Arial" w:hAnsi="Arial" w:cs="Arial"/>
          <w:color w:val="EE0000"/>
          <w:sz w:val="22"/>
          <w:szCs w:val="22"/>
        </w:rPr>
        <w:t xml:space="preserve"> </w:t>
      </w:r>
      <w:r w:rsidRPr="00E349BF">
        <w:rPr>
          <w:rFonts w:ascii="Arial" w:hAnsi="Arial" w:cs="Arial"/>
          <w:sz w:val="22"/>
          <w:szCs w:val="22"/>
        </w:rPr>
        <w:t xml:space="preserve">por parte de la ESAL, corresponde al valor que estamos dispuestos a comprometer para la ejecución del convenio, por la suma de </w:t>
      </w:r>
      <w:r w:rsidRPr="00E349BF">
        <w:rPr>
          <w:rFonts w:ascii="Arial" w:hAnsi="Arial" w:cs="Arial"/>
          <w:color w:val="EE0000"/>
          <w:sz w:val="22"/>
          <w:szCs w:val="22"/>
        </w:rPr>
        <w:t>$</w:t>
      </w:r>
      <w:proofErr w:type="spellStart"/>
      <w:r w:rsidRPr="00E349BF">
        <w:rPr>
          <w:rFonts w:ascii="Arial" w:hAnsi="Arial" w:cs="Arial"/>
          <w:color w:val="EE0000"/>
          <w:sz w:val="22"/>
          <w:szCs w:val="22"/>
        </w:rPr>
        <w:t>xxxxxxxxxxxxxxxxxxx</w:t>
      </w:r>
      <w:proofErr w:type="spellEnd"/>
      <w:r w:rsidRPr="00E349BF">
        <w:rPr>
          <w:rFonts w:ascii="Arial" w:hAnsi="Arial" w:cs="Arial"/>
          <w:sz w:val="22"/>
          <w:szCs w:val="22"/>
        </w:rPr>
        <w:t xml:space="preserve">, que expresado en porcentaje es el </w:t>
      </w:r>
      <w:proofErr w:type="spellStart"/>
      <w:r w:rsidRPr="00E349BF">
        <w:rPr>
          <w:rFonts w:ascii="Arial" w:hAnsi="Arial" w:cs="Arial"/>
          <w:color w:val="EE0000"/>
          <w:sz w:val="22"/>
          <w:szCs w:val="22"/>
        </w:rPr>
        <w:t>xx</w:t>
      </w:r>
      <w:proofErr w:type="spellEnd"/>
      <w:r w:rsidRPr="00E349BF">
        <w:rPr>
          <w:rFonts w:ascii="Arial" w:hAnsi="Arial" w:cs="Arial"/>
          <w:color w:val="EE0000"/>
          <w:sz w:val="22"/>
          <w:szCs w:val="22"/>
        </w:rPr>
        <w:t>%</w:t>
      </w:r>
      <w:r w:rsidRPr="00E349BF">
        <w:rPr>
          <w:rFonts w:ascii="Arial" w:hAnsi="Arial" w:cs="Arial"/>
          <w:sz w:val="22"/>
          <w:szCs w:val="22"/>
        </w:rPr>
        <w:t xml:space="preserve"> del valor total del Convenio. </w:t>
      </w:r>
    </w:p>
    <w:p w14:paraId="1AA4B4D9"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054FA33B"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47090F">
        <w:rPr>
          <w:rFonts w:ascii="Arial" w:hAnsi="Arial" w:cs="Arial"/>
          <w:color w:val="EE0000"/>
          <w:sz w:val="22"/>
          <w:szCs w:val="22"/>
        </w:rPr>
        <w:t xml:space="preserve">EN CASO DE SER EN ESPECIE: </w:t>
      </w:r>
      <w:r w:rsidRPr="00E349BF">
        <w:rPr>
          <w:rFonts w:ascii="Arial" w:hAnsi="Arial" w:cs="Arial"/>
          <w:sz w:val="22"/>
          <w:szCs w:val="22"/>
        </w:rPr>
        <w:t xml:space="preserve">Anexamos certificado del Revisor Fiscal de la Entidad donde acreditamos nuestro compromiso de disponer y aportar el valor de la contrapartida respectiva en especie, para la ejecución del convenio </w:t>
      </w:r>
    </w:p>
    <w:p w14:paraId="39540E32"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7865FE96"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47090F">
        <w:rPr>
          <w:rFonts w:ascii="Arial" w:hAnsi="Arial" w:cs="Arial"/>
          <w:color w:val="EE0000"/>
          <w:sz w:val="22"/>
          <w:szCs w:val="22"/>
        </w:rPr>
        <w:t xml:space="preserve">EN CASO DE SER EN DINERO: </w:t>
      </w:r>
      <w:r w:rsidRPr="00E349BF">
        <w:rPr>
          <w:rFonts w:ascii="Arial" w:hAnsi="Arial" w:cs="Arial"/>
          <w:sz w:val="22"/>
          <w:szCs w:val="22"/>
        </w:rPr>
        <w:t xml:space="preserve">Anexamos certificado bancario en el que da cuenta que la ESAL tiene el recurso comprometido para aportar. </w:t>
      </w:r>
    </w:p>
    <w:p w14:paraId="10400FBE"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573D5DAB"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5D0733E7"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E349BF">
        <w:rPr>
          <w:rFonts w:ascii="Arial" w:hAnsi="Arial" w:cs="Arial"/>
          <w:sz w:val="22"/>
          <w:szCs w:val="22"/>
        </w:rPr>
        <w:t>ESPECIE O EN DINERO:</w:t>
      </w:r>
    </w:p>
    <w:p w14:paraId="6F71695F"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0CBFA6AF"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E349BF">
        <w:rPr>
          <w:rFonts w:ascii="Arial" w:hAnsi="Arial" w:cs="Arial"/>
          <w:sz w:val="22"/>
          <w:szCs w:val="22"/>
        </w:rPr>
        <w:t xml:space="preserve"> VALOR DEL APORTE EN LETRAS: </w:t>
      </w:r>
    </w:p>
    <w:p w14:paraId="1AEF21CF"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49A4266E"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3A19D50E" w14:textId="515B0FBF" w:rsidR="006A7B78" w:rsidRPr="00E349BF" w:rsidRDefault="006155F5" w:rsidP="006155F5">
      <w:pPr>
        <w:pStyle w:val="paragraph"/>
        <w:spacing w:before="0" w:beforeAutospacing="0" w:after="0" w:afterAutospacing="0"/>
        <w:jc w:val="both"/>
        <w:textAlignment w:val="baseline"/>
        <w:rPr>
          <w:rFonts w:ascii="Arial" w:hAnsi="Arial" w:cs="Arial"/>
          <w:sz w:val="22"/>
          <w:szCs w:val="22"/>
        </w:rPr>
      </w:pPr>
      <w:r w:rsidRPr="00E349BF">
        <w:rPr>
          <w:rFonts w:ascii="Arial" w:hAnsi="Arial" w:cs="Arial"/>
          <w:sz w:val="22"/>
          <w:szCs w:val="22"/>
        </w:rPr>
        <w:t>VALOR DEL APORTE EN PORCENTAJE</w:t>
      </w:r>
    </w:p>
    <w:p w14:paraId="6E494C3F"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2D80F5BB"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41679E52" w14:textId="77777777" w:rsidR="006155F5" w:rsidRPr="00E349BF" w:rsidRDefault="006155F5" w:rsidP="006155F5">
      <w:pPr>
        <w:pStyle w:val="paragraph"/>
        <w:spacing w:before="0" w:beforeAutospacing="0" w:after="0" w:afterAutospacing="0"/>
        <w:jc w:val="both"/>
        <w:textAlignment w:val="baseline"/>
        <w:rPr>
          <w:rFonts w:ascii="Arial" w:hAnsi="Arial" w:cs="Arial"/>
          <w:sz w:val="22"/>
          <w:szCs w:val="22"/>
        </w:rPr>
      </w:pPr>
    </w:p>
    <w:p w14:paraId="39C0D8A7" w14:textId="77777777" w:rsidR="006155F5" w:rsidRPr="00E349BF" w:rsidRDefault="006155F5" w:rsidP="006155F5">
      <w:pPr>
        <w:pStyle w:val="paragraph"/>
        <w:spacing w:before="0" w:beforeAutospacing="0" w:after="0" w:afterAutospacing="0"/>
        <w:jc w:val="both"/>
        <w:textAlignment w:val="baseline"/>
        <w:rPr>
          <w:rFonts w:ascii="Arial" w:hAnsi="Arial" w:cs="Arial"/>
          <w:b/>
          <w:sz w:val="22"/>
          <w:szCs w:val="22"/>
          <w:lang w:eastAsia="es-ES"/>
        </w:rPr>
      </w:pPr>
      <w:r w:rsidRPr="00E349BF">
        <w:rPr>
          <w:rFonts w:ascii="Arial" w:hAnsi="Arial" w:cs="Arial"/>
          <w:b/>
          <w:sz w:val="22"/>
          <w:szCs w:val="22"/>
          <w:lang w:eastAsia="es-ES"/>
        </w:rPr>
        <w:t xml:space="preserve">Nombre representante legal: </w:t>
      </w:r>
    </w:p>
    <w:p w14:paraId="7712A440" w14:textId="77777777" w:rsidR="006155F5" w:rsidRPr="00E349BF" w:rsidRDefault="006155F5" w:rsidP="006155F5">
      <w:pPr>
        <w:pStyle w:val="paragraph"/>
        <w:spacing w:before="0" w:beforeAutospacing="0" w:after="0" w:afterAutospacing="0"/>
        <w:jc w:val="both"/>
        <w:textAlignment w:val="baseline"/>
        <w:rPr>
          <w:rFonts w:ascii="Arial" w:hAnsi="Arial" w:cs="Arial"/>
          <w:b/>
          <w:sz w:val="22"/>
          <w:szCs w:val="22"/>
          <w:lang w:eastAsia="es-ES"/>
        </w:rPr>
      </w:pPr>
      <w:r w:rsidRPr="00E349BF">
        <w:rPr>
          <w:rFonts w:ascii="Arial" w:hAnsi="Arial" w:cs="Arial"/>
          <w:b/>
          <w:sz w:val="22"/>
          <w:szCs w:val="22"/>
          <w:lang w:eastAsia="es-ES"/>
        </w:rPr>
        <w:t xml:space="preserve">CC: ____________________________ </w:t>
      </w:r>
    </w:p>
    <w:p w14:paraId="6B6E0C2A" w14:textId="1026D36C" w:rsidR="006155F5" w:rsidRDefault="006155F5" w:rsidP="006155F5">
      <w:pPr>
        <w:pStyle w:val="paragraph"/>
        <w:spacing w:before="0" w:beforeAutospacing="0" w:after="0" w:afterAutospacing="0"/>
        <w:jc w:val="both"/>
        <w:textAlignment w:val="baseline"/>
        <w:rPr>
          <w:rFonts w:ascii="Arial" w:hAnsi="Arial" w:cs="Arial"/>
          <w:b/>
          <w:sz w:val="22"/>
          <w:szCs w:val="22"/>
          <w:lang w:eastAsia="es-ES"/>
        </w:rPr>
      </w:pPr>
      <w:r w:rsidRPr="00E349BF">
        <w:rPr>
          <w:rFonts w:ascii="Arial" w:hAnsi="Arial" w:cs="Arial"/>
          <w:b/>
          <w:sz w:val="22"/>
          <w:szCs w:val="22"/>
          <w:lang w:eastAsia="es-ES"/>
        </w:rPr>
        <w:t>Firma representante legal</w:t>
      </w:r>
    </w:p>
    <w:p w14:paraId="56F1ED14"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7D3124C3"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2B7AA289"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75F23CD0"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3F653CBF"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658EDA26"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10C0D984"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3633047D"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pPr>
    </w:p>
    <w:p w14:paraId="1FA65F52" w14:textId="77777777" w:rsidR="00E349BF" w:rsidRDefault="00E349BF" w:rsidP="006155F5">
      <w:pPr>
        <w:pStyle w:val="paragraph"/>
        <w:spacing w:before="0" w:beforeAutospacing="0" w:after="0" w:afterAutospacing="0"/>
        <w:jc w:val="both"/>
        <w:textAlignment w:val="baseline"/>
        <w:rPr>
          <w:rFonts w:ascii="Arial" w:hAnsi="Arial" w:cs="Arial"/>
          <w:b/>
          <w:sz w:val="22"/>
          <w:szCs w:val="22"/>
          <w:lang w:eastAsia="es-ES"/>
        </w:rPr>
        <w:sectPr w:rsidR="00E349BF"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pPr>
    </w:p>
    <w:p w14:paraId="2C44630A" w14:textId="79EBE3EC" w:rsidR="00E349BF" w:rsidRDefault="0047090F" w:rsidP="006155F5">
      <w:pPr>
        <w:pStyle w:val="paragraph"/>
        <w:spacing w:before="0" w:beforeAutospacing="0" w:after="0" w:afterAutospacing="0"/>
        <w:jc w:val="both"/>
        <w:textAlignment w:val="baseline"/>
        <w:rPr>
          <w:rFonts w:ascii="Arial" w:hAnsi="Arial" w:cs="Arial"/>
          <w:b/>
          <w:sz w:val="22"/>
          <w:szCs w:val="22"/>
          <w:lang w:eastAsia="es-ES"/>
        </w:rPr>
      </w:pPr>
      <w:r>
        <w:rPr>
          <w:rFonts w:ascii="Arial" w:hAnsi="Arial" w:cs="Arial"/>
          <w:b/>
          <w:sz w:val="22"/>
          <w:szCs w:val="22"/>
          <w:lang w:eastAsia="es-ES"/>
        </w:rPr>
        <w:lastRenderedPageBreak/>
        <w:t>PRESUPUESTO:</w:t>
      </w:r>
    </w:p>
    <w:p w14:paraId="43532D13" w14:textId="77777777" w:rsidR="0047090F" w:rsidRDefault="0047090F" w:rsidP="006155F5">
      <w:pPr>
        <w:pStyle w:val="paragraph"/>
        <w:spacing w:before="0" w:beforeAutospacing="0" w:after="0" w:afterAutospacing="0"/>
        <w:jc w:val="both"/>
        <w:textAlignment w:val="baseline"/>
        <w:rPr>
          <w:rFonts w:ascii="Arial" w:hAnsi="Arial" w:cs="Arial"/>
          <w:b/>
          <w:sz w:val="22"/>
          <w:szCs w:val="22"/>
          <w:lang w:eastAsia="es-ES"/>
        </w:rPr>
      </w:pPr>
    </w:p>
    <w:tbl>
      <w:tblPr>
        <w:tblW w:w="14010" w:type="dxa"/>
        <w:tblInd w:w="-993" w:type="dxa"/>
        <w:tblCellMar>
          <w:left w:w="70" w:type="dxa"/>
          <w:right w:w="70" w:type="dxa"/>
        </w:tblCellMar>
        <w:tblLook w:val="04A0" w:firstRow="1" w:lastRow="0" w:firstColumn="1" w:lastColumn="0" w:noHBand="0" w:noVBand="1"/>
      </w:tblPr>
      <w:tblGrid>
        <w:gridCol w:w="562"/>
        <w:gridCol w:w="4537"/>
        <w:gridCol w:w="1163"/>
        <w:gridCol w:w="1247"/>
        <w:gridCol w:w="1263"/>
        <w:gridCol w:w="1458"/>
        <w:gridCol w:w="1208"/>
        <w:gridCol w:w="8"/>
        <w:gridCol w:w="1378"/>
        <w:gridCol w:w="8"/>
        <w:gridCol w:w="1170"/>
        <w:gridCol w:w="8"/>
      </w:tblGrid>
      <w:tr w:rsidR="00E349BF" w:rsidRPr="008615C8" w14:paraId="7CFFBC2E" w14:textId="77777777" w:rsidTr="00E349BF">
        <w:trPr>
          <w:gridAfter w:val="1"/>
          <w:wAfter w:w="8" w:type="dxa"/>
          <w:trHeight w:val="20"/>
        </w:trPr>
        <w:tc>
          <w:tcPr>
            <w:tcW w:w="56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D4F6DCD"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ÍTEM</w:t>
            </w:r>
          </w:p>
        </w:tc>
        <w:tc>
          <w:tcPr>
            <w:tcW w:w="4537" w:type="dxa"/>
            <w:tcBorders>
              <w:top w:val="single" w:sz="4" w:space="0" w:color="auto"/>
              <w:left w:val="nil"/>
              <w:bottom w:val="single" w:sz="4" w:space="0" w:color="auto"/>
              <w:right w:val="single" w:sz="4" w:space="0" w:color="auto"/>
            </w:tcBorders>
            <w:shd w:val="clear" w:color="000000" w:fill="F2F2F2"/>
            <w:vAlign w:val="center"/>
            <w:hideMark/>
          </w:tcPr>
          <w:p w14:paraId="5B341F9F"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ESPECIFICACIÓN MÍNIMA</w:t>
            </w:r>
          </w:p>
        </w:tc>
        <w:tc>
          <w:tcPr>
            <w:tcW w:w="1163" w:type="dxa"/>
            <w:tcBorders>
              <w:top w:val="single" w:sz="4" w:space="0" w:color="auto"/>
              <w:left w:val="nil"/>
              <w:bottom w:val="single" w:sz="4" w:space="0" w:color="auto"/>
              <w:right w:val="single" w:sz="4" w:space="0" w:color="auto"/>
            </w:tcBorders>
            <w:shd w:val="clear" w:color="000000" w:fill="F2F2F2"/>
            <w:vAlign w:val="center"/>
            <w:hideMark/>
          </w:tcPr>
          <w:p w14:paraId="79AE01E8"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UNIDAD</w:t>
            </w:r>
          </w:p>
        </w:tc>
        <w:tc>
          <w:tcPr>
            <w:tcW w:w="1247" w:type="dxa"/>
            <w:tcBorders>
              <w:top w:val="single" w:sz="4" w:space="0" w:color="auto"/>
              <w:left w:val="nil"/>
              <w:bottom w:val="single" w:sz="4" w:space="0" w:color="auto"/>
              <w:right w:val="single" w:sz="4" w:space="0" w:color="auto"/>
            </w:tcBorders>
            <w:shd w:val="clear" w:color="000000" w:fill="F2F2F2"/>
            <w:vAlign w:val="center"/>
            <w:hideMark/>
          </w:tcPr>
          <w:p w14:paraId="238C17BF"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CANTIDAD</w:t>
            </w:r>
          </w:p>
        </w:tc>
        <w:tc>
          <w:tcPr>
            <w:tcW w:w="1263" w:type="dxa"/>
            <w:tcBorders>
              <w:top w:val="single" w:sz="4" w:space="0" w:color="auto"/>
              <w:left w:val="nil"/>
              <w:bottom w:val="single" w:sz="4" w:space="0" w:color="auto"/>
              <w:right w:val="single" w:sz="4" w:space="0" w:color="auto"/>
            </w:tcBorders>
            <w:shd w:val="clear" w:color="000000" w:fill="F2F2F2"/>
            <w:vAlign w:val="center"/>
            <w:hideMark/>
          </w:tcPr>
          <w:p w14:paraId="5077B49B"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N.º DE ENTREGAS</w:t>
            </w:r>
          </w:p>
        </w:tc>
        <w:tc>
          <w:tcPr>
            <w:tcW w:w="1458" w:type="dxa"/>
            <w:tcBorders>
              <w:top w:val="single" w:sz="4" w:space="0" w:color="auto"/>
              <w:left w:val="nil"/>
              <w:bottom w:val="single" w:sz="4" w:space="0" w:color="auto"/>
              <w:right w:val="single" w:sz="4" w:space="0" w:color="auto"/>
            </w:tcBorders>
            <w:shd w:val="clear" w:color="000000" w:fill="F2F2F2"/>
            <w:vAlign w:val="center"/>
            <w:hideMark/>
          </w:tcPr>
          <w:p w14:paraId="1B587D52"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PERIODO / FRECUENCIA</w:t>
            </w:r>
          </w:p>
        </w:tc>
        <w:tc>
          <w:tcPr>
            <w:tcW w:w="1208" w:type="dxa"/>
            <w:tcBorders>
              <w:top w:val="single" w:sz="4" w:space="0" w:color="auto"/>
              <w:left w:val="nil"/>
              <w:bottom w:val="single" w:sz="4" w:space="0" w:color="auto"/>
              <w:right w:val="single" w:sz="4" w:space="0" w:color="auto"/>
            </w:tcBorders>
            <w:shd w:val="clear" w:color="000000" w:fill="F2F2F2"/>
            <w:vAlign w:val="center"/>
            <w:hideMark/>
          </w:tcPr>
          <w:p w14:paraId="2CCC728E"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VALOR UNITARIO</w:t>
            </w:r>
          </w:p>
        </w:tc>
        <w:tc>
          <w:tcPr>
            <w:tcW w:w="1386" w:type="dxa"/>
            <w:gridSpan w:val="2"/>
            <w:tcBorders>
              <w:top w:val="single" w:sz="4" w:space="0" w:color="auto"/>
              <w:left w:val="nil"/>
              <w:bottom w:val="single" w:sz="4" w:space="0" w:color="auto"/>
              <w:right w:val="single" w:sz="4" w:space="0" w:color="auto"/>
            </w:tcBorders>
            <w:shd w:val="clear" w:color="000000" w:fill="F2F2F2"/>
            <w:vAlign w:val="center"/>
            <w:hideMark/>
          </w:tcPr>
          <w:p w14:paraId="3A537B2B"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VALOR TOTAL APORTE MUNICIPIO</w:t>
            </w:r>
          </w:p>
        </w:tc>
        <w:tc>
          <w:tcPr>
            <w:tcW w:w="1178" w:type="dxa"/>
            <w:gridSpan w:val="2"/>
            <w:tcBorders>
              <w:top w:val="single" w:sz="4" w:space="0" w:color="auto"/>
              <w:left w:val="nil"/>
              <w:bottom w:val="single" w:sz="4" w:space="0" w:color="auto"/>
              <w:right w:val="single" w:sz="4" w:space="0" w:color="auto"/>
            </w:tcBorders>
            <w:shd w:val="clear" w:color="000000" w:fill="F2F2F2"/>
            <w:vAlign w:val="center"/>
            <w:hideMark/>
          </w:tcPr>
          <w:p w14:paraId="2FA8E256" w14:textId="46AED54D"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VALOR TOTAL APORTE</w:t>
            </w:r>
            <w:r>
              <w:rPr>
                <w:rFonts w:ascii="Arial" w:eastAsia="Times New Roman" w:hAnsi="Arial" w:cs="Arial"/>
                <w:b/>
                <w:bCs/>
                <w:sz w:val="16"/>
                <w:szCs w:val="16"/>
                <w:lang w:eastAsia="zh-CN"/>
              </w:rPr>
              <w:t xml:space="preserve"> ESAL</w:t>
            </w:r>
          </w:p>
        </w:tc>
      </w:tr>
      <w:tr w:rsidR="00E349BF" w:rsidRPr="008615C8" w14:paraId="1C9E49F9"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79E320BA"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4537" w:type="dxa"/>
            <w:tcBorders>
              <w:top w:val="nil"/>
              <w:left w:val="nil"/>
              <w:bottom w:val="single" w:sz="4" w:space="0" w:color="auto"/>
              <w:right w:val="single" w:sz="4" w:space="0" w:color="auto"/>
            </w:tcBorders>
            <w:vAlign w:val="bottom"/>
            <w:hideMark/>
          </w:tcPr>
          <w:p w14:paraId="196B6EB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Balón de fútbol No. 5, Especificación mínima requerida: Balón semiprofesional o profesional, cubierta en PU o equivalente, talla 5, circunferencia 68–70 cm y peso 410–450 g. </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60 balones.</w:t>
            </w:r>
            <w:r w:rsidRPr="008615C8">
              <w:rPr>
                <w:rFonts w:ascii="Arial" w:eastAsia="Times New Roman" w:hAnsi="Arial" w:cs="Arial"/>
                <w:sz w:val="16"/>
                <w:szCs w:val="16"/>
                <w:lang w:eastAsia="zh-CN"/>
              </w:rPr>
              <w:br/>
              <w:t>•Cantidad por institución: 4 balones.</w:t>
            </w:r>
            <w:r w:rsidRPr="008615C8">
              <w:rPr>
                <w:rFonts w:ascii="Arial" w:eastAsia="Times New Roman" w:hAnsi="Arial" w:cs="Arial"/>
                <w:sz w:val="16"/>
                <w:szCs w:val="16"/>
                <w:lang w:eastAsia="zh-CN"/>
              </w:rPr>
              <w:br/>
              <w:t>•Desarrollo de los Juegos Intercolegiados: 10 balones.</w:t>
            </w:r>
            <w:r w:rsidRPr="008615C8">
              <w:rPr>
                <w:rFonts w:ascii="Arial" w:eastAsia="Times New Roman" w:hAnsi="Arial" w:cs="Arial"/>
                <w:sz w:val="16"/>
                <w:szCs w:val="16"/>
                <w:lang w:eastAsia="zh-CN"/>
              </w:rPr>
              <w:br/>
              <w:t>Total: 70 balones.</w:t>
            </w:r>
          </w:p>
        </w:tc>
        <w:tc>
          <w:tcPr>
            <w:tcW w:w="1163" w:type="dxa"/>
            <w:tcBorders>
              <w:top w:val="nil"/>
              <w:left w:val="nil"/>
              <w:bottom w:val="single" w:sz="4" w:space="0" w:color="auto"/>
              <w:right w:val="single" w:sz="4" w:space="0" w:color="auto"/>
            </w:tcBorders>
            <w:vAlign w:val="center"/>
            <w:hideMark/>
          </w:tcPr>
          <w:p w14:paraId="49823E2A"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24979E2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70</w:t>
            </w:r>
          </w:p>
        </w:tc>
        <w:tc>
          <w:tcPr>
            <w:tcW w:w="1263" w:type="dxa"/>
            <w:tcBorders>
              <w:top w:val="nil"/>
              <w:left w:val="nil"/>
              <w:bottom w:val="single" w:sz="4" w:space="0" w:color="auto"/>
              <w:right w:val="single" w:sz="4" w:space="0" w:color="auto"/>
            </w:tcBorders>
            <w:vAlign w:val="center"/>
            <w:hideMark/>
          </w:tcPr>
          <w:p w14:paraId="679A662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294CC96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01D7E804" w14:textId="402F0141"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52EC8245" w14:textId="105FA44E"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564E8056" w14:textId="3C39CC4E"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3D2561D6"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7F888A0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w:t>
            </w:r>
          </w:p>
        </w:tc>
        <w:tc>
          <w:tcPr>
            <w:tcW w:w="4537" w:type="dxa"/>
            <w:tcBorders>
              <w:top w:val="nil"/>
              <w:left w:val="nil"/>
              <w:bottom w:val="single" w:sz="4" w:space="0" w:color="auto"/>
              <w:right w:val="single" w:sz="4" w:space="0" w:color="auto"/>
            </w:tcBorders>
            <w:vAlign w:val="bottom"/>
            <w:hideMark/>
          </w:tcPr>
          <w:p w14:paraId="3425288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Balón de fútbol sala, Especificación mínima requerida: Material sintético resistente, cámara de butilo, talla 4, circunferencia aproximada 62–64 cm, peso 420–440 g y rebote controlado.</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60 balones.</w:t>
            </w:r>
            <w:r w:rsidRPr="008615C8">
              <w:rPr>
                <w:rFonts w:ascii="Arial" w:eastAsia="Times New Roman" w:hAnsi="Arial" w:cs="Arial"/>
                <w:sz w:val="16"/>
                <w:szCs w:val="16"/>
                <w:lang w:eastAsia="zh-CN"/>
              </w:rPr>
              <w:br/>
              <w:t>•Cantidad por institución: 4 balones.</w:t>
            </w:r>
            <w:r w:rsidRPr="008615C8">
              <w:rPr>
                <w:rFonts w:ascii="Arial" w:eastAsia="Times New Roman" w:hAnsi="Arial" w:cs="Arial"/>
                <w:sz w:val="16"/>
                <w:szCs w:val="16"/>
                <w:lang w:eastAsia="zh-CN"/>
              </w:rPr>
              <w:br/>
              <w:t>•Desarrollo de los Juegos Intercolegiados: 10 balones.</w:t>
            </w:r>
            <w:r w:rsidRPr="008615C8">
              <w:rPr>
                <w:rFonts w:ascii="Arial" w:eastAsia="Times New Roman" w:hAnsi="Arial" w:cs="Arial"/>
                <w:sz w:val="16"/>
                <w:szCs w:val="16"/>
                <w:lang w:eastAsia="zh-CN"/>
              </w:rPr>
              <w:br/>
              <w:t>Total: 70 balones.</w:t>
            </w:r>
          </w:p>
        </w:tc>
        <w:tc>
          <w:tcPr>
            <w:tcW w:w="1163" w:type="dxa"/>
            <w:tcBorders>
              <w:top w:val="nil"/>
              <w:left w:val="nil"/>
              <w:bottom w:val="single" w:sz="4" w:space="0" w:color="auto"/>
              <w:right w:val="single" w:sz="4" w:space="0" w:color="auto"/>
            </w:tcBorders>
            <w:vAlign w:val="center"/>
            <w:hideMark/>
          </w:tcPr>
          <w:p w14:paraId="1091B7F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414B332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70</w:t>
            </w:r>
          </w:p>
        </w:tc>
        <w:tc>
          <w:tcPr>
            <w:tcW w:w="1263" w:type="dxa"/>
            <w:tcBorders>
              <w:top w:val="nil"/>
              <w:left w:val="nil"/>
              <w:bottom w:val="single" w:sz="4" w:space="0" w:color="auto"/>
              <w:right w:val="single" w:sz="4" w:space="0" w:color="auto"/>
            </w:tcBorders>
            <w:vAlign w:val="center"/>
            <w:hideMark/>
          </w:tcPr>
          <w:p w14:paraId="7CF74B3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360E7A1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646DB16B" w14:textId="68B20C36"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5F3C4E81" w14:textId="2281CD69"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279C95A3" w14:textId="664FE7F0"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76A6726"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5E271D7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3</w:t>
            </w:r>
          </w:p>
        </w:tc>
        <w:tc>
          <w:tcPr>
            <w:tcW w:w="4537" w:type="dxa"/>
            <w:tcBorders>
              <w:top w:val="nil"/>
              <w:left w:val="nil"/>
              <w:bottom w:val="single" w:sz="4" w:space="0" w:color="auto"/>
              <w:right w:val="single" w:sz="4" w:space="0" w:color="auto"/>
            </w:tcBorders>
            <w:vAlign w:val="bottom"/>
            <w:hideMark/>
          </w:tcPr>
          <w:p w14:paraId="1DA340F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Balón de fútbol de salón, Especificación mínima requerida: Superficie texturizada en PVC de alta densidad o equivalente, circunferencia 60–62 cm, peso 400–430 g y rebote reducido.</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60 balones.</w:t>
            </w:r>
            <w:r w:rsidRPr="008615C8">
              <w:rPr>
                <w:rFonts w:ascii="Arial" w:eastAsia="Times New Roman" w:hAnsi="Arial" w:cs="Arial"/>
                <w:sz w:val="16"/>
                <w:szCs w:val="16"/>
                <w:lang w:eastAsia="zh-CN"/>
              </w:rPr>
              <w:br/>
              <w:t>•Cantidad por institución: 4 balones.</w:t>
            </w:r>
            <w:r w:rsidRPr="008615C8">
              <w:rPr>
                <w:rFonts w:ascii="Arial" w:eastAsia="Times New Roman" w:hAnsi="Arial" w:cs="Arial"/>
                <w:sz w:val="16"/>
                <w:szCs w:val="16"/>
                <w:lang w:eastAsia="zh-CN"/>
              </w:rPr>
              <w:br/>
              <w:t>•Desarrollo de los Juegos Intercolegiados: 10 balones.</w:t>
            </w:r>
            <w:r w:rsidRPr="008615C8">
              <w:rPr>
                <w:rFonts w:ascii="Arial" w:eastAsia="Times New Roman" w:hAnsi="Arial" w:cs="Arial"/>
                <w:sz w:val="16"/>
                <w:szCs w:val="16"/>
                <w:lang w:eastAsia="zh-CN"/>
              </w:rPr>
              <w:br/>
              <w:t>Total: 70 balones.</w:t>
            </w:r>
          </w:p>
        </w:tc>
        <w:tc>
          <w:tcPr>
            <w:tcW w:w="1163" w:type="dxa"/>
            <w:tcBorders>
              <w:top w:val="nil"/>
              <w:left w:val="nil"/>
              <w:bottom w:val="single" w:sz="4" w:space="0" w:color="auto"/>
              <w:right w:val="single" w:sz="4" w:space="0" w:color="auto"/>
            </w:tcBorders>
            <w:vAlign w:val="center"/>
            <w:hideMark/>
          </w:tcPr>
          <w:p w14:paraId="1AFF330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4B56108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70</w:t>
            </w:r>
          </w:p>
        </w:tc>
        <w:tc>
          <w:tcPr>
            <w:tcW w:w="1263" w:type="dxa"/>
            <w:tcBorders>
              <w:top w:val="nil"/>
              <w:left w:val="nil"/>
              <w:bottom w:val="single" w:sz="4" w:space="0" w:color="auto"/>
              <w:right w:val="single" w:sz="4" w:space="0" w:color="auto"/>
            </w:tcBorders>
            <w:vAlign w:val="center"/>
            <w:hideMark/>
          </w:tcPr>
          <w:p w14:paraId="3FC3E0B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589144C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5808F7F0" w14:textId="2D08CF05"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6B1C8402" w14:textId="28890EC8"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4001280E" w14:textId="118B5002"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780F339F"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1803C9EA"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4</w:t>
            </w:r>
          </w:p>
        </w:tc>
        <w:tc>
          <w:tcPr>
            <w:tcW w:w="4537" w:type="dxa"/>
            <w:tcBorders>
              <w:top w:val="nil"/>
              <w:left w:val="nil"/>
              <w:bottom w:val="single" w:sz="4" w:space="0" w:color="auto"/>
              <w:right w:val="single" w:sz="4" w:space="0" w:color="auto"/>
            </w:tcBorders>
            <w:vAlign w:val="bottom"/>
            <w:hideMark/>
          </w:tcPr>
          <w:p w14:paraId="6465D6D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 xml:space="preserve">Adquisición de </w:t>
            </w:r>
            <w:r w:rsidRPr="008615C8">
              <w:rPr>
                <w:rFonts w:ascii="Arial" w:eastAsia="Times New Roman" w:hAnsi="Arial" w:cs="Arial"/>
                <w:sz w:val="16"/>
                <w:szCs w:val="16"/>
                <w:lang w:eastAsia="zh-CN"/>
              </w:rPr>
              <w:t>Malla para fútbol sala, Especificación mínima requerida: Malla individual para portería estándar 3 x 2 m, nylon multifilamento, cuerda mínima de 3 mm y entramado aproximado 10 x 10 cm.</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0 mallas.</w:t>
            </w:r>
            <w:r w:rsidRPr="008615C8">
              <w:rPr>
                <w:rFonts w:ascii="Arial" w:eastAsia="Times New Roman" w:hAnsi="Arial" w:cs="Arial"/>
                <w:sz w:val="16"/>
                <w:szCs w:val="16"/>
                <w:lang w:eastAsia="zh-CN"/>
              </w:rPr>
              <w:br/>
              <w:t>•Desarrollo de los Juegos Intercolegiados: 10 mallas.</w:t>
            </w:r>
            <w:r w:rsidRPr="008615C8">
              <w:rPr>
                <w:rFonts w:ascii="Arial" w:eastAsia="Times New Roman" w:hAnsi="Arial" w:cs="Arial"/>
                <w:sz w:val="16"/>
                <w:szCs w:val="16"/>
                <w:lang w:eastAsia="zh-CN"/>
              </w:rPr>
              <w:br/>
              <w:t>•Capacidad estimada: 5 juegos de porterías.</w:t>
            </w:r>
            <w:r w:rsidRPr="008615C8">
              <w:rPr>
                <w:rFonts w:ascii="Arial" w:eastAsia="Times New Roman" w:hAnsi="Arial" w:cs="Arial"/>
                <w:sz w:val="16"/>
                <w:szCs w:val="16"/>
                <w:lang w:eastAsia="zh-CN"/>
              </w:rPr>
              <w:br/>
              <w:t>Total: 10 mallas.</w:t>
            </w:r>
          </w:p>
        </w:tc>
        <w:tc>
          <w:tcPr>
            <w:tcW w:w="1163" w:type="dxa"/>
            <w:tcBorders>
              <w:top w:val="nil"/>
              <w:left w:val="nil"/>
              <w:bottom w:val="single" w:sz="4" w:space="0" w:color="auto"/>
              <w:right w:val="single" w:sz="4" w:space="0" w:color="auto"/>
            </w:tcBorders>
            <w:vAlign w:val="center"/>
            <w:hideMark/>
          </w:tcPr>
          <w:p w14:paraId="31EF14B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3BF9EBC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10</w:t>
            </w:r>
          </w:p>
        </w:tc>
        <w:tc>
          <w:tcPr>
            <w:tcW w:w="1263" w:type="dxa"/>
            <w:tcBorders>
              <w:top w:val="nil"/>
              <w:left w:val="nil"/>
              <w:bottom w:val="single" w:sz="4" w:space="0" w:color="auto"/>
              <w:right w:val="single" w:sz="4" w:space="0" w:color="auto"/>
            </w:tcBorders>
            <w:vAlign w:val="center"/>
            <w:hideMark/>
          </w:tcPr>
          <w:p w14:paraId="7DD6CF1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34D4709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54F11239" w14:textId="604F7923"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3F54F0B8" w14:textId="41B538C3"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38A39EC8" w14:textId="45FACDC8"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4C61BD67"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7A3C5A3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lastRenderedPageBreak/>
              <w:t>5</w:t>
            </w:r>
          </w:p>
        </w:tc>
        <w:tc>
          <w:tcPr>
            <w:tcW w:w="4537" w:type="dxa"/>
            <w:tcBorders>
              <w:top w:val="nil"/>
              <w:left w:val="nil"/>
              <w:bottom w:val="single" w:sz="4" w:space="0" w:color="auto"/>
              <w:right w:val="single" w:sz="4" w:space="0" w:color="auto"/>
            </w:tcBorders>
            <w:vAlign w:val="bottom"/>
            <w:hideMark/>
          </w:tcPr>
          <w:p w14:paraId="785DC8C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Malla para fútbol, Especificación mínima requerida: Malla individual para portería reglamentaria 7,32 x 2,44 m, polietileno trenzado mínimo 4 mm y protección UV.</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0 mallas.</w:t>
            </w:r>
            <w:r w:rsidRPr="008615C8">
              <w:rPr>
                <w:rFonts w:ascii="Arial" w:eastAsia="Times New Roman" w:hAnsi="Arial" w:cs="Arial"/>
                <w:sz w:val="16"/>
                <w:szCs w:val="16"/>
                <w:lang w:eastAsia="zh-CN"/>
              </w:rPr>
              <w:br/>
              <w:t>•Desarrollo de los Juegos Intercolegiados: 10 mallas.</w:t>
            </w:r>
            <w:r w:rsidRPr="008615C8">
              <w:rPr>
                <w:rFonts w:ascii="Arial" w:eastAsia="Times New Roman" w:hAnsi="Arial" w:cs="Arial"/>
                <w:sz w:val="16"/>
                <w:szCs w:val="16"/>
                <w:lang w:eastAsia="zh-CN"/>
              </w:rPr>
              <w:br/>
              <w:t>•Capacidad estimada: 5 juegos de porterías.</w:t>
            </w:r>
            <w:r w:rsidRPr="008615C8">
              <w:rPr>
                <w:rFonts w:ascii="Arial" w:eastAsia="Times New Roman" w:hAnsi="Arial" w:cs="Arial"/>
                <w:sz w:val="16"/>
                <w:szCs w:val="16"/>
                <w:lang w:eastAsia="zh-CN"/>
              </w:rPr>
              <w:br/>
              <w:t>Total: 10 mallas.</w:t>
            </w:r>
          </w:p>
        </w:tc>
        <w:tc>
          <w:tcPr>
            <w:tcW w:w="1163" w:type="dxa"/>
            <w:tcBorders>
              <w:top w:val="nil"/>
              <w:left w:val="nil"/>
              <w:bottom w:val="single" w:sz="4" w:space="0" w:color="auto"/>
              <w:right w:val="single" w:sz="4" w:space="0" w:color="auto"/>
            </w:tcBorders>
            <w:vAlign w:val="center"/>
            <w:hideMark/>
          </w:tcPr>
          <w:p w14:paraId="40EC10D9"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3B4F223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10</w:t>
            </w:r>
          </w:p>
        </w:tc>
        <w:tc>
          <w:tcPr>
            <w:tcW w:w="1263" w:type="dxa"/>
            <w:tcBorders>
              <w:top w:val="nil"/>
              <w:left w:val="nil"/>
              <w:bottom w:val="single" w:sz="4" w:space="0" w:color="auto"/>
              <w:right w:val="single" w:sz="4" w:space="0" w:color="auto"/>
            </w:tcBorders>
            <w:vAlign w:val="center"/>
            <w:hideMark/>
          </w:tcPr>
          <w:p w14:paraId="65E1239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0920841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3F77834D" w14:textId="5504B822"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66F4F5DD" w14:textId="36D99A64"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5E8917C5" w14:textId="63E72DEC"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1A6F5FBE"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5CABF44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6</w:t>
            </w:r>
          </w:p>
        </w:tc>
        <w:tc>
          <w:tcPr>
            <w:tcW w:w="4537" w:type="dxa"/>
            <w:tcBorders>
              <w:top w:val="nil"/>
              <w:left w:val="nil"/>
              <w:bottom w:val="single" w:sz="4" w:space="0" w:color="auto"/>
              <w:right w:val="single" w:sz="4" w:space="0" w:color="auto"/>
            </w:tcBorders>
            <w:vAlign w:val="bottom"/>
            <w:hideMark/>
          </w:tcPr>
          <w:p w14:paraId="4BC73C2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Balón de fútbol No. 4, Especificación mínima requerida: Balón talla 4 para entrenamiento escolar, material sintético resistente, cámara de butilo y construcción cosida o laminada.</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60 balones.</w:t>
            </w:r>
            <w:r w:rsidRPr="008615C8">
              <w:rPr>
                <w:rFonts w:ascii="Arial" w:eastAsia="Times New Roman" w:hAnsi="Arial" w:cs="Arial"/>
                <w:sz w:val="16"/>
                <w:szCs w:val="16"/>
                <w:lang w:eastAsia="zh-CN"/>
              </w:rPr>
              <w:br/>
              <w:t>•Cantidad por institución: 4 balones.</w:t>
            </w:r>
            <w:r w:rsidRPr="008615C8">
              <w:rPr>
                <w:rFonts w:ascii="Arial" w:eastAsia="Times New Roman" w:hAnsi="Arial" w:cs="Arial"/>
                <w:sz w:val="16"/>
                <w:szCs w:val="16"/>
                <w:lang w:eastAsia="zh-CN"/>
              </w:rPr>
              <w:br/>
              <w:t>•Desarrollo de los Juegos Intercolegiados: 10 balones.</w:t>
            </w:r>
            <w:r w:rsidRPr="008615C8">
              <w:rPr>
                <w:rFonts w:ascii="Arial" w:eastAsia="Times New Roman" w:hAnsi="Arial" w:cs="Arial"/>
                <w:sz w:val="16"/>
                <w:szCs w:val="16"/>
                <w:lang w:eastAsia="zh-CN"/>
              </w:rPr>
              <w:br/>
              <w:t>Total: 70 balones.</w:t>
            </w:r>
          </w:p>
        </w:tc>
        <w:tc>
          <w:tcPr>
            <w:tcW w:w="1163" w:type="dxa"/>
            <w:tcBorders>
              <w:top w:val="nil"/>
              <w:left w:val="nil"/>
              <w:bottom w:val="single" w:sz="4" w:space="0" w:color="auto"/>
              <w:right w:val="single" w:sz="4" w:space="0" w:color="auto"/>
            </w:tcBorders>
            <w:vAlign w:val="center"/>
            <w:hideMark/>
          </w:tcPr>
          <w:p w14:paraId="355BA7B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183EFC5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70</w:t>
            </w:r>
          </w:p>
        </w:tc>
        <w:tc>
          <w:tcPr>
            <w:tcW w:w="1263" w:type="dxa"/>
            <w:tcBorders>
              <w:top w:val="nil"/>
              <w:left w:val="nil"/>
              <w:bottom w:val="single" w:sz="4" w:space="0" w:color="auto"/>
              <w:right w:val="single" w:sz="4" w:space="0" w:color="auto"/>
            </w:tcBorders>
            <w:vAlign w:val="center"/>
            <w:hideMark/>
          </w:tcPr>
          <w:p w14:paraId="43645B8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7C18C29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5CED94DC" w14:textId="794CB10B"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2174A7BF" w14:textId="1E95F109"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13540C7A" w14:textId="3118C6F8"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B314C79"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3DB8B11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w:t>
            </w:r>
          </w:p>
        </w:tc>
        <w:tc>
          <w:tcPr>
            <w:tcW w:w="4537" w:type="dxa"/>
            <w:tcBorders>
              <w:top w:val="nil"/>
              <w:left w:val="nil"/>
              <w:bottom w:val="single" w:sz="4" w:space="0" w:color="auto"/>
              <w:right w:val="single" w:sz="4" w:space="0" w:color="auto"/>
            </w:tcBorders>
            <w:vAlign w:val="bottom"/>
            <w:hideMark/>
          </w:tcPr>
          <w:p w14:paraId="716DF07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Balón de voleibol No. 5, Especificación mínima requerida: Cubierta composite PU o equivalente, 18 paneles, talla 5, circunferencia 65–67 cm y peso 260–280 g; estándar FIVB o equivalente.</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60 balones.</w:t>
            </w:r>
            <w:r w:rsidRPr="008615C8">
              <w:rPr>
                <w:rFonts w:ascii="Arial" w:eastAsia="Times New Roman" w:hAnsi="Arial" w:cs="Arial"/>
                <w:sz w:val="16"/>
                <w:szCs w:val="16"/>
                <w:lang w:eastAsia="zh-CN"/>
              </w:rPr>
              <w:br/>
              <w:t>•Cantidad por institución: 4 balones.</w:t>
            </w:r>
            <w:r w:rsidRPr="008615C8">
              <w:rPr>
                <w:rFonts w:ascii="Arial" w:eastAsia="Times New Roman" w:hAnsi="Arial" w:cs="Arial"/>
                <w:sz w:val="16"/>
                <w:szCs w:val="16"/>
                <w:lang w:eastAsia="zh-CN"/>
              </w:rPr>
              <w:br/>
              <w:t>•Desarrollo de los Juegos Intercolegiados: 10 balones.</w:t>
            </w:r>
            <w:r w:rsidRPr="008615C8">
              <w:rPr>
                <w:rFonts w:ascii="Arial" w:eastAsia="Times New Roman" w:hAnsi="Arial" w:cs="Arial"/>
                <w:sz w:val="16"/>
                <w:szCs w:val="16"/>
                <w:lang w:eastAsia="zh-CN"/>
              </w:rPr>
              <w:br/>
              <w:t>Total: 70 balones.</w:t>
            </w:r>
          </w:p>
        </w:tc>
        <w:tc>
          <w:tcPr>
            <w:tcW w:w="1163" w:type="dxa"/>
            <w:tcBorders>
              <w:top w:val="nil"/>
              <w:left w:val="nil"/>
              <w:bottom w:val="single" w:sz="4" w:space="0" w:color="auto"/>
              <w:right w:val="single" w:sz="4" w:space="0" w:color="auto"/>
            </w:tcBorders>
            <w:vAlign w:val="center"/>
            <w:hideMark/>
          </w:tcPr>
          <w:p w14:paraId="21AE881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3FA73D8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70</w:t>
            </w:r>
          </w:p>
        </w:tc>
        <w:tc>
          <w:tcPr>
            <w:tcW w:w="1263" w:type="dxa"/>
            <w:tcBorders>
              <w:top w:val="nil"/>
              <w:left w:val="nil"/>
              <w:bottom w:val="single" w:sz="4" w:space="0" w:color="auto"/>
              <w:right w:val="single" w:sz="4" w:space="0" w:color="auto"/>
            </w:tcBorders>
            <w:vAlign w:val="center"/>
            <w:hideMark/>
          </w:tcPr>
          <w:p w14:paraId="0DEF80B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3828BF5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0E408F66" w14:textId="3AEEC343"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5DC9F107" w14:textId="0886EAEA"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2730837E" w14:textId="0E30FDD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D9961B7"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7D4F6D4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8</w:t>
            </w:r>
          </w:p>
        </w:tc>
        <w:tc>
          <w:tcPr>
            <w:tcW w:w="4537" w:type="dxa"/>
            <w:tcBorders>
              <w:top w:val="nil"/>
              <w:left w:val="nil"/>
              <w:bottom w:val="single" w:sz="4" w:space="0" w:color="auto"/>
              <w:right w:val="single" w:sz="4" w:space="0" w:color="auto"/>
            </w:tcBorders>
            <w:vAlign w:val="bottom"/>
            <w:hideMark/>
          </w:tcPr>
          <w:p w14:paraId="6B21681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Balón de baloncesto No. 7, Especificación mínima requerida: Cubierta en cuero composite PU, superficie de alto agarre, talla 7, circunferencia 75–78 cm y peso 569–610 g. </w:t>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60 balones.</w:t>
            </w:r>
            <w:r w:rsidRPr="008615C8">
              <w:rPr>
                <w:rFonts w:ascii="Arial" w:eastAsia="Times New Roman" w:hAnsi="Arial" w:cs="Arial"/>
                <w:sz w:val="16"/>
                <w:szCs w:val="16"/>
                <w:lang w:eastAsia="zh-CN"/>
              </w:rPr>
              <w:br/>
              <w:t>•Cantidad por institución: 4 balones.</w:t>
            </w:r>
            <w:r w:rsidRPr="008615C8">
              <w:rPr>
                <w:rFonts w:ascii="Arial" w:eastAsia="Times New Roman" w:hAnsi="Arial" w:cs="Arial"/>
                <w:sz w:val="16"/>
                <w:szCs w:val="16"/>
                <w:lang w:eastAsia="zh-CN"/>
              </w:rPr>
              <w:br/>
              <w:t>•Desarrollo de los Juegos Intercolegiados: 10 balones.</w:t>
            </w:r>
            <w:r w:rsidRPr="008615C8">
              <w:rPr>
                <w:rFonts w:ascii="Arial" w:eastAsia="Times New Roman" w:hAnsi="Arial" w:cs="Arial"/>
                <w:sz w:val="16"/>
                <w:szCs w:val="16"/>
                <w:lang w:eastAsia="zh-CN"/>
              </w:rPr>
              <w:br/>
              <w:t>Total: 70 balones.</w:t>
            </w:r>
          </w:p>
        </w:tc>
        <w:tc>
          <w:tcPr>
            <w:tcW w:w="1163" w:type="dxa"/>
            <w:tcBorders>
              <w:top w:val="nil"/>
              <w:left w:val="nil"/>
              <w:bottom w:val="single" w:sz="4" w:space="0" w:color="auto"/>
              <w:right w:val="single" w:sz="4" w:space="0" w:color="auto"/>
            </w:tcBorders>
            <w:vAlign w:val="center"/>
            <w:hideMark/>
          </w:tcPr>
          <w:p w14:paraId="7BA3D01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5673CF8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70</w:t>
            </w:r>
          </w:p>
        </w:tc>
        <w:tc>
          <w:tcPr>
            <w:tcW w:w="1263" w:type="dxa"/>
            <w:tcBorders>
              <w:top w:val="nil"/>
              <w:left w:val="nil"/>
              <w:bottom w:val="single" w:sz="4" w:space="0" w:color="auto"/>
              <w:right w:val="single" w:sz="4" w:space="0" w:color="auto"/>
            </w:tcBorders>
            <w:vAlign w:val="center"/>
            <w:hideMark/>
          </w:tcPr>
          <w:p w14:paraId="33EE97D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6344B6E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5E28950D" w14:textId="624A8373"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55EB0038" w14:textId="608826EF"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33743EC9" w14:textId="74C5BA4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29A2A76D"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504661E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9</w:t>
            </w:r>
          </w:p>
        </w:tc>
        <w:tc>
          <w:tcPr>
            <w:tcW w:w="4537" w:type="dxa"/>
            <w:tcBorders>
              <w:top w:val="nil"/>
              <w:left w:val="nil"/>
              <w:bottom w:val="single" w:sz="4" w:space="0" w:color="auto"/>
              <w:right w:val="single" w:sz="4" w:space="0" w:color="auto"/>
            </w:tcBorders>
            <w:vAlign w:val="bottom"/>
            <w:hideMark/>
          </w:tcPr>
          <w:p w14:paraId="3726AC2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Conos plásticos, Especificación mínima requerida: Conos flexibles y resistentes para delimitación y agilidad. Total: 200 conos organizados en 20 juegos de 10 unidades.</w:t>
            </w:r>
            <w:r w:rsidRPr="008615C8">
              <w:rPr>
                <w:rFonts w:ascii="Arial" w:eastAsia="Times New Roman" w:hAnsi="Arial" w:cs="Arial"/>
                <w:sz w:val="16"/>
                <w:szCs w:val="16"/>
                <w:lang w:eastAsia="zh-CN"/>
              </w:rPr>
              <w:br/>
              <w:t xml:space="preserve"> </w:t>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150 conos.</w:t>
            </w:r>
            <w:r w:rsidRPr="008615C8">
              <w:rPr>
                <w:rFonts w:ascii="Arial" w:eastAsia="Times New Roman" w:hAnsi="Arial" w:cs="Arial"/>
                <w:sz w:val="16"/>
                <w:szCs w:val="16"/>
                <w:lang w:eastAsia="zh-CN"/>
              </w:rPr>
              <w:br/>
              <w:t>•Cantidad por institución: 10 conos.</w:t>
            </w:r>
            <w:r w:rsidRPr="008615C8">
              <w:rPr>
                <w:rFonts w:ascii="Arial" w:eastAsia="Times New Roman" w:hAnsi="Arial" w:cs="Arial"/>
                <w:sz w:val="16"/>
                <w:szCs w:val="16"/>
                <w:lang w:eastAsia="zh-CN"/>
              </w:rPr>
              <w:br/>
              <w:t>•Desarrollo de los Juegos Intercolegiados: 50 conos.</w:t>
            </w:r>
            <w:r w:rsidRPr="008615C8">
              <w:rPr>
                <w:rFonts w:ascii="Arial" w:eastAsia="Times New Roman" w:hAnsi="Arial" w:cs="Arial"/>
                <w:sz w:val="16"/>
                <w:szCs w:val="16"/>
                <w:lang w:eastAsia="zh-CN"/>
              </w:rPr>
              <w:br/>
              <w:t>Total: 200 conos.</w:t>
            </w:r>
          </w:p>
        </w:tc>
        <w:tc>
          <w:tcPr>
            <w:tcW w:w="1163" w:type="dxa"/>
            <w:tcBorders>
              <w:top w:val="nil"/>
              <w:left w:val="nil"/>
              <w:bottom w:val="single" w:sz="4" w:space="0" w:color="auto"/>
              <w:right w:val="single" w:sz="4" w:space="0" w:color="auto"/>
            </w:tcBorders>
            <w:vAlign w:val="center"/>
            <w:hideMark/>
          </w:tcPr>
          <w:p w14:paraId="61A6B70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53C821C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200</w:t>
            </w:r>
          </w:p>
        </w:tc>
        <w:tc>
          <w:tcPr>
            <w:tcW w:w="1263" w:type="dxa"/>
            <w:tcBorders>
              <w:top w:val="nil"/>
              <w:left w:val="nil"/>
              <w:bottom w:val="single" w:sz="4" w:space="0" w:color="auto"/>
              <w:right w:val="single" w:sz="4" w:space="0" w:color="auto"/>
            </w:tcBorders>
            <w:vAlign w:val="center"/>
            <w:hideMark/>
          </w:tcPr>
          <w:p w14:paraId="3FC44C1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68A72FA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70DBB65D" w14:textId="36F1841F"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37EFFD6E" w14:textId="5DD45C9B"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0CDA3151" w14:textId="5FA1D0CE"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768220DE"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5FFDC08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lastRenderedPageBreak/>
              <w:t>10</w:t>
            </w:r>
          </w:p>
        </w:tc>
        <w:tc>
          <w:tcPr>
            <w:tcW w:w="4537" w:type="dxa"/>
            <w:tcBorders>
              <w:top w:val="nil"/>
              <w:left w:val="nil"/>
              <w:bottom w:val="single" w:sz="4" w:space="0" w:color="auto"/>
              <w:right w:val="single" w:sz="4" w:space="0" w:color="auto"/>
            </w:tcBorders>
            <w:vAlign w:val="bottom"/>
            <w:hideMark/>
          </w:tcPr>
          <w:p w14:paraId="24CF391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Aros plásticos, Especificación mínima requerida: Aros de coordinación y agilidad, material flexible y resistente. Total: 200 aros organizados en 20 juegos de 10 unidades.</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150 aros.</w:t>
            </w:r>
            <w:r w:rsidRPr="008615C8">
              <w:rPr>
                <w:rFonts w:ascii="Arial" w:eastAsia="Times New Roman" w:hAnsi="Arial" w:cs="Arial"/>
                <w:sz w:val="16"/>
                <w:szCs w:val="16"/>
                <w:lang w:eastAsia="zh-CN"/>
              </w:rPr>
              <w:br/>
              <w:t>•Cantidad por institución: 10 aros.</w:t>
            </w:r>
            <w:r w:rsidRPr="008615C8">
              <w:rPr>
                <w:rFonts w:ascii="Arial" w:eastAsia="Times New Roman" w:hAnsi="Arial" w:cs="Arial"/>
                <w:sz w:val="16"/>
                <w:szCs w:val="16"/>
                <w:lang w:eastAsia="zh-CN"/>
              </w:rPr>
              <w:br/>
              <w:t>•Desarrollo de los Juegos Intercolegiados: 50 aros.</w:t>
            </w:r>
            <w:r w:rsidRPr="008615C8">
              <w:rPr>
                <w:rFonts w:ascii="Arial" w:eastAsia="Times New Roman" w:hAnsi="Arial" w:cs="Arial"/>
                <w:sz w:val="16"/>
                <w:szCs w:val="16"/>
                <w:lang w:eastAsia="zh-CN"/>
              </w:rPr>
              <w:br/>
              <w:t>Total: 200 aros.</w:t>
            </w:r>
          </w:p>
        </w:tc>
        <w:tc>
          <w:tcPr>
            <w:tcW w:w="1163" w:type="dxa"/>
            <w:tcBorders>
              <w:top w:val="nil"/>
              <w:left w:val="nil"/>
              <w:bottom w:val="single" w:sz="4" w:space="0" w:color="auto"/>
              <w:right w:val="single" w:sz="4" w:space="0" w:color="auto"/>
            </w:tcBorders>
            <w:vAlign w:val="center"/>
            <w:hideMark/>
          </w:tcPr>
          <w:p w14:paraId="3CCEA0A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5DF599A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200</w:t>
            </w:r>
          </w:p>
        </w:tc>
        <w:tc>
          <w:tcPr>
            <w:tcW w:w="1263" w:type="dxa"/>
            <w:tcBorders>
              <w:top w:val="nil"/>
              <w:left w:val="nil"/>
              <w:bottom w:val="single" w:sz="4" w:space="0" w:color="auto"/>
              <w:right w:val="single" w:sz="4" w:space="0" w:color="auto"/>
            </w:tcBorders>
            <w:vAlign w:val="center"/>
            <w:hideMark/>
          </w:tcPr>
          <w:p w14:paraId="32139E7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35B3011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2F3CA7BE" w14:textId="2B210717"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44FBF133" w14:textId="73FC24E9"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10610ED1" w14:textId="6A665C9F"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6F3C4153"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7933E6A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11</w:t>
            </w:r>
          </w:p>
        </w:tc>
        <w:tc>
          <w:tcPr>
            <w:tcW w:w="4537" w:type="dxa"/>
            <w:tcBorders>
              <w:top w:val="nil"/>
              <w:left w:val="nil"/>
              <w:bottom w:val="single" w:sz="4" w:space="0" w:color="auto"/>
              <w:right w:val="single" w:sz="4" w:space="0" w:color="auto"/>
            </w:tcBorders>
            <w:vAlign w:val="bottom"/>
            <w:hideMark/>
          </w:tcPr>
          <w:p w14:paraId="57244DD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Set de bandas de resistencia, Especificación mínima requerida: Set de cinco bandas elásticas con niveles diferenciados de resistencia y bolsa de almacenamiento. </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30 sets.</w:t>
            </w:r>
            <w:r w:rsidRPr="008615C8">
              <w:rPr>
                <w:rFonts w:ascii="Arial" w:eastAsia="Times New Roman" w:hAnsi="Arial" w:cs="Arial"/>
                <w:sz w:val="16"/>
                <w:szCs w:val="16"/>
                <w:lang w:eastAsia="zh-CN"/>
              </w:rPr>
              <w:br/>
              <w:t>•Cantidad por institución: 2 sets.</w:t>
            </w:r>
            <w:r w:rsidRPr="008615C8">
              <w:rPr>
                <w:rFonts w:ascii="Arial" w:eastAsia="Times New Roman" w:hAnsi="Arial" w:cs="Arial"/>
                <w:sz w:val="16"/>
                <w:szCs w:val="16"/>
                <w:lang w:eastAsia="zh-CN"/>
              </w:rPr>
              <w:br/>
              <w:t>•Desarrollo de los Juegos Intercolegiados: 10 sets.</w:t>
            </w:r>
            <w:r w:rsidRPr="008615C8">
              <w:rPr>
                <w:rFonts w:ascii="Arial" w:eastAsia="Times New Roman" w:hAnsi="Arial" w:cs="Arial"/>
                <w:sz w:val="16"/>
                <w:szCs w:val="16"/>
                <w:lang w:eastAsia="zh-CN"/>
              </w:rPr>
              <w:br/>
              <w:t>Total: 40 sets.</w:t>
            </w:r>
          </w:p>
        </w:tc>
        <w:tc>
          <w:tcPr>
            <w:tcW w:w="1163" w:type="dxa"/>
            <w:tcBorders>
              <w:top w:val="nil"/>
              <w:left w:val="nil"/>
              <w:bottom w:val="single" w:sz="4" w:space="0" w:color="auto"/>
              <w:right w:val="single" w:sz="4" w:space="0" w:color="auto"/>
            </w:tcBorders>
            <w:vAlign w:val="center"/>
            <w:hideMark/>
          </w:tcPr>
          <w:p w14:paraId="26CAFB5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Set</w:t>
            </w:r>
          </w:p>
        </w:tc>
        <w:tc>
          <w:tcPr>
            <w:tcW w:w="1247" w:type="dxa"/>
            <w:tcBorders>
              <w:top w:val="nil"/>
              <w:left w:val="nil"/>
              <w:bottom w:val="single" w:sz="4" w:space="0" w:color="auto"/>
              <w:right w:val="single" w:sz="4" w:space="0" w:color="auto"/>
            </w:tcBorders>
            <w:vAlign w:val="center"/>
            <w:hideMark/>
          </w:tcPr>
          <w:p w14:paraId="5419D27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40</w:t>
            </w:r>
          </w:p>
        </w:tc>
        <w:tc>
          <w:tcPr>
            <w:tcW w:w="1263" w:type="dxa"/>
            <w:tcBorders>
              <w:top w:val="nil"/>
              <w:left w:val="nil"/>
              <w:bottom w:val="single" w:sz="4" w:space="0" w:color="auto"/>
              <w:right w:val="single" w:sz="4" w:space="0" w:color="auto"/>
            </w:tcBorders>
            <w:vAlign w:val="center"/>
            <w:hideMark/>
          </w:tcPr>
          <w:p w14:paraId="7DACC59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6826582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22109F85" w14:textId="06D79E0A"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72C47280" w14:textId="520E3A18"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756999C0" w14:textId="2D19CE5B"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5C49AC16"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75A3009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12</w:t>
            </w:r>
          </w:p>
        </w:tc>
        <w:tc>
          <w:tcPr>
            <w:tcW w:w="4537" w:type="dxa"/>
            <w:tcBorders>
              <w:top w:val="nil"/>
              <w:left w:val="nil"/>
              <w:bottom w:val="single" w:sz="4" w:space="0" w:color="auto"/>
              <w:right w:val="single" w:sz="4" w:space="0" w:color="auto"/>
            </w:tcBorders>
            <w:vAlign w:val="bottom"/>
            <w:hideMark/>
          </w:tcPr>
          <w:p w14:paraId="095B83C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Cuerda de entrenamiento funcional – grupo 1, Especificación mínima requerida: Cuerda tipo batalla en nylon o poliéster trenzado, longitud aproximada 9–12 m, diámetro 38–50 mm y extremos protegidos. </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0 cuerdas.</w:t>
            </w:r>
            <w:r w:rsidRPr="008615C8">
              <w:rPr>
                <w:rFonts w:ascii="Arial" w:eastAsia="Times New Roman" w:hAnsi="Arial" w:cs="Arial"/>
                <w:sz w:val="16"/>
                <w:szCs w:val="16"/>
                <w:lang w:eastAsia="zh-CN"/>
              </w:rPr>
              <w:br/>
              <w:t>•Desarrollo de los Juegos Intercolegiados: 11 cuerdas.</w:t>
            </w:r>
            <w:r w:rsidRPr="008615C8">
              <w:rPr>
                <w:rFonts w:ascii="Arial" w:eastAsia="Times New Roman" w:hAnsi="Arial" w:cs="Arial"/>
                <w:sz w:val="16"/>
                <w:szCs w:val="16"/>
                <w:lang w:eastAsia="zh-CN"/>
              </w:rPr>
              <w:br/>
              <w:t>Total: 11 cuerdas.</w:t>
            </w:r>
          </w:p>
        </w:tc>
        <w:tc>
          <w:tcPr>
            <w:tcW w:w="1163" w:type="dxa"/>
            <w:tcBorders>
              <w:top w:val="nil"/>
              <w:left w:val="nil"/>
              <w:bottom w:val="single" w:sz="4" w:space="0" w:color="auto"/>
              <w:right w:val="single" w:sz="4" w:space="0" w:color="auto"/>
            </w:tcBorders>
            <w:vAlign w:val="center"/>
            <w:hideMark/>
          </w:tcPr>
          <w:p w14:paraId="16DBC6D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08689DA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11</w:t>
            </w:r>
          </w:p>
        </w:tc>
        <w:tc>
          <w:tcPr>
            <w:tcW w:w="1263" w:type="dxa"/>
            <w:tcBorders>
              <w:top w:val="nil"/>
              <w:left w:val="nil"/>
              <w:bottom w:val="single" w:sz="4" w:space="0" w:color="auto"/>
              <w:right w:val="single" w:sz="4" w:space="0" w:color="auto"/>
            </w:tcBorders>
            <w:vAlign w:val="center"/>
            <w:hideMark/>
          </w:tcPr>
          <w:p w14:paraId="3075885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27FCDFB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2B1FC627" w14:textId="2F2A0F56"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7D018900" w14:textId="791ED6F9"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3EF1C61A" w14:textId="18D687A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181C54F6"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115B9D4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13</w:t>
            </w:r>
          </w:p>
        </w:tc>
        <w:tc>
          <w:tcPr>
            <w:tcW w:w="4537" w:type="dxa"/>
            <w:tcBorders>
              <w:top w:val="nil"/>
              <w:left w:val="nil"/>
              <w:bottom w:val="single" w:sz="4" w:space="0" w:color="auto"/>
              <w:right w:val="single" w:sz="4" w:space="0" w:color="auto"/>
            </w:tcBorders>
            <w:vAlign w:val="bottom"/>
            <w:hideMark/>
          </w:tcPr>
          <w:p w14:paraId="02ACE1F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Lazo de salto de velocidad – grupo 1, Especificación mínima requerida: Cuerda ajustable de 2,5–3 m, cable recubierto, mangos ergonómicos y rodamientos de 360 grados. </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45 lazos.</w:t>
            </w:r>
            <w:r w:rsidRPr="008615C8">
              <w:rPr>
                <w:rFonts w:ascii="Arial" w:eastAsia="Times New Roman" w:hAnsi="Arial" w:cs="Arial"/>
                <w:sz w:val="16"/>
                <w:szCs w:val="16"/>
                <w:lang w:eastAsia="zh-CN"/>
              </w:rPr>
              <w:br/>
              <w:t>•Cantidad por institución: 3 lazos.</w:t>
            </w:r>
            <w:r w:rsidRPr="008615C8">
              <w:rPr>
                <w:rFonts w:ascii="Arial" w:eastAsia="Times New Roman" w:hAnsi="Arial" w:cs="Arial"/>
                <w:sz w:val="16"/>
                <w:szCs w:val="16"/>
                <w:lang w:eastAsia="zh-CN"/>
              </w:rPr>
              <w:br/>
              <w:t>•Desarrollo de los Juegos Intercolegiados: 5 lazos.</w:t>
            </w:r>
            <w:r w:rsidRPr="008615C8">
              <w:rPr>
                <w:rFonts w:ascii="Arial" w:eastAsia="Times New Roman" w:hAnsi="Arial" w:cs="Arial"/>
                <w:sz w:val="16"/>
                <w:szCs w:val="16"/>
                <w:lang w:eastAsia="zh-CN"/>
              </w:rPr>
              <w:br/>
              <w:t>Total: 50 lazos.</w:t>
            </w:r>
          </w:p>
        </w:tc>
        <w:tc>
          <w:tcPr>
            <w:tcW w:w="1163" w:type="dxa"/>
            <w:tcBorders>
              <w:top w:val="nil"/>
              <w:left w:val="nil"/>
              <w:bottom w:val="single" w:sz="4" w:space="0" w:color="auto"/>
              <w:right w:val="single" w:sz="4" w:space="0" w:color="auto"/>
            </w:tcBorders>
            <w:vAlign w:val="center"/>
            <w:hideMark/>
          </w:tcPr>
          <w:p w14:paraId="3D64A2C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58C5B06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50</w:t>
            </w:r>
          </w:p>
        </w:tc>
        <w:tc>
          <w:tcPr>
            <w:tcW w:w="1263" w:type="dxa"/>
            <w:tcBorders>
              <w:top w:val="nil"/>
              <w:left w:val="nil"/>
              <w:bottom w:val="single" w:sz="4" w:space="0" w:color="auto"/>
              <w:right w:val="single" w:sz="4" w:space="0" w:color="auto"/>
            </w:tcBorders>
            <w:vAlign w:val="center"/>
            <w:hideMark/>
          </w:tcPr>
          <w:p w14:paraId="330CE61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10E3BA3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0B6B1910" w14:textId="3C6D5EE0"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26AD28D2" w14:textId="083D8D96"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5C03C7FE" w14:textId="7B9B19E6"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4D5CC83B"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11F4143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14</w:t>
            </w:r>
          </w:p>
        </w:tc>
        <w:tc>
          <w:tcPr>
            <w:tcW w:w="4537" w:type="dxa"/>
            <w:tcBorders>
              <w:top w:val="nil"/>
              <w:left w:val="nil"/>
              <w:bottom w:val="single" w:sz="4" w:space="0" w:color="auto"/>
              <w:right w:val="single" w:sz="4" w:space="0" w:color="auto"/>
            </w:tcBorders>
            <w:vAlign w:val="bottom"/>
            <w:hideMark/>
          </w:tcPr>
          <w:p w14:paraId="5BB9752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Escalera de coordinación – grupo 1, Especificación mínima requerida: Escalera modular con correas de nylon y peldaños ajustables, longitud mínima 4 m y bolsa de transporte. </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45 escaleras.</w:t>
            </w:r>
            <w:r w:rsidRPr="008615C8">
              <w:rPr>
                <w:rFonts w:ascii="Arial" w:eastAsia="Times New Roman" w:hAnsi="Arial" w:cs="Arial"/>
                <w:sz w:val="16"/>
                <w:szCs w:val="16"/>
                <w:lang w:eastAsia="zh-CN"/>
              </w:rPr>
              <w:br/>
              <w:t>•Cantidad por institución: 3 escaleras.</w:t>
            </w:r>
            <w:r w:rsidRPr="008615C8">
              <w:rPr>
                <w:rFonts w:ascii="Arial" w:eastAsia="Times New Roman" w:hAnsi="Arial" w:cs="Arial"/>
                <w:sz w:val="16"/>
                <w:szCs w:val="16"/>
                <w:lang w:eastAsia="zh-CN"/>
              </w:rPr>
              <w:br/>
              <w:t>•Desarrollo de los Juegos Intercolegiados: 5 escaleras.</w:t>
            </w:r>
            <w:r w:rsidRPr="008615C8">
              <w:rPr>
                <w:rFonts w:ascii="Arial" w:eastAsia="Times New Roman" w:hAnsi="Arial" w:cs="Arial"/>
                <w:sz w:val="16"/>
                <w:szCs w:val="16"/>
                <w:lang w:eastAsia="zh-CN"/>
              </w:rPr>
              <w:br/>
              <w:t>Total: 50 escaleras.</w:t>
            </w:r>
          </w:p>
        </w:tc>
        <w:tc>
          <w:tcPr>
            <w:tcW w:w="1163" w:type="dxa"/>
            <w:tcBorders>
              <w:top w:val="nil"/>
              <w:left w:val="nil"/>
              <w:bottom w:val="single" w:sz="4" w:space="0" w:color="auto"/>
              <w:right w:val="single" w:sz="4" w:space="0" w:color="auto"/>
            </w:tcBorders>
            <w:vAlign w:val="center"/>
            <w:hideMark/>
          </w:tcPr>
          <w:p w14:paraId="74D1135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13DFE23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50</w:t>
            </w:r>
          </w:p>
        </w:tc>
        <w:tc>
          <w:tcPr>
            <w:tcW w:w="1263" w:type="dxa"/>
            <w:tcBorders>
              <w:top w:val="nil"/>
              <w:left w:val="nil"/>
              <w:bottom w:val="single" w:sz="4" w:space="0" w:color="auto"/>
              <w:right w:val="single" w:sz="4" w:space="0" w:color="auto"/>
            </w:tcBorders>
            <w:vAlign w:val="center"/>
            <w:hideMark/>
          </w:tcPr>
          <w:p w14:paraId="0EF5801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7B3FC9B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592A901A" w14:textId="16F8288C"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vAlign w:val="center"/>
          </w:tcPr>
          <w:p w14:paraId="50E723D0" w14:textId="3212D16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4E55D1C1" w14:textId="4ADD97BC"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DDF2FE2" w14:textId="77777777" w:rsidTr="00E349BF">
        <w:trPr>
          <w:gridAfter w:val="1"/>
          <w:wAfter w:w="8" w:type="dxa"/>
          <w:trHeight w:val="20"/>
        </w:trPr>
        <w:tc>
          <w:tcPr>
            <w:tcW w:w="562" w:type="dxa"/>
            <w:vMerge w:val="restart"/>
            <w:tcBorders>
              <w:top w:val="nil"/>
              <w:left w:val="single" w:sz="4" w:space="0" w:color="auto"/>
              <w:bottom w:val="single" w:sz="4" w:space="0" w:color="auto"/>
              <w:right w:val="single" w:sz="4" w:space="0" w:color="auto"/>
            </w:tcBorders>
            <w:vAlign w:val="center"/>
            <w:hideMark/>
          </w:tcPr>
          <w:p w14:paraId="7B7A679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lastRenderedPageBreak/>
              <w:t>15</w:t>
            </w:r>
          </w:p>
        </w:tc>
        <w:tc>
          <w:tcPr>
            <w:tcW w:w="4537" w:type="dxa"/>
            <w:tcBorders>
              <w:top w:val="nil"/>
              <w:left w:val="nil"/>
              <w:bottom w:val="single" w:sz="4" w:space="0" w:color="auto"/>
              <w:right w:val="single" w:sz="4" w:space="0" w:color="auto"/>
            </w:tcBorders>
            <w:shd w:val="clear" w:color="000000" w:fill="F2F2F2"/>
            <w:vAlign w:val="bottom"/>
            <w:hideMark/>
          </w:tcPr>
          <w:p w14:paraId="21E4AB6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Kit recreativo comunitario, Especificación mínima requerida de los elementos que conforman el KIT: </w:t>
            </w:r>
          </w:p>
        </w:tc>
        <w:tc>
          <w:tcPr>
            <w:tcW w:w="1163" w:type="dxa"/>
            <w:tcBorders>
              <w:top w:val="nil"/>
              <w:left w:val="nil"/>
              <w:bottom w:val="single" w:sz="4" w:space="0" w:color="auto"/>
              <w:right w:val="single" w:sz="4" w:space="0" w:color="auto"/>
            </w:tcBorders>
            <w:shd w:val="clear" w:color="000000" w:fill="F2F2F2"/>
            <w:vAlign w:val="center"/>
            <w:hideMark/>
          </w:tcPr>
          <w:p w14:paraId="5C90540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KIT</w:t>
            </w:r>
          </w:p>
        </w:tc>
        <w:tc>
          <w:tcPr>
            <w:tcW w:w="1247" w:type="dxa"/>
            <w:tcBorders>
              <w:top w:val="nil"/>
              <w:left w:val="nil"/>
              <w:bottom w:val="single" w:sz="4" w:space="0" w:color="auto"/>
              <w:right w:val="single" w:sz="4" w:space="0" w:color="auto"/>
            </w:tcBorders>
            <w:shd w:val="clear" w:color="000000" w:fill="F2F2F2"/>
            <w:vAlign w:val="center"/>
            <w:hideMark/>
          </w:tcPr>
          <w:p w14:paraId="27F4609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20</w:t>
            </w:r>
          </w:p>
        </w:tc>
        <w:tc>
          <w:tcPr>
            <w:tcW w:w="1263" w:type="dxa"/>
            <w:tcBorders>
              <w:top w:val="nil"/>
              <w:left w:val="nil"/>
              <w:bottom w:val="single" w:sz="4" w:space="0" w:color="auto"/>
              <w:right w:val="single" w:sz="4" w:space="0" w:color="auto"/>
            </w:tcBorders>
            <w:shd w:val="clear" w:color="000000" w:fill="F2F2F2"/>
            <w:vAlign w:val="center"/>
            <w:hideMark/>
          </w:tcPr>
          <w:p w14:paraId="65297437"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1</w:t>
            </w:r>
          </w:p>
        </w:tc>
        <w:tc>
          <w:tcPr>
            <w:tcW w:w="1458" w:type="dxa"/>
            <w:tcBorders>
              <w:top w:val="nil"/>
              <w:left w:val="nil"/>
              <w:bottom w:val="single" w:sz="4" w:space="0" w:color="auto"/>
              <w:right w:val="single" w:sz="4" w:space="0" w:color="auto"/>
            </w:tcBorders>
            <w:shd w:val="clear" w:color="000000" w:fill="F2F2F2"/>
            <w:vAlign w:val="center"/>
            <w:hideMark/>
          </w:tcPr>
          <w:p w14:paraId="025C3E2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F2F2F2"/>
            <w:vAlign w:val="center"/>
            <w:hideMark/>
          </w:tcPr>
          <w:p w14:paraId="27C8D4F4"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VALOR UNITARIO x elemento/KIT</w:t>
            </w:r>
          </w:p>
        </w:tc>
        <w:tc>
          <w:tcPr>
            <w:tcW w:w="1386" w:type="dxa"/>
            <w:gridSpan w:val="2"/>
            <w:tcBorders>
              <w:top w:val="nil"/>
              <w:left w:val="nil"/>
              <w:bottom w:val="nil"/>
              <w:right w:val="single" w:sz="4" w:space="0" w:color="auto"/>
            </w:tcBorders>
            <w:shd w:val="clear" w:color="000000" w:fill="F2F2F2"/>
            <w:vAlign w:val="center"/>
            <w:hideMark/>
          </w:tcPr>
          <w:p w14:paraId="5E9E615E"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VALOR TOTAL APORTE MUNICIPIO</w:t>
            </w:r>
          </w:p>
        </w:tc>
        <w:tc>
          <w:tcPr>
            <w:tcW w:w="1178" w:type="dxa"/>
            <w:gridSpan w:val="2"/>
            <w:tcBorders>
              <w:top w:val="nil"/>
              <w:left w:val="nil"/>
              <w:bottom w:val="nil"/>
              <w:right w:val="single" w:sz="4" w:space="0" w:color="auto"/>
            </w:tcBorders>
            <w:shd w:val="clear" w:color="000000" w:fill="F2F2F2"/>
            <w:vAlign w:val="center"/>
            <w:hideMark/>
          </w:tcPr>
          <w:p w14:paraId="7D0A43FD"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VALOR TOTAL APORTE ALAS DE LIBERTAD</w:t>
            </w:r>
          </w:p>
        </w:tc>
      </w:tr>
      <w:tr w:rsidR="00E349BF" w:rsidRPr="008615C8" w14:paraId="47F55BCB"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463CA507"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1F93D2AA"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Balón recreativo multipropósito, elaborado en material sintético de alta resistencia, apto para actividades lúdicas, recreativas y de iniciación deportiva.</w:t>
            </w:r>
          </w:p>
        </w:tc>
        <w:tc>
          <w:tcPr>
            <w:tcW w:w="1163" w:type="dxa"/>
            <w:tcBorders>
              <w:top w:val="nil"/>
              <w:left w:val="nil"/>
              <w:bottom w:val="single" w:sz="4" w:space="0" w:color="auto"/>
              <w:right w:val="single" w:sz="4" w:space="0" w:color="auto"/>
            </w:tcBorders>
            <w:vAlign w:val="center"/>
            <w:hideMark/>
          </w:tcPr>
          <w:p w14:paraId="0505846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Balón recreativo</w:t>
            </w:r>
          </w:p>
        </w:tc>
        <w:tc>
          <w:tcPr>
            <w:tcW w:w="1247" w:type="dxa"/>
            <w:tcBorders>
              <w:top w:val="nil"/>
              <w:left w:val="nil"/>
              <w:bottom w:val="single" w:sz="4" w:space="0" w:color="auto"/>
              <w:right w:val="single" w:sz="4" w:space="0" w:color="auto"/>
            </w:tcBorders>
            <w:vAlign w:val="center"/>
            <w:hideMark/>
          </w:tcPr>
          <w:p w14:paraId="3FB5F3B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263" w:type="dxa"/>
            <w:tcBorders>
              <w:top w:val="nil"/>
              <w:left w:val="nil"/>
              <w:bottom w:val="single" w:sz="4" w:space="0" w:color="auto"/>
              <w:right w:val="single" w:sz="4" w:space="0" w:color="auto"/>
            </w:tcBorders>
            <w:vAlign w:val="center"/>
            <w:hideMark/>
          </w:tcPr>
          <w:p w14:paraId="425343B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0F5A937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20D7DBA1" w14:textId="49384B51"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val="restart"/>
            <w:tcBorders>
              <w:top w:val="single" w:sz="4" w:space="0" w:color="auto"/>
              <w:left w:val="single" w:sz="4" w:space="0" w:color="auto"/>
              <w:bottom w:val="single" w:sz="4" w:space="0" w:color="auto"/>
              <w:right w:val="single" w:sz="4" w:space="0" w:color="auto"/>
            </w:tcBorders>
            <w:shd w:val="clear" w:color="000000" w:fill="DAF2D0"/>
            <w:vAlign w:val="center"/>
          </w:tcPr>
          <w:p w14:paraId="14116717" w14:textId="5BBED7E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val="restart"/>
            <w:tcBorders>
              <w:top w:val="single" w:sz="4" w:space="0" w:color="auto"/>
              <w:left w:val="single" w:sz="4" w:space="0" w:color="auto"/>
              <w:bottom w:val="single" w:sz="4" w:space="0" w:color="000000"/>
              <w:right w:val="single" w:sz="4" w:space="0" w:color="auto"/>
            </w:tcBorders>
            <w:shd w:val="clear" w:color="000000" w:fill="DAF2D0"/>
            <w:vAlign w:val="center"/>
          </w:tcPr>
          <w:p w14:paraId="7AAC8849" w14:textId="3E764EEE"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72A52AFD"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2ACF5D94"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7045C0A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Lazo para actividades recreativas y de acondicionamiento físico, fabricado en PVC o material similar, con manijas ergonómicas.</w:t>
            </w:r>
          </w:p>
        </w:tc>
        <w:tc>
          <w:tcPr>
            <w:tcW w:w="1163" w:type="dxa"/>
            <w:tcBorders>
              <w:top w:val="nil"/>
              <w:left w:val="nil"/>
              <w:bottom w:val="single" w:sz="4" w:space="0" w:color="auto"/>
              <w:right w:val="single" w:sz="4" w:space="0" w:color="auto"/>
            </w:tcBorders>
            <w:vAlign w:val="center"/>
            <w:hideMark/>
          </w:tcPr>
          <w:p w14:paraId="3EFC578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Lazo para salto</w:t>
            </w:r>
          </w:p>
        </w:tc>
        <w:tc>
          <w:tcPr>
            <w:tcW w:w="1247" w:type="dxa"/>
            <w:tcBorders>
              <w:top w:val="nil"/>
              <w:left w:val="nil"/>
              <w:bottom w:val="single" w:sz="4" w:space="0" w:color="auto"/>
              <w:right w:val="single" w:sz="4" w:space="0" w:color="auto"/>
            </w:tcBorders>
            <w:vAlign w:val="center"/>
            <w:hideMark/>
          </w:tcPr>
          <w:p w14:paraId="71B6AAE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w:t>
            </w:r>
          </w:p>
        </w:tc>
        <w:tc>
          <w:tcPr>
            <w:tcW w:w="1263" w:type="dxa"/>
            <w:tcBorders>
              <w:top w:val="nil"/>
              <w:left w:val="nil"/>
              <w:bottom w:val="single" w:sz="4" w:space="0" w:color="auto"/>
              <w:right w:val="single" w:sz="4" w:space="0" w:color="auto"/>
            </w:tcBorders>
            <w:vAlign w:val="center"/>
            <w:hideMark/>
          </w:tcPr>
          <w:p w14:paraId="07C88B5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33953289"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7DC08DA1" w14:textId="0FAE2EB5"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5F064DDA"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single" w:sz="4" w:space="0" w:color="auto"/>
              <w:left w:val="single" w:sz="4" w:space="0" w:color="auto"/>
              <w:bottom w:val="single" w:sz="4" w:space="0" w:color="000000"/>
              <w:right w:val="single" w:sz="4" w:space="0" w:color="auto"/>
            </w:tcBorders>
            <w:vAlign w:val="center"/>
          </w:tcPr>
          <w:p w14:paraId="0FE5817C"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6A0A215C"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456F2DE9"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5541232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Aro plástico de alta resistencia para actividades motrices, recreativas y de coordinación.</w:t>
            </w:r>
          </w:p>
        </w:tc>
        <w:tc>
          <w:tcPr>
            <w:tcW w:w="1163" w:type="dxa"/>
            <w:tcBorders>
              <w:top w:val="nil"/>
              <w:left w:val="nil"/>
              <w:bottom w:val="single" w:sz="4" w:space="0" w:color="auto"/>
              <w:right w:val="single" w:sz="4" w:space="0" w:color="auto"/>
            </w:tcBorders>
            <w:vAlign w:val="center"/>
            <w:hideMark/>
          </w:tcPr>
          <w:p w14:paraId="3EEF65E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Aro recreativo</w:t>
            </w:r>
          </w:p>
        </w:tc>
        <w:tc>
          <w:tcPr>
            <w:tcW w:w="1247" w:type="dxa"/>
            <w:tcBorders>
              <w:top w:val="nil"/>
              <w:left w:val="nil"/>
              <w:bottom w:val="single" w:sz="4" w:space="0" w:color="auto"/>
              <w:right w:val="single" w:sz="4" w:space="0" w:color="auto"/>
            </w:tcBorders>
            <w:vAlign w:val="center"/>
            <w:hideMark/>
          </w:tcPr>
          <w:p w14:paraId="0124AEE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4</w:t>
            </w:r>
          </w:p>
        </w:tc>
        <w:tc>
          <w:tcPr>
            <w:tcW w:w="1263" w:type="dxa"/>
            <w:tcBorders>
              <w:top w:val="nil"/>
              <w:left w:val="nil"/>
              <w:bottom w:val="single" w:sz="4" w:space="0" w:color="auto"/>
              <w:right w:val="single" w:sz="4" w:space="0" w:color="auto"/>
            </w:tcBorders>
            <w:vAlign w:val="center"/>
            <w:hideMark/>
          </w:tcPr>
          <w:p w14:paraId="77577E6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729A34F9"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20EF394F" w14:textId="284285C9"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14764120"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single" w:sz="4" w:space="0" w:color="auto"/>
              <w:left w:val="single" w:sz="4" w:space="0" w:color="auto"/>
              <w:bottom w:val="single" w:sz="4" w:space="0" w:color="000000"/>
              <w:right w:val="single" w:sz="4" w:space="0" w:color="auto"/>
            </w:tcBorders>
            <w:vAlign w:val="center"/>
          </w:tcPr>
          <w:p w14:paraId="17AD2FA9"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5A1C1C0"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21AEC4C1"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48BEDD0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Cono plástico flexible para demarcación de espacios y circuitos deportivos.</w:t>
            </w:r>
          </w:p>
        </w:tc>
        <w:tc>
          <w:tcPr>
            <w:tcW w:w="1163" w:type="dxa"/>
            <w:tcBorders>
              <w:top w:val="nil"/>
              <w:left w:val="nil"/>
              <w:bottom w:val="single" w:sz="4" w:space="0" w:color="auto"/>
              <w:right w:val="single" w:sz="4" w:space="0" w:color="auto"/>
            </w:tcBorders>
            <w:vAlign w:val="center"/>
            <w:hideMark/>
          </w:tcPr>
          <w:p w14:paraId="5D32493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Cono de entrenamiento</w:t>
            </w:r>
          </w:p>
        </w:tc>
        <w:tc>
          <w:tcPr>
            <w:tcW w:w="1247" w:type="dxa"/>
            <w:tcBorders>
              <w:top w:val="nil"/>
              <w:left w:val="nil"/>
              <w:bottom w:val="single" w:sz="4" w:space="0" w:color="auto"/>
              <w:right w:val="single" w:sz="4" w:space="0" w:color="auto"/>
            </w:tcBorders>
            <w:vAlign w:val="center"/>
            <w:hideMark/>
          </w:tcPr>
          <w:p w14:paraId="6D3047A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10</w:t>
            </w:r>
          </w:p>
        </w:tc>
        <w:tc>
          <w:tcPr>
            <w:tcW w:w="1263" w:type="dxa"/>
            <w:tcBorders>
              <w:top w:val="nil"/>
              <w:left w:val="nil"/>
              <w:bottom w:val="single" w:sz="4" w:space="0" w:color="auto"/>
              <w:right w:val="single" w:sz="4" w:space="0" w:color="auto"/>
            </w:tcBorders>
            <w:vAlign w:val="center"/>
            <w:hideMark/>
          </w:tcPr>
          <w:p w14:paraId="7039CF1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74CACE9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236569D4" w14:textId="1B13340F"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0499A92F"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single" w:sz="4" w:space="0" w:color="auto"/>
              <w:left w:val="single" w:sz="4" w:space="0" w:color="auto"/>
              <w:bottom w:val="single" w:sz="4" w:space="0" w:color="000000"/>
              <w:right w:val="single" w:sz="4" w:space="0" w:color="auto"/>
            </w:tcBorders>
            <w:vAlign w:val="center"/>
          </w:tcPr>
          <w:p w14:paraId="15FC2846"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5813C0E5"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29929EB2"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78DED22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Costal elaborado en lona o material resistente para actividades de coordinación y juegos recreativos.</w:t>
            </w:r>
          </w:p>
        </w:tc>
        <w:tc>
          <w:tcPr>
            <w:tcW w:w="1163" w:type="dxa"/>
            <w:tcBorders>
              <w:top w:val="nil"/>
              <w:left w:val="nil"/>
              <w:bottom w:val="single" w:sz="4" w:space="0" w:color="auto"/>
              <w:right w:val="single" w:sz="4" w:space="0" w:color="auto"/>
            </w:tcBorders>
            <w:vAlign w:val="center"/>
            <w:hideMark/>
          </w:tcPr>
          <w:p w14:paraId="1730101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Costal recreativo</w:t>
            </w:r>
          </w:p>
        </w:tc>
        <w:tc>
          <w:tcPr>
            <w:tcW w:w="1247" w:type="dxa"/>
            <w:tcBorders>
              <w:top w:val="nil"/>
              <w:left w:val="nil"/>
              <w:bottom w:val="single" w:sz="4" w:space="0" w:color="auto"/>
              <w:right w:val="single" w:sz="4" w:space="0" w:color="auto"/>
            </w:tcBorders>
            <w:vAlign w:val="center"/>
            <w:hideMark/>
          </w:tcPr>
          <w:p w14:paraId="29E4E1C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w:t>
            </w:r>
          </w:p>
        </w:tc>
        <w:tc>
          <w:tcPr>
            <w:tcW w:w="1263" w:type="dxa"/>
            <w:tcBorders>
              <w:top w:val="nil"/>
              <w:left w:val="nil"/>
              <w:bottom w:val="single" w:sz="4" w:space="0" w:color="auto"/>
              <w:right w:val="single" w:sz="4" w:space="0" w:color="auto"/>
            </w:tcBorders>
            <w:vAlign w:val="center"/>
            <w:hideMark/>
          </w:tcPr>
          <w:p w14:paraId="4CB71A7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277FFCE9"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741645C4" w14:textId="4AC0D43A"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157F6937"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single" w:sz="4" w:space="0" w:color="auto"/>
              <w:left w:val="single" w:sz="4" w:space="0" w:color="auto"/>
              <w:bottom w:val="single" w:sz="4" w:space="0" w:color="000000"/>
              <w:right w:val="single" w:sz="4" w:space="0" w:color="auto"/>
            </w:tcBorders>
            <w:vAlign w:val="center"/>
          </w:tcPr>
          <w:p w14:paraId="53F423F1"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03E5E87"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08DC040F"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7B94786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Disco volador plástico de alta resistencia para actividades recreativas y deportivas al aire libre.</w:t>
            </w:r>
          </w:p>
        </w:tc>
        <w:tc>
          <w:tcPr>
            <w:tcW w:w="1163" w:type="dxa"/>
            <w:tcBorders>
              <w:top w:val="nil"/>
              <w:left w:val="nil"/>
              <w:bottom w:val="single" w:sz="4" w:space="0" w:color="auto"/>
              <w:right w:val="single" w:sz="4" w:space="0" w:color="auto"/>
            </w:tcBorders>
            <w:vAlign w:val="center"/>
            <w:hideMark/>
          </w:tcPr>
          <w:p w14:paraId="09DB25A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Frisbee</w:t>
            </w:r>
          </w:p>
        </w:tc>
        <w:tc>
          <w:tcPr>
            <w:tcW w:w="1247" w:type="dxa"/>
            <w:tcBorders>
              <w:top w:val="nil"/>
              <w:left w:val="nil"/>
              <w:bottom w:val="single" w:sz="4" w:space="0" w:color="auto"/>
              <w:right w:val="single" w:sz="4" w:space="0" w:color="auto"/>
            </w:tcBorders>
            <w:vAlign w:val="center"/>
            <w:hideMark/>
          </w:tcPr>
          <w:p w14:paraId="373FB68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w:t>
            </w:r>
          </w:p>
        </w:tc>
        <w:tc>
          <w:tcPr>
            <w:tcW w:w="1263" w:type="dxa"/>
            <w:tcBorders>
              <w:top w:val="nil"/>
              <w:left w:val="nil"/>
              <w:bottom w:val="single" w:sz="4" w:space="0" w:color="auto"/>
              <w:right w:val="single" w:sz="4" w:space="0" w:color="auto"/>
            </w:tcBorders>
            <w:vAlign w:val="center"/>
            <w:hideMark/>
          </w:tcPr>
          <w:p w14:paraId="224B4559"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3CB0200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4BCA7FD1" w14:textId="629A986C"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329660C0"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single" w:sz="4" w:space="0" w:color="auto"/>
              <w:left w:val="single" w:sz="4" w:space="0" w:color="auto"/>
              <w:bottom w:val="single" w:sz="4" w:space="0" w:color="000000"/>
              <w:right w:val="single" w:sz="4" w:space="0" w:color="auto"/>
            </w:tcBorders>
            <w:vAlign w:val="center"/>
          </w:tcPr>
          <w:p w14:paraId="4E0A67D6"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6362EE0E"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73BD1617"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3805614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Bolsa o contenedor en lona resistente con sistema de cierre y asas para almacenamiento y transporte del kit.</w:t>
            </w:r>
          </w:p>
        </w:tc>
        <w:tc>
          <w:tcPr>
            <w:tcW w:w="1163" w:type="dxa"/>
            <w:tcBorders>
              <w:top w:val="nil"/>
              <w:left w:val="nil"/>
              <w:bottom w:val="single" w:sz="4" w:space="0" w:color="auto"/>
              <w:right w:val="single" w:sz="4" w:space="0" w:color="auto"/>
            </w:tcBorders>
            <w:vAlign w:val="center"/>
            <w:hideMark/>
          </w:tcPr>
          <w:p w14:paraId="4171987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Bolsa o contenedor</w:t>
            </w:r>
          </w:p>
        </w:tc>
        <w:tc>
          <w:tcPr>
            <w:tcW w:w="1247" w:type="dxa"/>
            <w:tcBorders>
              <w:top w:val="nil"/>
              <w:left w:val="nil"/>
              <w:bottom w:val="single" w:sz="4" w:space="0" w:color="auto"/>
              <w:right w:val="single" w:sz="4" w:space="0" w:color="auto"/>
            </w:tcBorders>
            <w:vAlign w:val="center"/>
            <w:hideMark/>
          </w:tcPr>
          <w:p w14:paraId="3DF2E57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263" w:type="dxa"/>
            <w:tcBorders>
              <w:top w:val="nil"/>
              <w:left w:val="nil"/>
              <w:bottom w:val="single" w:sz="4" w:space="0" w:color="auto"/>
              <w:right w:val="single" w:sz="4" w:space="0" w:color="auto"/>
            </w:tcBorders>
            <w:vAlign w:val="center"/>
            <w:hideMark/>
          </w:tcPr>
          <w:p w14:paraId="2A5B11E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02CB944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57053AB1" w14:textId="5FD661E4"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7EA987A5"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single" w:sz="4" w:space="0" w:color="auto"/>
              <w:left w:val="single" w:sz="4" w:space="0" w:color="auto"/>
              <w:bottom w:val="single" w:sz="4" w:space="0" w:color="000000"/>
              <w:right w:val="single" w:sz="4" w:space="0" w:color="auto"/>
            </w:tcBorders>
            <w:vAlign w:val="center"/>
          </w:tcPr>
          <w:p w14:paraId="48C5B2A3"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701D2378"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65537CEE"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bottom"/>
            <w:hideMark/>
          </w:tcPr>
          <w:p w14:paraId="4EEC9B3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br/>
              <w:t>•Instituciones educativas participantes: 15 kits.</w:t>
            </w:r>
            <w:r w:rsidRPr="008615C8">
              <w:rPr>
                <w:rFonts w:ascii="Arial" w:eastAsia="Times New Roman" w:hAnsi="Arial" w:cs="Arial"/>
                <w:sz w:val="16"/>
                <w:szCs w:val="16"/>
                <w:lang w:eastAsia="zh-CN"/>
              </w:rPr>
              <w:br/>
              <w:t>•Cantidad inicial por institución: 1 kit.</w:t>
            </w:r>
            <w:r w:rsidRPr="008615C8">
              <w:rPr>
                <w:rFonts w:ascii="Arial" w:eastAsia="Times New Roman" w:hAnsi="Arial" w:cs="Arial"/>
                <w:sz w:val="16"/>
                <w:szCs w:val="16"/>
                <w:lang w:eastAsia="zh-CN"/>
              </w:rPr>
              <w:br/>
              <w:t>•Kits destinados a reconocimientos: 5 kits.</w:t>
            </w:r>
            <w:r w:rsidRPr="008615C8">
              <w:rPr>
                <w:rFonts w:ascii="Arial" w:eastAsia="Times New Roman" w:hAnsi="Arial" w:cs="Arial"/>
                <w:sz w:val="16"/>
                <w:szCs w:val="16"/>
                <w:lang w:eastAsia="zh-CN"/>
              </w:rPr>
              <w:br/>
              <w:t>Total: 20 kits.</w:t>
            </w:r>
          </w:p>
        </w:tc>
        <w:tc>
          <w:tcPr>
            <w:tcW w:w="1163" w:type="dxa"/>
            <w:tcBorders>
              <w:top w:val="nil"/>
              <w:left w:val="nil"/>
              <w:bottom w:val="single" w:sz="4" w:space="0" w:color="auto"/>
              <w:right w:val="single" w:sz="4" w:space="0" w:color="auto"/>
            </w:tcBorders>
            <w:vAlign w:val="center"/>
            <w:hideMark/>
          </w:tcPr>
          <w:p w14:paraId="660C58C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c>
          <w:tcPr>
            <w:tcW w:w="1247" w:type="dxa"/>
            <w:tcBorders>
              <w:top w:val="nil"/>
              <w:left w:val="nil"/>
              <w:bottom w:val="single" w:sz="4" w:space="0" w:color="auto"/>
              <w:right w:val="single" w:sz="4" w:space="0" w:color="auto"/>
            </w:tcBorders>
            <w:vAlign w:val="center"/>
            <w:hideMark/>
          </w:tcPr>
          <w:p w14:paraId="02B6165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c>
          <w:tcPr>
            <w:tcW w:w="1263" w:type="dxa"/>
            <w:tcBorders>
              <w:top w:val="nil"/>
              <w:left w:val="nil"/>
              <w:bottom w:val="single" w:sz="4" w:space="0" w:color="auto"/>
              <w:right w:val="single" w:sz="4" w:space="0" w:color="auto"/>
            </w:tcBorders>
            <w:vAlign w:val="center"/>
            <w:hideMark/>
          </w:tcPr>
          <w:p w14:paraId="1E84F2B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c>
          <w:tcPr>
            <w:tcW w:w="1458" w:type="dxa"/>
            <w:tcBorders>
              <w:top w:val="nil"/>
              <w:left w:val="nil"/>
              <w:bottom w:val="single" w:sz="4" w:space="0" w:color="auto"/>
              <w:right w:val="single" w:sz="4" w:space="0" w:color="auto"/>
            </w:tcBorders>
            <w:vAlign w:val="center"/>
            <w:hideMark/>
          </w:tcPr>
          <w:p w14:paraId="6D5FEC6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c>
          <w:tcPr>
            <w:tcW w:w="1208" w:type="dxa"/>
            <w:tcBorders>
              <w:top w:val="nil"/>
              <w:left w:val="nil"/>
              <w:bottom w:val="single" w:sz="4" w:space="0" w:color="auto"/>
              <w:right w:val="single" w:sz="4" w:space="0" w:color="auto"/>
            </w:tcBorders>
            <w:shd w:val="clear" w:color="000000" w:fill="DAF2D0"/>
            <w:vAlign w:val="center"/>
            <w:hideMark/>
          </w:tcPr>
          <w:p w14:paraId="13FE57A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c>
          <w:tcPr>
            <w:tcW w:w="1386" w:type="dxa"/>
            <w:gridSpan w:val="2"/>
            <w:tcBorders>
              <w:top w:val="nil"/>
              <w:left w:val="nil"/>
              <w:bottom w:val="single" w:sz="4" w:space="0" w:color="auto"/>
              <w:right w:val="single" w:sz="4" w:space="0" w:color="auto"/>
            </w:tcBorders>
            <w:shd w:val="clear" w:color="000000" w:fill="DAF2D0"/>
            <w:vAlign w:val="center"/>
            <w:hideMark/>
          </w:tcPr>
          <w:p w14:paraId="1F74BEB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c>
          <w:tcPr>
            <w:tcW w:w="1178" w:type="dxa"/>
            <w:gridSpan w:val="2"/>
            <w:tcBorders>
              <w:top w:val="nil"/>
              <w:left w:val="nil"/>
              <w:bottom w:val="single" w:sz="4" w:space="0" w:color="auto"/>
              <w:right w:val="single" w:sz="4" w:space="0" w:color="auto"/>
            </w:tcBorders>
            <w:shd w:val="clear" w:color="000000" w:fill="DAF2D0"/>
            <w:vAlign w:val="center"/>
            <w:hideMark/>
          </w:tcPr>
          <w:p w14:paraId="5CC441C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N/A</w:t>
            </w:r>
          </w:p>
        </w:tc>
      </w:tr>
      <w:tr w:rsidR="00E349BF" w:rsidRPr="008615C8" w14:paraId="2253B3AE"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28E6B62B"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shd w:val="clear" w:color="000000" w:fill="F2F2F2"/>
            <w:vAlign w:val="bottom"/>
            <w:hideMark/>
          </w:tcPr>
          <w:p w14:paraId="35E767F6" w14:textId="77777777" w:rsidR="00E349BF" w:rsidRPr="008615C8" w:rsidRDefault="00E349BF" w:rsidP="00082A22">
            <w:pPr>
              <w:spacing w:after="0" w:line="240" w:lineRule="auto"/>
              <w:jc w:val="both"/>
              <w:rPr>
                <w:rFonts w:ascii="Arial" w:eastAsia="Times New Roman" w:hAnsi="Arial" w:cs="Arial"/>
                <w:b/>
                <w:bCs/>
                <w:sz w:val="16"/>
                <w:szCs w:val="16"/>
                <w:lang w:eastAsia="zh-CN"/>
              </w:rPr>
            </w:pPr>
            <w:r w:rsidRPr="008615C8">
              <w:rPr>
                <w:rFonts w:ascii="Arial" w:eastAsia="Times New Roman" w:hAnsi="Arial" w:cs="Arial"/>
                <w:b/>
                <w:bCs/>
                <w:sz w:val="16"/>
                <w:szCs w:val="16"/>
                <w:lang w:eastAsia="zh-CN"/>
              </w:rPr>
              <w:t>SUBTOTAL ITEM 15 VALOR KIT</w:t>
            </w:r>
          </w:p>
        </w:tc>
        <w:tc>
          <w:tcPr>
            <w:tcW w:w="1163" w:type="dxa"/>
            <w:tcBorders>
              <w:top w:val="nil"/>
              <w:left w:val="nil"/>
              <w:bottom w:val="single" w:sz="4" w:space="0" w:color="auto"/>
              <w:right w:val="single" w:sz="4" w:space="0" w:color="auto"/>
            </w:tcBorders>
            <w:shd w:val="clear" w:color="000000" w:fill="F2F2F2"/>
            <w:vAlign w:val="center"/>
            <w:hideMark/>
          </w:tcPr>
          <w:p w14:paraId="098C2821"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 </w:t>
            </w:r>
          </w:p>
        </w:tc>
        <w:tc>
          <w:tcPr>
            <w:tcW w:w="1247" w:type="dxa"/>
            <w:tcBorders>
              <w:top w:val="nil"/>
              <w:left w:val="nil"/>
              <w:bottom w:val="single" w:sz="4" w:space="0" w:color="auto"/>
              <w:right w:val="single" w:sz="4" w:space="0" w:color="auto"/>
            </w:tcBorders>
            <w:shd w:val="clear" w:color="000000" w:fill="F2F2F2"/>
            <w:vAlign w:val="center"/>
            <w:hideMark/>
          </w:tcPr>
          <w:p w14:paraId="60EC32B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 </w:t>
            </w:r>
          </w:p>
        </w:tc>
        <w:tc>
          <w:tcPr>
            <w:tcW w:w="1263" w:type="dxa"/>
            <w:tcBorders>
              <w:top w:val="nil"/>
              <w:left w:val="nil"/>
              <w:bottom w:val="single" w:sz="4" w:space="0" w:color="auto"/>
              <w:right w:val="single" w:sz="4" w:space="0" w:color="auto"/>
            </w:tcBorders>
            <w:shd w:val="clear" w:color="000000" w:fill="F2F2F2"/>
            <w:vAlign w:val="center"/>
            <w:hideMark/>
          </w:tcPr>
          <w:p w14:paraId="606236D9"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 </w:t>
            </w:r>
          </w:p>
        </w:tc>
        <w:tc>
          <w:tcPr>
            <w:tcW w:w="1458" w:type="dxa"/>
            <w:tcBorders>
              <w:top w:val="nil"/>
              <w:left w:val="nil"/>
              <w:bottom w:val="single" w:sz="4" w:space="0" w:color="auto"/>
              <w:right w:val="single" w:sz="4" w:space="0" w:color="auto"/>
            </w:tcBorders>
            <w:shd w:val="clear" w:color="000000" w:fill="F2F2F2"/>
            <w:vAlign w:val="center"/>
            <w:hideMark/>
          </w:tcPr>
          <w:p w14:paraId="32DF0EA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 </w:t>
            </w:r>
          </w:p>
        </w:tc>
        <w:tc>
          <w:tcPr>
            <w:tcW w:w="1208" w:type="dxa"/>
            <w:tcBorders>
              <w:top w:val="nil"/>
              <w:left w:val="nil"/>
              <w:bottom w:val="single" w:sz="4" w:space="0" w:color="auto"/>
              <w:right w:val="single" w:sz="4" w:space="0" w:color="auto"/>
            </w:tcBorders>
            <w:shd w:val="clear" w:color="000000" w:fill="F2F2F2"/>
            <w:vAlign w:val="center"/>
          </w:tcPr>
          <w:p w14:paraId="3242051F" w14:textId="5B60A09D"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F2F2F2"/>
            <w:vAlign w:val="center"/>
          </w:tcPr>
          <w:p w14:paraId="29CB31AE" w14:textId="5D7E8FD4"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F2F2F2"/>
            <w:noWrap/>
            <w:vAlign w:val="center"/>
          </w:tcPr>
          <w:p w14:paraId="733DBB9F" w14:textId="436D91C8"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0EA936EE" w14:textId="77777777" w:rsidTr="00E349BF">
        <w:trPr>
          <w:gridAfter w:val="1"/>
          <w:wAfter w:w="8" w:type="dxa"/>
          <w:trHeight w:val="20"/>
        </w:trPr>
        <w:tc>
          <w:tcPr>
            <w:tcW w:w="562" w:type="dxa"/>
            <w:tcBorders>
              <w:top w:val="nil"/>
              <w:left w:val="single" w:sz="4" w:space="0" w:color="auto"/>
              <w:bottom w:val="single" w:sz="4" w:space="0" w:color="auto"/>
              <w:right w:val="single" w:sz="4" w:space="0" w:color="auto"/>
            </w:tcBorders>
            <w:vAlign w:val="center"/>
            <w:hideMark/>
          </w:tcPr>
          <w:p w14:paraId="0020E9D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16</w:t>
            </w:r>
          </w:p>
        </w:tc>
        <w:tc>
          <w:tcPr>
            <w:tcW w:w="4537" w:type="dxa"/>
            <w:tcBorders>
              <w:top w:val="nil"/>
              <w:left w:val="nil"/>
              <w:bottom w:val="single" w:sz="4" w:space="0" w:color="auto"/>
              <w:right w:val="single" w:sz="4" w:space="0" w:color="auto"/>
            </w:tcBorders>
            <w:vAlign w:val="bottom"/>
            <w:hideMark/>
          </w:tcPr>
          <w:p w14:paraId="09B879FD"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Piso modular tipo tatami, Especificación mínima requerida: Módulo de 1 x 1 m en espuma EVA de alta densidad, antideslizante, encaje tipo rompecabezas y espesor de 4 cm. </w:t>
            </w:r>
            <w:r w:rsidRPr="008615C8">
              <w:rPr>
                <w:rFonts w:ascii="Arial" w:eastAsia="Times New Roman" w:hAnsi="Arial" w:cs="Arial"/>
                <w:sz w:val="16"/>
                <w:szCs w:val="16"/>
                <w:lang w:eastAsia="zh-CN"/>
              </w:rPr>
              <w:br/>
            </w: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15 módulos.</w:t>
            </w:r>
            <w:r w:rsidRPr="008615C8">
              <w:rPr>
                <w:rFonts w:ascii="Arial" w:eastAsia="Times New Roman" w:hAnsi="Arial" w:cs="Arial"/>
                <w:sz w:val="16"/>
                <w:szCs w:val="16"/>
                <w:lang w:eastAsia="zh-CN"/>
              </w:rPr>
              <w:br/>
              <w:t>•Cantidad por institución: 1 módulo.</w:t>
            </w:r>
            <w:r w:rsidRPr="008615C8">
              <w:rPr>
                <w:rFonts w:ascii="Arial" w:eastAsia="Times New Roman" w:hAnsi="Arial" w:cs="Arial"/>
                <w:sz w:val="16"/>
                <w:szCs w:val="16"/>
                <w:lang w:eastAsia="zh-CN"/>
              </w:rPr>
              <w:br/>
              <w:t>•Desarrollo de los Juegos Intercolegiados: 5 módulos.</w:t>
            </w:r>
            <w:r w:rsidRPr="008615C8">
              <w:rPr>
                <w:rFonts w:ascii="Arial" w:eastAsia="Times New Roman" w:hAnsi="Arial" w:cs="Arial"/>
                <w:sz w:val="16"/>
                <w:szCs w:val="16"/>
                <w:lang w:eastAsia="zh-CN"/>
              </w:rPr>
              <w:br/>
              <w:t>Total: 20 módulos.</w:t>
            </w:r>
          </w:p>
        </w:tc>
        <w:tc>
          <w:tcPr>
            <w:tcW w:w="1163" w:type="dxa"/>
            <w:tcBorders>
              <w:top w:val="nil"/>
              <w:left w:val="nil"/>
              <w:bottom w:val="single" w:sz="4" w:space="0" w:color="auto"/>
              <w:right w:val="single" w:sz="4" w:space="0" w:color="auto"/>
            </w:tcBorders>
            <w:vAlign w:val="center"/>
            <w:hideMark/>
          </w:tcPr>
          <w:p w14:paraId="052C82F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Unidad</w:t>
            </w:r>
          </w:p>
        </w:tc>
        <w:tc>
          <w:tcPr>
            <w:tcW w:w="1247" w:type="dxa"/>
            <w:tcBorders>
              <w:top w:val="nil"/>
              <w:left w:val="nil"/>
              <w:bottom w:val="single" w:sz="4" w:space="0" w:color="auto"/>
              <w:right w:val="single" w:sz="4" w:space="0" w:color="auto"/>
            </w:tcBorders>
            <w:vAlign w:val="center"/>
            <w:hideMark/>
          </w:tcPr>
          <w:p w14:paraId="17A89AA8"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20</w:t>
            </w:r>
          </w:p>
        </w:tc>
        <w:tc>
          <w:tcPr>
            <w:tcW w:w="1263" w:type="dxa"/>
            <w:tcBorders>
              <w:top w:val="nil"/>
              <w:left w:val="nil"/>
              <w:bottom w:val="single" w:sz="4" w:space="0" w:color="auto"/>
              <w:right w:val="single" w:sz="4" w:space="0" w:color="auto"/>
            </w:tcBorders>
            <w:vAlign w:val="center"/>
            <w:hideMark/>
          </w:tcPr>
          <w:p w14:paraId="3A41E950"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tcBorders>
              <w:top w:val="nil"/>
              <w:left w:val="nil"/>
              <w:bottom w:val="single" w:sz="4" w:space="0" w:color="auto"/>
              <w:right w:val="single" w:sz="4" w:space="0" w:color="auto"/>
            </w:tcBorders>
            <w:vAlign w:val="center"/>
            <w:hideMark/>
          </w:tcPr>
          <w:p w14:paraId="0DA0838C"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tcBorders>
              <w:top w:val="nil"/>
              <w:left w:val="nil"/>
              <w:bottom w:val="single" w:sz="4" w:space="0" w:color="auto"/>
              <w:right w:val="single" w:sz="4" w:space="0" w:color="auto"/>
            </w:tcBorders>
            <w:shd w:val="clear" w:color="000000" w:fill="DAF2D0"/>
            <w:vAlign w:val="center"/>
          </w:tcPr>
          <w:p w14:paraId="61E35166" w14:textId="163DE4D3"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tcBorders>
              <w:top w:val="nil"/>
              <w:left w:val="nil"/>
              <w:bottom w:val="single" w:sz="4" w:space="0" w:color="auto"/>
              <w:right w:val="single" w:sz="4" w:space="0" w:color="auto"/>
            </w:tcBorders>
            <w:shd w:val="clear" w:color="000000" w:fill="DAF2D0"/>
            <w:noWrap/>
            <w:vAlign w:val="center"/>
          </w:tcPr>
          <w:p w14:paraId="68B69117" w14:textId="55EA3D48"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tcBorders>
              <w:top w:val="nil"/>
              <w:left w:val="nil"/>
              <w:bottom w:val="single" w:sz="4" w:space="0" w:color="auto"/>
              <w:right w:val="single" w:sz="4" w:space="0" w:color="auto"/>
            </w:tcBorders>
            <w:shd w:val="clear" w:color="000000" w:fill="DAF2D0"/>
            <w:noWrap/>
            <w:vAlign w:val="center"/>
          </w:tcPr>
          <w:p w14:paraId="3EE913CB" w14:textId="24FE96C1"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4A16F135" w14:textId="77777777" w:rsidTr="00E349BF">
        <w:trPr>
          <w:gridAfter w:val="1"/>
          <w:wAfter w:w="8" w:type="dxa"/>
          <w:trHeight w:val="20"/>
        </w:trPr>
        <w:tc>
          <w:tcPr>
            <w:tcW w:w="562" w:type="dxa"/>
            <w:vMerge w:val="restart"/>
            <w:tcBorders>
              <w:top w:val="nil"/>
              <w:left w:val="single" w:sz="4" w:space="0" w:color="auto"/>
              <w:bottom w:val="single" w:sz="4" w:space="0" w:color="auto"/>
              <w:right w:val="single" w:sz="4" w:space="0" w:color="auto"/>
            </w:tcBorders>
            <w:vAlign w:val="center"/>
            <w:hideMark/>
          </w:tcPr>
          <w:p w14:paraId="0CACF652"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17</w:t>
            </w:r>
          </w:p>
        </w:tc>
        <w:tc>
          <w:tcPr>
            <w:tcW w:w="4537" w:type="dxa"/>
            <w:tcBorders>
              <w:top w:val="nil"/>
              <w:left w:val="nil"/>
              <w:bottom w:val="single" w:sz="4" w:space="0" w:color="auto"/>
              <w:right w:val="single" w:sz="4" w:space="0" w:color="auto"/>
            </w:tcBorders>
            <w:vAlign w:val="bottom"/>
            <w:hideMark/>
          </w:tcPr>
          <w:p w14:paraId="6272618F"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w:t>
            </w:r>
            <w:r w:rsidRPr="008615C8">
              <w:rPr>
                <w:rFonts w:ascii="Arial" w:eastAsia="Times New Roman" w:hAnsi="Arial" w:cs="Arial"/>
                <w:b/>
                <w:bCs/>
                <w:sz w:val="16"/>
                <w:szCs w:val="16"/>
                <w:lang w:eastAsia="zh-CN"/>
              </w:rPr>
              <w:t xml:space="preserve">KIT </w:t>
            </w:r>
            <w:r w:rsidRPr="008615C8">
              <w:rPr>
                <w:rFonts w:ascii="Arial" w:eastAsia="Times New Roman" w:hAnsi="Arial" w:cs="Arial"/>
                <w:sz w:val="16"/>
                <w:szCs w:val="16"/>
                <w:lang w:eastAsia="zh-CN"/>
              </w:rPr>
              <w:t>de Dotación institucional, Especificación mínima requerida: Kit por institución educativa compuesto por:</w:t>
            </w:r>
          </w:p>
        </w:tc>
        <w:tc>
          <w:tcPr>
            <w:tcW w:w="1163" w:type="dxa"/>
            <w:vMerge w:val="restart"/>
            <w:tcBorders>
              <w:top w:val="nil"/>
              <w:left w:val="single" w:sz="4" w:space="0" w:color="auto"/>
              <w:bottom w:val="single" w:sz="4" w:space="0" w:color="auto"/>
              <w:right w:val="single" w:sz="4" w:space="0" w:color="auto"/>
            </w:tcBorders>
            <w:vAlign w:val="center"/>
            <w:hideMark/>
          </w:tcPr>
          <w:p w14:paraId="59158683"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Kit institucional</w:t>
            </w:r>
          </w:p>
        </w:tc>
        <w:tc>
          <w:tcPr>
            <w:tcW w:w="1247" w:type="dxa"/>
            <w:vMerge w:val="restart"/>
            <w:tcBorders>
              <w:top w:val="nil"/>
              <w:left w:val="single" w:sz="4" w:space="0" w:color="auto"/>
              <w:bottom w:val="single" w:sz="4" w:space="0" w:color="auto"/>
              <w:right w:val="single" w:sz="4" w:space="0" w:color="auto"/>
            </w:tcBorders>
            <w:vAlign w:val="center"/>
            <w:hideMark/>
          </w:tcPr>
          <w:p w14:paraId="29D62815"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20</w:t>
            </w:r>
          </w:p>
        </w:tc>
        <w:tc>
          <w:tcPr>
            <w:tcW w:w="1263" w:type="dxa"/>
            <w:vMerge w:val="restart"/>
            <w:tcBorders>
              <w:top w:val="nil"/>
              <w:left w:val="single" w:sz="4" w:space="0" w:color="auto"/>
              <w:bottom w:val="single" w:sz="4" w:space="0" w:color="auto"/>
              <w:right w:val="single" w:sz="4" w:space="0" w:color="auto"/>
            </w:tcBorders>
            <w:vAlign w:val="center"/>
            <w:hideMark/>
          </w:tcPr>
          <w:p w14:paraId="17CC74F7"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1</w:t>
            </w:r>
          </w:p>
        </w:tc>
        <w:tc>
          <w:tcPr>
            <w:tcW w:w="1458" w:type="dxa"/>
            <w:vMerge w:val="restart"/>
            <w:tcBorders>
              <w:top w:val="nil"/>
              <w:left w:val="single" w:sz="4" w:space="0" w:color="auto"/>
              <w:bottom w:val="single" w:sz="4" w:space="0" w:color="auto"/>
              <w:right w:val="single" w:sz="4" w:space="0" w:color="auto"/>
            </w:tcBorders>
            <w:vAlign w:val="center"/>
            <w:hideMark/>
          </w:tcPr>
          <w:p w14:paraId="19AFD836"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UNA ENTREGA</w:t>
            </w:r>
          </w:p>
        </w:tc>
        <w:tc>
          <w:tcPr>
            <w:tcW w:w="1208" w:type="dxa"/>
            <w:vMerge w:val="restart"/>
            <w:tcBorders>
              <w:top w:val="nil"/>
              <w:left w:val="single" w:sz="4" w:space="0" w:color="auto"/>
              <w:bottom w:val="nil"/>
              <w:right w:val="single" w:sz="4" w:space="0" w:color="auto"/>
            </w:tcBorders>
            <w:shd w:val="clear" w:color="000000" w:fill="DAF2D0"/>
            <w:noWrap/>
            <w:vAlign w:val="center"/>
          </w:tcPr>
          <w:p w14:paraId="0A06571A" w14:textId="10821510"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val="restart"/>
            <w:tcBorders>
              <w:top w:val="nil"/>
              <w:left w:val="single" w:sz="4" w:space="0" w:color="auto"/>
              <w:bottom w:val="nil"/>
              <w:right w:val="single" w:sz="4" w:space="0" w:color="auto"/>
            </w:tcBorders>
            <w:shd w:val="clear" w:color="000000" w:fill="DAF2D0"/>
            <w:noWrap/>
            <w:vAlign w:val="center"/>
          </w:tcPr>
          <w:p w14:paraId="30483EDD" w14:textId="556B4D52"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val="restart"/>
            <w:tcBorders>
              <w:top w:val="nil"/>
              <w:left w:val="single" w:sz="4" w:space="0" w:color="auto"/>
              <w:bottom w:val="nil"/>
              <w:right w:val="single" w:sz="4" w:space="0" w:color="auto"/>
            </w:tcBorders>
            <w:shd w:val="clear" w:color="000000" w:fill="DAF2D0"/>
            <w:noWrap/>
            <w:vAlign w:val="center"/>
          </w:tcPr>
          <w:p w14:paraId="5EA06386" w14:textId="5F803B2E"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7F4B576B"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6D305CD0"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73657A3E"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UNIFORME #1</w:t>
            </w:r>
            <w:r w:rsidRPr="008615C8">
              <w:rPr>
                <w:rFonts w:ascii="Arial" w:eastAsia="Times New Roman" w:hAnsi="Arial" w:cs="Arial"/>
                <w:sz w:val="16"/>
                <w:szCs w:val="16"/>
                <w:lang w:eastAsia="zh-CN"/>
              </w:rPr>
              <w:t xml:space="preserve">: </w:t>
            </w:r>
            <w:r w:rsidRPr="008615C8">
              <w:rPr>
                <w:rFonts w:ascii="Arial" w:eastAsia="Times New Roman" w:hAnsi="Arial" w:cs="Arial"/>
                <w:b/>
                <w:bCs/>
                <w:sz w:val="16"/>
                <w:szCs w:val="16"/>
                <w:lang w:eastAsia="zh-CN"/>
              </w:rPr>
              <w:t xml:space="preserve">Adquisición de </w:t>
            </w:r>
            <w:r w:rsidRPr="008615C8">
              <w:rPr>
                <w:rFonts w:ascii="Arial" w:eastAsia="Times New Roman" w:hAnsi="Arial" w:cs="Arial"/>
                <w:sz w:val="16"/>
                <w:szCs w:val="16"/>
                <w:lang w:eastAsia="zh-CN"/>
              </w:rPr>
              <w:t xml:space="preserve">quince (15) piezas de uniformes deportivos completos para la práctica de fútbol masculino, cada uno conformado por una (1) camiseta y una (1) pantaloneta, elaborados en tela deportiva tipo poliéster de excelente calidad, con tecnología de secado rápido, alta </w:t>
            </w:r>
            <w:r w:rsidRPr="008615C8">
              <w:rPr>
                <w:rFonts w:ascii="Arial" w:eastAsia="Times New Roman" w:hAnsi="Arial" w:cs="Arial"/>
                <w:sz w:val="16"/>
                <w:szCs w:val="16"/>
                <w:lang w:eastAsia="zh-CN"/>
              </w:rPr>
              <w:lastRenderedPageBreak/>
              <w:t xml:space="preserve">transpirabilidad y resistencia al desgaste, costuras reforzadas, cuello redondo o en "V", pantaloneta con pretina </w:t>
            </w:r>
            <w:proofErr w:type="spellStart"/>
            <w:r w:rsidRPr="008615C8">
              <w:rPr>
                <w:rFonts w:ascii="Arial" w:eastAsia="Times New Roman" w:hAnsi="Arial" w:cs="Arial"/>
                <w:sz w:val="16"/>
                <w:szCs w:val="16"/>
                <w:lang w:eastAsia="zh-CN"/>
              </w:rPr>
              <w:t>resortada</w:t>
            </w:r>
            <w:proofErr w:type="spellEnd"/>
            <w:r w:rsidRPr="008615C8">
              <w:rPr>
                <w:rFonts w:ascii="Arial" w:eastAsia="Times New Roman" w:hAnsi="Arial" w:cs="Arial"/>
                <w:sz w:val="16"/>
                <w:szCs w:val="16"/>
                <w:lang w:eastAsia="zh-CN"/>
              </w:rPr>
              <w:t xml:space="preserve"> y cordón ajustable. El diseño deberá personalizarse mediante estampado por sublimación de alta definición, incluyendo escudo institucional, numeración y demás elementos gráficos aprobados por el supervisor del contrato. Los uniformes deberán entregarse en tallas comprendidas entre la 16 y la XL, conforme a la distribución suministrada por la entidad, listos para su utilización.</w:t>
            </w:r>
          </w:p>
        </w:tc>
        <w:tc>
          <w:tcPr>
            <w:tcW w:w="1163" w:type="dxa"/>
            <w:vMerge/>
            <w:tcBorders>
              <w:top w:val="nil"/>
              <w:left w:val="single" w:sz="4" w:space="0" w:color="auto"/>
              <w:bottom w:val="single" w:sz="4" w:space="0" w:color="auto"/>
              <w:right w:val="single" w:sz="4" w:space="0" w:color="auto"/>
            </w:tcBorders>
            <w:vAlign w:val="center"/>
            <w:hideMark/>
          </w:tcPr>
          <w:p w14:paraId="170F7EE8"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47" w:type="dxa"/>
            <w:vMerge/>
            <w:tcBorders>
              <w:top w:val="nil"/>
              <w:left w:val="single" w:sz="4" w:space="0" w:color="auto"/>
              <w:bottom w:val="single" w:sz="4" w:space="0" w:color="auto"/>
              <w:right w:val="single" w:sz="4" w:space="0" w:color="auto"/>
            </w:tcBorders>
            <w:vAlign w:val="center"/>
            <w:hideMark/>
          </w:tcPr>
          <w:p w14:paraId="488450CA"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63" w:type="dxa"/>
            <w:vMerge/>
            <w:tcBorders>
              <w:top w:val="nil"/>
              <w:left w:val="single" w:sz="4" w:space="0" w:color="auto"/>
              <w:bottom w:val="single" w:sz="4" w:space="0" w:color="auto"/>
              <w:right w:val="single" w:sz="4" w:space="0" w:color="auto"/>
            </w:tcBorders>
            <w:vAlign w:val="center"/>
            <w:hideMark/>
          </w:tcPr>
          <w:p w14:paraId="171C2C4D"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458" w:type="dxa"/>
            <w:vMerge/>
            <w:tcBorders>
              <w:top w:val="nil"/>
              <w:left w:val="single" w:sz="4" w:space="0" w:color="auto"/>
              <w:bottom w:val="single" w:sz="4" w:space="0" w:color="auto"/>
              <w:right w:val="single" w:sz="4" w:space="0" w:color="auto"/>
            </w:tcBorders>
            <w:vAlign w:val="center"/>
            <w:hideMark/>
          </w:tcPr>
          <w:p w14:paraId="2EDC546D"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08" w:type="dxa"/>
            <w:vMerge/>
            <w:tcBorders>
              <w:top w:val="nil"/>
              <w:left w:val="single" w:sz="4" w:space="0" w:color="auto"/>
              <w:bottom w:val="nil"/>
              <w:right w:val="single" w:sz="4" w:space="0" w:color="auto"/>
            </w:tcBorders>
            <w:vAlign w:val="center"/>
          </w:tcPr>
          <w:p w14:paraId="559F93E4"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nil"/>
              <w:left w:val="single" w:sz="4" w:space="0" w:color="auto"/>
              <w:bottom w:val="nil"/>
              <w:right w:val="single" w:sz="4" w:space="0" w:color="auto"/>
            </w:tcBorders>
            <w:vAlign w:val="center"/>
          </w:tcPr>
          <w:p w14:paraId="65F977CE"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nil"/>
              <w:left w:val="single" w:sz="4" w:space="0" w:color="auto"/>
              <w:bottom w:val="nil"/>
              <w:right w:val="single" w:sz="4" w:space="0" w:color="auto"/>
            </w:tcBorders>
            <w:vAlign w:val="center"/>
          </w:tcPr>
          <w:p w14:paraId="2E75FBD8"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33090DBD"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0865AECB"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3FEF4C3B"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UNIFORME #2</w:t>
            </w:r>
            <w:r w:rsidRPr="008615C8">
              <w:rPr>
                <w:rFonts w:ascii="Arial" w:eastAsia="Times New Roman" w:hAnsi="Arial" w:cs="Arial"/>
                <w:sz w:val="16"/>
                <w:szCs w:val="16"/>
                <w:lang w:eastAsia="zh-CN"/>
              </w:rPr>
              <w:t xml:space="preserve">: </w:t>
            </w:r>
            <w:r w:rsidRPr="008615C8">
              <w:rPr>
                <w:rFonts w:ascii="Arial" w:eastAsia="Times New Roman" w:hAnsi="Arial" w:cs="Arial"/>
                <w:b/>
                <w:bCs/>
                <w:sz w:val="16"/>
                <w:szCs w:val="16"/>
                <w:lang w:eastAsia="zh-CN"/>
              </w:rPr>
              <w:t>Adquisición de</w:t>
            </w:r>
            <w:r w:rsidRPr="008615C8">
              <w:rPr>
                <w:rFonts w:ascii="Arial" w:eastAsia="Times New Roman" w:hAnsi="Arial" w:cs="Arial"/>
                <w:sz w:val="16"/>
                <w:szCs w:val="16"/>
                <w:lang w:eastAsia="zh-CN"/>
              </w:rPr>
              <w:t xml:space="preserve"> quince (15) piezas de uniformes deportivos completos para la práctica de fútbol sala masculino, cada uno conformado por una (1) camiseta y una (1) pantaloneta, elaborados en tela deportiva tipo poliéster de excelente calidad, con tecnología de secado rápido, alta transpirabilidad y resistencia al uso continuo, costuras reforzadas, cuello redondo o en "V", pantaloneta con pretina </w:t>
            </w:r>
            <w:proofErr w:type="spellStart"/>
            <w:r w:rsidRPr="008615C8">
              <w:rPr>
                <w:rFonts w:ascii="Arial" w:eastAsia="Times New Roman" w:hAnsi="Arial" w:cs="Arial"/>
                <w:sz w:val="16"/>
                <w:szCs w:val="16"/>
                <w:lang w:eastAsia="zh-CN"/>
              </w:rPr>
              <w:t>resortada</w:t>
            </w:r>
            <w:proofErr w:type="spellEnd"/>
            <w:r w:rsidRPr="008615C8">
              <w:rPr>
                <w:rFonts w:ascii="Arial" w:eastAsia="Times New Roman" w:hAnsi="Arial" w:cs="Arial"/>
                <w:sz w:val="16"/>
                <w:szCs w:val="16"/>
                <w:lang w:eastAsia="zh-CN"/>
              </w:rPr>
              <w:t xml:space="preserve"> y cordón ajustable. El diseño deberá personalizarse mediante estampado por sublimación de alta definición, incluyendo escudo institucional, numeración y demás elementos gráficos aprobados por el supervisor del contrato. Los uniformes deberán entregarse en tallas comprendidas entre la 16 y la XL, conforme a la distribución suministrada por la </w:t>
            </w:r>
            <w:proofErr w:type="gramStart"/>
            <w:r w:rsidRPr="008615C8">
              <w:rPr>
                <w:rFonts w:ascii="Arial" w:eastAsia="Times New Roman" w:hAnsi="Arial" w:cs="Arial"/>
                <w:sz w:val="16"/>
                <w:szCs w:val="16"/>
                <w:lang w:eastAsia="zh-CN"/>
              </w:rPr>
              <w:t>entidad,  listos</w:t>
            </w:r>
            <w:proofErr w:type="gramEnd"/>
            <w:r w:rsidRPr="008615C8">
              <w:rPr>
                <w:rFonts w:ascii="Arial" w:eastAsia="Times New Roman" w:hAnsi="Arial" w:cs="Arial"/>
                <w:sz w:val="16"/>
                <w:szCs w:val="16"/>
                <w:lang w:eastAsia="zh-CN"/>
              </w:rPr>
              <w:t xml:space="preserve"> para su utilización.</w:t>
            </w:r>
          </w:p>
        </w:tc>
        <w:tc>
          <w:tcPr>
            <w:tcW w:w="1163" w:type="dxa"/>
            <w:vMerge/>
            <w:tcBorders>
              <w:top w:val="nil"/>
              <w:left w:val="single" w:sz="4" w:space="0" w:color="auto"/>
              <w:bottom w:val="single" w:sz="4" w:space="0" w:color="auto"/>
              <w:right w:val="single" w:sz="4" w:space="0" w:color="auto"/>
            </w:tcBorders>
            <w:vAlign w:val="center"/>
            <w:hideMark/>
          </w:tcPr>
          <w:p w14:paraId="5A4C4CE6"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47" w:type="dxa"/>
            <w:vMerge/>
            <w:tcBorders>
              <w:top w:val="nil"/>
              <w:left w:val="single" w:sz="4" w:space="0" w:color="auto"/>
              <w:bottom w:val="single" w:sz="4" w:space="0" w:color="auto"/>
              <w:right w:val="single" w:sz="4" w:space="0" w:color="auto"/>
            </w:tcBorders>
            <w:vAlign w:val="center"/>
            <w:hideMark/>
          </w:tcPr>
          <w:p w14:paraId="3C2EE8C0"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63" w:type="dxa"/>
            <w:vMerge/>
            <w:tcBorders>
              <w:top w:val="nil"/>
              <w:left w:val="single" w:sz="4" w:space="0" w:color="auto"/>
              <w:bottom w:val="single" w:sz="4" w:space="0" w:color="auto"/>
              <w:right w:val="single" w:sz="4" w:space="0" w:color="auto"/>
            </w:tcBorders>
            <w:vAlign w:val="center"/>
            <w:hideMark/>
          </w:tcPr>
          <w:p w14:paraId="6EA3D561"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458" w:type="dxa"/>
            <w:vMerge/>
            <w:tcBorders>
              <w:top w:val="nil"/>
              <w:left w:val="single" w:sz="4" w:space="0" w:color="auto"/>
              <w:bottom w:val="single" w:sz="4" w:space="0" w:color="auto"/>
              <w:right w:val="single" w:sz="4" w:space="0" w:color="auto"/>
            </w:tcBorders>
            <w:vAlign w:val="center"/>
            <w:hideMark/>
          </w:tcPr>
          <w:p w14:paraId="1E3DDCF5"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08" w:type="dxa"/>
            <w:vMerge/>
            <w:tcBorders>
              <w:top w:val="nil"/>
              <w:left w:val="single" w:sz="4" w:space="0" w:color="auto"/>
              <w:bottom w:val="nil"/>
              <w:right w:val="single" w:sz="4" w:space="0" w:color="auto"/>
            </w:tcBorders>
            <w:vAlign w:val="center"/>
          </w:tcPr>
          <w:p w14:paraId="46525A13"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nil"/>
              <w:left w:val="single" w:sz="4" w:space="0" w:color="auto"/>
              <w:bottom w:val="nil"/>
              <w:right w:val="single" w:sz="4" w:space="0" w:color="auto"/>
            </w:tcBorders>
            <w:vAlign w:val="center"/>
          </w:tcPr>
          <w:p w14:paraId="60567825"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nil"/>
              <w:left w:val="single" w:sz="4" w:space="0" w:color="auto"/>
              <w:bottom w:val="nil"/>
              <w:right w:val="single" w:sz="4" w:space="0" w:color="auto"/>
            </w:tcBorders>
            <w:vAlign w:val="center"/>
          </w:tcPr>
          <w:p w14:paraId="704C1D32"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E349BF" w:rsidRPr="008615C8" w14:paraId="1A1DF793" w14:textId="77777777" w:rsidTr="00E349BF">
        <w:trPr>
          <w:gridAfter w:val="1"/>
          <w:wAfter w:w="8" w:type="dxa"/>
          <w:trHeight w:val="20"/>
        </w:trPr>
        <w:tc>
          <w:tcPr>
            <w:tcW w:w="562" w:type="dxa"/>
            <w:vMerge/>
            <w:tcBorders>
              <w:top w:val="nil"/>
              <w:left w:val="single" w:sz="4" w:space="0" w:color="auto"/>
              <w:bottom w:val="single" w:sz="4" w:space="0" w:color="auto"/>
              <w:right w:val="single" w:sz="4" w:space="0" w:color="auto"/>
            </w:tcBorders>
            <w:vAlign w:val="center"/>
            <w:hideMark/>
          </w:tcPr>
          <w:p w14:paraId="7D60C7D3"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4537" w:type="dxa"/>
            <w:tcBorders>
              <w:top w:val="nil"/>
              <w:left w:val="nil"/>
              <w:bottom w:val="single" w:sz="4" w:space="0" w:color="auto"/>
              <w:right w:val="single" w:sz="4" w:space="0" w:color="auto"/>
            </w:tcBorders>
            <w:vAlign w:val="center"/>
            <w:hideMark/>
          </w:tcPr>
          <w:p w14:paraId="04DEE464" w14:textId="77777777" w:rsidR="00E349BF" w:rsidRPr="008615C8" w:rsidRDefault="00E349B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b/>
                <w:bCs/>
                <w:sz w:val="16"/>
                <w:szCs w:val="16"/>
                <w:lang w:eastAsia="zh-CN"/>
              </w:rPr>
              <w:t>Distribución</w:t>
            </w:r>
            <w:r w:rsidRPr="008615C8">
              <w:rPr>
                <w:rFonts w:ascii="Arial" w:eastAsia="Times New Roman" w:hAnsi="Arial" w:cs="Arial"/>
                <w:sz w:val="16"/>
                <w:szCs w:val="16"/>
                <w:lang w:eastAsia="zh-CN"/>
              </w:rPr>
              <w:t>:</w:t>
            </w:r>
            <w:r w:rsidRPr="008615C8">
              <w:rPr>
                <w:rFonts w:ascii="Arial" w:eastAsia="Times New Roman" w:hAnsi="Arial" w:cs="Arial"/>
                <w:sz w:val="16"/>
                <w:szCs w:val="16"/>
                <w:lang w:eastAsia="zh-CN"/>
              </w:rPr>
              <w:br/>
              <w:t>•Instituciones educativas participantes: 15 kits institucionales.</w:t>
            </w:r>
            <w:r w:rsidRPr="008615C8">
              <w:rPr>
                <w:rFonts w:ascii="Arial" w:eastAsia="Times New Roman" w:hAnsi="Arial" w:cs="Arial"/>
                <w:sz w:val="16"/>
                <w:szCs w:val="16"/>
                <w:lang w:eastAsia="zh-CN"/>
              </w:rPr>
              <w:br/>
              <w:t>•Cantidad inicial por institución: 1 kit institucional.</w:t>
            </w:r>
            <w:r w:rsidRPr="008615C8">
              <w:rPr>
                <w:rFonts w:ascii="Arial" w:eastAsia="Times New Roman" w:hAnsi="Arial" w:cs="Arial"/>
                <w:sz w:val="16"/>
                <w:szCs w:val="16"/>
                <w:lang w:eastAsia="zh-CN"/>
              </w:rPr>
              <w:br/>
              <w:t>•Kits destinados a reconocimientos: 5 kits institucionales.</w:t>
            </w:r>
            <w:r w:rsidRPr="008615C8">
              <w:rPr>
                <w:rFonts w:ascii="Arial" w:eastAsia="Times New Roman" w:hAnsi="Arial" w:cs="Arial"/>
                <w:sz w:val="16"/>
                <w:szCs w:val="16"/>
                <w:lang w:eastAsia="zh-CN"/>
              </w:rPr>
              <w:br/>
              <w:t>Total: 20 kits institucionales.</w:t>
            </w:r>
          </w:p>
        </w:tc>
        <w:tc>
          <w:tcPr>
            <w:tcW w:w="1163" w:type="dxa"/>
            <w:vMerge/>
            <w:tcBorders>
              <w:top w:val="nil"/>
              <w:left w:val="single" w:sz="4" w:space="0" w:color="auto"/>
              <w:bottom w:val="single" w:sz="4" w:space="0" w:color="auto"/>
              <w:right w:val="single" w:sz="4" w:space="0" w:color="auto"/>
            </w:tcBorders>
            <w:vAlign w:val="center"/>
            <w:hideMark/>
          </w:tcPr>
          <w:p w14:paraId="75EC71D1"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47" w:type="dxa"/>
            <w:vMerge/>
            <w:tcBorders>
              <w:top w:val="nil"/>
              <w:left w:val="single" w:sz="4" w:space="0" w:color="auto"/>
              <w:bottom w:val="single" w:sz="4" w:space="0" w:color="auto"/>
              <w:right w:val="single" w:sz="4" w:space="0" w:color="auto"/>
            </w:tcBorders>
            <w:vAlign w:val="center"/>
            <w:hideMark/>
          </w:tcPr>
          <w:p w14:paraId="0AD7668D"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63" w:type="dxa"/>
            <w:vMerge/>
            <w:tcBorders>
              <w:top w:val="nil"/>
              <w:left w:val="single" w:sz="4" w:space="0" w:color="auto"/>
              <w:bottom w:val="single" w:sz="4" w:space="0" w:color="auto"/>
              <w:right w:val="single" w:sz="4" w:space="0" w:color="auto"/>
            </w:tcBorders>
            <w:vAlign w:val="center"/>
            <w:hideMark/>
          </w:tcPr>
          <w:p w14:paraId="0485DA03"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458" w:type="dxa"/>
            <w:vMerge/>
            <w:tcBorders>
              <w:top w:val="nil"/>
              <w:left w:val="single" w:sz="4" w:space="0" w:color="auto"/>
              <w:bottom w:val="single" w:sz="4" w:space="0" w:color="auto"/>
              <w:right w:val="single" w:sz="4" w:space="0" w:color="auto"/>
            </w:tcBorders>
            <w:vAlign w:val="center"/>
            <w:hideMark/>
          </w:tcPr>
          <w:p w14:paraId="1E094DB4"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208" w:type="dxa"/>
            <w:vMerge/>
            <w:tcBorders>
              <w:top w:val="nil"/>
              <w:left w:val="single" w:sz="4" w:space="0" w:color="auto"/>
              <w:bottom w:val="single" w:sz="4" w:space="0" w:color="auto"/>
              <w:right w:val="single" w:sz="4" w:space="0" w:color="auto"/>
            </w:tcBorders>
            <w:vAlign w:val="center"/>
          </w:tcPr>
          <w:p w14:paraId="65F6B719"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386" w:type="dxa"/>
            <w:gridSpan w:val="2"/>
            <w:vMerge/>
            <w:tcBorders>
              <w:top w:val="nil"/>
              <w:left w:val="single" w:sz="4" w:space="0" w:color="auto"/>
              <w:bottom w:val="single" w:sz="4" w:space="0" w:color="auto"/>
              <w:right w:val="single" w:sz="4" w:space="0" w:color="auto"/>
            </w:tcBorders>
            <w:vAlign w:val="center"/>
          </w:tcPr>
          <w:p w14:paraId="44DB2993"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c>
          <w:tcPr>
            <w:tcW w:w="1178" w:type="dxa"/>
            <w:gridSpan w:val="2"/>
            <w:vMerge/>
            <w:tcBorders>
              <w:top w:val="nil"/>
              <w:left w:val="single" w:sz="4" w:space="0" w:color="auto"/>
              <w:bottom w:val="single" w:sz="4" w:space="0" w:color="auto"/>
              <w:right w:val="single" w:sz="4" w:space="0" w:color="auto"/>
            </w:tcBorders>
            <w:vAlign w:val="center"/>
          </w:tcPr>
          <w:p w14:paraId="26D6D108" w14:textId="77777777" w:rsidR="00E349BF" w:rsidRPr="008615C8" w:rsidRDefault="00E349BF" w:rsidP="00082A22">
            <w:pPr>
              <w:spacing w:after="0" w:line="240" w:lineRule="auto"/>
              <w:jc w:val="both"/>
              <w:rPr>
                <w:rFonts w:ascii="Arial" w:eastAsia="Times New Roman" w:hAnsi="Arial" w:cs="Arial"/>
                <w:sz w:val="16"/>
                <w:szCs w:val="16"/>
                <w:lang w:eastAsia="zh-CN"/>
              </w:rPr>
            </w:pPr>
          </w:p>
        </w:tc>
      </w:tr>
      <w:tr w:rsidR="0047090F" w:rsidRPr="008615C8" w14:paraId="3C998527" w14:textId="77777777" w:rsidTr="00841ACE">
        <w:trPr>
          <w:trHeight w:val="20"/>
        </w:trPr>
        <w:tc>
          <w:tcPr>
            <w:tcW w:w="11446" w:type="dxa"/>
            <w:gridSpan w:val="8"/>
            <w:tcBorders>
              <w:top w:val="single" w:sz="4" w:space="0" w:color="auto"/>
              <w:left w:val="single" w:sz="4" w:space="0" w:color="auto"/>
              <w:bottom w:val="single" w:sz="4" w:space="0" w:color="auto"/>
              <w:right w:val="single" w:sz="4" w:space="0" w:color="auto"/>
            </w:tcBorders>
            <w:noWrap/>
            <w:vAlign w:val="center"/>
            <w:hideMark/>
          </w:tcPr>
          <w:p w14:paraId="168CD76C" w14:textId="377BF1AE" w:rsidR="0047090F" w:rsidRPr="008615C8" w:rsidRDefault="0047090F" w:rsidP="00082A22">
            <w:pPr>
              <w:spacing w:after="0" w:line="240" w:lineRule="auto"/>
              <w:jc w:val="both"/>
              <w:rPr>
                <w:rFonts w:ascii="Arial" w:eastAsia="Times New Roman" w:hAnsi="Arial" w:cs="Arial"/>
                <w:sz w:val="16"/>
                <w:szCs w:val="16"/>
                <w:lang w:eastAsia="zh-CN"/>
              </w:rPr>
            </w:pPr>
            <w:r>
              <w:rPr>
                <w:rFonts w:ascii="Arial" w:eastAsia="Times New Roman" w:hAnsi="Arial" w:cs="Arial"/>
                <w:sz w:val="18"/>
                <w:szCs w:val="18"/>
                <w:lang w:eastAsia="zh-CN"/>
              </w:rPr>
              <w:t xml:space="preserve">SUBTOTAL </w:t>
            </w:r>
            <w:r>
              <w:rPr>
                <w:rFonts w:ascii="Arial" w:eastAsia="Times New Roman" w:hAnsi="Arial" w:cs="Arial"/>
                <w:sz w:val="18"/>
                <w:szCs w:val="18"/>
                <w:lang w:eastAsia="zh-CN"/>
              </w:rPr>
              <w:t>1</w:t>
            </w:r>
          </w:p>
        </w:tc>
        <w:tc>
          <w:tcPr>
            <w:tcW w:w="1386" w:type="dxa"/>
            <w:gridSpan w:val="2"/>
            <w:tcBorders>
              <w:top w:val="single" w:sz="4" w:space="0" w:color="auto"/>
              <w:left w:val="single" w:sz="4" w:space="0" w:color="auto"/>
              <w:bottom w:val="single" w:sz="4" w:space="0" w:color="auto"/>
              <w:right w:val="single" w:sz="4" w:space="0" w:color="auto"/>
            </w:tcBorders>
            <w:shd w:val="clear" w:color="000000" w:fill="DAF2D0"/>
            <w:noWrap/>
            <w:vAlign w:val="center"/>
            <w:hideMark/>
          </w:tcPr>
          <w:p w14:paraId="3431044E" w14:textId="77777777" w:rsidR="0047090F" w:rsidRPr="008615C8" w:rsidRDefault="0047090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$ 105.552.144,00</w:t>
            </w:r>
          </w:p>
        </w:tc>
        <w:tc>
          <w:tcPr>
            <w:tcW w:w="1178" w:type="dxa"/>
            <w:gridSpan w:val="2"/>
            <w:tcBorders>
              <w:top w:val="single" w:sz="4" w:space="0" w:color="auto"/>
              <w:left w:val="single" w:sz="4" w:space="0" w:color="auto"/>
              <w:bottom w:val="single" w:sz="4" w:space="0" w:color="auto"/>
              <w:right w:val="single" w:sz="4" w:space="0" w:color="auto"/>
            </w:tcBorders>
            <w:shd w:val="clear" w:color="000000" w:fill="DAF2D0"/>
            <w:noWrap/>
            <w:vAlign w:val="center"/>
            <w:hideMark/>
          </w:tcPr>
          <w:p w14:paraId="577EF568" w14:textId="77777777" w:rsidR="0047090F" w:rsidRPr="008615C8" w:rsidRDefault="0047090F" w:rsidP="00082A22">
            <w:pPr>
              <w:spacing w:after="0" w:line="240" w:lineRule="auto"/>
              <w:jc w:val="both"/>
              <w:rPr>
                <w:rFonts w:ascii="Arial" w:eastAsia="Times New Roman" w:hAnsi="Arial" w:cs="Arial"/>
                <w:sz w:val="16"/>
                <w:szCs w:val="16"/>
                <w:lang w:eastAsia="zh-CN"/>
              </w:rPr>
            </w:pPr>
            <w:r w:rsidRPr="008615C8">
              <w:rPr>
                <w:rFonts w:ascii="Arial" w:eastAsia="Times New Roman" w:hAnsi="Arial" w:cs="Arial"/>
                <w:sz w:val="16"/>
                <w:szCs w:val="16"/>
                <w:lang w:eastAsia="zh-CN"/>
              </w:rPr>
              <w:t> </w:t>
            </w:r>
          </w:p>
        </w:tc>
      </w:tr>
    </w:tbl>
    <w:p w14:paraId="2782DB1D" w14:textId="77777777" w:rsidR="00E349BF" w:rsidRDefault="00E349BF" w:rsidP="006155F5">
      <w:pPr>
        <w:pStyle w:val="paragraph"/>
        <w:spacing w:before="0" w:beforeAutospacing="0" w:after="0" w:afterAutospacing="0"/>
        <w:jc w:val="both"/>
        <w:textAlignment w:val="baseline"/>
        <w:rPr>
          <w:rStyle w:val="normaltextrun"/>
          <w:rFonts w:ascii="Arial" w:hAnsi="Arial" w:cs="Arial"/>
          <w:b/>
          <w:sz w:val="22"/>
          <w:szCs w:val="22"/>
          <w:lang w:val="es-ES_tradnl" w:eastAsia="es-ES"/>
        </w:rPr>
      </w:pPr>
    </w:p>
    <w:tbl>
      <w:tblPr>
        <w:tblW w:w="14191" w:type="dxa"/>
        <w:tblInd w:w="-1139" w:type="dxa"/>
        <w:tblLayout w:type="fixed"/>
        <w:tblCellMar>
          <w:left w:w="70" w:type="dxa"/>
          <w:right w:w="70" w:type="dxa"/>
        </w:tblCellMar>
        <w:tblLook w:val="04A0" w:firstRow="1" w:lastRow="0" w:firstColumn="1" w:lastColumn="0" w:noHBand="0" w:noVBand="1"/>
      </w:tblPr>
      <w:tblGrid>
        <w:gridCol w:w="708"/>
        <w:gridCol w:w="1560"/>
        <w:gridCol w:w="1276"/>
        <w:gridCol w:w="2977"/>
        <w:gridCol w:w="992"/>
        <w:gridCol w:w="1134"/>
        <w:gridCol w:w="1782"/>
        <w:gridCol w:w="1920"/>
        <w:gridCol w:w="1842"/>
      </w:tblGrid>
      <w:tr w:rsidR="00E349BF" w:rsidRPr="00832734" w14:paraId="779E7424" w14:textId="77777777" w:rsidTr="0047090F">
        <w:trPr>
          <w:trHeight w:val="20"/>
        </w:trPr>
        <w:tc>
          <w:tcPr>
            <w:tcW w:w="14191" w:type="dxa"/>
            <w:gridSpan w:val="9"/>
            <w:tcBorders>
              <w:top w:val="single" w:sz="4" w:space="0" w:color="auto"/>
              <w:left w:val="single" w:sz="4" w:space="0" w:color="auto"/>
              <w:bottom w:val="single" w:sz="4" w:space="0" w:color="auto"/>
              <w:right w:val="single" w:sz="4" w:space="0" w:color="auto"/>
            </w:tcBorders>
            <w:vAlign w:val="center"/>
            <w:hideMark/>
          </w:tcPr>
          <w:p w14:paraId="401EC5FE" w14:textId="5CF8B5A3"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JUEGOS INTERCOLEGIADOS NACIONALES Y MUNICIPALES 2026</w:t>
            </w:r>
          </w:p>
        </w:tc>
      </w:tr>
      <w:tr w:rsidR="00E349BF" w:rsidRPr="00832734" w14:paraId="0C25AD2D" w14:textId="77777777" w:rsidTr="0047090F">
        <w:trPr>
          <w:trHeight w:val="20"/>
        </w:trPr>
        <w:tc>
          <w:tcPr>
            <w:tcW w:w="708" w:type="dxa"/>
            <w:tcBorders>
              <w:top w:val="nil"/>
              <w:left w:val="single" w:sz="4" w:space="0" w:color="auto"/>
              <w:bottom w:val="single" w:sz="4" w:space="0" w:color="auto"/>
              <w:right w:val="single" w:sz="4" w:space="0" w:color="auto"/>
            </w:tcBorders>
            <w:vAlign w:val="center"/>
            <w:hideMark/>
          </w:tcPr>
          <w:p w14:paraId="14DA853D"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ITEM</w:t>
            </w:r>
          </w:p>
        </w:tc>
        <w:tc>
          <w:tcPr>
            <w:tcW w:w="1560" w:type="dxa"/>
            <w:tcBorders>
              <w:top w:val="nil"/>
              <w:left w:val="nil"/>
              <w:bottom w:val="single" w:sz="4" w:space="0" w:color="auto"/>
              <w:right w:val="single" w:sz="4" w:space="0" w:color="auto"/>
            </w:tcBorders>
            <w:vAlign w:val="center"/>
            <w:hideMark/>
          </w:tcPr>
          <w:p w14:paraId="1E3627E4"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COMPONENTE</w:t>
            </w:r>
          </w:p>
        </w:tc>
        <w:tc>
          <w:tcPr>
            <w:tcW w:w="1276" w:type="dxa"/>
            <w:tcBorders>
              <w:top w:val="nil"/>
              <w:left w:val="nil"/>
              <w:bottom w:val="single" w:sz="4" w:space="0" w:color="auto"/>
              <w:right w:val="single" w:sz="4" w:space="0" w:color="auto"/>
            </w:tcBorders>
            <w:vAlign w:val="center"/>
            <w:hideMark/>
          </w:tcPr>
          <w:p w14:paraId="1EA5082F" w14:textId="77777777" w:rsidR="00E349BF" w:rsidRPr="00832734" w:rsidRDefault="00E349BF" w:rsidP="00082A22">
            <w:pPr>
              <w:spacing w:after="0" w:line="240" w:lineRule="auto"/>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CONCEPTO</w:t>
            </w:r>
          </w:p>
        </w:tc>
        <w:tc>
          <w:tcPr>
            <w:tcW w:w="2977" w:type="dxa"/>
            <w:tcBorders>
              <w:top w:val="nil"/>
              <w:left w:val="nil"/>
              <w:bottom w:val="single" w:sz="4" w:space="0" w:color="auto"/>
              <w:right w:val="single" w:sz="4" w:space="0" w:color="auto"/>
            </w:tcBorders>
            <w:vAlign w:val="center"/>
            <w:hideMark/>
          </w:tcPr>
          <w:p w14:paraId="3C37A8F3"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DESCRIPCION</w:t>
            </w:r>
          </w:p>
        </w:tc>
        <w:tc>
          <w:tcPr>
            <w:tcW w:w="992" w:type="dxa"/>
            <w:tcBorders>
              <w:top w:val="nil"/>
              <w:left w:val="nil"/>
              <w:bottom w:val="single" w:sz="4" w:space="0" w:color="auto"/>
              <w:right w:val="single" w:sz="4" w:space="0" w:color="auto"/>
            </w:tcBorders>
            <w:vAlign w:val="center"/>
            <w:hideMark/>
          </w:tcPr>
          <w:p w14:paraId="3E593CC2"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UNIDAD DE MEDIDA</w:t>
            </w:r>
          </w:p>
        </w:tc>
        <w:tc>
          <w:tcPr>
            <w:tcW w:w="1134" w:type="dxa"/>
            <w:tcBorders>
              <w:top w:val="nil"/>
              <w:left w:val="nil"/>
              <w:bottom w:val="single" w:sz="4" w:space="0" w:color="auto"/>
              <w:right w:val="single" w:sz="4" w:space="0" w:color="auto"/>
            </w:tcBorders>
            <w:vAlign w:val="center"/>
            <w:hideMark/>
          </w:tcPr>
          <w:p w14:paraId="007CA716"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CANTIDAD</w:t>
            </w:r>
          </w:p>
        </w:tc>
        <w:tc>
          <w:tcPr>
            <w:tcW w:w="1782" w:type="dxa"/>
            <w:tcBorders>
              <w:top w:val="nil"/>
              <w:left w:val="nil"/>
              <w:bottom w:val="single" w:sz="4" w:space="0" w:color="auto"/>
              <w:right w:val="single" w:sz="4" w:space="0" w:color="auto"/>
            </w:tcBorders>
            <w:shd w:val="clear" w:color="000000" w:fill="DAF2D0"/>
            <w:vAlign w:val="center"/>
            <w:hideMark/>
          </w:tcPr>
          <w:p w14:paraId="4922AAD8"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 xml:space="preserve"> VALOR UNITARIO </w:t>
            </w:r>
          </w:p>
        </w:tc>
        <w:tc>
          <w:tcPr>
            <w:tcW w:w="1920" w:type="dxa"/>
            <w:tcBorders>
              <w:top w:val="nil"/>
              <w:left w:val="nil"/>
              <w:bottom w:val="single" w:sz="4" w:space="0" w:color="auto"/>
              <w:right w:val="single" w:sz="4" w:space="0" w:color="auto"/>
            </w:tcBorders>
            <w:shd w:val="clear" w:color="000000" w:fill="DAF2D0"/>
            <w:vAlign w:val="center"/>
            <w:hideMark/>
          </w:tcPr>
          <w:p w14:paraId="5200EE9F"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 xml:space="preserve"> VALOR TOTAL APORTE MUNICIPIO </w:t>
            </w:r>
          </w:p>
        </w:tc>
        <w:tc>
          <w:tcPr>
            <w:tcW w:w="1842" w:type="dxa"/>
            <w:tcBorders>
              <w:top w:val="nil"/>
              <w:left w:val="nil"/>
              <w:bottom w:val="single" w:sz="4" w:space="0" w:color="auto"/>
              <w:right w:val="single" w:sz="4" w:space="0" w:color="auto"/>
            </w:tcBorders>
            <w:shd w:val="clear" w:color="000000" w:fill="DAF2D0"/>
            <w:vAlign w:val="center"/>
            <w:hideMark/>
          </w:tcPr>
          <w:p w14:paraId="08CF1A03" w14:textId="470D892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 xml:space="preserve">VALOR TOTAL APORTE </w:t>
            </w:r>
            <w:r>
              <w:rPr>
                <w:rFonts w:ascii="Arial" w:eastAsia="Times New Roman" w:hAnsi="Arial" w:cs="Arial"/>
                <w:b/>
                <w:bCs/>
                <w:sz w:val="18"/>
                <w:szCs w:val="18"/>
                <w:lang w:eastAsia="zh-CN"/>
              </w:rPr>
              <w:t>ESAL</w:t>
            </w:r>
          </w:p>
        </w:tc>
      </w:tr>
      <w:tr w:rsidR="00E349BF" w:rsidRPr="00832734" w14:paraId="25C33B0E" w14:textId="77777777" w:rsidTr="0047090F">
        <w:trPr>
          <w:trHeight w:val="20"/>
        </w:trPr>
        <w:tc>
          <w:tcPr>
            <w:tcW w:w="708" w:type="dxa"/>
            <w:vMerge w:val="restart"/>
            <w:tcBorders>
              <w:top w:val="nil"/>
              <w:left w:val="single" w:sz="4" w:space="0" w:color="auto"/>
              <w:bottom w:val="single" w:sz="4" w:space="0" w:color="auto"/>
              <w:right w:val="single" w:sz="4" w:space="0" w:color="auto"/>
            </w:tcBorders>
            <w:vAlign w:val="center"/>
            <w:hideMark/>
          </w:tcPr>
          <w:p w14:paraId="1C7140C9"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560" w:type="dxa"/>
            <w:vMerge w:val="restart"/>
            <w:tcBorders>
              <w:top w:val="nil"/>
              <w:left w:val="single" w:sz="4" w:space="0" w:color="auto"/>
              <w:bottom w:val="single" w:sz="4" w:space="0" w:color="auto"/>
              <w:right w:val="single" w:sz="4" w:space="0" w:color="auto"/>
            </w:tcBorders>
            <w:vAlign w:val="center"/>
            <w:hideMark/>
          </w:tcPr>
          <w:p w14:paraId="3FCF23A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TALENTO HUMANO</w:t>
            </w:r>
          </w:p>
        </w:tc>
        <w:tc>
          <w:tcPr>
            <w:tcW w:w="1276" w:type="dxa"/>
            <w:tcBorders>
              <w:top w:val="nil"/>
              <w:left w:val="nil"/>
              <w:bottom w:val="single" w:sz="4" w:space="0" w:color="auto"/>
              <w:right w:val="single" w:sz="4" w:space="0" w:color="auto"/>
            </w:tcBorders>
            <w:vAlign w:val="center"/>
            <w:hideMark/>
          </w:tcPr>
          <w:p w14:paraId="0897A63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xml:space="preserve"> Coordinación administrativa y logística especifica Juegos Intercolegiados 2026 </w:t>
            </w:r>
          </w:p>
        </w:tc>
        <w:tc>
          <w:tcPr>
            <w:tcW w:w="2977" w:type="dxa"/>
            <w:tcBorders>
              <w:top w:val="nil"/>
              <w:left w:val="nil"/>
              <w:bottom w:val="single" w:sz="4" w:space="0" w:color="auto"/>
              <w:right w:val="single" w:sz="4" w:space="0" w:color="auto"/>
            </w:tcBorders>
            <w:vAlign w:val="center"/>
            <w:hideMark/>
          </w:tcPr>
          <w:p w14:paraId="3CCF8E8D"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t xml:space="preserve">SERVICIO TEMPORAL DE PROFESIONAL EN CIENCIAS DEL DEPORTE Y LA RECREACIÓN. </w:t>
            </w:r>
            <w:r w:rsidRPr="00832734">
              <w:rPr>
                <w:rFonts w:ascii="Arial" w:eastAsia="Times New Roman" w:hAnsi="Arial" w:cs="Arial"/>
                <w:sz w:val="18"/>
                <w:szCs w:val="18"/>
                <w:lang w:eastAsia="zh-CN"/>
              </w:rPr>
              <w:t xml:space="preserve">Profesional en Ciencias del Deporte y la Recreación, con especialización en Gerencia del Deporte y experiencia </w:t>
            </w:r>
            <w:r w:rsidRPr="00832734">
              <w:rPr>
                <w:rFonts w:ascii="Arial" w:eastAsia="Times New Roman" w:hAnsi="Arial" w:cs="Arial"/>
                <w:sz w:val="18"/>
                <w:szCs w:val="18"/>
                <w:lang w:eastAsia="zh-CN"/>
              </w:rPr>
              <w:lastRenderedPageBreak/>
              <w:t>mínima de doce (12) meses en coordinación logística de eventos deportivos o recreativos. Será responsable de la coordinación operativa de los Juegos Intercolegiados, incluyendo la planeación y seguimiento de las actividades logísticas, coordinación del transporte de las delegaciones deportivas, apoyo en la adquisición, organización y entrega de refrigerios, distribución de cronogramas de competencia a las instituciones educativas participantes, consolidación de listados de asistencia, elaboración de informes técnicos y reportes de ejecución, registro fotográfico de las actividades desarrolladas y apoyo en las demás acciones requeridas para el adecuado desarrollo de los eventos deportivos. Deberá contar con disponibilidad durante dos (2) meses para las actividades de preparación, ejecución y cierre de los Juegos Intercolegiados. Los costos derivados de desplazamientos, viáticos, alimentación y demás gastos necesarios para el cumplimiento de sus funciones estarán a cargo del contratista.</w:t>
            </w:r>
          </w:p>
        </w:tc>
        <w:tc>
          <w:tcPr>
            <w:tcW w:w="992" w:type="dxa"/>
            <w:tcBorders>
              <w:top w:val="nil"/>
              <w:left w:val="nil"/>
              <w:bottom w:val="single" w:sz="4" w:space="0" w:color="auto"/>
              <w:right w:val="single" w:sz="4" w:space="0" w:color="auto"/>
            </w:tcBorders>
            <w:vAlign w:val="center"/>
            <w:hideMark/>
          </w:tcPr>
          <w:p w14:paraId="019C8E8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Personal</w:t>
            </w:r>
          </w:p>
        </w:tc>
        <w:tc>
          <w:tcPr>
            <w:tcW w:w="1134" w:type="dxa"/>
            <w:tcBorders>
              <w:top w:val="nil"/>
              <w:left w:val="nil"/>
              <w:bottom w:val="single" w:sz="4" w:space="0" w:color="auto"/>
              <w:right w:val="single" w:sz="4" w:space="0" w:color="auto"/>
            </w:tcBorders>
            <w:vAlign w:val="center"/>
            <w:hideMark/>
          </w:tcPr>
          <w:p w14:paraId="6E1428E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16713228" w14:textId="17EC2870"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F9DF5A3" w14:textId="3B8FD506"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39E51E2B" w14:textId="4394B927"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76AE6739"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4DBD3CFC"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6FD97286"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040B7CD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xml:space="preserve"> Personal de apoyo </w:t>
            </w:r>
            <w:proofErr w:type="gramStart"/>
            <w:r w:rsidRPr="00832734">
              <w:rPr>
                <w:rFonts w:ascii="Arial" w:eastAsia="Times New Roman" w:hAnsi="Arial" w:cs="Arial"/>
                <w:sz w:val="18"/>
                <w:szCs w:val="18"/>
                <w:lang w:eastAsia="zh-CN"/>
              </w:rPr>
              <w:t>Logístico  para</w:t>
            </w:r>
            <w:proofErr w:type="gramEnd"/>
            <w:r w:rsidRPr="00832734">
              <w:rPr>
                <w:rFonts w:ascii="Arial" w:eastAsia="Times New Roman" w:hAnsi="Arial" w:cs="Arial"/>
                <w:sz w:val="18"/>
                <w:szCs w:val="18"/>
                <w:lang w:eastAsia="zh-CN"/>
              </w:rPr>
              <w:t xml:space="preserve"> todas las justas deportivas y </w:t>
            </w:r>
            <w:r w:rsidRPr="00832734">
              <w:rPr>
                <w:rFonts w:ascii="Arial" w:eastAsia="Times New Roman" w:hAnsi="Arial" w:cs="Arial"/>
                <w:sz w:val="18"/>
                <w:szCs w:val="18"/>
                <w:lang w:eastAsia="zh-CN"/>
              </w:rPr>
              <w:lastRenderedPageBreak/>
              <w:t xml:space="preserve">evento de clausura e  </w:t>
            </w:r>
          </w:p>
        </w:tc>
        <w:tc>
          <w:tcPr>
            <w:tcW w:w="2977" w:type="dxa"/>
            <w:tcBorders>
              <w:top w:val="nil"/>
              <w:left w:val="nil"/>
              <w:bottom w:val="single" w:sz="4" w:space="0" w:color="auto"/>
              <w:right w:val="single" w:sz="4" w:space="0" w:color="auto"/>
            </w:tcBorders>
            <w:vAlign w:val="center"/>
            <w:hideMark/>
          </w:tcPr>
          <w:p w14:paraId="47C1D944" w14:textId="77777777" w:rsidR="00E349BF" w:rsidRPr="00832734" w:rsidRDefault="00E349BF" w:rsidP="00082A22">
            <w:pPr>
              <w:spacing w:after="0" w:line="240" w:lineRule="auto"/>
              <w:jc w:val="both"/>
              <w:rPr>
                <w:rFonts w:ascii="Arial" w:eastAsia="Times New Roman" w:hAnsi="Arial" w:cs="Arial"/>
                <w:b/>
                <w:bCs/>
                <w:sz w:val="18"/>
                <w:szCs w:val="18"/>
                <w:lang w:eastAsia="zh-CN"/>
              </w:rPr>
            </w:pPr>
            <w:r w:rsidRPr="00832734">
              <w:rPr>
                <w:rFonts w:ascii="Arial" w:eastAsia="Times New Roman" w:hAnsi="Arial" w:cs="Arial"/>
                <w:b/>
                <w:bCs/>
                <w:sz w:val="18"/>
                <w:szCs w:val="18"/>
                <w:lang w:eastAsia="zh-CN"/>
              </w:rPr>
              <w:lastRenderedPageBreak/>
              <w:t xml:space="preserve">SERVICIO TEMPORAL DE APOYO LOGÍSTICO. </w:t>
            </w:r>
            <w:r w:rsidRPr="00832734">
              <w:rPr>
                <w:rFonts w:ascii="Arial" w:eastAsia="Times New Roman" w:hAnsi="Arial" w:cs="Arial"/>
                <w:sz w:val="18"/>
                <w:szCs w:val="18"/>
                <w:lang w:eastAsia="zh-CN"/>
              </w:rPr>
              <w:t xml:space="preserve">Personal con formación mínima de bachiller académico y experiencia mínima de doce (12) meses en actividades logísticas y operativas para eventos deportivos, culturales o de </w:t>
            </w:r>
            <w:r w:rsidRPr="00832734">
              <w:rPr>
                <w:rFonts w:ascii="Arial" w:eastAsia="Times New Roman" w:hAnsi="Arial" w:cs="Arial"/>
                <w:sz w:val="18"/>
                <w:szCs w:val="18"/>
                <w:lang w:eastAsia="zh-CN"/>
              </w:rPr>
              <w:lastRenderedPageBreak/>
              <w:t>asistencia masiva. Será responsable de apoyar las labores de montaje, adecuación y desmontaje de los escenarios deportivos; organización y distribución de implementos deportivos, mobiliario y demás materiales requeridos para el desarrollo de las competencias; control y entrega de elementos; apoyo en el ingreso y orientación de deportistas, delegaciones y público asistente; organización de las áreas asignadas; control del orden durante el desarrollo de las actividades; apoyo en la logística de premiaciones, ceremonias de inauguración y clausura de los Juegos Intercolegiados 2026 del municipio de Cartago; así como en las demás actividades operativas necesarias para garantizar el adecuado desarrollo de la programación deportiva.</w:t>
            </w:r>
            <w:r w:rsidRPr="00832734">
              <w:rPr>
                <w:rFonts w:ascii="Arial" w:eastAsia="Times New Roman" w:hAnsi="Arial" w:cs="Arial"/>
                <w:sz w:val="18"/>
                <w:szCs w:val="18"/>
                <w:lang w:eastAsia="zh-CN"/>
              </w:rPr>
              <w:br/>
              <w:t>El personal deberá contar con una disponibilidad mínima de cinco (5) horas continuas diarias, durante cinco (5) días a la semana, por un período de  veinte (20) días, durante un mes conforme al cronograma oficial de los Juegos Intercolegiados 2026 y a la programación establecida por la Secretaría de Deporte y Recreación. Los costos asociados a desplazamientos, alimentación y demás gastos requeridos para la prestación del servicio serán asumidos por el contratista.</w:t>
            </w:r>
          </w:p>
        </w:tc>
        <w:tc>
          <w:tcPr>
            <w:tcW w:w="992" w:type="dxa"/>
            <w:tcBorders>
              <w:top w:val="nil"/>
              <w:left w:val="nil"/>
              <w:bottom w:val="single" w:sz="4" w:space="0" w:color="auto"/>
              <w:right w:val="single" w:sz="4" w:space="0" w:color="auto"/>
            </w:tcBorders>
            <w:vAlign w:val="center"/>
            <w:hideMark/>
          </w:tcPr>
          <w:p w14:paraId="72B8DB4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Personal</w:t>
            </w:r>
          </w:p>
        </w:tc>
        <w:tc>
          <w:tcPr>
            <w:tcW w:w="1134" w:type="dxa"/>
            <w:tcBorders>
              <w:top w:val="nil"/>
              <w:left w:val="nil"/>
              <w:bottom w:val="single" w:sz="4" w:space="0" w:color="auto"/>
              <w:right w:val="single" w:sz="4" w:space="0" w:color="auto"/>
            </w:tcBorders>
            <w:vAlign w:val="center"/>
            <w:hideMark/>
          </w:tcPr>
          <w:p w14:paraId="38C0D08A"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4</w:t>
            </w:r>
          </w:p>
        </w:tc>
        <w:tc>
          <w:tcPr>
            <w:tcW w:w="1782" w:type="dxa"/>
            <w:tcBorders>
              <w:top w:val="nil"/>
              <w:left w:val="nil"/>
              <w:bottom w:val="single" w:sz="4" w:space="0" w:color="auto"/>
              <w:right w:val="single" w:sz="4" w:space="0" w:color="auto"/>
            </w:tcBorders>
            <w:shd w:val="clear" w:color="000000" w:fill="DAF2D0"/>
            <w:vAlign w:val="center"/>
          </w:tcPr>
          <w:p w14:paraId="580D1C51" w14:textId="0137CCC7"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A0435A2" w14:textId="53911DF9"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5E8A3209" w14:textId="59D821AF"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1D99E4F3"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1BBADB63"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6A7F2B2C"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2BA8186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Presentador /moderador (</w:t>
            </w:r>
            <w:proofErr w:type="gramStart"/>
            <w:r w:rsidRPr="00832734">
              <w:rPr>
                <w:rFonts w:ascii="Arial" w:eastAsia="Times New Roman" w:hAnsi="Arial" w:cs="Arial"/>
                <w:sz w:val="18"/>
                <w:szCs w:val="18"/>
                <w:lang w:eastAsia="zh-CN"/>
              </w:rPr>
              <w:t>CLAUSURA )</w:t>
            </w:r>
            <w:proofErr w:type="gramEnd"/>
          </w:p>
        </w:tc>
        <w:tc>
          <w:tcPr>
            <w:tcW w:w="2977" w:type="dxa"/>
            <w:tcBorders>
              <w:top w:val="nil"/>
              <w:left w:val="nil"/>
              <w:bottom w:val="single" w:sz="4" w:space="0" w:color="auto"/>
              <w:right w:val="single" w:sz="4" w:space="0" w:color="auto"/>
            </w:tcBorders>
            <w:vAlign w:val="center"/>
            <w:hideMark/>
          </w:tcPr>
          <w:p w14:paraId="6ABC9343"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SERVICIO TEMPORAL de presentador(a)</w:t>
            </w:r>
            <w:proofErr w:type="gramStart"/>
            <w:r w:rsidRPr="00832734">
              <w:rPr>
                <w:rFonts w:ascii="Arial" w:eastAsia="Times New Roman" w:hAnsi="Arial" w:cs="Arial"/>
                <w:b/>
                <w:bCs/>
                <w:sz w:val="18"/>
                <w:szCs w:val="18"/>
                <w:lang w:eastAsia="zh-CN"/>
              </w:rPr>
              <w:t xml:space="preserve">: </w:t>
            </w:r>
            <w:r w:rsidRPr="00832734">
              <w:rPr>
                <w:rFonts w:ascii="Arial" w:eastAsia="Times New Roman" w:hAnsi="Arial" w:cs="Arial"/>
                <w:sz w:val="18"/>
                <w:szCs w:val="18"/>
                <w:lang w:eastAsia="zh-CN"/>
              </w:rPr>
              <w:t>,Bachiller</w:t>
            </w:r>
            <w:proofErr w:type="gramEnd"/>
            <w:r w:rsidRPr="00832734">
              <w:rPr>
                <w:rFonts w:ascii="Arial" w:eastAsia="Times New Roman" w:hAnsi="Arial" w:cs="Arial"/>
                <w:sz w:val="18"/>
                <w:szCs w:val="18"/>
                <w:lang w:eastAsia="zh-CN"/>
              </w:rPr>
              <w:t xml:space="preserve"> con experiencia mínima de un (1) año en manejo de tarima como presentador de eventos institucionales o comunitarios. Será responsable de dirigir, moderar y animar el acto de clausura de los eventos deportivos, culturales o recreativos, asegurando una comunicación clara, motivadora y protocolaria. Deberá coordinar con el equipo organizador el manejo del guion, tiempos y transiciones. Disponibilidad mínima de 3 horas por </w:t>
            </w:r>
            <w:proofErr w:type="gramStart"/>
            <w:r w:rsidRPr="00832734">
              <w:rPr>
                <w:rFonts w:ascii="Arial" w:eastAsia="Times New Roman" w:hAnsi="Arial" w:cs="Arial"/>
                <w:sz w:val="18"/>
                <w:szCs w:val="18"/>
                <w:lang w:eastAsia="zh-CN"/>
              </w:rPr>
              <w:t>el  evento</w:t>
            </w:r>
            <w:proofErr w:type="gramEnd"/>
            <w:r w:rsidRPr="00832734">
              <w:rPr>
                <w:rFonts w:ascii="Arial" w:eastAsia="Times New Roman" w:hAnsi="Arial" w:cs="Arial"/>
                <w:sz w:val="18"/>
                <w:szCs w:val="18"/>
                <w:lang w:eastAsia="zh-CN"/>
              </w:rPr>
              <w:t>, será responsable de sus viáticos y alimentación.</w:t>
            </w:r>
          </w:p>
        </w:tc>
        <w:tc>
          <w:tcPr>
            <w:tcW w:w="992" w:type="dxa"/>
            <w:tcBorders>
              <w:top w:val="nil"/>
              <w:left w:val="nil"/>
              <w:bottom w:val="single" w:sz="4" w:space="0" w:color="auto"/>
              <w:right w:val="single" w:sz="4" w:space="0" w:color="auto"/>
            </w:tcBorders>
            <w:vAlign w:val="center"/>
            <w:hideMark/>
          </w:tcPr>
          <w:p w14:paraId="5F6A507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xml:space="preserve">Evento </w:t>
            </w:r>
          </w:p>
        </w:tc>
        <w:tc>
          <w:tcPr>
            <w:tcW w:w="1134" w:type="dxa"/>
            <w:tcBorders>
              <w:top w:val="nil"/>
              <w:left w:val="nil"/>
              <w:bottom w:val="single" w:sz="4" w:space="0" w:color="auto"/>
              <w:right w:val="single" w:sz="4" w:space="0" w:color="auto"/>
            </w:tcBorders>
            <w:vAlign w:val="center"/>
            <w:hideMark/>
          </w:tcPr>
          <w:p w14:paraId="0C9F0C34"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4CA3E83A" w14:textId="1955AC7E"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4710E1E5" w14:textId="21281260"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6DB6EC73" w14:textId="54B7904F"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10247E72" w14:textId="77777777" w:rsidTr="0047090F">
        <w:trPr>
          <w:trHeight w:val="20"/>
        </w:trPr>
        <w:tc>
          <w:tcPr>
            <w:tcW w:w="708" w:type="dxa"/>
            <w:vMerge w:val="restart"/>
            <w:tcBorders>
              <w:top w:val="nil"/>
              <w:left w:val="single" w:sz="4" w:space="0" w:color="auto"/>
              <w:bottom w:val="single" w:sz="4" w:space="0" w:color="auto"/>
              <w:right w:val="single" w:sz="4" w:space="0" w:color="auto"/>
            </w:tcBorders>
            <w:vAlign w:val="center"/>
            <w:hideMark/>
          </w:tcPr>
          <w:p w14:paraId="33F10AC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2 </w:t>
            </w:r>
          </w:p>
        </w:tc>
        <w:tc>
          <w:tcPr>
            <w:tcW w:w="1560" w:type="dxa"/>
            <w:vMerge w:val="restart"/>
            <w:tcBorders>
              <w:top w:val="nil"/>
              <w:left w:val="single" w:sz="4" w:space="0" w:color="auto"/>
              <w:bottom w:val="single" w:sz="4" w:space="0" w:color="auto"/>
              <w:right w:val="single" w:sz="4" w:space="0" w:color="auto"/>
            </w:tcBorders>
            <w:vAlign w:val="center"/>
            <w:hideMark/>
          </w:tcPr>
          <w:p w14:paraId="41375F9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w:t>
            </w:r>
          </w:p>
        </w:tc>
        <w:tc>
          <w:tcPr>
            <w:tcW w:w="1276" w:type="dxa"/>
            <w:tcBorders>
              <w:top w:val="nil"/>
              <w:left w:val="nil"/>
              <w:bottom w:val="single" w:sz="4" w:space="0" w:color="auto"/>
              <w:right w:val="single" w:sz="4" w:space="0" w:color="auto"/>
            </w:tcBorders>
            <w:vAlign w:val="center"/>
            <w:hideMark/>
          </w:tcPr>
          <w:p w14:paraId="045B01E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Futbol Sala</w:t>
            </w:r>
          </w:p>
        </w:tc>
        <w:tc>
          <w:tcPr>
            <w:tcW w:w="2977" w:type="dxa"/>
            <w:tcBorders>
              <w:top w:val="nil"/>
              <w:left w:val="nil"/>
              <w:bottom w:val="single" w:sz="4" w:space="0" w:color="auto"/>
              <w:right w:val="single" w:sz="4" w:space="0" w:color="auto"/>
            </w:tcBorders>
            <w:vAlign w:val="center"/>
            <w:hideMark/>
          </w:tcPr>
          <w:p w14:paraId="3264601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FÚTBOL SALA. </w:t>
            </w:r>
            <w:r w:rsidRPr="00832734">
              <w:rPr>
                <w:rFonts w:ascii="Arial" w:eastAsia="Times New Roman" w:hAnsi="Arial" w:cs="Arial"/>
                <w:sz w:val="18"/>
                <w:szCs w:val="18"/>
                <w:lang w:eastAsia="zh-CN"/>
              </w:rPr>
              <w:t xml:space="preserve">Prestación del servicio de juzgamiento para cincuenta y un (51) partidos de fútbol sala en categorías prejuvenil y juvenil, ramas masculina y femenina, conforme a las normas reglamentarias de la federación y la liga, a cargo de un equipo técnico por partido </w:t>
            </w:r>
            <w:proofErr w:type="gramStart"/>
            <w:r w:rsidRPr="00832734">
              <w:rPr>
                <w:rFonts w:ascii="Arial" w:eastAsia="Times New Roman" w:hAnsi="Arial" w:cs="Arial"/>
                <w:sz w:val="18"/>
                <w:szCs w:val="18"/>
                <w:lang w:eastAsia="zh-CN"/>
              </w:rPr>
              <w:t>conformado  por</w:t>
            </w:r>
            <w:proofErr w:type="gramEnd"/>
            <w:r w:rsidRPr="00832734">
              <w:rPr>
                <w:rFonts w:ascii="Arial" w:eastAsia="Times New Roman" w:hAnsi="Arial" w:cs="Arial"/>
                <w:sz w:val="18"/>
                <w:szCs w:val="18"/>
                <w:lang w:eastAsia="zh-CN"/>
              </w:rPr>
              <w:t xml:space="preserve"> tres personas: dos (2) jueces principales y un (1) auxiliar o planillero. Cada integrante debe contar con formación en cualquier área del conocimiento y mínimo 12 meses de experiencia certificada en juzgamiento competitivo. El servicio incluye condiciones mínimas como dotación reglamentaria, cronómetro, planillas, silbato y desplazamiento local.</w:t>
            </w:r>
          </w:p>
        </w:tc>
        <w:tc>
          <w:tcPr>
            <w:tcW w:w="992" w:type="dxa"/>
            <w:tcBorders>
              <w:top w:val="nil"/>
              <w:left w:val="nil"/>
              <w:bottom w:val="single" w:sz="4" w:space="0" w:color="auto"/>
              <w:right w:val="single" w:sz="4" w:space="0" w:color="auto"/>
            </w:tcBorders>
            <w:vAlign w:val="center"/>
            <w:hideMark/>
          </w:tcPr>
          <w:p w14:paraId="4FC7518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Partidos</w:t>
            </w:r>
          </w:p>
        </w:tc>
        <w:tc>
          <w:tcPr>
            <w:tcW w:w="1134" w:type="dxa"/>
            <w:tcBorders>
              <w:top w:val="nil"/>
              <w:left w:val="nil"/>
              <w:bottom w:val="single" w:sz="4" w:space="0" w:color="auto"/>
              <w:right w:val="single" w:sz="4" w:space="0" w:color="auto"/>
            </w:tcBorders>
            <w:vAlign w:val="center"/>
            <w:hideMark/>
          </w:tcPr>
          <w:p w14:paraId="2C8ECB6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51</w:t>
            </w:r>
          </w:p>
        </w:tc>
        <w:tc>
          <w:tcPr>
            <w:tcW w:w="1782" w:type="dxa"/>
            <w:tcBorders>
              <w:top w:val="nil"/>
              <w:left w:val="nil"/>
              <w:bottom w:val="single" w:sz="4" w:space="0" w:color="auto"/>
              <w:right w:val="single" w:sz="4" w:space="0" w:color="auto"/>
            </w:tcBorders>
            <w:shd w:val="clear" w:color="000000" w:fill="DAF2D0"/>
            <w:vAlign w:val="center"/>
          </w:tcPr>
          <w:p w14:paraId="7D1F27AE" w14:textId="32986E35"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2F422D8E" w14:textId="1F26E7D4"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18DA776E" w14:textId="06C7196C"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38C23A91"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631399D4"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02013F9F"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04F275EE"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Futbol</w:t>
            </w:r>
          </w:p>
        </w:tc>
        <w:tc>
          <w:tcPr>
            <w:tcW w:w="2977" w:type="dxa"/>
            <w:tcBorders>
              <w:top w:val="nil"/>
              <w:left w:val="nil"/>
              <w:bottom w:val="single" w:sz="4" w:space="0" w:color="auto"/>
              <w:right w:val="single" w:sz="4" w:space="0" w:color="auto"/>
            </w:tcBorders>
            <w:vAlign w:val="center"/>
            <w:hideMark/>
          </w:tcPr>
          <w:p w14:paraId="64A2E3A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FÚTBOL. </w:t>
            </w:r>
            <w:r w:rsidRPr="00832734">
              <w:rPr>
                <w:rFonts w:ascii="Arial" w:eastAsia="Times New Roman" w:hAnsi="Arial" w:cs="Arial"/>
                <w:sz w:val="18"/>
                <w:szCs w:val="18"/>
                <w:lang w:eastAsia="zh-CN"/>
              </w:rPr>
              <w:t>Prestación del servicio de juzgamiento para veintitrés (23) partidos de fútbol, correspondientes a las categorías prejuvenil y juvenil, ramas masculina y femenina, conforme a las normas reglamentarias vigentes de la federación y la liga. Cada partido contará con un equipo arbitral completo conformado por siete personas: un (1) juez central, dos (2) jueces asistentes o de línea y cuatro (4) cuartos árbitros o jueces de control; cada integrante del equipo arbitral deberá acreditar formación en cualquier área del conocimiento y un mínimo de doce (12) meses de experiencia certificada en juzgamiento de fútbol competitivo. El servicio incluye el suministro de dotación básica, materiales de control (planillas, cronómetro, banderines, silbato) y cubrimiento de desplazamientos locales.</w:t>
            </w:r>
          </w:p>
        </w:tc>
        <w:tc>
          <w:tcPr>
            <w:tcW w:w="992" w:type="dxa"/>
            <w:tcBorders>
              <w:top w:val="nil"/>
              <w:left w:val="nil"/>
              <w:bottom w:val="single" w:sz="4" w:space="0" w:color="auto"/>
              <w:right w:val="single" w:sz="4" w:space="0" w:color="auto"/>
            </w:tcBorders>
            <w:vAlign w:val="center"/>
            <w:hideMark/>
          </w:tcPr>
          <w:p w14:paraId="58049DB4"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Partidos</w:t>
            </w:r>
          </w:p>
        </w:tc>
        <w:tc>
          <w:tcPr>
            <w:tcW w:w="1134" w:type="dxa"/>
            <w:tcBorders>
              <w:top w:val="nil"/>
              <w:left w:val="nil"/>
              <w:bottom w:val="single" w:sz="4" w:space="0" w:color="auto"/>
              <w:right w:val="single" w:sz="4" w:space="0" w:color="auto"/>
            </w:tcBorders>
            <w:vAlign w:val="center"/>
            <w:hideMark/>
          </w:tcPr>
          <w:p w14:paraId="4422F2B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23</w:t>
            </w:r>
          </w:p>
        </w:tc>
        <w:tc>
          <w:tcPr>
            <w:tcW w:w="1782" w:type="dxa"/>
            <w:tcBorders>
              <w:top w:val="nil"/>
              <w:left w:val="nil"/>
              <w:bottom w:val="single" w:sz="4" w:space="0" w:color="auto"/>
              <w:right w:val="single" w:sz="4" w:space="0" w:color="auto"/>
            </w:tcBorders>
            <w:shd w:val="clear" w:color="000000" w:fill="DAF2D0"/>
            <w:vAlign w:val="center"/>
          </w:tcPr>
          <w:p w14:paraId="0BC5EE50" w14:textId="215C6A0F"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43541D66" w14:textId="5B45D72B"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0CF89D96" w14:textId="1CC8B7F4"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53E7EDCA"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0E4D9390"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5122A858"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39A1182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Baloncesto</w:t>
            </w:r>
          </w:p>
        </w:tc>
        <w:tc>
          <w:tcPr>
            <w:tcW w:w="2977" w:type="dxa"/>
            <w:tcBorders>
              <w:top w:val="nil"/>
              <w:left w:val="nil"/>
              <w:bottom w:val="single" w:sz="4" w:space="0" w:color="auto"/>
              <w:right w:val="single" w:sz="4" w:space="0" w:color="auto"/>
            </w:tcBorders>
            <w:vAlign w:val="center"/>
            <w:hideMark/>
          </w:tcPr>
          <w:p w14:paraId="742958E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BALONCESTO. </w:t>
            </w:r>
            <w:r w:rsidRPr="00832734">
              <w:rPr>
                <w:rFonts w:ascii="Arial" w:eastAsia="Times New Roman" w:hAnsi="Arial" w:cs="Arial"/>
                <w:sz w:val="18"/>
                <w:szCs w:val="18"/>
                <w:lang w:eastAsia="zh-CN"/>
              </w:rPr>
              <w:t xml:space="preserve">Prestación del servicio de juzgamiento para quince (15) partidos de baloncesto, correspondientes a las categorías prejuvenil y juvenil, ramas masculina y femenina, cada uno compuesto por 4 periodos de 10 minutos según las normas reglamentarias de la federación y la liga. El juzgamiento será realizado </w:t>
            </w:r>
            <w:r w:rsidRPr="00832734">
              <w:rPr>
                <w:rFonts w:ascii="Arial" w:eastAsia="Times New Roman" w:hAnsi="Arial" w:cs="Arial"/>
                <w:sz w:val="18"/>
                <w:szCs w:val="18"/>
                <w:lang w:eastAsia="zh-CN"/>
              </w:rPr>
              <w:lastRenderedPageBreak/>
              <w:t>por un equipo técnico por partido, integrado por: Cuatro personas: Por un (1) juez principal, dos (2) jueces auxiliares y un (1) anotador, responsable de dirigir los encuentros, los cuales se desarrollarán en cuatro (4) períodos de diez (10) minuto. Cada integrante del equipo deberá acredita en cualquier área del conocimiento y una experiencia mínima de doce (12) meses certificada en juzgamiento competitivo de baloncesto. El servicio incluye el cumplimiento estricto del reglamento, manejo de elementos oficiales de control (cronómetro, tablero, hoja de anotación) y cobertura de condiciones logísticas básicas.</w:t>
            </w:r>
          </w:p>
        </w:tc>
        <w:tc>
          <w:tcPr>
            <w:tcW w:w="992" w:type="dxa"/>
            <w:tcBorders>
              <w:top w:val="nil"/>
              <w:left w:val="nil"/>
              <w:bottom w:val="single" w:sz="4" w:space="0" w:color="auto"/>
              <w:right w:val="single" w:sz="4" w:space="0" w:color="auto"/>
            </w:tcBorders>
            <w:vAlign w:val="center"/>
            <w:hideMark/>
          </w:tcPr>
          <w:p w14:paraId="7143841B"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Partidos</w:t>
            </w:r>
          </w:p>
        </w:tc>
        <w:tc>
          <w:tcPr>
            <w:tcW w:w="1134" w:type="dxa"/>
            <w:tcBorders>
              <w:top w:val="nil"/>
              <w:left w:val="nil"/>
              <w:bottom w:val="single" w:sz="4" w:space="0" w:color="auto"/>
              <w:right w:val="single" w:sz="4" w:space="0" w:color="auto"/>
            </w:tcBorders>
            <w:vAlign w:val="center"/>
            <w:hideMark/>
          </w:tcPr>
          <w:p w14:paraId="462FEE0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15</w:t>
            </w:r>
          </w:p>
        </w:tc>
        <w:tc>
          <w:tcPr>
            <w:tcW w:w="1782" w:type="dxa"/>
            <w:tcBorders>
              <w:top w:val="nil"/>
              <w:left w:val="nil"/>
              <w:bottom w:val="single" w:sz="4" w:space="0" w:color="auto"/>
              <w:right w:val="single" w:sz="4" w:space="0" w:color="auto"/>
            </w:tcBorders>
            <w:shd w:val="clear" w:color="000000" w:fill="DAF2D0"/>
            <w:vAlign w:val="center"/>
          </w:tcPr>
          <w:p w14:paraId="37CB63E0" w14:textId="469875B6"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10C36058" w14:textId="2C43F847"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3253CCE3" w14:textId="715D8854"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4731EECE"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039A499C"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51069660"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04C3BD44"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Voleibol</w:t>
            </w:r>
          </w:p>
        </w:tc>
        <w:tc>
          <w:tcPr>
            <w:tcW w:w="2977" w:type="dxa"/>
            <w:tcBorders>
              <w:top w:val="nil"/>
              <w:left w:val="nil"/>
              <w:bottom w:val="single" w:sz="4" w:space="0" w:color="auto"/>
              <w:right w:val="single" w:sz="4" w:space="0" w:color="auto"/>
            </w:tcBorders>
            <w:vAlign w:val="center"/>
            <w:hideMark/>
          </w:tcPr>
          <w:p w14:paraId="64408BC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w:t>
            </w:r>
            <w:r w:rsidRPr="00832734">
              <w:rPr>
                <w:rFonts w:ascii="Arial" w:eastAsia="Times New Roman" w:hAnsi="Arial" w:cs="Arial"/>
                <w:sz w:val="18"/>
                <w:szCs w:val="18"/>
                <w:lang w:eastAsia="zh-CN"/>
              </w:rPr>
              <w:t xml:space="preserve">Prestación del servicio técnico de juzgamiento para 80 partidos de voleibol en categorías prejuvenil y juvenil, ramas masculina y femenina, conforme a las normas reglamentarias de la federación y la liga. Cada partido será dirigido por un equipo técnico conformado por cuatro personas: un (1) primer árbitro, un (1) segundo árbitro, un (1) anotador y un (1) juez de línea. Cada integrante del equipo deberá acreditar formación en cualquier área del conocimiento y una experiencia mínima de doce (12) meses certificada en juzgamiento de voleibol competitivo. El servicio incluye la aplicación del reglamento </w:t>
            </w:r>
            <w:r w:rsidRPr="00832734">
              <w:rPr>
                <w:rFonts w:ascii="Arial" w:eastAsia="Times New Roman" w:hAnsi="Arial" w:cs="Arial"/>
                <w:sz w:val="18"/>
                <w:szCs w:val="18"/>
                <w:lang w:eastAsia="zh-CN"/>
              </w:rPr>
              <w:lastRenderedPageBreak/>
              <w:t>oficial, elementos de control del juego (planillas, silbato, señalización) y condiciones básicas de desplazamiento.</w:t>
            </w:r>
          </w:p>
        </w:tc>
        <w:tc>
          <w:tcPr>
            <w:tcW w:w="992" w:type="dxa"/>
            <w:tcBorders>
              <w:top w:val="nil"/>
              <w:left w:val="nil"/>
              <w:bottom w:val="single" w:sz="4" w:space="0" w:color="auto"/>
              <w:right w:val="single" w:sz="4" w:space="0" w:color="auto"/>
            </w:tcBorders>
            <w:vAlign w:val="center"/>
            <w:hideMark/>
          </w:tcPr>
          <w:p w14:paraId="1B3E51D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Partidos</w:t>
            </w:r>
          </w:p>
        </w:tc>
        <w:tc>
          <w:tcPr>
            <w:tcW w:w="1134" w:type="dxa"/>
            <w:tcBorders>
              <w:top w:val="nil"/>
              <w:left w:val="nil"/>
              <w:bottom w:val="single" w:sz="4" w:space="0" w:color="auto"/>
              <w:right w:val="single" w:sz="4" w:space="0" w:color="auto"/>
            </w:tcBorders>
            <w:vAlign w:val="center"/>
            <w:hideMark/>
          </w:tcPr>
          <w:p w14:paraId="40D6801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80</w:t>
            </w:r>
          </w:p>
        </w:tc>
        <w:tc>
          <w:tcPr>
            <w:tcW w:w="1782" w:type="dxa"/>
            <w:tcBorders>
              <w:top w:val="nil"/>
              <w:left w:val="nil"/>
              <w:bottom w:val="single" w:sz="4" w:space="0" w:color="auto"/>
              <w:right w:val="single" w:sz="4" w:space="0" w:color="auto"/>
            </w:tcBorders>
            <w:shd w:val="clear" w:color="000000" w:fill="DAF2D0"/>
            <w:vAlign w:val="center"/>
          </w:tcPr>
          <w:p w14:paraId="7FFBF9A4" w14:textId="5B974162"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0A5173F" w14:textId="36CC6DA6"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5879795E" w14:textId="61E8B09D"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3B521E26"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61A32A1A"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4B931C68"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65B5B06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Balonmano</w:t>
            </w:r>
          </w:p>
        </w:tc>
        <w:tc>
          <w:tcPr>
            <w:tcW w:w="2977" w:type="dxa"/>
            <w:tcBorders>
              <w:top w:val="nil"/>
              <w:left w:val="nil"/>
              <w:bottom w:val="single" w:sz="4" w:space="0" w:color="auto"/>
              <w:right w:val="single" w:sz="4" w:space="0" w:color="auto"/>
            </w:tcBorders>
            <w:vAlign w:val="center"/>
            <w:hideMark/>
          </w:tcPr>
          <w:p w14:paraId="063C309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BALONMANO. </w:t>
            </w:r>
            <w:r w:rsidRPr="00832734">
              <w:rPr>
                <w:rFonts w:ascii="Arial" w:eastAsia="Times New Roman" w:hAnsi="Arial" w:cs="Arial"/>
                <w:sz w:val="18"/>
                <w:szCs w:val="18"/>
                <w:lang w:eastAsia="zh-CN"/>
              </w:rPr>
              <w:t>Prestación del servicio de juzgamiento para cuatro (4) partidos de balonmano en categorías prejuvenil y juvenil, ramas masculina y femenina, según la normativa reglamentaria vigente de la federación y la liga. Cada partido será dirigido por un equipo técnico integrado por dos personas: un (1) juez de campo y un (1) anotador. Cada integrante del equipo deberá acreditar con formación en cualquier área del conocimiento y mínimo doce (12) meses de experiencia certificada en juzgamiento de balonmano competitivo. El servicio incluye los elementos técnicos de control, validación de resultados, cumplimiento normativo y condiciones logísticas mínimas.</w:t>
            </w:r>
          </w:p>
        </w:tc>
        <w:tc>
          <w:tcPr>
            <w:tcW w:w="992" w:type="dxa"/>
            <w:tcBorders>
              <w:top w:val="nil"/>
              <w:left w:val="nil"/>
              <w:bottom w:val="single" w:sz="4" w:space="0" w:color="auto"/>
              <w:right w:val="single" w:sz="4" w:space="0" w:color="auto"/>
            </w:tcBorders>
            <w:vAlign w:val="center"/>
            <w:hideMark/>
          </w:tcPr>
          <w:p w14:paraId="4E21B36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Partidos</w:t>
            </w:r>
          </w:p>
        </w:tc>
        <w:tc>
          <w:tcPr>
            <w:tcW w:w="1134" w:type="dxa"/>
            <w:tcBorders>
              <w:top w:val="nil"/>
              <w:left w:val="nil"/>
              <w:bottom w:val="single" w:sz="4" w:space="0" w:color="auto"/>
              <w:right w:val="single" w:sz="4" w:space="0" w:color="auto"/>
            </w:tcBorders>
            <w:vAlign w:val="center"/>
            <w:hideMark/>
          </w:tcPr>
          <w:p w14:paraId="7DED45DE"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4</w:t>
            </w:r>
          </w:p>
        </w:tc>
        <w:tc>
          <w:tcPr>
            <w:tcW w:w="1782" w:type="dxa"/>
            <w:tcBorders>
              <w:top w:val="nil"/>
              <w:left w:val="nil"/>
              <w:bottom w:val="single" w:sz="4" w:space="0" w:color="auto"/>
              <w:right w:val="single" w:sz="4" w:space="0" w:color="auto"/>
            </w:tcBorders>
            <w:shd w:val="clear" w:color="000000" w:fill="DAF2D0"/>
            <w:vAlign w:val="center"/>
          </w:tcPr>
          <w:p w14:paraId="129E5DB9" w14:textId="0EEF8345"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607E3049" w14:textId="22721DD7"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640F558E" w14:textId="54B442C3"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55E8A7B9"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585B716B"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471AF900"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70CF5AC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Atletismo</w:t>
            </w:r>
          </w:p>
        </w:tc>
        <w:tc>
          <w:tcPr>
            <w:tcW w:w="2977" w:type="dxa"/>
            <w:tcBorders>
              <w:top w:val="nil"/>
              <w:left w:val="nil"/>
              <w:bottom w:val="single" w:sz="4" w:space="0" w:color="auto"/>
              <w:right w:val="single" w:sz="4" w:space="0" w:color="auto"/>
            </w:tcBorders>
            <w:vAlign w:val="center"/>
            <w:hideMark/>
          </w:tcPr>
          <w:p w14:paraId="5DD96B3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ATLETISMO. </w:t>
            </w:r>
            <w:r w:rsidRPr="00832734">
              <w:rPr>
                <w:rFonts w:ascii="Arial" w:eastAsia="Times New Roman" w:hAnsi="Arial" w:cs="Arial"/>
                <w:sz w:val="18"/>
                <w:szCs w:val="18"/>
                <w:lang w:eastAsia="zh-CN"/>
              </w:rPr>
              <w:t xml:space="preserve">Prestación del servicio de juzgamiento para dos (2) jornadas de competencias de atletismo en pista y campo, que incluye fases de clasificación por tiempo, ubicación o distancia, fase semifinal y final, en las categorías Preinfantil, Infantil, Prejuvenil y Juvenil. El servicio se realizará conforme a los reglamentos de la </w:t>
            </w:r>
            <w:r w:rsidRPr="00832734">
              <w:rPr>
                <w:rFonts w:ascii="Arial" w:eastAsia="Times New Roman" w:hAnsi="Arial" w:cs="Arial"/>
                <w:sz w:val="18"/>
                <w:szCs w:val="18"/>
                <w:lang w:eastAsia="zh-CN"/>
              </w:rPr>
              <w:lastRenderedPageBreak/>
              <w:t xml:space="preserve">federación y la liga, y será ejecutado por un equipo técnico por jornada conformado por: Diez personas: por un (1) juez principal, cuatro (4) delegados técnicos, un (1) juez de pruebas, un (1) juez de carreras, un (1) juez de concursos, un (1) juez de salidas, un (1) juez de llegadas y un (1) anotador o juez de mesa. Cada integrante del equipo deberá </w:t>
            </w:r>
            <w:proofErr w:type="gramStart"/>
            <w:r w:rsidRPr="00832734">
              <w:rPr>
                <w:rFonts w:ascii="Arial" w:eastAsia="Times New Roman" w:hAnsi="Arial" w:cs="Arial"/>
                <w:sz w:val="18"/>
                <w:szCs w:val="18"/>
                <w:lang w:eastAsia="zh-CN"/>
              </w:rPr>
              <w:t>acreditar  formación</w:t>
            </w:r>
            <w:proofErr w:type="gramEnd"/>
            <w:r w:rsidRPr="00832734">
              <w:rPr>
                <w:rFonts w:ascii="Arial" w:eastAsia="Times New Roman" w:hAnsi="Arial" w:cs="Arial"/>
                <w:sz w:val="18"/>
                <w:szCs w:val="18"/>
                <w:lang w:eastAsia="zh-CN"/>
              </w:rPr>
              <w:t xml:space="preserve"> en cualquier área del conocimiento y mínimo doce (12) meses de experiencia certificada en juzgamiento atlético competitivo.</w:t>
            </w:r>
          </w:p>
        </w:tc>
        <w:tc>
          <w:tcPr>
            <w:tcW w:w="992" w:type="dxa"/>
            <w:tcBorders>
              <w:top w:val="nil"/>
              <w:left w:val="nil"/>
              <w:bottom w:val="single" w:sz="4" w:space="0" w:color="auto"/>
              <w:right w:val="single" w:sz="4" w:space="0" w:color="auto"/>
            </w:tcBorders>
            <w:vAlign w:val="center"/>
            <w:hideMark/>
          </w:tcPr>
          <w:p w14:paraId="78F2F35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Jornada</w:t>
            </w:r>
          </w:p>
        </w:tc>
        <w:tc>
          <w:tcPr>
            <w:tcW w:w="1134" w:type="dxa"/>
            <w:tcBorders>
              <w:top w:val="nil"/>
              <w:left w:val="nil"/>
              <w:bottom w:val="single" w:sz="4" w:space="0" w:color="auto"/>
              <w:right w:val="single" w:sz="4" w:space="0" w:color="auto"/>
            </w:tcBorders>
            <w:vAlign w:val="center"/>
            <w:hideMark/>
          </w:tcPr>
          <w:p w14:paraId="1B6F6DEA"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2</w:t>
            </w:r>
          </w:p>
        </w:tc>
        <w:tc>
          <w:tcPr>
            <w:tcW w:w="1782" w:type="dxa"/>
            <w:tcBorders>
              <w:top w:val="nil"/>
              <w:left w:val="nil"/>
              <w:bottom w:val="single" w:sz="4" w:space="0" w:color="auto"/>
              <w:right w:val="single" w:sz="4" w:space="0" w:color="auto"/>
            </w:tcBorders>
            <w:shd w:val="clear" w:color="000000" w:fill="DAF2D0"/>
            <w:vAlign w:val="center"/>
          </w:tcPr>
          <w:p w14:paraId="1CD85ACA" w14:textId="4D2B5241"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331FB460" w14:textId="2AFD296F"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62579B2B" w14:textId="158BB075"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7C7F9B36"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59773BA6"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4E38282B"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5B69E3CB"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Ajedrez</w:t>
            </w:r>
          </w:p>
        </w:tc>
        <w:tc>
          <w:tcPr>
            <w:tcW w:w="2977" w:type="dxa"/>
            <w:tcBorders>
              <w:top w:val="nil"/>
              <w:left w:val="nil"/>
              <w:bottom w:val="single" w:sz="4" w:space="0" w:color="auto"/>
              <w:right w:val="single" w:sz="4" w:space="0" w:color="auto"/>
            </w:tcBorders>
            <w:vAlign w:val="center"/>
            <w:hideMark/>
          </w:tcPr>
          <w:p w14:paraId="0854CB5A"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AJEDREZ. </w:t>
            </w:r>
            <w:r w:rsidRPr="00832734">
              <w:rPr>
                <w:rFonts w:ascii="Arial" w:eastAsia="Times New Roman" w:hAnsi="Arial" w:cs="Arial"/>
                <w:sz w:val="18"/>
                <w:szCs w:val="18"/>
                <w:lang w:eastAsia="zh-CN"/>
              </w:rPr>
              <w:t>Prestación</w:t>
            </w:r>
            <w:r w:rsidRPr="00832734">
              <w:rPr>
                <w:rFonts w:ascii="Arial" w:eastAsia="Times New Roman" w:hAnsi="Arial" w:cs="Arial"/>
                <w:b/>
                <w:bCs/>
                <w:sz w:val="18"/>
                <w:szCs w:val="18"/>
                <w:lang w:eastAsia="zh-CN"/>
              </w:rPr>
              <w:t xml:space="preserve"> </w:t>
            </w:r>
            <w:r w:rsidRPr="00832734">
              <w:rPr>
                <w:rFonts w:ascii="Arial" w:eastAsia="Times New Roman" w:hAnsi="Arial" w:cs="Arial"/>
                <w:sz w:val="18"/>
                <w:szCs w:val="18"/>
                <w:lang w:eastAsia="zh-CN"/>
              </w:rPr>
              <w:t xml:space="preserve">del servicio de juzgamiento para dos (2) jornadas de competencias de ajedrez clásico y Blitz, bajo sistema suizo, con partidas de aproximadamente 90 minutos para el clásico de duración y 4 minutos con 2 segundos de incremento para el </w:t>
            </w:r>
            <w:proofErr w:type="spellStart"/>
            <w:r w:rsidRPr="00832734">
              <w:rPr>
                <w:rFonts w:ascii="Arial" w:eastAsia="Times New Roman" w:hAnsi="Arial" w:cs="Arial"/>
                <w:sz w:val="18"/>
                <w:szCs w:val="18"/>
                <w:lang w:eastAsia="zh-CN"/>
              </w:rPr>
              <w:t>blitz</w:t>
            </w:r>
            <w:proofErr w:type="spellEnd"/>
            <w:r w:rsidRPr="00832734">
              <w:rPr>
                <w:rFonts w:ascii="Arial" w:eastAsia="Times New Roman" w:hAnsi="Arial" w:cs="Arial"/>
                <w:sz w:val="18"/>
                <w:szCs w:val="18"/>
                <w:lang w:eastAsia="zh-CN"/>
              </w:rPr>
              <w:t>, en categorías Preinfantil, Infantil, Prejuvenil y Juvenil (ambas ramas), de acuerdo con el reglamento oficial de la federación y la liga. Cada jornada deberá contar con un equipo técnico de juzgamiento, conformado por un (1) juez principal, dos (2) jueces asistentes y un (1) auxiliar de mesa, encargado de la elaboración de pareos, del reporte a Chess-</w:t>
            </w:r>
            <w:proofErr w:type="spellStart"/>
            <w:r w:rsidRPr="00832734">
              <w:rPr>
                <w:rFonts w:ascii="Arial" w:eastAsia="Times New Roman" w:hAnsi="Arial" w:cs="Arial"/>
                <w:sz w:val="18"/>
                <w:szCs w:val="18"/>
                <w:lang w:eastAsia="zh-CN"/>
              </w:rPr>
              <w:t>Results</w:t>
            </w:r>
            <w:proofErr w:type="spellEnd"/>
            <w:r w:rsidRPr="00832734">
              <w:rPr>
                <w:rFonts w:ascii="Arial" w:eastAsia="Times New Roman" w:hAnsi="Arial" w:cs="Arial"/>
                <w:sz w:val="18"/>
                <w:szCs w:val="18"/>
                <w:lang w:eastAsia="zh-CN"/>
              </w:rPr>
              <w:t xml:space="preserve">, así como del apoyo técnico para el desarrollo de las rondas.  Cada integrante del equipo deberá </w:t>
            </w:r>
            <w:r w:rsidRPr="00832734">
              <w:rPr>
                <w:rFonts w:ascii="Arial" w:eastAsia="Times New Roman" w:hAnsi="Arial" w:cs="Arial"/>
                <w:sz w:val="18"/>
                <w:szCs w:val="18"/>
                <w:lang w:eastAsia="zh-CN"/>
              </w:rPr>
              <w:lastRenderedPageBreak/>
              <w:t>acreditar formación en cualquier área del conocimiento y tener mínimo doce (12) meses de experiencia certificada en juzgamiento de ajedrez competitivo. El servicio incluye control de tiempo, validación de resultados, asignación de pareos y gestión técnica de las rondas.</w:t>
            </w:r>
          </w:p>
        </w:tc>
        <w:tc>
          <w:tcPr>
            <w:tcW w:w="992" w:type="dxa"/>
            <w:tcBorders>
              <w:top w:val="nil"/>
              <w:left w:val="nil"/>
              <w:bottom w:val="single" w:sz="4" w:space="0" w:color="auto"/>
              <w:right w:val="single" w:sz="4" w:space="0" w:color="auto"/>
            </w:tcBorders>
            <w:vAlign w:val="center"/>
            <w:hideMark/>
          </w:tcPr>
          <w:p w14:paraId="3809DEB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Jornada</w:t>
            </w:r>
          </w:p>
        </w:tc>
        <w:tc>
          <w:tcPr>
            <w:tcW w:w="1134" w:type="dxa"/>
            <w:tcBorders>
              <w:top w:val="nil"/>
              <w:left w:val="nil"/>
              <w:bottom w:val="single" w:sz="4" w:space="0" w:color="auto"/>
              <w:right w:val="single" w:sz="4" w:space="0" w:color="auto"/>
            </w:tcBorders>
            <w:vAlign w:val="center"/>
            <w:hideMark/>
          </w:tcPr>
          <w:p w14:paraId="6DB0D91B"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2</w:t>
            </w:r>
          </w:p>
        </w:tc>
        <w:tc>
          <w:tcPr>
            <w:tcW w:w="1782" w:type="dxa"/>
            <w:tcBorders>
              <w:top w:val="nil"/>
              <w:left w:val="nil"/>
              <w:bottom w:val="single" w:sz="4" w:space="0" w:color="auto"/>
              <w:right w:val="single" w:sz="4" w:space="0" w:color="auto"/>
            </w:tcBorders>
            <w:shd w:val="clear" w:color="000000" w:fill="DAF2D0"/>
            <w:vAlign w:val="center"/>
          </w:tcPr>
          <w:p w14:paraId="3485D27A" w14:textId="393A9912"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CE85AEE" w14:textId="0B39889D"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48F51050" w14:textId="11FF53AB"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20039339"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467251C4"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2AB79C74"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60F9D63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Natación</w:t>
            </w:r>
          </w:p>
        </w:tc>
        <w:tc>
          <w:tcPr>
            <w:tcW w:w="2977" w:type="dxa"/>
            <w:tcBorders>
              <w:top w:val="nil"/>
              <w:left w:val="nil"/>
              <w:bottom w:val="single" w:sz="4" w:space="0" w:color="auto"/>
              <w:right w:val="single" w:sz="4" w:space="0" w:color="auto"/>
            </w:tcBorders>
            <w:vAlign w:val="center"/>
            <w:hideMark/>
          </w:tcPr>
          <w:p w14:paraId="6B9C188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NATACIÓN. </w:t>
            </w:r>
            <w:r w:rsidRPr="00832734">
              <w:rPr>
                <w:rFonts w:ascii="Arial" w:eastAsia="Times New Roman" w:hAnsi="Arial" w:cs="Arial"/>
                <w:sz w:val="18"/>
                <w:szCs w:val="18"/>
                <w:lang w:eastAsia="zh-CN"/>
              </w:rPr>
              <w:t xml:space="preserve">Prestación del servicio de juzgamiento para una (1) jornada de competencias de natación, con al menos 10 pruebas por jornada, en ramas masculina y femenina, categorías Infantil y Menores, según la reglamentación oficial de la federación y la liga. La jornada deberá contar con un equipo técnico de juzgamiento, conformado por cinco personas: </w:t>
            </w:r>
            <w:proofErr w:type="gramStart"/>
            <w:r w:rsidRPr="00832734">
              <w:rPr>
                <w:rFonts w:ascii="Arial" w:eastAsia="Times New Roman" w:hAnsi="Arial" w:cs="Arial"/>
                <w:sz w:val="18"/>
                <w:szCs w:val="18"/>
                <w:lang w:eastAsia="zh-CN"/>
              </w:rPr>
              <w:t>un  (</w:t>
            </w:r>
            <w:proofErr w:type="gramEnd"/>
            <w:r w:rsidRPr="00832734">
              <w:rPr>
                <w:rFonts w:ascii="Arial" w:eastAsia="Times New Roman" w:hAnsi="Arial" w:cs="Arial"/>
                <w:sz w:val="18"/>
                <w:szCs w:val="18"/>
                <w:lang w:eastAsia="zh-CN"/>
              </w:rPr>
              <w:t>1) juez principal, un (1) juez de salida, dos (2) jueces de llegada y un (1) salvavidas. Cada integrante del equipo deberá acreditar formación en cualquier área del conocimiento y tener mínimo doce (12) meses de experiencia certificada en juzgamiento competitivo de natación. El servicio incluye cronometraje, seguridad acuática, validación de resultados y apoyo técnico logístico.</w:t>
            </w:r>
          </w:p>
        </w:tc>
        <w:tc>
          <w:tcPr>
            <w:tcW w:w="992" w:type="dxa"/>
            <w:tcBorders>
              <w:top w:val="nil"/>
              <w:left w:val="nil"/>
              <w:bottom w:val="single" w:sz="4" w:space="0" w:color="auto"/>
              <w:right w:val="single" w:sz="4" w:space="0" w:color="auto"/>
            </w:tcBorders>
            <w:vAlign w:val="center"/>
            <w:hideMark/>
          </w:tcPr>
          <w:p w14:paraId="5E64F7DC"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Jornada</w:t>
            </w:r>
          </w:p>
        </w:tc>
        <w:tc>
          <w:tcPr>
            <w:tcW w:w="1134" w:type="dxa"/>
            <w:tcBorders>
              <w:top w:val="nil"/>
              <w:left w:val="nil"/>
              <w:bottom w:val="single" w:sz="4" w:space="0" w:color="auto"/>
              <w:right w:val="single" w:sz="4" w:space="0" w:color="auto"/>
            </w:tcBorders>
            <w:vAlign w:val="center"/>
            <w:hideMark/>
          </w:tcPr>
          <w:p w14:paraId="62859B7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3AA94D2A" w14:textId="39B2469C"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C021B8E" w14:textId="16EDBE82"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47E7BB27" w14:textId="180F1D8F"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4A402166"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4433B332"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0E6E5591"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39D54B5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Patinaje</w:t>
            </w:r>
          </w:p>
        </w:tc>
        <w:tc>
          <w:tcPr>
            <w:tcW w:w="2977" w:type="dxa"/>
            <w:tcBorders>
              <w:top w:val="nil"/>
              <w:left w:val="nil"/>
              <w:bottom w:val="single" w:sz="4" w:space="0" w:color="auto"/>
              <w:right w:val="single" w:sz="4" w:space="0" w:color="auto"/>
            </w:tcBorders>
            <w:vAlign w:val="center"/>
            <w:hideMark/>
          </w:tcPr>
          <w:p w14:paraId="46B7C36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PATINAJE. </w:t>
            </w:r>
            <w:r w:rsidRPr="00832734">
              <w:rPr>
                <w:rFonts w:ascii="Arial" w:eastAsia="Times New Roman" w:hAnsi="Arial" w:cs="Arial"/>
                <w:sz w:val="18"/>
                <w:szCs w:val="18"/>
                <w:lang w:eastAsia="zh-CN"/>
              </w:rPr>
              <w:t xml:space="preserve">Prestación del servicio de juzgamiento para una (1) jornada de competencias de patinaje, </w:t>
            </w:r>
            <w:r w:rsidRPr="00832734">
              <w:rPr>
                <w:rFonts w:ascii="Arial" w:eastAsia="Times New Roman" w:hAnsi="Arial" w:cs="Arial"/>
                <w:sz w:val="18"/>
                <w:szCs w:val="18"/>
                <w:lang w:eastAsia="zh-CN"/>
              </w:rPr>
              <w:lastRenderedPageBreak/>
              <w:t xml:space="preserve">distribuida en cuatro (4) sesiones con al menos diez (10) pruebas en la jornada, en ramas masculina y femenina, categorías Infantil y Menores, de acuerdo con la reglamentación oficial de la federación y la liga. Cada jornada deberá contar con un equipo técnico de </w:t>
            </w:r>
            <w:proofErr w:type="gramStart"/>
            <w:r w:rsidRPr="00832734">
              <w:rPr>
                <w:rFonts w:ascii="Arial" w:eastAsia="Times New Roman" w:hAnsi="Arial" w:cs="Arial"/>
                <w:sz w:val="18"/>
                <w:szCs w:val="18"/>
                <w:lang w:eastAsia="zh-CN"/>
              </w:rPr>
              <w:t>juzgamiento  conformado</w:t>
            </w:r>
            <w:proofErr w:type="gramEnd"/>
            <w:r w:rsidRPr="00832734">
              <w:rPr>
                <w:rFonts w:ascii="Arial" w:eastAsia="Times New Roman" w:hAnsi="Arial" w:cs="Arial"/>
                <w:sz w:val="18"/>
                <w:szCs w:val="18"/>
                <w:lang w:eastAsia="zh-CN"/>
              </w:rPr>
              <w:t xml:space="preserve"> por cinco personas: un (1) juez principal, un (1) juez de llegada y tres (3) cronometradores. Cada integrante del equipo deberá acreditar formación en cualquier área del conocimiento y con un mínimo de doce (12) meses de experiencia certificada en juzgamiento competitivo de patinaje. El servicio incluye cronometraje, validación reglamentaria de posiciones y apoyo técnico logístico.</w:t>
            </w:r>
          </w:p>
        </w:tc>
        <w:tc>
          <w:tcPr>
            <w:tcW w:w="992" w:type="dxa"/>
            <w:tcBorders>
              <w:top w:val="nil"/>
              <w:left w:val="nil"/>
              <w:bottom w:val="single" w:sz="4" w:space="0" w:color="auto"/>
              <w:right w:val="single" w:sz="4" w:space="0" w:color="auto"/>
            </w:tcBorders>
            <w:vAlign w:val="center"/>
            <w:hideMark/>
          </w:tcPr>
          <w:p w14:paraId="12D16513"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Jornada</w:t>
            </w:r>
          </w:p>
        </w:tc>
        <w:tc>
          <w:tcPr>
            <w:tcW w:w="1134" w:type="dxa"/>
            <w:tcBorders>
              <w:top w:val="nil"/>
              <w:left w:val="nil"/>
              <w:bottom w:val="single" w:sz="4" w:space="0" w:color="auto"/>
              <w:right w:val="single" w:sz="4" w:space="0" w:color="auto"/>
            </w:tcBorders>
            <w:vAlign w:val="center"/>
            <w:hideMark/>
          </w:tcPr>
          <w:p w14:paraId="061F450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78A7B6B7" w14:textId="246FC394"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55198BE1" w14:textId="7DB1AE11"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50182B40" w14:textId="074BB028"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7E2D09AF"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194E1628"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63B4B6AC"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26D0E2E4"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Badminton</w:t>
            </w:r>
          </w:p>
        </w:tc>
        <w:tc>
          <w:tcPr>
            <w:tcW w:w="2977" w:type="dxa"/>
            <w:tcBorders>
              <w:top w:val="nil"/>
              <w:left w:val="nil"/>
              <w:bottom w:val="single" w:sz="4" w:space="0" w:color="auto"/>
              <w:right w:val="single" w:sz="4" w:space="0" w:color="auto"/>
            </w:tcBorders>
            <w:vAlign w:val="center"/>
            <w:hideMark/>
          </w:tcPr>
          <w:p w14:paraId="369D08B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BÁDMINTON. </w:t>
            </w:r>
            <w:r w:rsidRPr="00832734">
              <w:rPr>
                <w:rFonts w:ascii="Arial" w:eastAsia="Times New Roman" w:hAnsi="Arial" w:cs="Arial"/>
                <w:sz w:val="18"/>
                <w:szCs w:val="18"/>
                <w:lang w:eastAsia="zh-CN"/>
              </w:rPr>
              <w:t xml:space="preserve">Prestación del servicio de juzgamiento para diez (10) partidos de </w:t>
            </w:r>
            <w:proofErr w:type="gramStart"/>
            <w:r w:rsidRPr="00832734">
              <w:rPr>
                <w:rFonts w:ascii="Arial" w:eastAsia="Times New Roman" w:hAnsi="Arial" w:cs="Arial"/>
                <w:sz w:val="18"/>
                <w:szCs w:val="18"/>
                <w:lang w:eastAsia="zh-CN"/>
              </w:rPr>
              <w:t>bádminton  correspondientes</w:t>
            </w:r>
            <w:proofErr w:type="gramEnd"/>
            <w:r w:rsidRPr="00832734">
              <w:rPr>
                <w:rFonts w:ascii="Arial" w:eastAsia="Times New Roman" w:hAnsi="Arial" w:cs="Arial"/>
                <w:sz w:val="18"/>
                <w:szCs w:val="18"/>
                <w:lang w:eastAsia="zh-CN"/>
              </w:rPr>
              <w:t xml:space="preserve"> a las categorías prejuvenil y juvenil, ramas masculina y femenina, conforme a la reglamentación de la federación y la liga. Cada partido deberá contar con un equipo técnico de </w:t>
            </w:r>
            <w:proofErr w:type="gramStart"/>
            <w:r w:rsidRPr="00832734">
              <w:rPr>
                <w:rFonts w:ascii="Arial" w:eastAsia="Times New Roman" w:hAnsi="Arial" w:cs="Arial"/>
                <w:sz w:val="18"/>
                <w:szCs w:val="18"/>
                <w:lang w:eastAsia="zh-CN"/>
              </w:rPr>
              <w:t xml:space="preserve">juzgamiento,   </w:t>
            </w:r>
            <w:proofErr w:type="gramEnd"/>
            <w:r w:rsidRPr="00832734">
              <w:rPr>
                <w:rFonts w:ascii="Arial" w:eastAsia="Times New Roman" w:hAnsi="Arial" w:cs="Arial"/>
                <w:sz w:val="18"/>
                <w:szCs w:val="18"/>
                <w:lang w:eastAsia="zh-CN"/>
              </w:rPr>
              <w:t xml:space="preserve">conformado por tres personas:  un (1) juez principal y dos (2) jueces de línea. Cada integrante del equipo deberá </w:t>
            </w:r>
            <w:proofErr w:type="gramStart"/>
            <w:r w:rsidRPr="00832734">
              <w:rPr>
                <w:rFonts w:ascii="Arial" w:eastAsia="Times New Roman" w:hAnsi="Arial" w:cs="Arial"/>
                <w:sz w:val="18"/>
                <w:szCs w:val="18"/>
                <w:lang w:eastAsia="zh-CN"/>
              </w:rPr>
              <w:t>acreditar  formación</w:t>
            </w:r>
            <w:proofErr w:type="gramEnd"/>
            <w:r w:rsidRPr="00832734">
              <w:rPr>
                <w:rFonts w:ascii="Arial" w:eastAsia="Times New Roman" w:hAnsi="Arial" w:cs="Arial"/>
                <w:sz w:val="18"/>
                <w:szCs w:val="18"/>
                <w:lang w:eastAsia="zh-CN"/>
              </w:rPr>
              <w:t xml:space="preserve"> en cualquier área del conocimiento y mínimo de </w:t>
            </w:r>
            <w:r w:rsidRPr="00832734">
              <w:rPr>
                <w:rFonts w:ascii="Arial" w:eastAsia="Times New Roman" w:hAnsi="Arial" w:cs="Arial"/>
                <w:sz w:val="18"/>
                <w:szCs w:val="18"/>
                <w:lang w:eastAsia="zh-CN"/>
              </w:rPr>
              <w:lastRenderedPageBreak/>
              <w:t>doce (12) meses de experiencia certificada en juzgamiento competitivo. Incluye validación de puntuaciones, control del desarrollo del juego y cumplimiento reglamentario.</w:t>
            </w:r>
          </w:p>
        </w:tc>
        <w:tc>
          <w:tcPr>
            <w:tcW w:w="992" w:type="dxa"/>
            <w:tcBorders>
              <w:top w:val="nil"/>
              <w:left w:val="nil"/>
              <w:bottom w:val="single" w:sz="4" w:space="0" w:color="auto"/>
              <w:right w:val="single" w:sz="4" w:space="0" w:color="auto"/>
            </w:tcBorders>
            <w:vAlign w:val="center"/>
            <w:hideMark/>
          </w:tcPr>
          <w:p w14:paraId="41641DB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Partido</w:t>
            </w:r>
          </w:p>
        </w:tc>
        <w:tc>
          <w:tcPr>
            <w:tcW w:w="1134" w:type="dxa"/>
            <w:tcBorders>
              <w:top w:val="nil"/>
              <w:left w:val="nil"/>
              <w:bottom w:val="single" w:sz="4" w:space="0" w:color="auto"/>
              <w:right w:val="single" w:sz="4" w:space="0" w:color="auto"/>
            </w:tcBorders>
            <w:vAlign w:val="center"/>
            <w:hideMark/>
          </w:tcPr>
          <w:p w14:paraId="38D3AE2C"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10</w:t>
            </w:r>
          </w:p>
        </w:tc>
        <w:tc>
          <w:tcPr>
            <w:tcW w:w="1782" w:type="dxa"/>
            <w:tcBorders>
              <w:top w:val="nil"/>
              <w:left w:val="nil"/>
              <w:bottom w:val="single" w:sz="4" w:space="0" w:color="auto"/>
              <w:right w:val="single" w:sz="4" w:space="0" w:color="auto"/>
            </w:tcBorders>
            <w:shd w:val="clear" w:color="000000" w:fill="DAF2D0"/>
            <w:vAlign w:val="center"/>
          </w:tcPr>
          <w:p w14:paraId="2BCDA188" w14:textId="41363CC8"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ABAA631" w14:textId="43DE4628"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358659BA" w14:textId="6EAED2EA"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288A8A1D"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20D98BF7"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54DB5347"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7D16AEBE"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Juzgamiento de Taekwondo</w:t>
            </w:r>
          </w:p>
        </w:tc>
        <w:tc>
          <w:tcPr>
            <w:tcW w:w="2977" w:type="dxa"/>
            <w:tcBorders>
              <w:top w:val="nil"/>
              <w:left w:val="nil"/>
              <w:bottom w:val="single" w:sz="4" w:space="0" w:color="auto"/>
              <w:right w:val="single" w:sz="4" w:space="0" w:color="auto"/>
            </w:tcBorders>
            <w:vAlign w:val="center"/>
            <w:hideMark/>
          </w:tcPr>
          <w:p w14:paraId="6A3ABB1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 xml:space="preserve">SERVICIO TEMPORAL DE JUZGAMIENTO PARA TAEKWONDO. </w:t>
            </w:r>
            <w:r w:rsidRPr="00832734">
              <w:rPr>
                <w:rFonts w:ascii="Arial" w:eastAsia="Times New Roman" w:hAnsi="Arial" w:cs="Arial"/>
                <w:sz w:val="18"/>
                <w:szCs w:val="18"/>
                <w:lang w:eastAsia="zh-CN"/>
              </w:rPr>
              <w:t>Prestación del servicio de juzgamiento para una (1) jornada de competencias de taekwondo en categorías prejuvenil y juvenil, ramas masculina y femenina, bajo el reglamento oficial de la federación y la liga. Cada jornada deberá contar con un equipo técnico de juzgamiento, conformado por tres personas:  por dos (2) jueces del panel de juzgamiento y un (1) juez de mesa o anotador. Cada integrante del equipo deberá acreditar formación en cualquier área del conocimiento y mínimo doce (12) meses de experiencia certificada en juzgamiento competitivo. El servicio incluye aplicación de criterios técnicos y reglamentarios, puntuación precisa y control de las rondas.</w:t>
            </w:r>
          </w:p>
        </w:tc>
        <w:tc>
          <w:tcPr>
            <w:tcW w:w="992" w:type="dxa"/>
            <w:tcBorders>
              <w:top w:val="nil"/>
              <w:left w:val="nil"/>
              <w:bottom w:val="single" w:sz="4" w:space="0" w:color="auto"/>
              <w:right w:val="single" w:sz="4" w:space="0" w:color="auto"/>
            </w:tcBorders>
            <w:vAlign w:val="center"/>
            <w:hideMark/>
          </w:tcPr>
          <w:p w14:paraId="6A27416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Jornada</w:t>
            </w:r>
          </w:p>
        </w:tc>
        <w:tc>
          <w:tcPr>
            <w:tcW w:w="1134" w:type="dxa"/>
            <w:tcBorders>
              <w:top w:val="nil"/>
              <w:left w:val="nil"/>
              <w:bottom w:val="single" w:sz="4" w:space="0" w:color="auto"/>
              <w:right w:val="single" w:sz="4" w:space="0" w:color="auto"/>
            </w:tcBorders>
            <w:vAlign w:val="center"/>
            <w:hideMark/>
          </w:tcPr>
          <w:p w14:paraId="7F042E0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5E65E1A9" w14:textId="515BB980"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58EEFA2" w14:textId="5411FE75"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578BC828" w14:textId="58C68CBC"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7ECA3178" w14:textId="77777777" w:rsidTr="0047090F">
        <w:trPr>
          <w:trHeight w:val="20"/>
        </w:trPr>
        <w:tc>
          <w:tcPr>
            <w:tcW w:w="708" w:type="dxa"/>
            <w:vMerge w:val="restart"/>
            <w:tcBorders>
              <w:top w:val="nil"/>
              <w:left w:val="single" w:sz="4" w:space="0" w:color="auto"/>
              <w:bottom w:val="single" w:sz="4" w:space="0" w:color="auto"/>
              <w:right w:val="single" w:sz="4" w:space="0" w:color="auto"/>
            </w:tcBorders>
            <w:vAlign w:val="center"/>
            <w:hideMark/>
          </w:tcPr>
          <w:p w14:paraId="65E13D5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3</w:t>
            </w:r>
          </w:p>
        </w:tc>
        <w:tc>
          <w:tcPr>
            <w:tcW w:w="1560" w:type="dxa"/>
            <w:vMerge w:val="restart"/>
            <w:tcBorders>
              <w:top w:val="nil"/>
              <w:left w:val="single" w:sz="4" w:space="0" w:color="auto"/>
              <w:bottom w:val="single" w:sz="4" w:space="0" w:color="auto"/>
              <w:right w:val="single" w:sz="4" w:space="0" w:color="auto"/>
            </w:tcBorders>
            <w:vAlign w:val="center"/>
            <w:hideMark/>
          </w:tcPr>
          <w:p w14:paraId="0CFC404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LOGISTICA GENERAL</w:t>
            </w:r>
          </w:p>
        </w:tc>
        <w:tc>
          <w:tcPr>
            <w:tcW w:w="1276" w:type="dxa"/>
            <w:tcBorders>
              <w:top w:val="nil"/>
              <w:left w:val="nil"/>
              <w:bottom w:val="single" w:sz="4" w:space="0" w:color="auto"/>
              <w:right w:val="single" w:sz="4" w:space="0" w:color="auto"/>
            </w:tcBorders>
            <w:vAlign w:val="center"/>
            <w:hideMark/>
          </w:tcPr>
          <w:p w14:paraId="4439AFD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Cobertura de Sonido (</w:t>
            </w:r>
            <w:proofErr w:type="gramStart"/>
            <w:r w:rsidRPr="00832734">
              <w:rPr>
                <w:rFonts w:ascii="Arial" w:eastAsia="Times New Roman" w:hAnsi="Arial" w:cs="Arial"/>
                <w:sz w:val="18"/>
                <w:szCs w:val="18"/>
                <w:lang w:eastAsia="zh-CN"/>
              </w:rPr>
              <w:t>Clausura )</w:t>
            </w:r>
            <w:proofErr w:type="gramEnd"/>
            <w:r w:rsidRPr="00832734">
              <w:rPr>
                <w:rFonts w:ascii="Arial" w:eastAsia="Times New Roman" w:hAnsi="Arial" w:cs="Arial"/>
                <w:sz w:val="18"/>
                <w:szCs w:val="18"/>
                <w:lang w:eastAsia="zh-CN"/>
              </w:rPr>
              <w:t xml:space="preserve">. </w:t>
            </w:r>
          </w:p>
        </w:tc>
        <w:tc>
          <w:tcPr>
            <w:tcW w:w="2977" w:type="dxa"/>
            <w:tcBorders>
              <w:top w:val="nil"/>
              <w:left w:val="nil"/>
              <w:bottom w:val="single" w:sz="4" w:space="0" w:color="auto"/>
              <w:right w:val="single" w:sz="4" w:space="0" w:color="auto"/>
            </w:tcBorders>
            <w:vAlign w:val="center"/>
            <w:hideMark/>
          </w:tcPr>
          <w:p w14:paraId="741AB339"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SERVICIO DE ALQUILER</w:t>
            </w:r>
            <w:r w:rsidRPr="00832734">
              <w:rPr>
                <w:rFonts w:ascii="Arial" w:eastAsia="Times New Roman" w:hAnsi="Arial" w:cs="Arial"/>
                <w:sz w:val="18"/>
                <w:szCs w:val="18"/>
                <w:lang w:eastAsia="zh-CN"/>
              </w:rPr>
              <w:t xml:space="preserve"> de un (1) equipo de sonido con subwoofer, 6 micrófonos, 2 cabinas, potencia mínima de 3500 watts cables de instalación y consolas, con computador portátil, un operador del equipo, incluye instalación y desinstalación en el </w:t>
            </w:r>
            <w:r w:rsidRPr="00832734">
              <w:rPr>
                <w:rFonts w:ascii="Arial" w:eastAsia="Times New Roman" w:hAnsi="Arial" w:cs="Arial"/>
                <w:sz w:val="18"/>
                <w:szCs w:val="18"/>
                <w:lang w:eastAsia="zh-CN"/>
              </w:rPr>
              <w:lastRenderedPageBreak/>
              <w:t>lugar que indique el supervisor. Con disponibilidad de ocho (8) horas.</w:t>
            </w:r>
          </w:p>
        </w:tc>
        <w:tc>
          <w:tcPr>
            <w:tcW w:w="992" w:type="dxa"/>
            <w:tcBorders>
              <w:top w:val="nil"/>
              <w:left w:val="nil"/>
              <w:bottom w:val="single" w:sz="4" w:space="0" w:color="auto"/>
              <w:right w:val="single" w:sz="4" w:space="0" w:color="auto"/>
            </w:tcBorders>
            <w:vAlign w:val="center"/>
            <w:hideMark/>
          </w:tcPr>
          <w:p w14:paraId="3F5A8ACB"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Jornada</w:t>
            </w:r>
          </w:p>
        </w:tc>
        <w:tc>
          <w:tcPr>
            <w:tcW w:w="1134" w:type="dxa"/>
            <w:tcBorders>
              <w:top w:val="nil"/>
              <w:left w:val="nil"/>
              <w:bottom w:val="single" w:sz="4" w:space="0" w:color="auto"/>
              <w:right w:val="single" w:sz="4" w:space="0" w:color="auto"/>
            </w:tcBorders>
            <w:vAlign w:val="center"/>
            <w:hideMark/>
          </w:tcPr>
          <w:p w14:paraId="0F8B559B"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6F5FD633" w14:textId="5C4803C0"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4AA959E3" w14:textId="58B96AEE"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5DEA40F0" w14:textId="46E84C06"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288244AE"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2DD8B338"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6D603119"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1E48906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Servicio de Decoración (Clausura ).</w:t>
            </w:r>
          </w:p>
        </w:tc>
        <w:tc>
          <w:tcPr>
            <w:tcW w:w="2977" w:type="dxa"/>
            <w:tcBorders>
              <w:top w:val="nil"/>
              <w:left w:val="nil"/>
              <w:bottom w:val="single" w:sz="4" w:space="0" w:color="auto"/>
              <w:right w:val="single" w:sz="4" w:space="0" w:color="auto"/>
            </w:tcBorders>
            <w:vAlign w:val="center"/>
            <w:hideMark/>
          </w:tcPr>
          <w:p w14:paraId="60D8B73A"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SERVICIO DE DECORACION</w:t>
            </w:r>
            <w:r w:rsidRPr="00832734">
              <w:rPr>
                <w:rFonts w:ascii="Arial" w:eastAsia="Times New Roman" w:hAnsi="Arial" w:cs="Arial"/>
                <w:sz w:val="18"/>
                <w:szCs w:val="18"/>
                <w:lang w:eastAsia="zh-CN"/>
              </w:rPr>
              <w:t xml:space="preserve"> temática para un (1) eventos de clausura de los Juegos Intercolegiados 2026, con elementos visuales simbólicos que resalten la identidad institucional, el espíritu olímpico y la ambientación adecuada de los espacios asignados.</w:t>
            </w:r>
            <w:r w:rsidRPr="00832734">
              <w:rPr>
                <w:rFonts w:ascii="Arial" w:eastAsia="Times New Roman" w:hAnsi="Arial" w:cs="Arial"/>
                <w:sz w:val="18"/>
                <w:szCs w:val="18"/>
                <w:lang w:eastAsia="zh-CN"/>
              </w:rPr>
              <w:br/>
              <w:t>El servicio incluirá, como mínimo:</w:t>
            </w:r>
            <w:r w:rsidRPr="00832734">
              <w:rPr>
                <w:rFonts w:ascii="Arial" w:eastAsia="Times New Roman" w:hAnsi="Arial" w:cs="Arial"/>
                <w:sz w:val="18"/>
                <w:szCs w:val="18"/>
                <w:lang w:eastAsia="zh-CN"/>
              </w:rPr>
              <w:br/>
            </w:r>
            <w:r w:rsidRPr="00832734">
              <w:rPr>
                <w:rFonts w:ascii="Arial" w:eastAsia="Times New Roman" w:hAnsi="Arial" w:cs="Arial"/>
                <w:sz w:val="18"/>
                <w:szCs w:val="18"/>
                <w:lang w:eastAsia="zh-CN"/>
              </w:rPr>
              <w:br/>
              <w:t>Arcos de globos (x2):</w:t>
            </w:r>
            <w:r w:rsidRPr="00832734">
              <w:rPr>
                <w:rFonts w:ascii="Arial" w:eastAsia="Times New Roman" w:hAnsi="Arial" w:cs="Arial"/>
                <w:sz w:val="18"/>
                <w:szCs w:val="18"/>
                <w:lang w:eastAsia="zh-CN"/>
              </w:rPr>
              <w:br/>
              <w:t>Dos estructuras de mínimo 3 metros de ancho, una para cada evento (inauguración y clausura), elaboradas en colores institucionales con globos de látex resistentes.</w:t>
            </w:r>
            <w:r w:rsidRPr="00832734">
              <w:rPr>
                <w:rFonts w:ascii="Arial" w:eastAsia="Times New Roman" w:hAnsi="Arial" w:cs="Arial"/>
                <w:sz w:val="18"/>
                <w:szCs w:val="18"/>
                <w:lang w:eastAsia="zh-CN"/>
              </w:rPr>
              <w:br/>
              <w:t>Cantidad aproximada: 160 globos por arco (total 320 globos).</w:t>
            </w:r>
            <w:r w:rsidRPr="00832734">
              <w:rPr>
                <w:rFonts w:ascii="Arial" w:eastAsia="Times New Roman" w:hAnsi="Arial" w:cs="Arial"/>
                <w:sz w:val="18"/>
                <w:szCs w:val="18"/>
                <w:lang w:eastAsia="zh-CN"/>
              </w:rPr>
              <w:br/>
            </w:r>
            <w:r w:rsidRPr="00832734">
              <w:rPr>
                <w:rFonts w:ascii="Arial" w:eastAsia="Times New Roman" w:hAnsi="Arial" w:cs="Arial"/>
                <w:sz w:val="18"/>
                <w:szCs w:val="18"/>
                <w:lang w:eastAsia="zh-CN"/>
              </w:rPr>
              <w:br/>
              <w:t>Globos temáticos (x2 sets):</w:t>
            </w:r>
            <w:r w:rsidRPr="00832734">
              <w:rPr>
                <w:rFonts w:ascii="Arial" w:eastAsia="Times New Roman" w:hAnsi="Arial" w:cs="Arial"/>
                <w:sz w:val="18"/>
                <w:szCs w:val="18"/>
                <w:lang w:eastAsia="zh-CN"/>
              </w:rPr>
              <w:br/>
              <w:t>En formas alusivas al deporte (balones, estrellas, letras u otros), distribuidos estratégicamente en el escenario, entrada y zonas fotográficas.</w:t>
            </w:r>
            <w:r w:rsidRPr="00832734">
              <w:rPr>
                <w:rFonts w:ascii="Arial" w:eastAsia="Times New Roman" w:hAnsi="Arial" w:cs="Arial"/>
                <w:sz w:val="18"/>
                <w:szCs w:val="18"/>
                <w:lang w:eastAsia="zh-CN"/>
              </w:rPr>
              <w:br/>
              <w:t>Cantidad: mínimo 20 globos temáticos por evento (total 40).</w:t>
            </w:r>
            <w:r w:rsidRPr="00832734">
              <w:rPr>
                <w:rFonts w:ascii="Arial" w:eastAsia="Times New Roman" w:hAnsi="Arial" w:cs="Arial"/>
                <w:sz w:val="18"/>
                <w:szCs w:val="18"/>
                <w:lang w:eastAsia="zh-CN"/>
              </w:rPr>
              <w:br/>
              <w:t>Llama olímpica simbólica (x1):</w:t>
            </w:r>
            <w:r w:rsidRPr="00832734">
              <w:rPr>
                <w:rFonts w:ascii="Arial" w:eastAsia="Times New Roman" w:hAnsi="Arial" w:cs="Arial"/>
                <w:sz w:val="18"/>
                <w:szCs w:val="18"/>
                <w:lang w:eastAsia="zh-CN"/>
              </w:rPr>
              <w:br/>
              <w:t>Una única estructura de al menos 1.5 metros de altura, con fuego simulado por tela flameante, instalada en el escenario principal y presente en ambos eventos.</w:t>
            </w:r>
            <w:r w:rsidRPr="00832734">
              <w:rPr>
                <w:rFonts w:ascii="Arial" w:eastAsia="Times New Roman" w:hAnsi="Arial" w:cs="Arial"/>
                <w:sz w:val="18"/>
                <w:szCs w:val="18"/>
                <w:lang w:eastAsia="zh-CN"/>
              </w:rPr>
              <w:br/>
              <w:t xml:space="preserve">Incluye sistema seguro de ventilación interna para efecto </w:t>
            </w:r>
            <w:r w:rsidRPr="00832734">
              <w:rPr>
                <w:rFonts w:ascii="Arial" w:eastAsia="Times New Roman" w:hAnsi="Arial" w:cs="Arial"/>
                <w:sz w:val="18"/>
                <w:szCs w:val="18"/>
                <w:lang w:eastAsia="zh-CN"/>
              </w:rPr>
              <w:lastRenderedPageBreak/>
              <w:t>visual.</w:t>
            </w:r>
            <w:r w:rsidRPr="00832734">
              <w:rPr>
                <w:rFonts w:ascii="Arial" w:eastAsia="Times New Roman" w:hAnsi="Arial" w:cs="Arial"/>
                <w:sz w:val="18"/>
                <w:szCs w:val="18"/>
                <w:lang w:eastAsia="zh-CN"/>
              </w:rPr>
              <w:br/>
              <w:t>Pebetero olímpico simbólico (x1):</w:t>
            </w:r>
            <w:r w:rsidRPr="00832734">
              <w:rPr>
                <w:rFonts w:ascii="Arial" w:eastAsia="Times New Roman" w:hAnsi="Arial" w:cs="Arial"/>
                <w:sz w:val="18"/>
                <w:szCs w:val="18"/>
                <w:lang w:eastAsia="zh-CN"/>
              </w:rPr>
              <w:br/>
              <w:t>Una única estructura decorativa de mínimo 1.2 metros de altura, con encendido simulado (efecto LED o tela flameante). Será trasladado o reubicado entre eventos, permaneciendo como símbolo común en la apertura y cierre.</w:t>
            </w:r>
            <w:r w:rsidRPr="00832734">
              <w:rPr>
                <w:rFonts w:ascii="Arial" w:eastAsia="Times New Roman" w:hAnsi="Arial" w:cs="Arial"/>
                <w:sz w:val="18"/>
                <w:szCs w:val="18"/>
                <w:lang w:eastAsia="zh-CN"/>
              </w:rPr>
              <w:br/>
              <w:t>Arreglos florales (mínimo 4 por evento – total 8):</w:t>
            </w:r>
            <w:r w:rsidRPr="00832734">
              <w:rPr>
                <w:rFonts w:ascii="Arial" w:eastAsia="Times New Roman" w:hAnsi="Arial" w:cs="Arial"/>
                <w:sz w:val="18"/>
                <w:szCs w:val="18"/>
                <w:lang w:eastAsia="zh-CN"/>
              </w:rPr>
              <w:br/>
              <w:t>Arreglos en bases decorativas con margaritas y follaje natural o artificial.</w:t>
            </w:r>
            <w:r w:rsidRPr="00832734">
              <w:rPr>
                <w:rFonts w:ascii="Arial" w:eastAsia="Times New Roman" w:hAnsi="Arial" w:cs="Arial"/>
                <w:sz w:val="18"/>
                <w:szCs w:val="18"/>
                <w:lang w:eastAsia="zh-CN"/>
              </w:rPr>
              <w:br/>
              <w:t>Composición de cada arreglo floral:</w:t>
            </w:r>
            <w:r w:rsidRPr="00832734">
              <w:rPr>
                <w:rFonts w:ascii="Arial" w:eastAsia="Times New Roman" w:hAnsi="Arial" w:cs="Arial"/>
                <w:sz w:val="18"/>
                <w:szCs w:val="18"/>
                <w:lang w:eastAsia="zh-CN"/>
              </w:rPr>
              <w:br/>
            </w:r>
            <w:r w:rsidRPr="00832734">
              <w:rPr>
                <w:rFonts w:ascii="Arial" w:eastAsia="Times New Roman" w:hAnsi="Arial" w:cs="Arial"/>
                <w:sz w:val="18"/>
                <w:szCs w:val="18"/>
                <w:lang w:eastAsia="zh-CN"/>
              </w:rPr>
              <w:br/>
              <w:t>12 margaritas (combinadas en blanco y amarillo o en colores institucionales)</w:t>
            </w:r>
            <w:r w:rsidRPr="00832734">
              <w:rPr>
                <w:rFonts w:ascii="Arial" w:eastAsia="Times New Roman" w:hAnsi="Arial" w:cs="Arial"/>
                <w:sz w:val="18"/>
                <w:szCs w:val="18"/>
                <w:lang w:eastAsia="zh-CN"/>
              </w:rPr>
              <w:br/>
            </w:r>
            <w:r w:rsidRPr="00832734">
              <w:rPr>
                <w:rFonts w:ascii="Arial" w:eastAsia="Times New Roman" w:hAnsi="Arial" w:cs="Arial"/>
                <w:sz w:val="18"/>
                <w:szCs w:val="18"/>
                <w:lang w:eastAsia="zh-CN"/>
              </w:rPr>
              <w:br/>
              <w:t>Follaje decorativo abundante (</w:t>
            </w:r>
            <w:proofErr w:type="spellStart"/>
            <w:r w:rsidRPr="00832734">
              <w:rPr>
                <w:rFonts w:ascii="Arial" w:eastAsia="Times New Roman" w:hAnsi="Arial" w:cs="Arial"/>
                <w:sz w:val="18"/>
                <w:szCs w:val="18"/>
                <w:lang w:eastAsia="zh-CN"/>
              </w:rPr>
              <w:t>ruscus</w:t>
            </w:r>
            <w:proofErr w:type="spellEnd"/>
            <w:r w:rsidRPr="00832734">
              <w:rPr>
                <w:rFonts w:ascii="Arial" w:eastAsia="Times New Roman" w:hAnsi="Arial" w:cs="Arial"/>
                <w:sz w:val="18"/>
                <w:szCs w:val="18"/>
                <w:lang w:eastAsia="zh-CN"/>
              </w:rPr>
              <w:t>, helecho cuero o eucalipto)</w:t>
            </w:r>
            <w:r w:rsidRPr="00832734">
              <w:rPr>
                <w:rFonts w:ascii="Arial" w:eastAsia="Times New Roman" w:hAnsi="Arial" w:cs="Arial"/>
                <w:sz w:val="18"/>
                <w:szCs w:val="18"/>
                <w:lang w:eastAsia="zh-CN"/>
              </w:rPr>
              <w:br/>
              <w:t>Distribución: escenario, entrada principal, zonas fotográficas y podio.</w:t>
            </w:r>
            <w:r w:rsidRPr="00832734">
              <w:rPr>
                <w:rFonts w:ascii="Arial" w:eastAsia="Times New Roman" w:hAnsi="Arial" w:cs="Arial"/>
                <w:sz w:val="18"/>
                <w:szCs w:val="18"/>
                <w:lang w:eastAsia="zh-CN"/>
              </w:rPr>
              <w:br/>
            </w:r>
            <w:r w:rsidRPr="00832734">
              <w:rPr>
                <w:rFonts w:ascii="Arial" w:eastAsia="Times New Roman" w:hAnsi="Arial" w:cs="Arial"/>
                <w:sz w:val="18"/>
                <w:szCs w:val="18"/>
                <w:lang w:eastAsia="zh-CN"/>
              </w:rPr>
              <w:br/>
              <w:t>Pódium ceremonial (x1):</w:t>
            </w:r>
            <w:r w:rsidRPr="00832734">
              <w:rPr>
                <w:rFonts w:ascii="Arial" w:eastAsia="Times New Roman" w:hAnsi="Arial" w:cs="Arial"/>
                <w:sz w:val="18"/>
                <w:szCs w:val="18"/>
                <w:lang w:eastAsia="zh-CN"/>
              </w:rPr>
              <w:br/>
              <w:t>Estructura con tres niveles, numerada para primer, segundo y tercer lugar.</w:t>
            </w:r>
            <w:r w:rsidRPr="00832734">
              <w:rPr>
                <w:rFonts w:ascii="Arial" w:eastAsia="Times New Roman" w:hAnsi="Arial" w:cs="Arial"/>
                <w:sz w:val="18"/>
                <w:szCs w:val="18"/>
                <w:lang w:eastAsia="zh-CN"/>
              </w:rPr>
              <w:br/>
              <w:t>Fabricado en madera o metal con acabado decorativo, utilizado en ambos eventos..</w:t>
            </w:r>
          </w:p>
        </w:tc>
        <w:tc>
          <w:tcPr>
            <w:tcW w:w="992" w:type="dxa"/>
            <w:tcBorders>
              <w:top w:val="nil"/>
              <w:left w:val="nil"/>
              <w:bottom w:val="single" w:sz="4" w:space="0" w:color="auto"/>
              <w:right w:val="single" w:sz="4" w:space="0" w:color="auto"/>
            </w:tcBorders>
            <w:vAlign w:val="center"/>
            <w:hideMark/>
          </w:tcPr>
          <w:p w14:paraId="74FA16EA"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Jornada</w:t>
            </w:r>
          </w:p>
        </w:tc>
        <w:tc>
          <w:tcPr>
            <w:tcW w:w="1134" w:type="dxa"/>
            <w:tcBorders>
              <w:top w:val="nil"/>
              <w:left w:val="nil"/>
              <w:bottom w:val="single" w:sz="4" w:space="0" w:color="auto"/>
              <w:right w:val="single" w:sz="4" w:space="0" w:color="auto"/>
            </w:tcBorders>
            <w:vAlign w:val="center"/>
            <w:hideMark/>
          </w:tcPr>
          <w:p w14:paraId="394E0FF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02C71B13" w14:textId="45D5DC36"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2B665F0D" w14:textId="0621480D"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11594394" w14:textId="51C4CE0A"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2DB46D99"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28919EBB"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75832567"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433EC67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Sillas</w:t>
            </w:r>
          </w:p>
        </w:tc>
        <w:tc>
          <w:tcPr>
            <w:tcW w:w="2977" w:type="dxa"/>
            <w:tcBorders>
              <w:top w:val="nil"/>
              <w:left w:val="nil"/>
              <w:bottom w:val="single" w:sz="4" w:space="0" w:color="auto"/>
              <w:right w:val="single" w:sz="4" w:space="0" w:color="auto"/>
            </w:tcBorders>
            <w:vAlign w:val="center"/>
            <w:hideMark/>
          </w:tcPr>
          <w:p w14:paraId="5A50D2B8"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b/>
                <w:bCs/>
                <w:sz w:val="18"/>
                <w:szCs w:val="18"/>
                <w:lang w:eastAsia="zh-CN"/>
              </w:rPr>
              <w:t>SERVICIO DE ALQUILER</w:t>
            </w:r>
            <w:r w:rsidRPr="00832734">
              <w:rPr>
                <w:rFonts w:ascii="Arial" w:eastAsia="Times New Roman" w:hAnsi="Arial" w:cs="Arial"/>
                <w:sz w:val="18"/>
                <w:szCs w:val="18"/>
                <w:lang w:eastAsia="zh-CN"/>
              </w:rPr>
              <w:t xml:space="preserve"> de sillas plásticas en polipropileno resistente, con dimensiones aproximadas de 46,5 cm de ancho, 87,5 cm de alto y 52,5 cm de fondo. Dirigidas a participantes, jueces, </w:t>
            </w:r>
            <w:r w:rsidRPr="00832734">
              <w:rPr>
                <w:rFonts w:ascii="Arial" w:eastAsia="Times New Roman" w:hAnsi="Arial" w:cs="Arial"/>
                <w:sz w:val="18"/>
                <w:szCs w:val="18"/>
                <w:lang w:eastAsia="zh-CN"/>
              </w:rPr>
              <w:lastRenderedPageBreak/>
              <w:t>logística e invitados de los Juegos Intercolegiados 2026 en el acto de clausura, con una duración del servicio máxima de seis (6) horas lo que dure el deportivo incluye transporte, instalación y retiro.</w:t>
            </w:r>
          </w:p>
        </w:tc>
        <w:tc>
          <w:tcPr>
            <w:tcW w:w="992" w:type="dxa"/>
            <w:tcBorders>
              <w:top w:val="nil"/>
              <w:left w:val="nil"/>
              <w:bottom w:val="single" w:sz="4" w:space="0" w:color="auto"/>
              <w:right w:val="single" w:sz="4" w:space="0" w:color="auto"/>
            </w:tcBorders>
            <w:vAlign w:val="center"/>
            <w:hideMark/>
          </w:tcPr>
          <w:p w14:paraId="69B0B09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Unidad</w:t>
            </w:r>
          </w:p>
        </w:tc>
        <w:tc>
          <w:tcPr>
            <w:tcW w:w="1134" w:type="dxa"/>
            <w:tcBorders>
              <w:top w:val="nil"/>
              <w:left w:val="nil"/>
              <w:bottom w:val="single" w:sz="4" w:space="0" w:color="auto"/>
              <w:right w:val="single" w:sz="4" w:space="0" w:color="auto"/>
            </w:tcBorders>
            <w:vAlign w:val="center"/>
            <w:hideMark/>
          </w:tcPr>
          <w:p w14:paraId="3A7453B9"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100</w:t>
            </w:r>
          </w:p>
        </w:tc>
        <w:tc>
          <w:tcPr>
            <w:tcW w:w="1782" w:type="dxa"/>
            <w:tcBorders>
              <w:top w:val="nil"/>
              <w:left w:val="nil"/>
              <w:bottom w:val="single" w:sz="4" w:space="0" w:color="auto"/>
              <w:right w:val="single" w:sz="4" w:space="0" w:color="auto"/>
            </w:tcBorders>
            <w:shd w:val="clear" w:color="000000" w:fill="DAF2D0"/>
            <w:vAlign w:val="center"/>
          </w:tcPr>
          <w:p w14:paraId="1BBCAE23" w14:textId="7D39B083"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30712498" w14:textId="686B7378"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7F95B7AD" w14:textId="386DD404"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64E7A5AC" w14:textId="77777777" w:rsidTr="0047090F">
        <w:trPr>
          <w:trHeight w:val="20"/>
        </w:trPr>
        <w:tc>
          <w:tcPr>
            <w:tcW w:w="708" w:type="dxa"/>
            <w:vMerge w:val="restart"/>
            <w:tcBorders>
              <w:top w:val="nil"/>
              <w:left w:val="single" w:sz="4" w:space="0" w:color="auto"/>
              <w:bottom w:val="single" w:sz="4" w:space="0" w:color="auto"/>
              <w:right w:val="single" w:sz="4" w:space="0" w:color="auto"/>
            </w:tcBorders>
            <w:vAlign w:val="center"/>
            <w:hideMark/>
          </w:tcPr>
          <w:p w14:paraId="7DDD42E5"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w:t>
            </w:r>
          </w:p>
        </w:tc>
        <w:tc>
          <w:tcPr>
            <w:tcW w:w="1560" w:type="dxa"/>
            <w:vMerge w:val="restart"/>
            <w:tcBorders>
              <w:top w:val="nil"/>
              <w:left w:val="single" w:sz="4" w:space="0" w:color="auto"/>
              <w:bottom w:val="single" w:sz="4" w:space="0" w:color="auto"/>
              <w:right w:val="single" w:sz="4" w:space="0" w:color="auto"/>
            </w:tcBorders>
            <w:vAlign w:val="center"/>
            <w:hideMark/>
          </w:tcPr>
          <w:p w14:paraId="2C5C53D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w:t>
            </w:r>
          </w:p>
        </w:tc>
        <w:tc>
          <w:tcPr>
            <w:tcW w:w="1276" w:type="dxa"/>
            <w:tcBorders>
              <w:top w:val="nil"/>
              <w:left w:val="nil"/>
              <w:bottom w:val="single" w:sz="4" w:space="0" w:color="auto"/>
              <w:right w:val="single" w:sz="4" w:space="0" w:color="auto"/>
            </w:tcBorders>
            <w:vAlign w:val="center"/>
            <w:hideMark/>
          </w:tcPr>
          <w:p w14:paraId="6D0A04B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Refrigerios para estudiantes deportistas durante las competencias</w:t>
            </w:r>
          </w:p>
        </w:tc>
        <w:tc>
          <w:tcPr>
            <w:tcW w:w="2977" w:type="dxa"/>
            <w:tcBorders>
              <w:top w:val="nil"/>
              <w:left w:val="nil"/>
              <w:bottom w:val="single" w:sz="4" w:space="0" w:color="auto"/>
              <w:right w:val="single" w:sz="4" w:space="0" w:color="auto"/>
            </w:tcBorders>
            <w:vAlign w:val="center"/>
            <w:hideMark/>
          </w:tcPr>
          <w:p w14:paraId="34650DD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Bebida Regular: Una bebida común como café, chocolate, avena en bolsa o jugo en caja de aproximadamente 200 ml.</w:t>
            </w:r>
            <w:r w:rsidRPr="00832734">
              <w:rPr>
                <w:rFonts w:ascii="Arial" w:eastAsia="Times New Roman" w:hAnsi="Arial" w:cs="Arial"/>
                <w:sz w:val="18"/>
                <w:szCs w:val="18"/>
                <w:lang w:eastAsia="zh-CN"/>
              </w:rPr>
              <w:br/>
              <w:t>Carbohidrato Principal: Productos de panadería o típicos como empanada o arepa, entre otros. Distribuidos durante todo el torneo de acuerdo al cronograma de actividades y competencias.</w:t>
            </w:r>
          </w:p>
        </w:tc>
        <w:tc>
          <w:tcPr>
            <w:tcW w:w="992" w:type="dxa"/>
            <w:tcBorders>
              <w:top w:val="nil"/>
              <w:left w:val="nil"/>
              <w:bottom w:val="single" w:sz="4" w:space="0" w:color="auto"/>
              <w:right w:val="single" w:sz="4" w:space="0" w:color="auto"/>
            </w:tcBorders>
            <w:vAlign w:val="center"/>
            <w:hideMark/>
          </w:tcPr>
          <w:p w14:paraId="23D003A3"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Unidad</w:t>
            </w:r>
          </w:p>
        </w:tc>
        <w:tc>
          <w:tcPr>
            <w:tcW w:w="1134" w:type="dxa"/>
            <w:tcBorders>
              <w:top w:val="nil"/>
              <w:left w:val="nil"/>
              <w:bottom w:val="single" w:sz="4" w:space="0" w:color="auto"/>
              <w:right w:val="single" w:sz="4" w:space="0" w:color="auto"/>
            </w:tcBorders>
            <w:vAlign w:val="center"/>
            <w:hideMark/>
          </w:tcPr>
          <w:p w14:paraId="7E284F9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3200</w:t>
            </w:r>
          </w:p>
        </w:tc>
        <w:tc>
          <w:tcPr>
            <w:tcW w:w="1782" w:type="dxa"/>
            <w:tcBorders>
              <w:top w:val="nil"/>
              <w:left w:val="nil"/>
              <w:bottom w:val="single" w:sz="4" w:space="0" w:color="auto"/>
              <w:right w:val="single" w:sz="4" w:space="0" w:color="auto"/>
            </w:tcBorders>
            <w:shd w:val="clear" w:color="000000" w:fill="DAF2D0"/>
            <w:vAlign w:val="center"/>
          </w:tcPr>
          <w:p w14:paraId="6B8249B7" w14:textId="61EAB7D9"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052E70C" w14:textId="04162DE1"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vAlign w:val="center"/>
          </w:tcPr>
          <w:p w14:paraId="07766AB0" w14:textId="29357D57"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5124AF31"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25CBA77F"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10E56C89"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4C817C7D"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Hidratación</w:t>
            </w:r>
          </w:p>
        </w:tc>
        <w:tc>
          <w:tcPr>
            <w:tcW w:w="2977" w:type="dxa"/>
            <w:tcBorders>
              <w:top w:val="nil"/>
              <w:left w:val="nil"/>
              <w:bottom w:val="single" w:sz="4" w:space="0" w:color="auto"/>
              <w:right w:val="single" w:sz="4" w:space="0" w:color="auto"/>
            </w:tcBorders>
            <w:vAlign w:val="center"/>
            <w:hideMark/>
          </w:tcPr>
          <w:p w14:paraId="1E91B48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xml:space="preserve">Entrega de botellas de agua material plástico, de 500 ml, para todos los participantes en todas las competencias (futbol sala, futbol, baloncesto, voleibol, Balonmano, atletismo, ajedrez, natación, Patinaje, Badminton, gimnasia, </w:t>
            </w:r>
            <w:proofErr w:type="gramStart"/>
            <w:r w:rsidRPr="00832734">
              <w:rPr>
                <w:rFonts w:ascii="Arial" w:eastAsia="Times New Roman" w:hAnsi="Arial" w:cs="Arial"/>
                <w:sz w:val="18"/>
                <w:szCs w:val="18"/>
                <w:lang w:eastAsia="zh-CN"/>
              </w:rPr>
              <w:t>Taekwondo)  Distribuidos</w:t>
            </w:r>
            <w:proofErr w:type="gramEnd"/>
            <w:r w:rsidRPr="00832734">
              <w:rPr>
                <w:rFonts w:ascii="Arial" w:eastAsia="Times New Roman" w:hAnsi="Arial" w:cs="Arial"/>
                <w:sz w:val="18"/>
                <w:szCs w:val="18"/>
                <w:lang w:eastAsia="zh-CN"/>
              </w:rPr>
              <w:t xml:space="preserve"> durante todo el torneo de acuerdo al cronograma de actividades y competencias.</w:t>
            </w:r>
          </w:p>
        </w:tc>
        <w:tc>
          <w:tcPr>
            <w:tcW w:w="992" w:type="dxa"/>
            <w:tcBorders>
              <w:top w:val="nil"/>
              <w:left w:val="nil"/>
              <w:bottom w:val="single" w:sz="4" w:space="0" w:color="auto"/>
              <w:right w:val="single" w:sz="4" w:space="0" w:color="auto"/>
            </w:tcBorders>
            <w:vAlign w:val="center"/>
            <w:hideMark/>
          </w:tcPr>
          <w:p w14:paraId="56C6A4A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Unidad</w:t>
            </w:r>
          </w:p>
        </w:tc>
        <w:tc>
          <w:tcPr>
            <w:tcW w:w="1134" w:type="dxa"/>
            <w:tcBorders>
              <w:top w:val="nil"/>
              <w:left w:val="nil"/>
              <w:bottom w:val="single" w:sz="4" w:space="0" w:color="auto"/>
              <w:right w:val="single" w:sz="4" w:space="0" w:color="auto"/>
            </w:tcBorders>
            <w:vAlign w:val="center"/>
            <w:hideMark/>
          </w:tcPr>
          <w:p w14:paraId="1DA8B60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3200</w:t>
            </w:r>
          </w:p>
        </w:tc>
        <w:tc>
          <w:tcPr>
            <w:tcW w:w="1782" w:type="dxa"/>
            <w:tcBorders>
              <w:top w:val="nil"/>
              <w:left w:val="nil"/>
              <w:bottom w:val="single" w:sz="4" w:space="0" w:color="auto"/>
              <w:right w:val="single" w:sz="4" w:space="0" w:color="auto"/>
            </w:tcBorders>
            <w:shd w:val="clear" w:color="000000" w:fill="DAF2D0"/>
            <w:vAlign w:val="center"/>
          </w:tcPr>
          <w:p w14:paraId="6C5BE5F5" w14:textId="56335738"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1C91E9C8" w14:textId="6EABF718"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vAlign w:val="center"/>
          </w:tcPr>
          <w:p w14:paraId="24C26836" w14:textId="049BF8FF"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50A7F0A1" w14:textId="77777777" w:rsidTr="0047090F">
        <w:trPr>
          <w:trHeight w:val="20"/>
        </w:trPr>
        <w:tc>
          <w:tcPr>
            <w:tcW w:w="708" w:type="dxa"/>
            <w:vMerge w:val="restart"/>
            <w:tcBorders>
              <w:top w:val="nil"/>
              <w:left w:val="single" w:sz="4" w:space="0" w:color="auto"/>
              <w:bottom w:val="single" w:sz="4" w:space="0" w:color="auto"/>
              <w:right w:val="single" w:sz="4" w:space="0" w:color="auto"/>
            </w:tcBorders>
            <w:vAlign w:val="center"/>
            <w:hideMark/>
          </w:tcPr>
          <w:p w14:paraId="0761C0E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4</w:t>
            </w:r>
          </w:p>
        </w:tc>
        <w:tc>
          <w:tcPr>
            <w:tcW w:w="1560" w:type="dxa"/>
            <w:vMerge w:val="restart"/>
            <w:tcBorders>
              <w:top w:val="nil"/>
              <w:left w:val="single" w:sz="4" w:space="0" w:color="auto"/>
              <w:bottom w:val="single" w:sz="4" w:space="0" w:color="auto"/>
              <w:right w:val="single" w:sz="4" w:space="0" w:color="auto"/>
            </w:tcBorders>
            <w:vAlign w:val="center"/>
            <w:hideMark/>
          </w:tcPr>
          <w:p w14:paraId="4C31DFB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PREMIACION</w:t>
            </w:r>
          </w:p>
        </w:tc>
        <w:tc>
          <w:tcPr>
            <w:tcW w:w="1276" w:type="dxa"/>
            <w:tcBorders>
              <w:top w:val="nil"/>
              <w:left w:val="nil"/>
              <w:bottom w:val="single" w:sz="4" w:space="0" w:color="auto"/>
              <w:right w:val="single" w:sz="4" w:space="0" w:color="auto"/>
            </w:tcBorders>
            <w:vAlign w:val="center"/>
            <w:hideMark/>
          </w:tcPr>
          <w:p w14:paraId="3060571C"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Medallas</w:t>
            </w:r>
          </w:p>
        </w:tc>
        <w:tc>
          <w:tcPr>
            <w:tcW w:w="2977" w:type="dxa"/>
            <w:tcBorders>
              <w:top w:val="nil"/>
              <w:left w:val="nil"/>
              <w:bottom w:val="single" w:sz="4" w:space="0" w:color="auto"/>
              <w:right w:val="single" w:sz="4" w:space="0" w:color="auto"/>
            </w:tcBorders>
            <w:vAlign w:val="center"/>
            <w:hideMark/>
          </w:tcPr>
          <w:p w14:paraId="7AFA88A9"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xml:space="preserve">Medallas de diseño exclusivo en materiales como acrílico, sama o metálicas, con cinta institucional, las medidas serán entre 40 a 70mm. Serán entregadas a los ganadores del primer, segundo y tercer lugar en cada una de las disciplinas deportivas de los Juegos Intercolegiados 2026. Deberán incluir logos institucionales y frases alusivas como “Juegos Intercolegiados – El deporte nos </w:t>
            </w:r>
            <w:r w:rsidRPr="00832734">
              <w:rPr>
                <w:rFonts w:ascii="Arial" w:eastAsia="Times New Roman" w:hAnsi="Arial" w:cs="Arial"/>
                <w:sz w:val="18"/>
                <w:szCs w:val="18"/>
                <w:lang w:eastAsia="zh-CN"/>
              </w:rPr>
              <w:lastRenderedPageBreak/>
              <w:t>une 2026</w:t>
            </w:r>
            <w:proofErr w:type="gramStart"/>
            <w:r w:rsidRPr="00832734">
              <w:rPr>
                <w:rFonts w:ascii="Arial" w:eastAsia="Times New Roman" w:hAnsi="Arial" w:cs="Arial"/>
                <w:sz w:val="18"/>
                <w:szCs w:val="18"/>
                <w:lang w:eastAsia="zh-CN"/>
              </w:rPr>
              <w:t>”,mensaje</w:t>
            </w:r>
            <w:proofErr w:type="gramEnd"/>
            <w:r w:rsidRPr="00832734">
              <w:rPr>
                <w:rFonts w:ascii="Arial" w:eastAsia="Times New Roman" w:hAnsi="Arial" w:cs="Arial"/>
                <w:sz w:val="18"/>
                <w:szCs w:val="18"/>
                <w:lang w:eastAsia="zh-CN"/>
              </w:rPr>
              <w:t xml:space="preserve"> alusivo a juegos Intercolegiados y deberá ser entregados en la fase de clausura </w:t>
            </w:r>
          </w:p>
        </w:tc>
        <w:tc>
          <w:tcPr>
            <w:tcW w:w="992" w:type="dxa"/>
            <w:tcBorders>
              <w:top w:val="nil"/>
              <w:left w:val="nil"/>
              <w:bottom w:val="single" w:sz="4" w:space="0" w:color="auto"/>
              <w:right w:val="single" w:sz="4" w:space="0" w:color="auto"/>
            </w:tcBorders>
            <w:vAlign w:val="center"/>
            <w:hideMark/>
          </w:tcPr>
          <w:p w14:paraId="7859C423"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Unidad</w:t>
            </w:r>
          </w:p>
        </w:tc>
        <w:tc>
          <w:tcPr>
            <w:tcW w:w="1134" w:type="dxa"/>
            <w:tcBorders>
              <w:top w:val="nil"/>
              <w:left w:val="nil"/>
              <w:bottom w:val="single" w:sz="4" w:space="0" w:color="auto"/>
              <w:right w:val="single" w:sz="4" w:space="0" w:color="auto"/>
            </w:tcBorders>
            <w:vAlign w:val="center"/>
            <w:hideMark/>
          </w:tcPr>
          <w:p w14:paraId="26C65F9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800</w:t>
            </w:r>
          </w:p>
        </w:tc>
        <w:tc>
          <w:tcPr>
            <w:tcW w:w="1782" w:type="dxa"/>
            <w:tcBorders>
              <w:top w:val="nil"/>
              <w:left w:val="nil"/>
              <w:bottom w:val="single" w:sz="4" w:space="0" w:color="auto"/>
              <w:right w:val="single" w:sz="4" w:space="0" w:color="auto"/>
            </w:tcBorders>
            <w:shd w:val="clear" w:color="000000" w:fill="DAF2D0"/>
            <w:vAlign w:val="center"/>
          </w:tcPr>
          <w:p w14:paraId="234DD47C" w14:textId="59A67205"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7BDD6E76" w14:textId="1647C03C"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vAlign w:val="center"/>
          </w:tcPr>
          <w:p w14:paraId="78E3A7C4" w14:textId="0AA5D0CB"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76AD5139" w14:textId="77777777" w:rsidTr="0047090F">
        <w:trPr>
          <w:trHeight w:val="20"/>
        </w:trPr>
        <w:tc>
          <w:tcPr>
            <w:tcW w:w="708" w:type="dxa"/>
            <w:vMerge/>
            <w:tcBorders>
              <w:top w:val="nil"/>
              <w:left w:val="single" w:sz="4" w:space="0" w:color="auto"/>
              <w:bottom w:val="single" w:sz="4" w:space="0" w:color="auto"/>
              <w:right w:val="single" w:sz="4" w:space="0" w:color="auto"/>
            </w:tcBorders>
            <w:vAlign w:val="center"/>
            <w:hideMark/>
          </w:tcPr>
          <w:p w14:paraId="55C73604"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560" w:type="dxa"/>
            <w:vMerge/>
            <w:tcBorders>
              <w:top w:val="nil"/>
              <w:left w:val="single" w:sz="4" w:space="0" w:color="auto"/>
              <w:bottom w:val="single" w:sz="4" w:space="0" w:color="auto"/>
              <w:right w:val="single" w:sz="4" w:space="0" w:color="auto"/>
            </w:tcBorders>
            <w:vAlign w:val="center"/>
            <w:hideMark/>
          </w:tcPr>
          <w:p w14:paraId="56701603" w14:textId="77777777" w:rsidR="00E349BF" w:rsidRPr="00832734" w:rsidRDefault="00E349BF" w:rsidP="00082A22">
            <w:pPr>
              <w:spacing w:after="0" w:line="240" w:lineRule="auto"/>
              <w:jc w:val="both"/>
              <w:rPr>
                <w:rFonts w:ascii="Arial" w:eastAsia="Times New Roman" w:hAnsi="Arial" w:cs="Arial"/>
                <w:sz w:val="18"/>
                <w:szCs w:val="18"/>
                <w:lang w:eastAsia="zh-CN"/>
              </w:rPr>
            </w:pPr>
          </w:p>
        </w:tc>
        <w:tc>
          <w:tcPr>
            <w:tcW w:w="1276" w:type="dxa"/>
            <w:tcBorders>
              <w:top w:val="nil"/>
              <w:left w:val="nil"/>
              <w:bottom w:val="single" w:sz="4" w:space="0" w:color="auto"/>
              <w:right w:val="single" w:sz="4" w:space="0" w:color="auto"/>
            </w:tcBorders>
            <w:vAlign w:val="center"/>
            <w:hideMark/>
          </w:tcPr>
          <w:p w14:paraId="250953C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Trofeos</w:t>
            </w:r>
          </w:p>
        </w:tc>
        <w:tc>
          <w:tcPr>
            <w:tcW w:w="2977" w:type="dxa"/>
            <w:tcBorders>
              <w:top w:val="nil"/>
              <w:left w:val="nil"/>
              <w:bottom w:val="single" w:sz="4" w:space="0" w:color="auto"/>
              <w:right w:val="single" w:sz="4" w:space="0" w:color="auto"/>
            </w:tcBorders>
            <w:vAlign w:val="center"/>
            <w:hideMark/>
          </w:tcPr>
          <w:p w14:paraId="71DF8EDF"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Trofeos con base sólida y diseño temático deportivo, fabricados en acrílico o metálico, según disciplina, con medidas entre 16 a 25cm. Se entregarán como reconocimiento a las instituciones ganadoras en los Juegos Intercolegiados 2026. Cada trofeo deberá tener placa grabada con nombre del evento, lugar obtenido y nombre de la institución educativa, y deberá ser entregados en la fase de clausura de los mismos.</w:t>
            </w:r>
          </w:p>
        </w:tc>
        <w:tc>
          <w:tcPr>
            <w:tcW w:w="992" w:type="dxa"/>
            <w:tcBorders>
              <w:top w:val="nil"/>
              <w:left w:val="nil"/>
              <w:bottom w:val="single" w:sz="4" w:space="0" w:color="auto"/>
              <w:right w:val="single" w:sz="4" w:space="0" w:color="auto"/>
            </w:tcBorders>
            <w:vAlign w:val="center"/>
            <w:hideMark/>
          </w:tcPr>
          <w:p w14:paraId="2878E6D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Unidad</w:t>
            </w:r>
          </w:p>
        </w:tc>
        <w:tc>
          <w:tcPr>
            <w:tcW w:w="1134" w:type="dxa"/>
            <w:tcBorders>
              <w:top w:val="nil"/>
              <w:left w:val="nil"/>
              <w:bottom w:val="single" w:sz="4" w:space="0" w:color="auto"/>
              <w:right w:val="single" w:sz="4" w:space="0" w:color="auto"/>
            </w:tcBorders>
            <w:vAlign w:val="center"/>
            <w:hideMark/>
          </w:tcPr>
          <w:p w14:paraId="413C9A40"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175</w:t>
            </w:r>
          </w:p>
        </w:tc>
        <w:tc>
          <w:tcPr>
            <w:tcW w:w="1782" w:type="dxa"/>
            <w:tcBorders>
              <w:top w:val="nil"/>
              <w:left w:val="nil"/>
              <w:bottom w:val="single" w:sz="4" w:space="0" w:color="auto"/>
              <w:right w:val="single" w:sz="4" w:space="0" w:color="auto"/>
            </w:tcBorders>
            <w:shd w:val="clear" w:color="000000" w:fill="DAF2D0"/>
            <w:vAlign w:val="center"/>
          </w:tcPr>
          <w:p w14:paraId="4CF6626A" w14:textId="649943FE"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232A5C31" w14:textId="4B1E4DBE"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vAlign w:val="center"/>
          </w:tcPr>
          <w:p w14:paraId="2B1F9BEB" w14:textId="61711ACE"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31CEF247" w14:textId="77777777" w:rsidTr="0047090F">
        <w:trPr>
          <w:trHeight w:val="20"/>
        </w:trPr>
        <w:tc>
          <w:tcPr>
            <w:tcW w:w="708" w:type="dxa"/>
            <w:tcBorders>
              <w:top w:val="nil"/>
              <w:left w:val="single" w:sz="4" w:space="0" w:color="auto"/>
              <w:bottom w:val="single" w:sz="4" w:space="0" w:color="auto"/>
              <w:right w:val="single" w:sz="4" w:space="0" w:color="auto"/>
            </w:tcBorders>
            <w:vAlign w:val="center"/>
            <w:hideMark/>
          </w:tcPr>
          <w:p w14:paraId="7211E32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5</w:t>
            </w:r>
          </w:p>
        </w:tc>
        <w:tc>
          <w:tcPr>
            <w:tcW w:w="1560" w:type="dxa"/>
            <w:tcBorders>
              <w:top w:val="nil"/>
              <w:left w:val="nil"/>
              <w:bottom w:val="single" w:sz="4" w:space="0" w:color="auto"/>
              <w:right w:val="single" w:sz="4" w:space="0" w:color="auto"/>
            </w:tcBorders>
            <w:vAlign w:val="center"/>
            <w:hideMark/>
          </w:tcPr>
          <w:p w14:paraId="33443B4A"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 </w:t>
            </w:r>
          </w:p>
        </w:tc>
        <w:tc>
          <w:tcPr>
            <w:tcW w:w="1276" w:type="dxa"/>
            <w:tcBorders>
              <w:top w:val="nil"/>
              <w:left w:val="nil"/>
              <w:bottom w:val="single" w:sz="4" w:space="0" w:color="auto"/>
              <w:right w:val="single" w:sz="4" w:space="0" w:color="auto"/>
            </w:tcBorders>
            <w:vAlign w:val="center"/>
            <w:hideMark/>
          </w:tcPr>
          <w:p w14:paraId="5BA363EB"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Transporte especial de pasajeros para las justas deportivas en los diferentes sitios de juegos.</w:t>
            </w:r>
          </w:p>
        </w:tc>
        <w:tc>
          <w:tcPr>
            <w:tcW w:w="2977" w:type="dxa"/>
            <w:tcBorders>
              <w:top w:val="nil"/>
              <w:left w:val="nil"/>
              <w:bottom w:val="single" w:sz="4" w:space="0" w:color="auto"/>
              <w:right w:val="single" w:sz="4" w:space="0" w:color="auto"/>
            </w:tcBorders>
            <w:vAlign w:val="center"/>
            <w:hideMark/>
          </w:tcPr>
          <w:p w14:paraId="263D06A3"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5B5DBC">
              <w:rPr>
                <w:rFonts w:ascii="Arial" w:eastAsia="Times New Roman" w:hAnsi="Arial" w:cs="Arial"/>
                <w:b/>
                <w:bCs/>
                <w:sz w:val="14"/>
                <w:szCs w:val="14"/>
                <w:lang w:eastAsia="zh-CN"/>
              </w:rPr>
              <w:t>SERVICIO DE TRANSPORTE ESPECIAL TERRESTRE DE PASAJEROS</w:t>
            </w:r>
            <w:r w:rsidRPr="005B5DBC">
              <w:rPr>
                <w:rFonts w:ascii="Arial" w:eastAsia="Times New Roman" w:hAnsi="Arial" w:cs="Arial"/>
                <w:sz w:val="14"/>
                <w:szCs w:val="14"/>
                <w:lang w:eastAsia="zh-CN"/>
              </w:rPr>
              <w:br/>
              <w:t>Servicio de transporte especial terrestre automotor de pasajeros mediante vehículos tipo bus o buseta, con capacidad entre quince (15) y cuarenta (40) pasajeros, destinados al traslado de estudiantes, docentes acompañantes, delegaciones deportivas y personal designado por la Secretaría de Deporte y Recreación del municipio de Cartago, para garantizar la participación en las ceremonias  clausura, así como en el desplazamiento hacia los escenarios deportivos donde se desarrollarán las competencias oficiales de los Juegos Intercolegiados 2026.</w:t>
            </w:r>
            <w:r w:rsidRPr="005B5DBC">
              <w:rPr>
                <w:rFonts w:ascii="Arial" w:eastAsia="Times New Roman" w:hAnsi="Arial" w:cs="Arial"/>
                <w:sz w:val="14"/>
                <w:szCs w:val="14"/>
                <w:lang w:eastAsia="zh-CN"/>
              </w:rPr>
              <w:br/>
              <w:t>El servicio comprenderá el traslado de ida y regreso desde las instituciones educativas oficiales y privadas participantes hacia los escenarios deportivos y lugares definidos por la entidad, incluyendo, entre otros, el Coliseo La Isleta, Coliseo Óscar Figueroa, Patinódromo, Cancha Académico, Complejo Deportivo La Bombonera, Coliseo de Pesas, Club del Río y demás escenarios establecidos en la programación oficial de los Juegos Intercolegiados.</w:t>
            </w:r>
            <w:r w:rsidRPr="005B5DBC">
              <w:rPr>
                <w:rFonts w:ascii="Arial" w:eastAsia="Times New Roman" w:hAnsi="Arial" w:cs="Arial"/>
                <w:sz w:val="14"/>
                <w:szCs w:val="14"/>
                <w:lang w:eastAsia="zh-CN"/>
              </w:rPr>
              <w:br/>
              <w:t xml:space="preserve">La prestación del servicio se realizará durante cinco (5) días, de conformidad con el </w:t>
            </w:r>
            <w:r w:rsidRPr="005B5DBC">
              <w:rPr>
                <w:rFonts w:ascii="Arial" w:eastAsia="Times New Roman" w:hAnsi="Arial" w:cs="Arial"/>
                <w:sz w:val="14"/>
                <w:szCs w:val="14"/>
                <w:lang w:eastAsia="zh-CN"/>
              </w:rPr>
              <w:lastRenderedPageBreak/>
              <w:t>cronograma oficial de actividades, incluyendo las ceremonias de clausura, así como los desplazamientos requeridos para el desarrollo de las competencias. El contratista deberá garantizar la disponibilidad de los vehículos, el cumplimiento de los horarios establecidos y tiempos de espera suficientes para asegurar el traslado oportuno de las delegaciones.</w:t>
            </w:r>
            <w:r w:rsidRPr="005B5DBC">
              <w:rPr>
                <w:rFonts w:ascii="Arial" w:eastAsia="Times New Roman" w:hAnsi="Arial" w:cs="Arial"/>
                <w:sz w:val="14"/>
                <w:szCs w:val="14"/>
                <w:lang w:eastAsia="zh-CN"/>
              </w:rPr>
              <w:br/>
              <w:t>Los vehículos deberán encontrarse debidamente habilitados para la prestación del servicio público de transporte terrestre automotor especial y cumplir con los requisitos establecidos por la normatividad vigente, incluyendo como mínimo:</w:t>
            </w:r>
            <w:r w:rsidRPr="005B5DBC">
              <w:rPr>
                <w:rFonts w:ascii="Arial" w:eastAsia="Times New Roman" w:hAnsi="Arial" w:cs="Arial"/>
                <w:sz w:val="14"/>
                <w:szCs w:val="14"/>
                <w:lang w:eastAsia="zh-CN"/>
              </w:rPr>
              <w:br/>
              <w:t xml:space="preserve">• Habilitación vigente para la prestación del servicio de transporte especial. </w:t>
            </w:r>
            <w:r w:rsidRPr="005B5DBC">
              <w:rPr>
                <w:rFonts w:ascii="Arial" w:eastAsia="Times New Roman" w:hAnsi="Arial" w:cs="Arial"/>
                <w:sz w:val="14"/>
                <w:szCs w:val="14"/>
                <w:lang w:eastAsia="zh-CN"/>
              </w:rPr>
              <w:br/>
              <w:t xml:space="preserve">• Revisión técnico-mecánica y de emisiones contaminantes vigente. </w:t>
            </w:r>
            <w:r w:rsidRPr="005B5DBC">
              <w:rPr>
                <w:rFonts w:ascii="Arial" w:eastAsia="Times New Roman" w:hAnsi="Arial" w:cs="Arial"/>
                <w:sz w:val="14"/>
                <w:szCs w:val="14"/>
                <w:lang w:eastAsia="zh-CN"/>
              </w:rPr>
              <w:br/>
              <w:t xml:space="preserve">• Seguro Obligatorio de Accidentes de Tránsito (SOAT) vigente. </w:t>
            </w:r>
            <w:r w:rsidRPr="005B5DBC">
              <w:rPr>
                <w:rFonts w:ascii="Arial" w:eastAsia="Times New Roman" w:hAnsi="Arial" w:cs="Arial"/>
                <w:sz w:val="14"/>
                <w:szCs w:val="14"/>
                <w:lang w:eastAsia="zh-CN"/>
              </w:rPr>
              <w:br/>
              <w:t xml:space="preserve">• Pólizas de Responsabilidad Civil Contractual y Extracontractual vigentes, con los amparos y coberturas exigidos por la normatividad aplicable. </w:t>
            </w:r>
            <w:r w:rsidRPr="005B5DBC">
              <w:rPr>
                <w:rFonts w:ascii="Arial" w:eastAsia="Times New Roman" w:hAnsi="Arial" w:cs="Arial"/>
                <w:sz w:val="14"/>
                <w:szCs w:val="14"/>
                <w:lang w:eastAsia="zh-CN"/>
              </w:rPr>
              <w:br/>
              <w:t xml:space="preserve">• Tarjeta de operación vigente. </w:t>
            </w:r>
            <w:r w:rsidRPr="005B5DBC">
              <w:rPr>
                <w:rFonts w:ascii="Arial" w:eastAsia="Times New Roman" w:hAnsi="Arial" w:cs="Arial"/>
                <w:sz w:val="14"/>
                <w:szCs w:val="14"/>
                <w:lang w:eastAsia="zh-CN"/>
              </w:rPr>
              <w:br/>
              <w:t xml:space="preserve">• Conductores con licencia de conducción vigente, afiliación al Sistema General de Seguridad Social y demás requisitos legales para la prestación del servicio. </w:t>
            </w:r>
            <w:r w:rsidRPr="005B5DBC">
              <w:rPr>
                <w:rFonts w:ascii="Arial" w:eastAsia="Times New Roman" w:hAnsi="Arial" w:cs="Arial"/>
                <w:sz w:val="14"/>
                <w:szCs w:val="14"/>
                <w:lang w:eastAsia="zh-CN"/>
              </w:rPr>
              <w:br/>
              <w:t>La vigencia de los seguros, permisos y demás documentos habilitantes deberá cubrir, como mínimo, todo el período de ejecución del contrato. El contratista será responsable de garantizar que los vehículos se encuentren en óptimas condiciones mecánicas, de seguridad y limpieza, asegurando la prestación del servicio de manera eficiente, segura y oportuna.</w:t>
            </w:r>
          </w:p>
        </w:tc>
        <w:tc>
          <w:tcPr>
            <w:tcW w:w="992" w:type="dxa"/>
            <w:tcBorders>
              <w:top w:val="nil"/>
              <w:left w:val="nil"/>
              <w:bottom w:val="single" w:sz="4" w:space="0" w:color="auto"/>
              <w:right w:val="single" w:sz="4" w:space="0" w:color="auto"/>
            </w:tcBorders>
            <w:vAlign w:val="center"/>
            <w:hideMark/>
          </w:tcPr>
          <w:p w14:paraId="0E34740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Viaje ida y vuelta</w:t>
            </w:r>
          </w:p>
        </w:tc>
        <w:tc>
          <w:tcPr>
            <w:tcW w:w="1134" w:type="dxa"/>
            <w:tcBorders>
              <w:top w:val="nil"/>
              <w:left w:val="nil"/>
              <w:bottom w:val="single" w:sz="4" w:space="0" w:color="auto"/>
              <w:right w:val="single" w:sz="4" w:space="0" w:color="auto"/>
            </w:tcBorders>
            <w:vAlign w:val="center"/>
            <w:hideMark/>
          </w:tcPr>
          <w:p w14:paraId="0D532D92"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220</w:t>
            </w:r>
          </w:p>
        </w:tc>
        <w:tc>
          <w:tcPr>
            <w:tcW w:w="1782" w:type="dxa"/>
            <w:tcBorders>
              <w:top w:val="nil"/>
              <w:left w:val="nil"/>
              <w:bottom w:val="single" w:sz="4" w:space="0" w:color="auto"/>
              <w:right w:val="single" w:sz="4" w:space="0" w:color="auto"/>
            </w:tcBorders>
            <w:shd w:val="clear" w:color="000000" w:fill="DAF2D0"/>
            <w:vAlign w:val="center"/>
          </w:tcPr>
          <w:p w14:paraId="4B080065" w14:textId="194A79A1"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0D04120A" w14:textId="2F34D7E0"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vAlign w:val="center"/>
          </w:tcPr>
          <w:p w14:paraId="7034B9F5" w14:textId="66D25C89" w:rsidR="00E349BF" w:rsidRPr="00832734" w:rsidRDefault="00E349BF" w:rsidP="00082A22">
            <w:pPr>
              <w:spacing w:after="0" w:line="240" w:lineRule="auto"/>
              <w:jc w:val="both"/>
              <w:rPr>
                <w:rFonts w:ascii="Arial" w:eastAsia="Times New Roman" w:hAnsi="Arial" w:cs="Arial"/>
                <w:sz w:val="18"/>
                <w:szCs w:val="18"/>
                <w:lang w:eastAsia="zh-CN"/>
              </w:rPr>
            </w:pPr>
          </w:p>
        </w:tc>
      </w:tr>
      <w:tr w:rsidR="00E349BF" w:rsidRPr="00832734" w14:paraId="548EFEEB" w14:textId="77777777" w:rsidTr="0047090F">
        <w:trPr>
          <w:trHeight w:val="20"/>
        </w:trPr>
        <w:tc>
          <w:tcPr>
            <w:tcW w:w="708" w:type="dxa"/>
            <w:tcBorders>
              <w:top w:val="nil"/>
              <w:left w:val="single" w:sz="4" w:space="0" w:color="auto"/>
              <w:bottom w:val="single" w:sz="4" w:space="0" w:color="auto"/>
              <w:right w:val="single" w:sz="4" w:space="0" w:color="auto"/>
            </w:tcBorders>
            <w:vAlign w:val="center"/>
            <w:hideMark/>
          </w:tcPr>
          <w:p w14:paraId="6B315473"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6</w:t>
            </w:r>
          </w:p>
        </w:tc>
        <w:tc>
          <w:tcPr>
            <w:tcW w:w="1560" w:type="dxa"/>
            <w:tcBorders>
              <w:top w:val="nil"/>
              <w:left w:val="nil"/>
              <w:bottom w:val="single" w:sz="4" w:space="0" w:color="auto"/>
              <w:right w:val="single" w:sz="4" w:space="0" w:color="auto"/>
            </w:tcBorders>
            <w:vAlign w:val="center"/>
            <w:hideMark/>
          </w:tcPr>
          <w:p w14:paraId="5E81A4A1"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GESTION DEL RIESGO</w:t>
            </w:r>
          </w:p>
        </w:tc>
        <w:tc>
          <w:tcPr>
            <w:tcW w:w="1276" w:type="dxa"/>
            <w:tcBorders>
              <w:top w:val="nil"/>
              <w:left w:val="nil"/>
              <w:bottom w:val="single" w:sz="4" w:space="0" w:color="auto"/>
              <w:right w:val="single" w:sz="4" w:space="0" w:color="auto"/>
            </w:tcBorders>
            <w:vAlign w:val="center"/>
            <w:hideMark/>
          </w:tcPr>
          <w:p w14:paraId="2E95A13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Póliza de riesgos personales</w:t>
            </w:r>
          </w:p>
        </w:tc>
        <w:tc>
          <w:tcPr>
            <w:tcW w:w="2977" w:type="dxa"/>
            <w:tcBorders>
              <w:top w:val="nil"/>
              <w:left w:val="nil"/>
              <w:bottom w:val="single" w:sz="4" w:space="0" w:color="auto"/>
              <w:right w:val="single" w:sz="4" w:space="0" w:color="auto"/>
            </w:tcBorders>
            <w:vAlign w:val="center"/>
            <w:hideMark/>
          </w:tcPr>
          <w:p w14:paraId="3D565D99" w14:textId="77777777" w:rsidR="00E349BF" w:rsidRPr="00993B07" w:rsidRDefault="00E349BF" w:rsidP="00082A22">
            <w:pPr>
              <w:spacing w:after="0" w:line="240" w:lineRule="auto"/>
              <w:jc w:val="both"/>
              <w:rPr>
                <w:rFonts w:ascii="Arial" w:eastAsia="Times New Roman" w:hAnsi="Arial" w:cs="Arial"/>
                <w:sz w:val="16"/>
                <w:szCs w:val="16"/>
                <w:lang w:eastAsia="zh-CN"/>
              </w:rPr>
            </w:pPr>
            <w:r w:rsidRPr="00993B07">
              <w:rPr>
                <w:rFonts w:ascii="Arial" w:eastAsia="Times New Roman" w:hAnsi="Arial" w:cs="Arial"/>
                <w:b/>
                <w:bCs/>
                <w:sz w:val="16"/>
                <w:szCs w:val="16"/>
                <w:lang w:eastAsia="zh-CN"/>
              </w:rPr>
              <w:t>ADQUISICION DE</w:t>
            </w:r>
            <w:r w:rsidRPr="00993B07">
              <w:rPr>
                <w:rFonts w:ascii="Arial" w:eastAsia="Times New Roman" w:hAnsi="Arial" w:cs="Arial"/>
                <w:sz w:val="16"/>
                <w:szCs w:val="16"/>
                <w:lang w:eastAsia="zh-CN"/>
              </w:rPr>
              <w:t xml:space="preserve"> póliza de accidentes personales para amparar a los deportistas oficialmente inscritos en los Juegos Intercolegiados, durante su participación en competencias, actividades programadas y permanencia en los diferentes escenarios deportivos establecidos por la organización, con cobertura durante toda la ejecución del evento y amparos </w:t>
            </w:r>
            <w:r w:rsidRPr="00993B07">
              <w:rPr>
                <w:rFonts w:ascii="Arial" w:eastAsia="Times New Roman" w:hAnsi="Arial" w:cs="Arial"/>
                <w:sz w:val="16"/>
                <w:szCs w:val="16"/>
                <w:lang w:eastAsia="zh-CN"/>
              </w:rPr>
              <w:lastRenderedPageBreak/>
              <w:t>mínimos por muerte accidental, incapacidad total y permanente, gastos médicos, hospitalarios, quirúrgicos, farmacéuticos, traslado en ambulancia y gastos funerarios derivados de accidentes ocurridos en el desarrollo de las actividades deportivas.</w:t>
            </w:r>
          </w:p>
        </w:tc>
        <w:tc>
          <w:tcPr>
            <w:tcW w:w="992" w:type="dxa"/>
            <w:tcBorders>
              <w:top w:val="nil"/>
              <w:left w:val="nil"/>
              <w:bottom w:val="single" w:sz="4" w:space="0" w:color="auto"/>
              <w:right w:val="single" w:sz="4" w:space="0" w:color="auto"/>
            </w:tcBorders>
            <w:vAlign w:val="center"/>
            <w:hideMark/>
          </w:tcPr>
          <w:p w14:paraId="35518D46"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lastRenderedPageBreak/>
              <w:t>Documento</w:t>
            </w:r>
          </w:p>
        </w:tc>
        <w:tc>
          <w:tcPr>
            <w:tcW w:w="1134" w:type="dxa"/>
            <w:tcBorders>
              <w:top w:val="nil"/>
              <w:left w:val="nil"/>
              <w:bottom w:val="single" w:sz="4" w:space="0" w:color="auto"/>
              <w:right w:val="single" w:sz="4" w:space="0" w:color="auto"/>
            </w:tcBorders>
            <w:vAlign w:val="center"/>
            <w:hideMark/>
          </w:tcPr>
          <w:p w14:paraId="14A59657" w14:textId="77777777" w:rsidR="00E349BF" w:rsidRPr="00832734" w:rsidRDefault="00E349BF" w:rsidP="00082A22">
            <w:pPr>
              <w:spacing w:after="0" w:line="240" w:lineRule="auto"/>
              <w:jc w:val="both"/>
              <w:rPr>
                <w:rFonts w:ascii="Arial" w:eastAsia="Times New Roman" w:hAnsi="Arial" w:cs="Arial"/>
                <w:sz w:val="18"/>
                <w:szCs w:val="18"/>
                <w:lang w:eastAsia="zh-CN"/>
              </w:rPr>
            </w:pPr>
            <w:r w:rsidRPr="00832734">
              <w:rPr>
                <w:rFonts w:ascii="Arial" w:eastAsia="Times New Roman" w:hAnsi="Arial" w:cs="Arial"/>
                <w:sz w:val="18"/>
                <w:szCs w:val="18"/>
                <w:lang w:eastAsia="zh-CN"/>
              </w:rPr>
              <w:t>1</w:t>
            </w:r>
          </w:p>
        </w:tc>
        <w:tc>
          <w:tcPr>
            <w:tcW w:w="1782" w:type="dxa"/>
            <w:tcBorders>
              <w:top w:val="nil"/>
              <w:left w:val="nil"/>
              <w:bottom w:val="single" w:sz="4" w:space="0" w:color="auto"/>
              <w:right w:val="single" w:sz="4" w:space="0" w:color="auto"/>
            </w:tcBorders>
            <w:shd w:val="clear" w:color="000000" w:fill="DAF2D0"/>
            <w:vAlign w:val="center"/>
          </w:tcPr>
          <w:p w14:paraId="2F854E44" w14:textId="16BD309D" w:rsidR="00E349BF" w:rsidRPr="00832734" w:rsidRDefault="00E349BF" w:rsidP="00082A22">
            <w:pPr>
              <w:spacing w:after="0" w:line="240" w:lineRule="auto"/>
              <w:jc w:val="both"/>
              <w:rPr>
                <w:rFonts w:ascii="Arial" w:eastAsia="Times New Roman" w:hAnsi="Arial" w:cs="Arial"/>
                <w:sz w:val="18"/>
                <w:szCs w:val="18"/>
                <w:lang w:eastAsia="zh-CN"/>
              </w:rPr>
            </w:pPr>
          </w:p>
        </w:tc>
        <w:tc>
          <w:tcPr>
            <w:tcW w:w="1920" w:type="dxa"/>
            <w:tcBorders>
              <w:top w:val="nil"/>
              <w:left w:val="nil"/>
              <w:bottom w:val="single" w:sz="4" w:space="0" w:color="auto"/>
              <w:right w:val="single" w:sz="4" w:space="0" w:color="auto"/>
            </w:tcBorders>
            <w:shd w:val="clear" w:color="000000" w:fill="DAF2D0"/>
            <w:vAlign w:val="center"/>
          </w:tcPr>
          <w:p w14:paraId="28184532" w14:textId="0E420B6E" w:rsidR="00E349BF" w:rsidRPr="00832734" w:rsidRDefault="00E349B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4623555F" w14:textId="5928D361" w:rsidR="00E349BF" w:rsidRPr="00832734" w:rsidRDefault="00E349BF" w:rsidP="00082A22">
            <w:pPr>
              <w:spacing w:after="0" w:line="240" w:lineRule="auto"/>
              <w:jc w:val="both"/>
              <w:rPr>
                <w:rFonts w:ascii="Arial" w:eastAsia="Times New Roman" w:hAnsi="Arial" w:cs="Arial"/>
                <w:sz w:val="18"/>
                <w:szCs w:val="18"/>
                <w:lang w:eastAsia="zh-CN"/>
              </w:rPr>
            </w:pPr>
          </w:p>
        </w:tc>
      </w:tr>
      <w:tr w:rsidR="0047090F" w:rsidRPr="00832734" w14:paraId="15FC60BC" w14:textId="77777777" w:rsidTr="006B2142">
        <w:trPr>
          <w:trHeight w:val="20"/>
        </w:trPr>
        <w:tc>
          <w:tcPr>
            <w:tcW w:w="10429" w:type="dxa"/>
            <w:gridSpan w:val="7"/>
            <w:tcBorders>
              <w:top w:val="nil"/>
              <w:left w:val="single" w:sz="4" w:space="0" w:color="auto"/>
              <w:bottom w:val="single" w:sz="4" w:space="0" w:color="auto"/>
              <w:right w:val="single" w:sz="4" w:space="0" w:color="auto"/>
            </w:tcBorders>
            <w:vAlign w:val="center"/>
          </w:tcPr>
          <w:p w14:paraId="5AA6D12F" w14:textId="0CA2CA82" w:rsidR="0047090F" w:rsidRPr="00832734" w:rsidRDefault="0047090F" w:rsidP="00082A22">
            <w:pPr>
              <w:spacing w:after="0" w:line="240" w:lineRule="auto"/>
              <w:jc w:val="both"/>
              <w:rPr>
                <w:rFonts w:ascii="Arial" w:eastAsia="Times New Roman" w:hAnsi="Arial" w:cs="Arial"/>
                <w:sz w:val="18"/>
                <w:szCs w:val="18"/>
                <w:lang w:eastAsia="zh-CN"/>
              </w:rPr>
            </w:pPr>
            <w:r>
              <w:rPr>
                <w:rFonts w:ascii="Arial" w:eastAsia="Times New Roman" w:hAnsi="Arial" w:cs="Arial"/>
                <w:sz w:val="18"/>
                <w:szCs w:val="18"/>
                <w:lang w:eastAsia="zh-CN"/>
              </w:rPr>
              <w:t>SUBTOTAL 2</w:t>
            </w:r>
          </w:p>
        </w:tc>
        <w:tc>
          <w:tcPr>
            <w:tcW w:w="1920" w:type="dxa"/>
            <w:tcBorders>
              <w:top w:val="nil"/>
              <w:left w:val="nil"/>
              <w:bottom w:val="single" w:sz="4" w:space="0" w:color="auto"/>
              <w:right w:val="single" w:sz="4" w:space="0" w:color="auto"/>
            </w:tcBorders>
            <w:shd w:val="clear" w:color="000000" w:fill="DAF2D0"/>
            <w:vAlign w:val="center"/>
          </w:tcPr>
          <w:p w14:paraId="4CB3DC1A" w14:textId="77777777" w:rsidR="0047090F" w:rsidRPr="00832734" w:rsidRDefault="0047090F" w:rsidP="00082A22">
            <w:pPr>
              <w:spacing w:after="0" w:line="240" w:lineRule="auto"/>
              <w:jc w:val="both"/>
              <w:rPr>
                <w:rFonts w:ascii="Arial" w:eastAsia="Times New Roman" w:hAnsi="Arial" w:cs="Arial"/>
                <w:sz w:val="18"/>
                <w:szCs w:val="18"/>
                <w:lang w:eastAsia="zh-CN"/>
              </w:rPr>
            </w:pPr>
          </w:p>
        </w:tc>
        <w:tc>
          <w:tcPr>
            <w:tcW w:w="1842" w:type="dxa"/>
            <w:tcBorders>
              <w:top w:val="nil"/>
              <w:left w:val="nil"/>
              <w:bottom w:val="single" w:sz="4" w:space="0" w:color="auto"/>
              <w:right w:val="single" w:sz="4" w:space="0" w:color="auto"/>
            </w:tcBorders>
            <w:shd w:val="clear" w:color="000000" w:fill="DAF2D0"/>
            <w:noWrap/>
            <w:vAlign w:val="center"/>
          </w:tcPr>
          <w:p w14:paraId="2B0FBE18" w14:textId="77777777" w:rsidR="0047090F" w:rsidRPr="00832734" w:rsidRDefault="0047090F" w:rsidP="00082A22">
            <w:pPr>
              <w:spacing w:after="0" w:line="240" w:lineRule="auto"/>
              <w:jc w:val="both"/>
              <w:rPr>
                <w:rFonts w:ascii="Arial" w:eastAsia="Times New Roman" w:hAnsi="Arial" w:cs="Arial"/>
                <w:sz w:val="18"/>
                <w:szCs w:val="18"/>
                <w:lang w:eastAsia="zh-CN"/>
              </w:rPr>
            </w:pPr>
          </w:p>
        </w:tc>
      </w:tr>
    </w:tbl>
    <w:p w14:paraId="30E4E9D1" w14:textId="77777777" w:rsidR="00E349BF" w:rsidRDefault="00E349BF" w:rsidP="006155F5">
      <w:pPr>
        <w:pStyle w:val="paragraph"/>
        <w:spacing w:before="0" w:beforeAutospacing="0" w:after="0" w:afterAutospacing="0"/>
        <w:jc w:val="both"/>
        <w:textAlignment w:val="baseline"/>
        <w:rPr>
          <w:rStyle w:val="normaltextrun"/>
          <w:rFonts w:ascii="Arial" w:hAnsi="Arial" w:cs="Arial"/>
          <w:b/>
          <w:sz w:val="22"/>
          <w:szCs w:val="22"/>
          <w:lang w:val="es-ES_tradnl" w:eastAsia="es-ES"/>
        </w:rPr>
      </w:pPr>
    </w:p>
    <w:tbl>
      <w:tblPr>
        <w:tblW w:w="10211" w:type="dxa"/>
        <w:tblCellMar>
          <w:left w:w="70" w:type="dxa"/>
          <w:right w:w="70" w:type="dxa"/>
        </w:tblCellMar>
        <w:tblLook w:val="04A0" w:firstRow="1" w:lastRow="0" w:firstColumn="1" w:lastColumn="0" w:noHBand="0" w:noVBand="1"/>
      </w:tblPr>
      <w:tblGrid>
        <w:gridCol w:w="6541"/>
        <w:gridCol w:w="1959"/>
        <w:gridCol w:w="1711"/>
      </w:tblGrid>
      <w:tr w:rsidR="0047090F" w:rsidRPr="00832734" w14:paraId="1773DAB5" w14:textId="77777777" w:rsidTr="0047090F">
        <w:trPr>
          <w:trHeight w:val="274"/>
        </w:trPr>
        <w:tc>
          <w:tcPr>
            <w:tcW w:w="6541" w:type="dxa"/>
            <w:tcBorders>
              <w:top w:val="single" w:sz="4" w:space="0" w:color="auto"/>
              <w:left w:val="single" w:sz="4" w:space="0" w:color="auto"/>
              <w:bottom w:val="single" w:sz="4" w:space="0" w:color="auto"/>
              <w:right w:val="single" w:sz="4" w:space="0" w:color="auto"/>
            </w:tcBorders>
            <w:vAlign w:val="center"/>
          </w:tcPr>
          <w:p w14:paraId="7F543D38" w14:textId="37C446DF" w:rsidR="0047090F" w:rsidRPr="0047090F" w:rsidRDefault="0047090F" w:rsidP="00082A22">
            <w:pPr>
              <w:spacing w:after="0" w:line="240" w:lineRule="auto"/>
              <w:jc w:val="both"/>
              <w:rPr>
                <w:rFonts w:ascii="Arial" w:eastAsia="Times New Roman" w:hAnsi="Arial" w:cs="Arial"/>
                <w:b/>
                <w:bCs/>
                <w:sz w:val="16"/>
                <w:szCs w:val="16"/>
                <w:lang w:eastAsia="es-CO"/>
              </w:rPr>
            </w:pPr>
            <w:r w:rsidRPr="0047090F">
              <w:rPr>
                <w:rFonts w:ascii="Arial" w:eastAsia="Times New Roman" w:hAnsi="Arial" w:cs="Arial"/>
                <w:b/>
                <w:bCs/>
                <w:sz w:val="16"/>
                <w:szCs w:val="16"/>
                <w:lang w:eastAsia="es-CO"/>
              </w:rPr>
              <w:t>DESCRIPCION</w:t>
            </w:r>
          </w:p>
        </w:tc>
        <w:tc>
          <w:tcPr>
            <w:tcW w:w="1959" w:type="dxa"/>
            <w:tcBorders>
              <w:top w:val="single" w:sz="4" w:space="0" w:color="auto"/>
              <w:left w:val="nil"/>
              <w:bottom w:val="single" w:sz="4" w:space="0" w:color="auto"/>
              <w:right w:val="single" w:sz="4" w:space="0" w:color="auto"/>
            </w:tcBorders>
            <w:vAlign w:val="center"/>
          </w:tcPr>
          <w:p w14:paraId="5DBD81C8" w14:textId="61BD4758" w:rsidR="0047090F" w:rsidRPr="00832734" w:rsidRDefault="0047090F" w:rsidP="0047090F">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APORTE MUNICIPIO</w:t>
            </w:r>
          </w:p>
        </w:tc>
        <w:tc>
          <w:tcPr>
            <w:tcW w:w="1711" w:type="dxa"/>
            <w:tcBorders>
              <w:top w:val="single" w:sz="4" w:space="0" w:color="auto"/>
              <w:left w:val="nil"/>
              <w:bottom w:val="single" w:sz="4" w:space="0" w:color="auto"/>
              <w:right w:val="single" w:sz="4" w:space="0" w:color="auto"/>
            </w:tcBorders>
            <w:noWrap/>
            <w:vAlign w:val="center"/>
          </w:tcPr>
          <w:p w14:paraId="4A28B9FC" w14:textId="3C7C0299" w:rsidR="0047090F" w:rsidRPr="00832734" w:rsidRDefault="0047090F" w:rsidP="0047090F">
            <w:pPr>
              <w:spacing w:after="0" w:line="240" w:lineRule="auto"/>
              <w:jc w:val="center"/>
              <w:rPr>
                <w:rFonts w:ascii="Carlito" w:eastAsia="Times New Roman" w:hAnsi="Carlito"/>
                <w:lang w:eastAsia="es-CO"/>
              </w:rPr>
            </w:pPr>
            <w:r w:rsidRPr="0047090F">
              <w:rPr>
                <w:rFonts w:ascii="Arial" w:eastAsia="Times New Roman" w:hAnsi="Arial" w:cs="Arial"/>
                <w:sz w:val="16"/>
                <w:szCs w:val="16"/>
                <w:lang w:eastAsia="es-CO"/>
              </w:rPr>
              <w:t>APORTE ESAL</w:t>
            </w:r>
          </w:p>
        </w:tc>
      </w:tr>
      <w:tr w:rsidR="0047090F" w:rsidRPr="00832734" w14:paraId="469DEF55" w14:textId="77777777" w:rsidTr="0047090F">
        <w:trPr>
          <w:trHeight w:val="274"/>
        </w:trPr>
        <w:tc>
          <w:tcPr>
            <w:tcW w:w="6541" w:type="dxa"/>
            <w:tcBorders>
              <w:top w:val="single" w:sz="4" w:space="0" w:color="auto"/>
              <w:left w:val="single" w:sz="4" w:space="0" w:color="auto"/>
              <w:bottom w:val="single" w:sz="4" w:space="0" w:color="auto"/>
              <w:right w:val="single" w:sz="4" w:space="0" w:color="auto"/>
            </w:tcBorders>
            <w:vAlign w:val="center"/>
            <w:hideMark/>
          </w:tcPr>
          <w:p w14:paraId="20166546" w14:textId="77777777" w:rsidR="0047090F" w:rsidRPr="00832734" w:rsidRDefault="0047090F" w:rsidP="00082A22">
            <w:pPr>
              <w:spacing w:after="0" w:line="240" w:lineRule="auto"/>
              <w:jc w:val="both"/>
              <w:rPr>
                <w:rFonts w:ascii="Arial" w:eastAsia="Times New Roman" w:hAnsi="Arial" w:cs="Arial"/>
                <w:sz w:val="16"/>
                <w:szCs w:val="16"/>
                <w:lang w:eastAsia="es-CO"/>
              </w:rPr>
            </w:pPr>
            <w:r w:rsidRPr="00832734">
              <w:rPr>
                <w:rFonts w:ascii="Arial" w:eastAsia="Times New Roman" w:hAnsi="Arial" w:cs="Arial"/>
                <w:sz w:val="16"/>
                <w:szCs w:val="16"/>
                <w:lang w:eastAsia="es-CO"/>
              </w:rPr>
              <w:t> SUBTOTAL 1</w:t>
            </w:r>
          </w:p>
        </w:tc>
        <w:tc>
          <w:tcPr>
            <w:tcW w:w="1959" w:type="dxa"/>
            <w:tcBorders>
              <w:top w:val="single" w:sz="4" w:space="0" w:color="auto"/>
              <w:left w:val="nil"/>
              <w:bottom w:val="single" w:sz="4" w:space="0" w:color="auto"/>
              <w:right w:val="single" w:sz="4" w:space="0" w:color="auto"/>
            </w:tcBorders>
            <w:vAlign w:val="center"/>
          </w:tcPr>
          <w:p w14:paraId="1637EEB9" w14:textId="65D102B9" w:rsidR="0047090F" w:rsidRPr="00832734" w:rsidRDefault="0047090F" w:rsidP="00082A22">
            <w:pPr>
              <w:spacing w:after="0" w:line="240" w:lineRule="auto"/>
              <w:jc w:val="both"/>
              <w:rPr>
                <w:rFonts w:ascii="Arial" w:eastAsia="Times New Roman" w:hAnsi="Arial" w:cs="Arial"/>
                <w:sz w:val="16"/>
                <w:szCs w:val="16"/>
                <w:lang w:eastAsia="es-CO"/>
              </w:rPr>
            </w:pPr>
          </w:p>
        </w:tc>
        <w:tc>
          <w:tcPr>
            <w:tcW w:w="1711" w:type="dxa"/>
            <w:tcBorders>
              <w:top w:val="single" w:sz="4" w:space="0" w:color="auto"/>
              <w:left w:val="nil"/>
              <w:bottom w:val="single" w:sz="4" w:space="0" w:color="auto"/>
              <w:right w:val="single" w:sz="4" w:space="0" w:color="auto"/>
            </w:tcBorders>
            <w:noWrap/>
            <w:vAlign w:val="bottom"/>
          </w:tcPr>
          <w:p w14:paraId="7ACDDCD6" w14:textId="1D8A8304" w:rsidR="0047090F" w:rsidRPr="00832734" w:rsidRDefault="0047090F" w:rsidP="00082A22">
            <w:pPr>
              <w:spacing w:after="0" w:line="240" w:lineRule="auto"/>
              <w:jc w:val="both"/>
              <w:rPr>
                <w:rFonts w:ascii="Carlito" w:eastAsia="Times New Roman" w:hAnsi="Carlito"/>
                <w:lang w:eastAsia="es-CO"/>
              </w:rPr>
            </w:pPr>
          </w:p>
        </w:tc>
      </w:tr>
      <w:tr w:rsidR="0047090F" w:rsidRPr="00832734" w14:paraId="3338F251" w14:textId="77777777" w:rsidTr="0047090F">
        <w:trPr>
          <w:trHeight w:val="274"/>
        </w:trPr>
        <w:tc>
          <w:tcPr>
            <w:tcW w:w="6541" w:type="dxa"/>
            <w:tcBorders>
              <w:top w:val="nil"/>
              <w:left w:val="single" w:sz="4" w:space="0" w:color="auto"/>
              <w:bottom w:val="single" w:sz="4" w:space="0" w:color="auto"/>
              <w:right w:val="single" w:sz="4" w:space="0" w:color="auto"/>
            </w:tcBorders>
            <w:vAlign w:val="center"/>
            <w:hideMark/>
          </w:tcPr>
          <w:p w14:paraId="33F377CE" w14:textId="77777777" w:rsidR="0047090F" w:rsidRPr="00832734" w:rsidRDefault="0047090F" w:rsidP="00082A22">
            <w:pPr>
              <w:spacing w:after="0" w:line="240" w:lineRule="auto"/>
              <w:jc w:val="both"/>
              <w:rPr>
                <w:rFonts w:ascii="Arial" w:eastAsia="Times New Roman" w:hAnsi="Arial" w:cs="Arial"/>
                <w:sz w:val="16"/>
                <w:szCs w:val="16"/>
                <w:lang w:eastAsia="es-CO"/>
              </w:rPr>
            </w:pPr>
            <w:r w:rsidRPr="00832734">
              <w:rPr>
                <w:rFonts w:ascii="Arial" w:eastAsia="Times New Roman" w:hAnsi="Arial" w:cs="Arial"/>
                <w:sz w:val="16"/>
                <w:szCs w:val="16"/>
                <w:lang w:eastAsia="es-CO"/>
              </w:rPr>
              <w:t> SUBTOTAL 2</w:t>
            </w:r>
          </w:p>
        </w:tc>
        <w:tc>
          <w:tcPr>
            <w:tcW w:w="1959" w:type="dxa"/>
            <w:tcBorders>
              <w:top w:val="nil"/>
              <w:left w:val="nil"/>
              <w:bottom w:val="single" w:sz="4" w:space="0" w:color="auto"/>
              <w:right w:val="single" w:sz="4" w:space="0" w:color="auto"/>
            </w:tcBorders>
            <w:vAlign w:val="center"/>
          </w:tcPr>
          <w:p w14:paraId="1E47F134" w14:textId="3EBC39CE" w:rsidR="0047090F" w:rsidRPr="00832734" w:rsidRDefault="0047090F" w:rsidP="00082A22">
            <w:pPr>
              <w:spacing w:after="0" w:line="240" w:lineRule="auto"/>
              <w:jc w:val="both"/>
              <w:rPr>
                <w:rFonts w:ascii="Arial" w:eastAsia="Times New Roman" w:hAnsi="Arial" w:cs="Arial"/>
                <w:sz w:val="16"/>
                <w:szCs w:val="16"/>
                <w:lang w:eastAsia="es-CO"/>
              </w:rPr>
            </w:pPr>
          </w:p>
        </w:tc>
        <w:tc>
          <w:tcPr>
            <w:tcW w:w="1711" w:type="dxa"/>
            <w:tcBorders>
              <w:top w:val="nil"/>
              <w:left w:val="nil"/>
              <w:bottom w:val="single" w:sz="4" w:space="0" w:color="auto"/>
              <w:right w:val="single" w:sz="4" w:space="0" w:color="auto"/>
            </w:tcBorders>
            <w:vAlign w:val="center"/>
          </w:tcPr>
          <w:p w14:paraId="48FD29C9" w14:textId="1E625DFB" w:rsidR="0047090F" w:rsidRPr="00832734" w:rsidRDefault="0047090F" w:rsidP="00082A22">
            <w:pPr>
              <w:spacing w:after="0" w:line="240" w:lineRule="auto"/>
              <w:jc w:val="both"/>
              <w:rPr>
                <w:rFonts w:ascii="Arial" w:eastAsia="Times New Roman" w:hAnsi="Arial" w:cs="Arial"/>
                <w:sz w:val="16"/>
                <w:szCs w:val="16"/>
                <w:lang w:eastAsia="es-CO"/>
              </w:rPr>
            </w:pPr>
          </w:p>
        </w:tc>
      </w:tr>
      <w:tr w:rsidR="0047090F" w:rsidRPr="00832734" w14:paraId="2E0A9F1F" w14:textId="77777777" w:rsidTr="0047090F">
        <w:trPr>
          <w:trHeight w:val="274"/>
        </w:trPr>
        <w:tc>
          <w:tcPr>
            <w:tcW w:w="6541" w:type="dxa"/>
            <w:tcBorders>
              <w:top w:val="nil"/>
              <w:left w:val="single" w:sz="4" w:space="0" w:color="auto"/>
              <w:bottom w:val="single" w:sz="4" w:space="0" w:color="auto"/>
              <w:right w:val="single" w:sz="4" w:space="0" w:color="auto"/>
            </w:tcBorders>
            <w:vAlign w:val="center"/>
            <w:hideMark/>
          </w:tcPr>
          <w:p w14:paraId="2AB4CF4A" w14:textId="77777777" w:rsidR="0047090F" w:rsidRPr="00832734" w:rsidRDefault="0047090F" w:rsidP="00082A22">
            <w:pPr>
              <w:spacing w:after="0" w:line="240" w:lineRule="auto"/>
              <w:jc w:val="both"/>
              <w:rPr>
                <w:rFonts w:ascii="Arial" w:eastAsia="Times New Roman" w:hAnsi="Arial" w:cs="Arial"/>
                <w:b/>
                <w:bCs/>
                <w:sz w:val="16"/>
                <w:szCs w:val="16"/>
                <w:lang w:eastAsia="es-CO"/>
              </w:rPr>
            </w:pPr>
            <w:r w:rsidRPr="00832734">
              <w:rPr>
                <w:rFonts w:ascii="Arial" w:eastAsia="Times New Roman" w:hAnsi="Arial" w:cs="Arial"/>
                <w:b/>
                <w:bCs/>
                <w:sz w:val="16"/>
                <w:szCs w:val="16"/>
                <w:lang w:eastAsia="es-CO"/>
              </w:rPr>
              <w:t> TOTAL</w:t>
            </w:r>
          </w:p>
        </w:tc>
        <w:tc>
          <w:tcPr>
            <w:tcW w:w="1959" w:type="dxa"/>
            <w:tcBorders>
              <w:top w:val="nil"/>
              <w:left w:val="nil"/>
              <w:bottom w:val="single" w:sz="4" w:space="0" w:color="auto"/>
              <w:right w:val="single" w:sz="4" w:space="0" w:color="auto"/>
            </w:tcBorders>
            <w:vAlign w:val="center"/>
          </w:tcPr>
          <w:p w14:paraId="758116C2" w14:textId="348CEAA9" w:rsidR="0047090F" w:rsidRPr="00832734" w:rsidRDefault="0047090F" w:rsidP="00082A22">
            <w:pPr>
              <w:spacing w:after="0" w:line="240" w:lineRule="auto"/>
              <w:jc w:val="both"/>
              <w:rPr>
                <w:rFonts w:ascii="Arial" w:eastAsia="Times New Roman" w:hAnsi="Arial" w:cs="Arial"/>
                <w:sz w:val="16"/>
                <w:szCs w:val="16"/>
                <w:lang w:eastAsia="es-CO"/>
              </w:rPr>
            </w:pPr>
          </w:p>
        </w:tc>
        <w:tc>
          <w:tcPr>
            <w:tcW w:w="1711" w:type="dxa"/>
            <w:tcBorders>
              <w:top w:val="nil"/>
              <w:left w:val="nil"/>
              <w:bottom w:val="single" w:sz="4" w:space="0" w:color="auto"/>
              <w:right w:val="single" w:sz="4" w:space="0" w:color="auto"/>
            </w:tcBorders>
            <w:vAlign w:val="center"/>
          </w:tcPr>
          <w:p w14:paraId="7452F840" w14:textId="56026296" w:rsidR="0047090F" w:rsidRPr="00832734" w:rsidRDefault="0047090F" w:rsidP="00082A22">
            <w:pPr>
              <w:spacing w:after="0" w:line="240" w:lineRule="auto"/>
              <w:jc w:val="both"/>
              <w:rPr>
                <w:rFonts w:ascii="Arial" w:eastAsia="Times New Roman" w:hAnsi="Arial" w:cs="Arial"/>
                <w:sz w:val="16"/>
                <w:szCs w:val="16"/>
                <w:lang w:eastAsia="es-CO"/>
              </w:rPr>
            </w:pPr>
          </w:p>
        </w:tc>
      </w:tr>
      <w:tr w:rsidR="0047090F" w:rsidRPr="00832734" w14:paraId="415B668E" w14:textId="77777777" w:rsidTr="0047090F">
        <w:trPr>
          <w:trHeight w:val="351"/>
        </w:trPr>
        <w:tc>
          <w:tcPr>
            <w:tcW w:w="6541" w:type="dxa"/>
            <w:tcBorders>
              <w:top w:val="nil"/>
              <w:left w:val="single" w:sz="4" w:space="0" w:color="auto"/>
              <w:bottom w:val="single" w:sz="4" w:space="0" w:color="auto"/>
              <w:right w:val="single" w:sz="4" w:space="0" w:color="auto"/>
            </w:tcBorders>
            <w:vAlign w:val="center"/>
            <w:hideMark/>
          </w:tcPr>
          <w:p w14:paraId="68872314" w14:textId="3BA4249F" w:rsidR="0047090F" w:rsidRPr="00832734" w:rsidRDefault="0047090F" w:rsidP="00082A22">
            <w:pPr>
              <w:spacing w:after="0" w:line="240" w:lineRule="auto"/>
              <w:jc w:val="both"/>
              <w:rPr>
                <w:rFonts w:ascii="Arial" w:eastAsia="Times New Roman" w:hAnsi="Arial" w:cs="Arial"/>
                <w:b/>
                <w:bCs/>
                <w:sz w:val="16"/>
                <w:szCs w:val="16"/>
                <w:lang w:eastAsia="es-CO"/>
              </w:rPr>
            </w:pPr>
            <w:r w:rsidRPr="00832734">
              <w:rPr>
                <w:rFonts w:ascii="Arial" w:eastAsia="Times New Roman" w:hAnsi="Arial" w:cs="Arial"/>
                <w:b/>
                <w:bCs/>
                <w:sz w:val="16"/>
                <w:szCs w:val="16"/>
                <w:lang w:eastAsia="es-CO"/>
              </w:rPr>
              <w:t xml:space="preserve"> TOTAL, APORTE MUNICIPIO + </w:t>
            </w:r>
            <w:r>
              <w:rPr>
                <w:rFonts w:ascii="Arial" w:eastAsia="Times New Roman" w:hAnsi="Arial" w:cs="Arial"/>
                <w:b/>
                <w:bCs/>
                <w:sz w:val="16"/>
                <w:szCs w:val="16"/>
                <w:lang w:eastAsia="es-CO"/>
              </w:rPr>
              <w:t>ESAL</w:t>
            </w:r>
          </w:p>
        </w:tc>
        <w:tc>
          <w:tcPr>
            <w:tcW w:w="3670" w:type="dxa"/>
            <w:gridSpan w:val="2"/>
            <w:tcBorders>
              <w:top w:val="single" w:sz="4" w:space="0" w:color="auto"/>
              <w:left w:val="nil"/>
              <w:bottom w:val="single" w:sz="4" w:space="0" w:color="auto"/>
              <w:right w:val="single" w:sz="4" w:space="0" w:color="auto"/>
            </w:tcBorders>
            <w:vAlign w:val="center"/>
            <w:hideMark/>
          </w:tcPr>
          <w:p w14:paraId="2359A6A9" w14:textId="231DB1F1" w:rsidR="0047090F" w:rsidRPr="00832734" w:rsidRDefault="0047090F" w:rsidP="00082A22">
            <w:pPr>
              <w:spacing w:after="0" w:line="240" w:lineRule="auto"/>
              <w:jc w:val="both"/>
              <w:rPr>
                <w:rFonts w:ascii="Arial" w:eastAsia="Times New Roman" w:hAnsi="Arial" w:cs="Arial"/>
                <w:sz w:val="16"/>
                <w:szCs w:val="16"/>
                <w:lang w:eastAsia="es-CO"/>
              </w:rPr>
            </w:pPr>
          </w:p>
        </w:tc>
      </w:tr>
    </w:tbl>
    <w:p w14:paraId="3B0DEBA8" w14:textId="77777777" w:rsidR="0047090F" w:rsidRPr="00E349BF" w:rsidRDefault="0047090F" w:rsidP="006155F5">
      <w:pPr>
        <w:pStyle w:val="paragraph"/>
        <w:spacing w:before="0" w:beforeAutospacing="0" w:after="0" w:afterAutospacing="0"/>
        <w:jc w:val="both"/>
        <w:textAlignment w:val="baseline"/>
        <w:rPr>
          <w:rStyle w:val="normaltextrun"/>
          <w:rFonts w:ascii="Arial" w:hAnsi="Arial" w:cs="Arial"/>
          <w:b/>
          <w:sz w:val="22"/>
          <w:szCs w:val="22"/>
          <w:lang w:val="es-ES_tradnl" w:eastAsia="es-ES"/>
        </w:rPr>
      </w:pPr>
    </w:p>
    <w:sectPr w:rsidR="0047090F" w:rsidRPr="00E349BF" w:rsidSect="00E349BF">
      <w:pgSz w:w="15840" w:h="12240" w:orient="landscape" w:code="1"/>
      <w:pgMar w:top="1701" w:right="170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65A5F" w14:textId="77777777" w:rsidR="00951D50" w:rsidRDefault="00951D50" w:rsidP="001A74F0">
      <w:pPr>
        <w:spacing w:after="0" w:line="240" w:lineRule="auto"/>
      </w:pPr>
      <w:r>
        <w:separator/>
      </w:r>
    </w:p>
  </w:endnote>
  <w:endnote w:type="continuationSeparator" w:id="0">
    <w:p w14:paraId="16006A5C" w14:textId="77777777" w:rsidR="00951D50" w:rsidRDefault="00951D5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Carli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7090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102BF26A" w:rsidR="00A15A42" w:rsidRPr="00A15A42" w:rsidRDefault="00E33C0A" w:rsidP="005D16C8">
    <w:pPr>
      <w:pStyle w:val="Piedepgina"/>
      <w:tabs>
        <w:tab w:val="clear" w:pos="4252"/>
        <w:tab w:val="clear" w:pos="8504"/>
        <w:tab w:val="left" w:pos="3330"/>
      </w:tabs>
      <w:rPr>
        <w:rFonts w:ascii="Arial" w:hAnsi="Arial" w:cs="Arial"/>
        <w:sz w:val="20"/>
        <w:szCs w:val="20"/>
      </w:rPr>
    </w:pPr>
    <w:r>
      <w:rPr>
        <w:noProof/>
        <w:sz w:val="18"/>
        <w:szCs w:val="20"/>
        <w:lang w:eastAsia="es-CO"/>
      </w:rPr>
      <w:drawing>
        <wp:anchor distT="0" distB="0" distL="114300" distR="114300" simplePos="0" relativeHeight="251662336" behindDoc="1" locked="0" layoutInCell="1" allowOverlap="1" wp14:anchorId="00FF8190" wp14:editId="509D7FF6">
          <wp:simplePos x="0" y="0"/>
          <wp:positionH relativeFrom="margin">
            <wp:posOffset>167640</wp:posOffset>
          </wp:positionH>
          <wp:positionV relativeFrom="paragraph">
            <wp:posOffset>-207010</wp:posOffset>
          </wp:positionV>
          <wp:extent cx="5619115" cy="4953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115" cy="495300"/>
                  </a:xfrm>
                  <a:prstGeom prst="rect">
                    <a:avLst/>
                  </a:prstGeom>
                  <a:noFill/>
                </pic:spPr>
              </pic:pic>
            </a:graphicData>
          </a:graphic>
          <wp14:sizeRelH relativeFrom="page">
            <wp14:pctWidth>0</wp14:pctWidth>
          </wp14:sizeRelH>
          <wp14:sizeRelV relativeFrom="page">
            <wp14:pctHeight>0</wp14:pctHeight>
          </wp14:sizeRelV>
        </wp:anchor>
      </w:drawing>
    </w:r>
    <w:r w:rsidR="005D16C8">
      <w:rPr>
        <w:rFonts w:ascii="Arial" w:hAnsi="Arial" w:cs="Arial"/>
        <w:sz w:val="20"/>
        <w:szCs w:val="20"/>
      </w:rPr>
      <w:tab/>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BC003" w14:textId="77777777" w:rsidR="00951D50" w:rsidRDefault="00951D50" w:rsidP="001A74F0">
      <w:pPr>
        <w:spacing w:after="0" w:line="240" w:lineRule="auto"/>
      </w:pPr>
      <w:r>
        <w:separator/>
      </w:r>
    </w:p>
  </w:footnote>
  <w:footnote w:type="continuationSeparator" w:id="0">
    <w:p w14:paraId="2AB3B7F3" w14:textId="77777777" w:rsidR="00951D50" w:rsidRDefault="00951D5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7090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1EEBE03" w:rsidR="00923BCB" w:rsidRPr="00B54E28" w:rsidRDefault="00E33C0A" w:rsidP="00923BCB">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1" locked="0" layoutInCell="1" allowOverlap="1" wp14:anchorId="6EFC5AF2" wp14:editId="4BB68553">
                <wp:simplePos x="0" y="0"/>
                <wp:positionH relativeFrom="column">
                  <wp:posOffset>146050</wp:posOffset>
                </wp:positionH>
                <wp:positionV relativeFrom="paragraph">
                  <wp:posOffset>188595</wp:posOffset>
                </wp:positionV>
                <wp:extent cx="852334" cy="811658"/>
                <wp:effectExtent l="0" t="0" r="5080" b="7620"/>
                <wp:wrapNone/>
                <wp:docPr id="3"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52334" cy="811658"/>
                        </a:xfrm>
                        <a:prstGeom prst="rect">
                          <a:avLst/>
                        </a:prstGeom>
                      </pic:spPr>
                    </pic:pic>
                  </a:graphicData>
                </a:graphic>
                <wp14:sizeRelH relativeFrom="page">
                  <wp14:pctWidth>0</wp14:pctWidth>
                </wp14:sizeRelH>
                <wp14:sizeRelV relativeFrom="page">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6109D92A">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5C972DDA"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 xml:space="preserve">PAGINA  </w:t>
          </w:r>
          <w:proofErr w:type="gramStart"/>
          <w:r w:rsidRPr="00235EA8">
            <w:rPr>
              <w:rFonts w:ascii="Arial" w:eastAsia="Times New Roman" w:hAnsi="Arial" w:cs="Arial"/>
              <w:szCs w:val="24"/>
              <w:lang w:val="es-ES" w:eastAsia="es-ES"/>
            </w:rPr>
            <w:t xml:space="preserve">   [</w:t>
          </w:r>
          <w:proofErr w:type="gramEnd"/>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E750C">
            <w:rPr>
              <w:rFonts w:ascii="Arial" w:eastAsia="Times New Roman" w:hAnsi="Arial" w:cs="Arial"/>
              <w:noProof/>
              <w:szCs w:val="24"/>
              <w:lang w:val="es-ES" w:eastAsia="es-ES"/>
            </w:rPr>
            <w:t>4</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21BEED16"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 xml:space="preserve">FORMATO </w:t>
          </w:r>
          <w:r w:rsidR="006155F5">
            <w:rPr>
              <w:rFonts w:ascii="Arial" w:eastAsia="Times New Roman" w:hAnsi="Arial" w:cs="Arial"/>
              <w:b/>
              <w:lang w:val="es-ES_tradnl" w:eastAsia="es-ES"/>
            </w:rPr>
            <w:t>P</w:t>
          </w:r>
          <w:r w:rsidRPr="00A52AB4">
            <w:rPr>
              <w:rFonts w:ascii="Arial" w:eastAsia="Times New Roman" w:hAnsi="Arial" w:cs="Arial"/>
              <w:b/>
              <w:lang w:val="es-ES_tradnl" w:eastAsia="es-ES"/>
            </w:rPr>
            <w:t>ROPUESTA</w:t>
          </w:r>
          <w:r w:rsidR="006155F5">
            <w:rPr>
              <w:rFonts w:ascii="Arial" w:eastAsia="Times New Roman" w:hAnsi="Arial" w:cs="Arial"/>
              <w:b/>
              <w:lang w:val="es-ES_tradnl" w:eastAsia="es-ES"/>
            </w:rPr>
            <w:t xml:space="preserve"> ECONOMICA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EB1AF3F4"/>
    <w:lvl w:ilvl="0">
      <w:start w:val="16"/>
      <w:numFmt w:val="lowerLetter"/>
      <w:lvlText w:val="%1."/>
      <w:lvlJc w:val="left"/>
      <w:pPr>
        <w:tabs>
          <w:tab w:val="num" w:pos="720"/>
        </w:tabs>
        <w:ind w:left="720" w:hanging="360"/>
      </w:pPr>
    </w:lvl>
    <w:lvl w:ilvl="1">
      <w:start w:val="8"/>
      <w:numFmt w:val="bullet"/>
      <w:lvlText w:val="-"/>
      <w:lvlJc w:val="left"/>
      <w:pPr>
        <w:ind w:left="1440" w:hanging="360"/>
      </w:pPr>
      <w:rPr>
        <w:rFonts w:ascii="Arial" w:eastAsia="Times New Roman" w:hAnsi="Arial" w:cs="Arial"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06748940">
    <w:abstractNumId w:val="21"/>
  </w:num>
  <w:num w:numId="2" w16cid:durableId="1797797513">
    <w:abstractNumId w:val="18"/>
  </w:num>
  <w:num w:numId="3" w16cid:durableId="202207604">
    <w:abstractNumId w:val="7"/>
  </w:num>
  <w:num w:numId="4" w16cid:durableId="1167288414">
    <w:abstractNumId w:val="6"/>
  </w:num>
  <w:num w:numId="5" w16cid:durableId="631331566">
    <w:abstractNumId w:val="8"/>
  </w:num>
  <w:num w:numId="6" w16cid:durableId="893665348">
    <w:abstractNumId w:val="5"/>
  </w:num>
  <w:num w:numId="7" w16cid:durableId="1486120695">
    <w:abstractNumId w:val="1"/>
  </w:num>
  <w:num w:numId="8" w16cid:durableId="618680155">
    <w:abstractNumId w:val="19"/>
  </w:num>
  <w:num w:numId="9" w16cid:durableId="188683595">
    <w:abstractNumId w:val="2"/>
  </w:num>
  <w:num w:numId="10" w16cid:durableId="2094617450">
    <w:abstractNumId w:val="12"/>
  </w:num>
  <w:num w:numId="11" w16cid:durableId="1036079666">
    <w:abstractNumId w:val="14"/>
  </w:num>
  <w:num w:numId="12" w16cid:durableId="951206888">
    <w:abstractNumId w:val="3"/>
  </w:num>
  <w:num w:numId="13" w16cid:durableId="1044794921">
    <w:abstractNumId w:val="22"/>
  </w:num>
  <w:num w:numId="14" w16cid:durableId="268242963">
    <w:abstractNumId w:val="11"/>
  </w:num>
  <w:num w:numId="15" w16cid:durableId="1721050137">
    <w:abstractNumId w:val="16"/>
  </w:num>
  <w:num w:numId="16" w16cid:durableId="452746846">
    <w:abstractNumId w:val="10"/>
  </w:num>
  <w:num w:numId="17" w16cid:durableId="759913499">
    <w:abstractNumId w:val="15"/>
  </w:num>
  <w:num w:numId="18" w16cid:durableId="32854424">
    <w:abstractNumId w:val="0"/>
  </w:num>
  <w:num w:numId="19" w16cid:durableId="431782522">
    <w:abstractNumId w:val="9"/>
  </w:num>
  <w:num w:numId="20" w16cid:durableId="1678653238">
    <w:abstractNumId w:val="4"/>
  </w:num>
  <w:num w:numId="21" w16cid:durableId="1931697451">
    <w:abstractNumId w:val="20"/>
  </w:num>
  <w:num w:numId="22" w16cid:durableId="828251048">
    <w:abstractNumId w:val="17"/>
  </w:num>
  <w:num w:numId="23" w16cid:durableId="108641689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E7CB6"/>
    <w:rsid w:val="002F56E8"/>
    <w:rsid w:val="0030675A"/>
    <w:rsid w:val="003124CF"/>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7090F"/>
    <w:rsid w:val="0048417B"/>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155F5"/>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3001F"/>
    <w:rsid w:val="00745B31"/>
    <w:rsid w:val="007463C7"/>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51D50"/>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E750C"/>
    <w:rsid w:val="00E13462"/>
    <w:rsid w:val="00E2171C"/>
    <w:rsid w:val="00E33C0A"/>
    <w:rsid w:val="00E349BF"/>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Carlito">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EC3"/>
    <w:rsid w:val="00134049"/>
    <w:rsid w:val="001C6FD0"/>
    <w:rsid w:val="001F45FF"/>
    <w:rsid w:val="002E7CB6"/>
    <w:rsid w:val="0033727B"/>
    <w:rsid w:val="003526EF"/>
    <w:rsid w:val="00367691"/>
    <w:rsid w:val="004210E3"/>
    <w:rsid w:val="0048417B"/>
    <w:rsid w:val="006C3735"/>
    <w:rsid w:val="006E725B"/>
    <w:rsid w:val="008407BD"/>
    <w:rsid w:val="008C1433"/>
    <w:rsid w:val="00924FDA"/>
    <w:rsid w:val="009B0D9F"/>
    <w:rsid w:val="009E6A90"/>
    <w:rsid w:val="00A5232C"/>
    <w:rsid w:val="00A8087D"/>
    <w:rsid w:val="00AF205E"/>
    <w:rsid w:val="00B96D21"/>
    <w:rsid w:val="00BE46C2"/>
    <w:rsid w:val="00C86076"/>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F63EC1F-A9AA-45ED-A406-3D72C844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4812</Words>
  <Characters>26467</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3</cp:revision>
  <dcterms:created xsi:type="dcterms:W3CDTF">2025-07-22T09:55:00Z</dcterms:created>
  <dcterms:modified xsi:type="dcterms:W3CDTF">2026-09-11T21:39:00Z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