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firstLine="708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presente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Entidad siempre se manifestará sobre las inquietudes relacionadas con el Proceso de selección por los canales definidos en los documentos del Proceso.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29">
          <w:pPr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highlight w:val="lightGray"/>
              <w:u w:val="none"/>
              <w:vertAlign w:val="baseline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color w:val="222222"/>
              <w:sz w:val="20"/>
              <w:szCs w:val="20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IDU-SAMC-DTAF-002-2026</w:t>
          </w:r>
          <w:r w:rsidDel="00000000" w:rsidR="00000000" w:rsidRPr="00000000">
            <w:rPr>
              <w:rFonts w:ascii="Comic Sans MS" w:cs="Comic Sans MS" w:eastAsia="Comic Sans MS" w:hAnsi="Comic Sans MS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Vm8yzxnc03rdZpXq0fDNW2SSWw==">CgMxLjA4AHIhMTNNMUpXc3hZREtGRk16UGtZYTI2VGh6VUhsM1REVkNI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2022-08-02T17:22:00Z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2.29244E7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