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8856F6"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040A49C0" w14:textId="77777777" w:rsidR="00581D04" w:rsidRPr="008856F6" w:rsidRDefault="00581D04" w:rsidP="00581D04">
      <w:pPr>
        <w:spacing w:after="0" w:line="240" w:lineRule="auto"/>
        <w:jc w:val="center"/>
        <w:rPr>
          <w:rFonts w:ascii="Arial Narrow" w:eastAsia="Arial Narrow" w:hAnsi="Arial Narrow" w:cs="Arial Narrow"/>
          <w:b/>
          <w:noProof/>
        </w:rPr>
      </w:pPr>
    </w:p>
    <w:p w14:paraId="19BC0C64" w14:textId="77777777" w:rsidR="00581D04" w:rsidRPr="008856F6" w:rsidRDefault="00581D04" w:rsidP="00581D04">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E34104C" w14:textId="77777777" w:rsidR="00581D04" w:rsidRPr="008856F6" w:rsidRDefault="00581D04" w:rsidP="00581D04">
      <w:pPr>
        <w:spacing w:after="0" w:line="240" w:lineRule="auto"/>
        <w:jc w:val="both"/>
        <w:rPr>
          <w:rFonts w:ascii="Arial Narrow" w:eastAsia="Arial Narrow" w:hAnsi="Arial Narrow" w:cs="Arial Narrow"/>
          <w:noProof/>
        </w:rPr>
      </w:pPr>
    </w:p>
    <w:tbl>
      <w:tblPr>
        <w:tblStyle w:val="Tablaconcuadrcula"/>
        <w:tblW w:w="9640" w:type="dxa"/>
        <w:tblInd w:w="-289" w:type="dxa"/>
        <w:tblLayout w:type="fixed"/>
        <w:tblLook w:val="04A0" w:firstRow="1" w:lastRow="0" w:firstColumn="1" w:lastColumn="0" w:noHBand="0" w:noVBand="1"/>
      </w:tblPr>
      <w:tblGrid>
        <w:gridCol w:w="767"/>
        <w:gridCol w:w="8873"/>
      </w:tblGrid>
      <w:tr w:rsidR="002E5EAE" w:rsidRPr="002E5EAE" w14:paraId="035B126D" w14:textId="77777777" w:rsidTr="00215A3A">
        <w:trPr>
          <w:trHeight w:val="372"/>
        </w:trPr>
        <w:tc>
          <w:tcPr>
            <w:tcW w:w="767" w:type="dxa"/>
            <w:shd w:val="clear" w:color="auto" w:fill="F2F2F2" w:themeFill="background1" w:themeFillShade="F2"/>
            <w:vAlign w:val="center"/>
          </w:tcPr>
          <w:p w14:paraId="540671CE" w14:textId="77777777" w:rsidR="002E5EAE" w:rsidRPr="002E5EAE" w:rsidRDefault="002E5EAE" w:rsidP="00215A3A">
            <w:pPr>
              <w:tabs>
                <w:tab w:val="left" w:pos="284"/>
              </w:tabs>
              <w:jc w:val="center"/>
              <w:rPr>
                <w:rFonts w:ascii="Arial Narrow" w:hAnsi="Arial Narrow" w:cs="Arial"/>
                <w:b/>
                <w:bCs/>
                <w:sz w:val="22"/>
                <w:szCs w:val="22"/>
              </w:rPr>
            </w:pPr>
            <w:bookmarkStart w:id="1" w:name="_GoBack"/>
            <w:r w:rsidRPr="002E5EAE">
              <w:rPr>
                <w:rFonts w:ascii="Arial Narrow" w:hAnsi="Arial Narrow" w:cs="Arial"/>
                <w:b/>
                <w:bCs/>
                <w:sz w:val="22"/>
                <w:szCs w:val="22"/>
              </w:rPr>
              <w:t>2.5.</w:t>
            </w:r>
          </w:p>
        </w:tc>
        <w:tc>
          <w:tcPr>
            <w:tcW w:w="8873" w:type="dxa"/>
            <w:shd w:val="clear" w:color="auto" w:fill="F2F2F2" w:themeFill="background1" w:themeFillShade="F2"/>
            <w:vAlign w:val="center"/>
          </w:tcPr>
          <w:p w14:paraId="1648D689" w14:textId="77777777" w:rsidR="002E5EAE" w:rsidRPr="002E5EAE" w:rsidRDefault="002E5EAE" w:rsidP="00215A3A">
            <w:pPr>
              <w:tabs>
                <w:tab w:val="left" w:pos="284"/>
              </w:tabs>
              <w:rPr>
                <w:rFonts w:ascii="Arial Narrow" w:hAnsi="Arial Narrow" w:cs="Arial"/>
                <w:b/>
                <w:bCs/>
                <w:sz w:val="22"/>
                <w:szCs w:val="22"/>
              </w:rPr>
            </w:pPr>
            <w:r w:rsidRPr="002E5EAE">
              <w:rPr>
                <w:rFonts w:ascii="Arial Narrow" w:hAnsi="Arial Narrow" w:cs="Arial"/>
                <w:b/>
                <w:bCs/>
                <w:sz w:val="22"/>
                <w:szCs w:val="22"/>
              </w:rPr>
              <w:t>Especificaciones Técnicas</w:t>
            </w:r>
          </w:p>
        </w:tc>
      </w:tr>
      <w:tr w:rsidR="002E5EAE" w:rsidRPr="002E5EAE" w14:paraId="0FB1BD9B" w14:textId="77777777" w:rsidTr="00215A3A">
        <w:trPr>
          <w:trHeight w:val="372"/>
        </w:trPr>
        <w:tc>
          <w:tcPr>
            <w:tcW w:w="9640" w:type="dxa"/>
            <w:gridSpan w:val="2"/>
            <w:shd w:val="clear" w:color="auto" w:fill="F2F2F2" w:themeFill="background1" w:themeFillShade="F2"/>
            <w:vAlign w:val="bottom"/>
          </w:tcPr>
          <w:p w14:paraId="57DE8C1B" w14:textId="77777777" w:rsidR="002E5EAE" w:rsidRPr="002E5EAE" w:rsidRDefault="002E5EAE" w:rsidP="00215A3A">
            <w:pPr>
              <w:tabs>
                <w:tab w:val="left" w:pos="284"/>
              </w:tabs>
              <w:jc w:val="center"/>
              <w:rPr>
                <w:rFonts w:ascii="Arial Narrow" w:hAnsi="Arial Narrow" w:cs="Arial"/>
                <w:b/>
                <w:bCs/>
                <w:sz w:val="22"/>
                <w:szCs w:val="22"/>
              </w:rPr>
            </w:pPr>
            <w:r w:rsidRPr="002E5EAE">
              <w:rPr>
                <w:rFonts w:ascii="Arial Narrow" w:hAnsi="Arial Narrow"/>
                <w:b/>
                <w:bCs/>
                <w:sz w:val="22"/>
                <w:szCs w:val="22"/>
              </w:rPr>
              <w:t xml:space="preserve">Tabla 2. </w:t>
            </w:r>
            <w:r w:rsidRPr="002E5EAE">
              <w:rPr>
                <w:rFonts w:ascii="Arial Narrow" w:hAnsi="Arial Narrow"/>
                <w:sz w:val="22"/>
                <w:szCs w:val="22"/>
              </w:rPr>
              <w:t>Ficha Técnica</w:t>
            </w:r>
          </w:p>
        </w:tc>
      </w:tr>
      <w:tr w:rsidR="002E5EAE" w:rsidRPr="002E5EAE" w14:paraId="57ADE2B6" w14:textId="77777777" w:rsidTr="00215A3A">
        <w:trPr>
          <w:trHeight w:val="841"/>
        </w:trPr>
        <w:tc>
          <w:tcPr>
            <w:tcW w:w="9640" w:type="dxa"/>
            <w:gridSpan w:val="2"/>
            <w:shd w:val="clear" w:color="auto" w:fill="F2F2F2" w:themeFill="background1" w:themeFillShade="F2"/>
            <w:vAlign w:val="center"/>
          </w:tcPr>
          <w:tbl>
            <w:tblPr>
              <w:tblW w:w="9462" w:type="dxa"/>
              <w:tblInd w:w="55" w:type="dxa"/>
              <w:tblLayout w:type="fixed"/>
              <w:tblCellMar>
                <w:left w:w="0" w:type="dxa"/>
                <w:right w:w="0" w:type="dxa"/>
              </w:tblCellMar>
              <w:tblLook w:val="0000" w:firstRow="0" w:lastRow="0" w:firstColumn="0" w:lastColumn="0" w:noHBand="0" w:noVBand="0"/>
            </w:tblPr>
            <w:tblGrid>
              <w:gridCol w:w="2800"/>
              <w:gridCol w:w="6662"/>
            </w:tblGrid>
            <w:tr w:rsidR="002E5EAE" w:rsidRPr="002E5EAE" w14:paraId="11F8D041" w14:textId="77777777" w:rsidTr="00215A3A">
              <w:trPr>
                <w:trHeight w:val="77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0C395F6" w14:textId="77777777" w:rsidR="002E5EAE" w:rsidRPr="002E5EAE" w:rsidRDefault="002E5EAE" w:rsidP="00215A3A">
                  <w:pPr>
                    <w:jc w:val="center"/>
                    <w:rPr>
                      <w:rFonts w:ascii="Arial Narrow" w:hAnsi="Arial Narrow" w:cs="Arial"/>
                      <w:b/>
                      <w:bCs/>
                    </w:rPr>
                  </w:pPr>
                  <w:r w:rsidRPr="002E5EAE">
                    <w:rPr>
                      <w:rFonts w:ascii="Arial Narrow" w:hAnsi="Arial Narrow" w:cs="Arial"/>
                      <w:b/>
                      <w:bCs/>
                    </w:rPr>
                    <w:t xml:space="preserve">Clasificación del bien o servicio </w:t>
                  </w:r>
                </w:p>
              </w:tc>
              <w:tc>
                <w:tcPr>
                  <w:tcW w:w="6662"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5A5CD01D" w14:textId="77777777" w:rsidR="002E5EAE" w:rsidRPr="002E5EAE" w:rsidRDefault="002E5EAE" w:rsidP="00215A3A">
                  <w:pPr>
                    <w:rPr>
                      <w:rFonts w:ascii="Arial Narrow" w:hAnsi="Arial Narrow" w:cs="Arial"/>
                    </w:rPr>
                  </w:pPr>
                </w:p>
                <w:tbl>
                  <w:tblPr>
                    <w:tblStyle w:val="Tablaconcuadrcula"/>
                    <w:tblpPr w:leftFromText="141" w:rightFromText="141" w:vertAnchor="text" w:horzAnchor="margin" w:tblpXSpec="center" w:tblpY="30"/>
                    <w:tblOverlap w:val="never"/>
                    <w:tblW w:w="5254" w:type="dxa"/>
                    <w:tblLayout w:type="fixed"/>
                    <w:tblLook w:val="04A0" w:firstRow="1" w:lastRow="0" w:firstColumn="1" w:lastColumn="0" w:noHBand="0" w:noVBand="1"/>
                  </w:tblPr>
                  <w:tblGrid>
                    <w:gridCol w:w="1842"/>
                    <w:gridCol w:w="3412"/>
                  </w:tblGrid>
                  <w:tr w:rsidR="002E5EAE" w:rsidRPr="002E5EAE" w14:paraId="6E6406BC" w14:textId="77777777" w:rsidTr="00215A3A">
                    <w:tc>
                      <w:tcPr>
                        <w:tcW w:w="1842" w:type="dxa"/>
                        <w:vAlign w:val="center"/>
                      </w:tcPr>
                      <w:p w14:paraId="35A8C8E5" w14:textId="77777777" w:rsidR="002E5EAE" w:rsidRPr="002E5EAE" w:rsidRDefault="002E5EAE" w:rsidP="00215A3A">
                        <w:pPr>
                          <w:jc w:val="center"/>
                          <w:rPr>
                            <w:rFonts w:ascii="Arial Narrow" w:hAnsi="Arial Narrow" w:cs="Arial"/>
                            <w:sz w:val="22"/>
                            <w:szCs w:val="22"/>
                          </w:rPr>
                        </w:pPr>
                        <w:r w:rsidRPr="002E5EAE">
                          <w:rPr>
                            <w:rFonts w:ascii="Arial Narrow" w:hAnsi="Arial Narrow" w:cs="Arial"/>
                            <w:sz w:val="22"/>
                            <w:szCs w:val="22"/>
                          </w:rPr>
                          <w:t>46171613</w:t>
                        </w:r>
                      </w:p>
                    </w:tc>
                    <w:tc>
                      <w:tcPr>
                        <w:tcW w:w="3412" w:type="dxa"/>
                      </w:tcPr>
                      <w:p w14:paraId="272FC34C" w14:textId="77777777" w:rsidR="002E5EAE" w:rsidRPr="002E5EAE" w:rsidRDefault="002E5EAE" w:rsidP="00215A3A">
                        <w:pPr>
                          <w:jc w:val="both"/>
                          <w:rPr>
                            <w:rFonts w:ascii="Arial Narrow" w:hAnsi="Arial Narrow" w:cs="Arial"/>
                            <w:sz w:val="22"/>
                            <w:szCs w:val="22"/>
                          </w:rPr>
                        </w:pPr>
                        <w:r w:rsidRPr="002E5EAE">
                          <w:rPr>
                            <w:rFonts w:ascii="Arial Narrow" w:hAnsi="Arial Narrow" w:cs="Arial"/>
                            <w:sz w:val="22"/>
                            <w:szCs w:val="22"/>
                          </w:rPr>
                          <w:t>Detectores de gas</w:t>
                        </w:r>
                      </w:p>
                    </w:tc>
                  </w:tr>
                </w:tbl>
                <w:p w14:paraId="0E63491F" w14:textId="77777777" w:rsidR="002E5EAE" w:rsidRPr="002E5EAE" w:rsidRDefault="002E5EAE" w:rsidP="00215A3A">
                  <w:pPr>
                    <w:rPr>
                      <w:rFonts w:ascii="Arial Narrow" w:hAnsi="Arial Narrow" w:cs="Arial"/>
                    </w:rPr>
                  </w:pPr>
                </w:p>
              </w:tc>
            </w:tr>
            <w:tr w:rsidR="002E5EAE" w:rsidRPr="002E5EAE" w14:paraId="65E423E6" w14:textId="77777777" w:rsidTr="00215A3A">
              <w:trPr>
                <w:trHeight w:val="695"/>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15A049D" w14:textId="77777777" w:rsidR="002E5EAE" w:rsidRPr="002E5EAE" w:rsidRDefault="002E5EAE" w:rsidP="00215A3A">
                  <w:pPr>
                    <w:jc w:val="center"/>
                    <w:rPr>
                      <w:rFonts w:ascii="Arial Narrow" w:hAnsi="Arial Narrow" w:cs="Arial"/>
                      <w:b/>
                      <w:bCs/>
                    </w:rPr>
                  </w:pPr>
                  <w:r w:rsidRPr="002E5EAE">
                    <w:rPr>
                      <w:rFonts w:ascii="Arial Narrow" w:hAnsi="Arial Narrow" w:cs="Arial"/>
                      <w:b/>
                      <w:bCs/>
                    </w:rPr>
                    <w:t xml:space="preserve">Nombre Comercial del Bien o Servicio </w:t>
                  </w:r>
                </w:p>
              </w:tc>
              <w:tc>
                <w:tcPr>
                  <w:tcW w:w="6662"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56FBAF3" w14:textId="77777777" w:rsidR="002E5EAE" w:rsidRPr="002E5EAE" w:rsidRDefault="002E5EAE" w:rsidP="00215A3A">
                  <w:pPr>
                    <w:jc w:val="center"/>
                    <w:rPr>
                      <w:rFonts w:ascii="Arial Narrow" w:hAnsi="Arial Narrow" w:cs="Arial"/>
                    </w:rPr>
                  </w:pPr>
                </w:p>
                <w:p w14:paraId="6A63D3CB" w14:textId="77777777" w:rsidR="002E5EAE" w:rsidRPr="002E5EAE" w:rsidRDefault="002E5EAE" w:rsidP="00215A3A">
                  <w:pPr>
                    <w:jc w:val="both"/>
                    <w:rPr>
                      <w:rFonts w:ascii="Arial Narrow" w:hAnsi="Arial Narrow" w:cs="Arial"/>
                    </w:rPr>
                  </w:pPr>
                  <w:r w:rsidRPr="002E5EAE">
                    <w:rPr>
                      <w:rFonts w:ascii="Arial Narrow" w:hAnsi="Arial Narrow" w:cs="Arial"/>
                    </w:rPr>
                    <w:t>Detector Multigas Portátil</w:t>
                  </w:r>
                </w:p>
                <w:p w14:paraId="12C0F295" w14:textId="77777777" w:rsidR="002E5EAE" w:rsidRPr="002E5EAE" w:rsidRDefault="002E5EAE" w:rsidP="00215A3A">
                  <w:pPr>
                    <w:jc w:val="both"/>
                    <w:rPr>
                      <w:rFonts w:ascii="Arial Narrow" w:hAnsi="Arial Narrow" w:cs="Arial"/>
                    </w:rPr>
                  </w:pPr>
                </w:p>
                <w:p w14:paraId="0F26FDD2" w14:textId="77777777" w:rsidR="002E5EAE" w:rsidRPr="002E5EAE" w:rsidRDefault="002E5EAE" w:rsidP="00215A3A">
                  <w:pPr>
                    <w:jc w:val="both"/>
                    <w:rPr>
                      <w:rFonts w:ascii="Arial Narrow" w:hAnsi="Arial Narrow" w:cs="Arial"/>
                    </w:rPr>
                  </w:pPr>
                  <w:r w:rsidRPr="002E5EAE">
                    <w:rPr>
                      <w:rFonts w:ascii="Arial Narrow" w:eastAsia="Arial Narrow" w:hAnsi="Arial Narrow" w:cs="Arial"/>
                      <w:noProof/>
                      <w:lang w:eastAsia="es-CO"/>
                    </w:rPr>
                    <w:drawing>
                      <wp:inline distT="0" distB="0" distL="0" distR="0" wp14:anchorId="44DF55E8" wp14:editId="46EF6D70">
                        <wp:extent cx="2025650" cy="2000250"/>
                        <wp:effectExtent l="0" t="0" r="0" b="0"/>
                        <wp:docPr id="721861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6182" name="Imagen 72186182"/>
                                <pic:cNvPicPr/>
                              </pic:nvPicPr>
                              <pic:blipFill>
                                <a:blip r:embed="rId8">
                                  <a:extLst>
                                    <a:ext uri="{28A0092B-C50C-407E-A947-70E740481C1C}">
                                      <a14:useLocalDpi xmlns:a14="http://schemas.microsoft.com/office/drawing/2010/main" val="0"/>
                                    </a:ext>
                                  </a:extLst>
                                </a:blip>
                                <a:stretch>
                                  <a:fillRect/>
                                </a:stretch>
                              </pic:blipFill>
                              <pic:spPr>
                                <a:xfrm>
                                  <a:off x="0" y="0"/>
                                  <a:ext cx="2025650" cy="2000250"/>
                                </a:xfrm>
                                <a:prstGeom prst="rect">
                                  <a:avLst/>
                                </a:prstGeom>
                              </pic:spPr>
                            </pic:pic>
                          </a:graphicData>
                        </a:graphic>
                      </wp:inline>
                    </w:drawing>
                  </w:r>
                </w:p>
              </w:tc>
            </w:tr>
            <w:tr w:rsidR="002E5EAE" w:rsidRPr="002E5EAE" w14:paraId="20F2539A" w14:textId="77777777" w:rsidTr="00215A3A">
              <w:trPr>
                <w:trHeight w:val="9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C421ABF" w14:textId="77777777" w:rsidR="002E5EAE" w:rsidRPr="002E5EAE" w:rsidRDefault="002E5EAE" w:rsidP="00215A3A">
                  <w:pPr>
                    <w:jc w:val="center"/>
                    <w:rPr>
                      <w:rFonts w:ascii="Arial Narrow" w:hAnsi="Arial Narrow" w:cs="Arial"/>
                      <w:b/>
                      <w:bCs/>
                    </w:rPr>
                  </w:pPr>
                  <w:r w:rsidRPr="002E5EAE">
                    <w:rPr>
                      <w:rFonts w:ascii="Arial Narrow" w:hAnsi="Arial Narrow" w:cs="Arial"/>
                      <w:b/>
                      <w:bCs/>
                    </w:rPr>
                    <w:t>Calidad</w:t>
                  </w:r>
                </w:p>
              </w:tc>
              <w:tc>
                <w:tcPr>
                  <w:tcW w:w="6662"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F091CAF" w14:textId="77777777" w:rsidR="002E5EAE" w:rsidRPr="002E5EAE" w:rsidRDefault="002E5EAE" w:rsidP="002E5EAE">
                  <w:pPr>
                    <w:pStyle w:val="Prrafodelista"/>
                    <w:numPr>
                      <w:ilvl w:val="0"/>
                      <w:numId w:val="17"/>
                    </w:numPr>
                    <w:spacing w:after="0" w:line="240" w:lineRule="auto"/>
                    <w:jc w:val="both"/>
                    <w:rPr>
                      <w:rFonts w:ascii="Arial Narrow" w:hAnsi="Arial Narrow" w:cs="Arial"/>
                    </w:rPr>
                  </w:pPr>
                  <w:r w:rsidRPr="002E5EAE">
                    <w:rPr>
                      <w:rFonts w:ascii="Arial Narrow" w:hAnsi="Arial Narrow" w:cs="Arial"/>
                    </w:rPr>
                    <w:t>Certificaciones Ex IA DA IIC T4 Ga</w:t>
                  </w:r>
                </w:p>
                <w:p w14:paraId="6B9E0C76" w14:textId="77777777" w:rsidR="002E5EAE" w:rsidRPr="002E5EAE" w:rsidRDefault="002E5EAE" w:rsidP="002E5EAE">
                  <w:pPr>
                    <w:pStyle w:val="Prrafodelista"/>
                    <w:numPr>
                      <w:ilvl w:val="0"/>
                      <w:numId w:val="17"/>
                    </w:numPr>
                    <w:spacing w:after="0" w:line="240" w:lineRule="auto"/>
                    <w:jc w:val="both"/>
                    <w:rPr>
                      <w:rFonts w:ascii="Arial Narrow" w:hAnsi="Arial Narrow" w:cs="Arial"/>
                    </w:rPr>
                  </w:pPr>
                  <w:r w:rsidRPr="002E5EAE">
                    <w:rPr>
                      <w:rFonts w:ascii="Arial Narrow" w:hAnsi="Arial Narrow" w:cs="Arial"/>
                    </w:rPr>
                    <w:t>ATEX 2014/34/UE &amp; IECEx, cumplimiento de calidad y calibración para Atmósferas explosivas.</w:t>
                  </w:r>
                </w:p>
                <w:p w14:paraId="2950EF1F" w14:textId="77777777" w:rsidR="002E5EAE" w:rsidRPr="002E5EAE" w:rsidRDefault="002E5EAE" w:rsidP="002E5EAE">
                  <w:pPr>
                    <w:pStyle w:val="Prrafodelista"/>
                    <w:numPr>
                      <w:ilvl w:val="0"/>
                      <w:numId w:val="17"/>
                    </w:numPr>
                    <w:spacing w:after="0" w:line="240" w:lineRule="auto"/>
                    <w:rPr>
                      <w:rFonts w:ascii="Arial Narrow" w:hAnsi="Arial Narrow" w:cs="Arial"/>
                    </w:rPr>
                  </w:pPr>
                  <w:r w:rsidRPr="002E5EAE">
                    <w:rPr>
                      <w:rFonts w:ascii="Arial Narrow" w:hAnsi="Arial Narrow" w:cs="Arial"/>
                    </w:rPr>
                    <w:t>Cumplimiento norma MIL-STD-810G.</w:t>
                  </w:r>
                </w:p>
              </w:tc>
            </w:tr>
            <w:tr w:rsidR="002E5EAE" w:rsidRPr="002E5EAE" w14:paraId="70716A29" w14:textId="77777777" w:rsidTr="00215A3A">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B7DFE89" w14:textId="77777777" w:rsidR="002E5EAE" w:rsidRPr="002E5EAE" w:rsidRDefault="002E5EAE" w:rsidP="00215A3A">
                  <w:pPr>
                    <w:jc w:val="center"/>
                    <w:rPr>
                      <w:rFonts w:ascii="Arial Narrow" w:hAnsi="Arial Narrow" w:cs="Arial"/>
                      <w:b/>
                      <w:bCs/>
                    </w:rPr>
                  </w:pPr>
                  <w:r w:rsidRPr="002E5EAE">
                    <w:rPr>
                      <w:rFonts w:ascii="Arial Narrow" w:hAnsi="Arial Narrow" w:cs="Arial"/>
                      <w:b/>
                      <w:bCs/>
                    </w:rPr>
                    <w:t xml:space="preserve">Generalidades </w:t>
                  </w:r>
                </w:p>
              </w:tc>
              <w:tc>
                <w:tcPr>
                  <w:tcW w:w="6662"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B9A7B19" w14:textId="77777777" w:rsidR="002E5EAE" w:rsidRPr="002E5EAE" w:rsidRDefault="002E5EAE" w:rsidP="00215A3A">
                  <w:pPr>
                    <w:spacing w:line="300" w:lineRule="atLeast"/>
                    <w:jc w:val="both"/>
                    <w:rPr>
                      <w:rFonts w:ascii="Arial Narrow" w:hAnsi="Arial Narrow" w:cs="Arial"/>
                    </w:rPr>
                  </w:pPr>
                  <w:r w:rsidRPr="002E5EAE">
                    <w:rPr>
                      <w:rFonts w:ascii="Arial Narrow" w:hAnsi="Arial Narrow" w:cs="Arial"/>
                    </w:rPr>
                    <w:t xml:space="preserve">El </w:t>
                  </w:r>
                  <w:r w:rsidRPr="002E5EAE">
                    <w:rPr>
                      <w:rStyle w:val="Textoennegrita"/>
                      <w:rFonts w:ascii="Arial Narrow" w:hAnsi="Arial Narrow" w:cs="Arial"/>
                    </w:rPr>
                    <w:t xml:space="preserve">equipo multigas está </w:t>
                  </w:r>
                  <w:r w:rsidRPr="002E5EAE">
                    <w:rPr>
                      <w:rFonts w:ascii="Arial Narrow" w:hAnsi="Arial Narrow" w:cs="Arial"/>
                    </w:rPr>
                    <w:t xml:space="preserve">diseñado para la </w:t>
                  </w:r>
                  <w:r w:rsidRPr="002E5EAE">
                    <w:rPr>
                      <w:rStyle w:val="Textoennegrita"/>
                      <w:rFonts w:ascii="Arial Narrow" w:hAnsi="Arial Narrow" w:cs="Arial"/>
                    </w:rPr>
                    <w:t>detección simultánea de uno o varios gases combustibles y gases tóxicos</w:t>
                  </w:r>
                  <w:r w:rsidRPr="002E5EAE">
                    <w:rPr>
                      <w:rFonts w:ascii="Arial Narrow" w:hAnsi="Arial Narrow" w:cs="Arial"/>
                    </w:rPr>
                    <w:t xml:space="preserve">, destinado a su uso en entornos operativos donde se desconozca la posible presencia de atmósferas peligrosas. Este dispositivo permite identificar concentraciones que puedan comprometer la </w:t>
                  </w:r>
                  <w:r w:rsidRPr="002E5EAE">
                    <w:rPr>
                      <w:rStyle w:val="Textoennegrita"/>
                      <w:rFonts w:ascii="Arial Narrow" w:hAnsi="Arial Narrow" w:cs="Arial"/>
                    </w:rPr>
                    <w:t>seguridad y la salud del Técnico en Explosivos</w:t>
                  </w:r>
                  <w:r w:rsidRPr="002E5EAE">
                    <w:rPr>
                      <w:rFonts w:ascii="Arial Narrow" w:hAnsi="Arial Narrow" w:cs="Arial"/>
                    </w:rPr>
                    <w:t>, proporcionando alertas tempranas para la prevención de exposiciones a sustancias que representen riesgo de ignición, intoxicación o afectación respiratoria durante la ejecución de procedimientos especializados.</w:t>
                  </w:r>
                </w:p>
              </w:tc>
            </w:tr>
            <w:tr w:rsidR="002E5EAE" w:rsidRPr="002E5EAE" w14:paraId="2BAEA333" w14:textId="77777777" w:rsidTr="00215A3A">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A029F4E" w14:textId="77777777" w:rsidR="002E5EAE" w:rsidRPr="002E5EAE" w:rsidRDefault="002E5EAE" w:rsidP="00215A3A">
                  <w:pPr>
                    <w:jc w:val="center"/>
                    <w:rPr>
                      <w:rFonts w:ascii="Arial Narrow" w:hAnsi="Arial Narrow" w:cs="Arial"/>
                      <w:b/>
                      <w:bCs/>
                    </w:rPr>
                  </w:pPr>
                  <w:r w:rsidRPr="002E5EAE">
                    <w:rPr>
                      <w:rFonts w:ascii="Arial Narrow" w:hAnsi="Arial Narrow" w:cs="Arial"/>
                      <w:b/>
                      <w:bCs/>
                    </w:rPr>
                    <w:t>Requisitos específicos</w:t>
                  </w:r>
                </w:p>
              </w:tc>
              <w:tc>
                <w:tcPr>
                  <w:tcW w:w="6662"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1A64947" w14:textId="77777777" w:rsidR="002E5EAE" w:rsidRPr="002E5EAE" w:rsidRDefault="002E5EAE" w:rsidP="00215A3A">
                  <w:pPr>
                    <w:rPr>
                      <w:rFonts w:ascii="Arial Narrow" w:hAnsi="Arial Narrow" w:cs="Arial"/>
                    </w:rPr>
                  </w:pPr>
                  <w:r w:rsidRPr="002E5EAE">
                    <w:rPr>
                      <w:rFonts w:ascii="Arial Narrow" w:hAnsi="Arial Narrow" w:cs="Arial"/>
                    </w:rPr>
                    <w:t>Características:</w:t>
                  </w:r>
                </w:p>
                <w:p w14:paraId="43560FBF" w14:textId="77777777" w:rsidR="002E5EAE" w:rsidRPr="002E5EAE" w:rsidRDefault="002E5EAE" w:rsidP="00215A3A">
                  <w:pPr>
                    <w:rPr>
                      <w:rFonts w:ascii="Arial Narrow" w:hAnsi="Arial Narrow" w:cs="Arial"/>
                    </w:rPr>
                  </w:pPr>
                </w:p>
                <w:p w14:paraId="57A6DBE4" w14:textId="77777777" w:rsidR="002E5EAE" w:rsidRPr="002E5EAE" w:rsidRDefault="002E5EAE" w:rsidP="002E5EAE">
                  <w:pPr>
                    <w:pStyle w:val="Prrafodelista"/>
                    <w:numPr>
                      <w:ilvl w:val="0"/>
                      <w:numId w:val="16"/>
                    </w:numPr>
                    <w:spacing w:after="0" w:line="240" w:lineRule="auto"/>
                    <w:rPr>
                      <w:rFonts w:ascii="Arial Narrow" w:hAnsi="Arial Narrow" w:cs="Arial"/>
                    </w:rPr>
                  </w:pPr>
                  <w:r w:rsidRPr="002E5EAE">
                    <w:rPr>
                      <w:rFonts w:ascii="Arial Narrow" w:hAnsi="Arial Narrow" w:cs="Arial"/>
                    </w:rPr>
                    <w:t>Tamaño max. 12 cm L x 6 cm A x 4 cm diámetro en su tamaño total.</w:t>
                  </w:r>
                </w:p>
                <w:p w14:paraId="374E9AF0" w14:textId="77777777" w:rsidR="002E5EAE" w:rsidRPr="002E5EAE" w:rsidRDefault="002E5EAE" w:rsidP="002E5EAE">
                  <w:pPr>
                    <w:pStyle w:val="Prrafodelista"/>
                    <w:numPr>
                      <w:ilvl w:val="0"/>
                      <w:numId w:val="16"/>
                    </w:numPr>
                    <w:spacing w:after="0" w:line="240" w:lineRule="auto"/>
                    <w:rPr>
                      <w:rFonts w:ascii="Arial Narrow" w:hAnsi="Arial Narrow" w:cs="Arial"/>
                    </w:rPr>
                  </w:pPr>
                  <w:r w:rsidRPr="002E5EAE">
                    <w:rPr>
                      <w:rFonts w:ascii="Arial Narrow" w:hAnsi="Arial Narrow" w:cs="Arial"/>
                    </w:rPr>
                    <w:lastRenderedPageBreak/>
                    <w:t>Peso max, 250 gr.</w:t>
                  </w:r>
                </w:p>
                <w:p w14:paraId="5D9AAC3F" w14:textId="77777777" w:rsidR="002E5EAE" w:rsidRPr="002E5EAE" w:rsidRDefault="002E5EAE" w:rsidP="002E5EAE">
                  <w:pPr>
                    <w:pStyle w:val="Prrafodelista"/>
                    <w:numPr>
                      <w:ilvl w:val="0"/>
                      <w:numId w:val="16"/>
                    </w:numPr>
                    <w:spacing w:after="0" w:line="240" w:lineRule="auto"/>
                    <w:rPr>
                      <w:rFonts w:ascii="Arial Narrow" w:hAnsi="Arial Narrow" w:cs="Arial"/>
                    </w:rPr>
                  </w:pPr>
                  <w:r w:rsidRPr="002E5EAE">
                    <w:rPr>
                      <w:rFonts w:ascii="Arial Narrow" w:hAnsi="Arial Narrow" w:cs="Arial"/>
                    </w:rPr>
                    <w:t>Color Negro o Gris.</w:t>
                  </w:r>
                </w:p>
                <w:p w14:paraId="11CEDC88"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rPr>
                    <w:t>Pantalla de cristal líquido [LCD] con caracteres e íconos de lectura fácil.</w:t>
                  </w:r>
                </w:p>
                <w:p w14:paraId="47EF199C"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lang w:val="es-CO"/>
                    </w:rPr>
                    <w:t>Contener una luz de respaldo blanca para visión con poca luz.</w:t>
                  </w:r>
                </w:p>
                <w:p w14:paraId="3AB64519"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lang w:val="es-CO"/>
                    </w:rPr>
                  </w:pPr>
                  <w:r w:rsidRPr="002E5EAE">
                    <w:rPr>
                      <w:rFonts w:ascii="Arial Narrow" w:hAnsi="Arial Narrow" w:cs="Arial"/>
                    </w:rPr>
                    <w:t>La unidad debe tener la capacidad para mostrar todos los sensores instalados al mismo tiempo, y las unidades de medida para cada gas.</w:t>
                  </w:r>
                </w:p>
                <w:p w14:paraId="7D85983C"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lang w:val="es-CO"/>
                    </w:rPr>
                    <w:t>El detector debe tener la capacidad de succionar una muestra de hasta 50 pies de distancia alejada del detector.</w:t>
                  </w:r>
                </w:p>
                <w:p w14:paraId="092E32EE"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lang w:val="es-CO"/>
                    </w:rPr>
                    <w:t>El registro de datos deben contener como mínimo la fecha, el tiempo y el registro de lecturas pico y promedio para cada sensor de gas.</w:t>
                  </w:r>
                </w:p>
                <w:p w14:paraId="4C649520"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rPr>
                    <w:t xml:space="preserve">Humedad: </w:t>
                  </w:r>
                  <w:r w:rsidRPr="002E5EAE">
                    <w:rPr>
                      <w:rFonts w:ascii="Arial Narrow" w:hAnsi="Arial Narrow" w:cs="Arial"/>
                      <w:lang w:val="es-CO"/>
                    </w:rPr>
                    <w:t>15-90% RH [no condensado] Continuo, 5-95% RH [no condensado] Intermitente.</w:t>
                  </w:r>
                </w:p>
                <w:p w14:paraId="49B9BD19"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rPr>
                    <w:t xml:space="preserve">Temperatura: </w:t>
                  </w:r>
                  <w:r w:rsidRPr="002E5EAE">
                    <w:rPr>
                      <w:rFonts w:ascii="Arial Narrow" w:hAnsi="Arial Narrow" w:cs="Arial"/>
                      <w:lang w:val="es-CO"/>
                    </w:rPr>
                    <w:t>Operación normal: 0 a 40° C, Extendida: -20 a 50° C</w:t>
                  </w:r>
                </w:p>
                <w:p w14:paraId="75984511"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lang w:val="es-CO"/>
                    </w:rPr>
                    <w:t xml:space="preserve">Garantía: mínimo 12 meses.  </w:t>
                  </w:r>
                </w:p>
                <w:p w14:paraId="6D9E86F9"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rPr>
                    <w:t xml:space="preserve">El Detector Multigas deberá contar con las certificaciones </w:t>
                  </w:r>
                  <w:r w:rsidRPr="002E5EAE">
                    <w:rPr>
                      <w:rFonts w:ascii="Arial Narrow" w:hAnsi="Arial Narrow" w:cs="Arial"/>
                      <w:lang w:val="pt-BR"/>
                    </w:rPr>
                    <w:t>Ex IA DA IIC T4 Ga</w:t>
                  </w:r>
                  <w:r w:rsidRPr="002E5EAE">
                    <w:rPr>
                      <w:rFonts w:ascii="Arial Narrow" w:hAnsi="Arial Narrow" w:cs="Arial"/>
                    </w:rPr>
                    <w:t>, el contratista deberá anexar el certificado de marca del modelo ofertado, al momento de la entrega del bien.</w:t>
                  </w:r>
                </w:p>
                <w:p w14:paraId="75ACEA93"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rPr>
                    <w:t>El Detector Multigas deberá contar con las certificaciones de la directiva ATEX 2014/34/UE &amp; IECEx, cumplimiento de calidad y calibración para Atmósferas explosivas, las cuales se anexarán al momento de la entrega del bien.</w:t>
                  </w:r>
                </w:p>
                <w:p w14:paraId="05B00DCE" w14:textId="77777777" w:rsidR="002E5EAE" w:rsidRPr="002E5EAE" w:rsidRDefault="002E5EAE" w:rsidP="002E5EAE">
                  <w:pPr>
                    <w:pStyle w:val="Prrafodelista"/>
                    <w:numPr>
                      <w:ilvl w:val="0"/>
                      <w:numId w:val="16"/>
                    </w:numPr>
                    <w:autoSpaceDE w:val="0"/>
                    <w:autoSpaceDN w:val="0"/>
                    <w:adjustRightInd w:val="0"/>
                    <w:spacing w:after="0" w:line="240" w:lineRule="auto"/>
                    <w:jc w:val="both"/>
                    <w:rPr>
                      <w:rFonts w:ascii="Arial Narrow" w:hAnsi="Arial Narrow" w:cs="Arial"/>
                    </w:rPr>
                  </w:pPr>
                  <w:r w:rsidRPr="002E5EAE">
                    <w:rPr>
                      <w:rFonts w:ascii="Arial Narrow" w:hAnsi="Arial Narrow" w:cs="Arial"/>
                    </w:rPr>
                    <w:t>El contratista, deberá acreditar el cumplimiento de la norma MIL-STD-810G, que certifica la durabilidad de equipos ante condiciones ambientales extremas como caídas, vibraciones, polvo, humedad y temperaturas extremas. </w:t>
                  </w:r>
                </w:p>
                <w:p w14:paraId="4E0E49D0" w14:textId="77777777" w:rsidR="002E5EAE" w:rsidRPr="002E5EAE" w:rsidRDefault="002E5EAE" w:rsidP="00215A3A">
                  <w:pPr>
                    <w:pStyle w:val="Prrafodelista"/>
                    <w:autoSpaceDE w:val="0"/>
                    <w:autoSpaceDN w:val="0"/>
                    <w:adjustRightInd w:val="0"/>
                    <w:spacing w:after="0" w:line="240" w:lineRule="auto"/>
                    <w:jc w:val="both"/>
                    <w:rPr>
                      <w:rFonts w:ascii="Arial Narrow" w:hAnsi="Arial Narrow" w:cs="Arial"/>
                    </w:rPr>
                  </w:pPr>
                </w:p>
                <w:p w14:paraId="15329053" w14:textId="77777777" w:rsidR="002E5EAE" w:rsidRPr="002E5EAE" w:rsidRDefault="002E5EAE" w:rsidP="00215A3A">
                  <w:pPr>
                    <w:autoSpaceDE w:val="0"/>
                    <w:autoSpaceDN w:val="0"/>
                    <w:adjustRightInd w:val="0"/>
                    <w:jc w:val="both"/>
                    <w:rPr>
                      <w:rFonts w:ascii="Arial Narrow" w:hAnsi="Arial Narrow" w:cs="Arial"/>
                    </w:rPr>
                  </w:pPr>
                </w:p>
                <w:p w14:paraId="4FD778DF" w14:textId="77777777" w:rsidR="002E5EAE" w:rsidRPr="002E5EAE" w:rsidRDefault="002E5EAE" w:rsidP="00215A3A">
                  <w:pPr>
                    <w:autoSpaceDE w:val="0"/>
                    <w:autoSpaceDN w:val="0"/>
                    <w:adjustRightInd w:val="0"/>
                    <w:jc w:val="both"/>
                    <w:rPr>
                      <w:rFonts w:ascii="Arial Narrow" w:hAnsi="Arial Narrow" w:cs="Arial"/>
                      <w:b/>
                    </w:rPr>
                  </w:pPr>
                  <w:r w:rsidRPr="002E5EAE">
                    <w:rPr>
                      <w:rFonts w:ascii="Arial Narrow" w:hAnsi="Arial Narrow" w:cs="Arial"/>
                      <w:b/>
                    </w:rPr>
                    <w:t>TRANSFERENCIA DE CONOCIMIENTO E INSTRUCCIÓN DE MANEJO Y USO DE DETECTOR MULTIGAS PORTATIL</w:t>
                  </w:r>
                </w:p>
                <w:p w14:paraId="1844F01C" w14:textId="77777777" w:rsidR="002E5EAE" w:rsidRPr="002E5EAE" w:rsidRDefault="002E5EAE" w:rsidP="00215A3A">
                  <w:pPr>
                    <w:rPr>
                      <w:rFonts w:ascii="Arial Narrow" w:hAnsi="Arial Narrow" w:cs="Arial"/>
                      <w:b/>
                    </w:rPr>
                  </w:pPr>
                </w:p>
                <w:p w14:paraId="27BC27A2" w14:textId="77777777" w:rsidR="002E5EAE" w:rsidRPr="002E5EAE" w:rsidRDefault="002E5EAE" w:rsidP="00215A3A">
                  <w:pPr>
                    <w:jc w:val="both"/>
                    <w:rPr>
                      <w:rFonts w:ascii="Arial Narrow" w:hAnsi="Arial Narrow" w:cs="Arial"/>
                      <w:bCs/>
                    </w:rPr>
                  </w:pPr>
                  <w:r w:rsidRPr="002E5EAE">
                    <w:rPr>
                      <w:rFonts w:ascii="Arial Narrow" w:hAnsi="Arial Narrow" w:cs="Arial"/>
                    </w:rPr>
                    <w:t>El contratista deberá realizar la transferencia de conocimiento e impartir instrucción de manejo y uso de los bienes a adquirir, donde incluya aspectos como uso seguro del equipo, interpretación de lecturas, verificación funcional (bump test), manejo de alarmas, principios de calibración, operación en atmósferas explosivas (ATEX/IECEx), mantenimiento preventivo de acuerdo al manual del fabricante. Dicha transferencia de conocimientos se deberá hacer por medio de personal idóneo, capacitado y certificado por el fabricante, a mínimo trece (13) servidores de Grupo de Explosivos e Incendios, que el supervisor del contrato designe, adscritos a la Dirección del Cuerpo Técnico de Investigación CTI. La transferencia de conocimiento e instrucción deberá realizarse en idioma español, proporcionando el material de estudio a cada servidor participante.</w:t>
                  </w:r>
                </w:p>
                <w:p w14:paraId="784933EF" w14:textId="77777777" w:rsidR="002E5EAE" w:rsidRPr="002E5EAE" w:rsidRDefault="002E5EAE" w:rsidP="00215A3A">
                  <w:pPr>
                    <w:jc w:val="both"/>
                    <w:rPr>
                      <w:rFonts w:ascii="Arial Narrow" w:hAnsi="Arial Narrow" w:cs="Arial"/>
                      <w:bCs/>
                    </w:rPr>
                  </w:pPr>
                </w:p>
                <w:p w14:paraId="2B5A5FF8" w14:textId="77777777" w:rsidR="002E5EAE" w:rsidRPr="002E5EAE" w:rsidRDefault="002E5EAE" w:rsidP="00215A3A">
                  <w:pPr>
                    <w:jc w:val="both"/>
                    <w:rPr>
                      <w:rFonts w:ascii="Arial Narrow" w:hAnsi="Arial Narrow" w:cs="Arial"/>
                      <w:bCs/>
                    </w:rPr>
                  </w:pPr>
                  <w:r w:rsidRPr="002E5EAE">
                    <w:rPr>
                      <w:rFonts w:ascii="Arial Narrow" w:hAnsi="Arial Narrow" w:cs="Arial"/>
                      <w:bCs/>
                    </w:rPr>
                    <w:t xml:space="preserve">Para impartir la transferencia de conocimiento e instrucción de manejo de los equipos a adquirir, el contratista deberá tener en cuenta como mínimo los siguientes aspectos: </w:t>
                  </w:r>
                </w:p>
                <w:p w14:paraId="45208895"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Como hacer ajuste/calibración de sensores según manual del fabricante.</w:t>
                  </w:r>
                </w:p>
                <w:p w14:paraId="0C248DA8"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Interpretación de fallas o desviaciones.</w:t>
                  </w:r>
                </w:p>
                <w:p w14:paraId="715B0B1E"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Conceptos básicos de calibración, exactitud y trazabilidad.</w:t>
                  </w:r>
                </w:p>
                <w:p w14:paraId="4CC67ABB"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lastRenderedPageBreak/>
                    <w:t>Periodicidad de calibración recomendada por fabricante.</w:t>
                  </w:r>
                </w:p>
                <w:p w14:paraId="755F2315"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Lectura e interpretación de certificados ONAC.</w:t>
                  </w:r>
                </w:p>
                <w:p w14:paraId="5DD1E3F3"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Limitaciones del equipo según su certificación.</w:t>
                  </w:r>
                </w:p>
                <w:p w14:paraId="5822BCEA"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Riesgos por uso indebido (chispas, temperatura superficial).</w:t>
                  </w:r>
                </w:p>
                <w:p w14:paraId="47B63C77"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Prácticas de operación seguras en zonas clasificadas.</w:t>
                  </w:r>
                </w:p>
                <w:p w14:paraId="353A8ACE"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Rangos normales y niveles de alarma.</w:t>
                  </w:r>
                </w:p>
                <w:p w14:paraId="21EBD80E"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Efectos fisiológicos de gases tóxicos y asfixiantes.</w:t>
                  </w:r>
                </w:p>
                <w:p w14:paraId="6FCC550B"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Lectura correcta de valores en tiempo real.</w:t>
                  </w:r>
                </w:p>
                <w:p w14:paraId="0CE77D89" w14:textId="77777777" w:rsidR="002E5EAE" w:rsidRPr="002E5EAE" w:rsidRDefault="002E5EAE" w:rsidP="00215A3A">
                  <w:pPr>
                    <w:jc w:val="both"/>
                    <w:rPr>
                      <w:rFonts w:ascii="Arial Narrow" w:hAnsi="Arial Narrow" w:cs="Arial"/>
                      <w:bCs/>
                    </w:rPr>
                  </w:pPr>
                </w:p>
                <w:p w14:paraId="27C7B209" w14:textId="77777777" w:rsidR="002E5EAE" w:rsidRPr="002E5EAE" w:rsidRDefault="002E5EAE" w:rsidP="00215A3A">
                  <w:pPr>
                    <w:jc w:val="both"/>
                    <w:rPr>
                      <w:rFonts w:ascii="Arial Narrow" w:hAnsi="Arial Narrow" w:cs="Arial"/>
                      <w:bCs/>
                    </w:rPr>
                  </w:pPr>
                  <w:r w:rsidRPr="002E5EAE">
                    <w:rPr>
                      <w:rFonts w:ascii="Arial Narrow" w:hAnsi="Arial Narrow" w:cs="Arial"/>
                      <w:b/>
                    </w:rPr>
                    <w:t xml:space="preserve">Mantenimientos preventivos: </w:t>
                  </w:r>
                  <w:r w:rsidRPr="002E5EAE">
                    <w:rPr>
                      <w:rFonts w:ascii="Arial Narrow" w:hAnsi="Arial Narrow" w:cs="Arial"/>
                      <w:bCs/>
                    </w:rPr>
                    <w:t>Basado en los procedimientos de gestión de detectores de gases usados en Colombia, tener en cuenta los siguientes temas:</w:t>
                  </w:r>
                </w:p>
                <w:p w14:paraId="3305BEC4" w14:textId="77777777" w:rsidR="002E5EAE" w:rsidRPr="002E5EAE" w:rsidRDefault="002E5EAE" w:rsidP="00215A3A">
                  <w:pPr>
                    <w:jc w:val="both"/>
                    <w:rPr>
                      <w:rFonts w:ascii="Arial Narrow" w:hAnsi="Arial Narrow" w:cs="Arial"/>
                      <w:b/>
                    </w:rPr>
                  </w:pPr>
                  <w:r w:rsidRPr="002E5EAE">
                    <w:rPr>
                      <w:rFonts w:ascii="Arial Narrow" w:hAnsi="Arial Narrow" w:cs="Arial"/>
                      <w:b/>
                    </w:rPr>
                    <w:t xml:space="preserve"> </w:t>
                  </w:r>
                </w:p>
                <w:p w14:paraId="7E742138" w14:textId="77777777" w:rsidR="002E5EAE" w:rsidRPr="002E5EAE" w:rsidRDefault="002E5EAE" w:rsidP="00215A3A">
                  <w:pPr>
                    <w:jc w:val="both"/>
                    <w:rPr>
                      <w:rFonts w:ascii="Arial Narrow" w:hAnsi="Arial Narrow" w:cs="Arial"/>
                      <w:bCs/>
                    </w:rPr>
                  </w:pPr>
                  <w:r w:rsidRPr="002E5EAE">
                    <w:rPr>
                      <w:rFonts w:ascii="Arial Narrow" w:hAnsi="Arial Narrow" w:cs="Arial"/>
                      <w:bCs/>
                    </w:rPr>
                    <w:t>Limpieza, inspecciones rutinarias y vida útil de sensores.</w:t>
                  </w:r>
                </w:p>
                <w:p w14:paraId="482B4E24" w14:textId="77777777" w:rsidR="002E5EAE" w:rsidRPr="002E5EAE" w:rsidRDefault="002E5EAE" w:rsidP="00215A3A">
                  <w:pPr>
                    <w:jc w:val="both"/>
                    <w:rPr>
                      <w:rFonts w:ascii="Arial Narrow" w:hAnsi="Arial Narrow" w:cs="Arial"/>
                      <w:bCs/>
                    </w:rPr>
                  </w:pPr>
                  <w:r w:rsidRPr="002E5EAE">
                    <w:rPr>
                      <w:rFonts w:ascii="Arial Narrow" w:hAnsi="Arial Narrow" w:cs="Arial"/>
                      <w:bCs/>
                    </w:rPr>
                    <w:t>Manejo de baterías, filtros y accesorios.</w:t>
                  </w:r>
                </w:p>
                <w:p w14:paraId="40618B07" w14:textId="77777777" w:rsidR="002E5EAE" w:rsidRPr="002E5EAE" w:rsidRDefault="002E5EAE" w:rsidP="00215A3A">
                  <w:pPr>
                    <w:jc w:val="both"/>
                    <w:rPr>
                      <w:rFonts w:ascii="Arial Narrow" w:hAnsi="Arial Narrow" w:cs="Arial"/>
                      <w:bCs/>
                    </w:rPr>
                  </w:pPr>
                  <w:r w:rsidRPr="002E5EAE">
                    <w:rPr>
                      <w:rFonts w:ascii="Arial Narrow" w:hAnsi="Arial Narrow" w:cs="Arial"/>
                      <w:bCs/>
                    </w:rPr>
                    <w:t>Registro de inspecciones y controles operativos.</w:t>
                  </w:r>
                </w:p>
                <w:p w14:paraId="791F5E1C" w14:textId="77777777" w:rsidR="002E5EAE" w:rsidRPr="002E5EAE" w:rsidRDefault="002E5EAE" w:rsidP="00215A3A">
                  <w:pPr>
                    <w:jc w:val="both"/>
                    <w:rPr>
                      <w:rFonts w:ascii="Arial Narrow" w:hAnsi="Arial Narrow" w:cs="Arial"/>
                      <w:bCs/>
                    </w:rPr>
                  </w:pPr>
                </w:p>
                <w:p w14:paraId="436A5ED1" w14:textId="77777777" w:rsidR="002E5EAE" w:rsidRPr="002E5EAE" w:rsidRDefault="002E5EAE" w:rsidP="00215A3A">
                  <w:pPr>
                    <w:jc w:val="both"/>
                    <w:rPr>
                      <w:rFonts w:ascii="Arial Narrow" w:hAnsi="Arial Narrow" w:cs="Arial"/>
                      <w:bCs/>
                    </w:rPr>
                  </w:pPr>
                  <w:r w:rsidRPr="002E5EAE">
                    <w:rPr>
                      <w:rFonts w:ascii="Arial Narrow" w:hAnsi="Arial Narrow" w:cs="Arial"/>
                      <w:bCs/>
                    </w:rPr>
                    <w:t xml:space="preserve">Como usarlo conforme las normas de calidad </w:t>
                  </w:r>
                </w:p>
                <w:p w14:paraId="62C4617F"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Funcionamiento del modelo específico.</w:t>
                  </w:r>
                </w:p>
                <w:p w14:paraId="22DD42B8"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Software, descarga de datos y configuración avanzada.</w:t>
                  </w:r>
                </w:p>
                <w:p w14:paraId="1D5550CE" w14:textId="77777777" w:rsidR="002E5EAE" w:rsidRPr="002E5EAE" w:rsidRDefault="002E5EAE" w:rsidP="002E5EAE">
                  <w:pPr>
                    <w:pStyle w:val="Prrafodelista"/>
                    <w:numPr>
                      <w:ilvl w:val="0"/>
                      <w:numId w:val="16"/>
                    </w:numPr>
                    <w:spacing w:after="0" w:line="240" w:lineRule="auto"/>
                    <w:jc w:val="both"/>
                    <w:rPr>
                      <w:rFonts w:ascii="Arial Narrow" w:hAnsi="Arial Narrow" w:cs="Arial"/>
                      <w:bCs/>
                    </w:rPr>
                  </w:pPr>
                  <w:r w:rsidRPr="002E5EAE">
                    <w:rPr>
                      <w:rFonts w:ascii="Arial Narrow" w:hAnsi="Arial Narrow" w:cs="Arial"/>
                      <w:bCs/>
                    </w:rPr>
                    <w:t>Actualización de firmware, (si aplica).</w:t>
                  </w:r>
                </w:p>
                <w:p w14:paraId="6D09BF02" w14:textId="77777777" w:rsidR="002E5EAE" w:rsidRPr="002E5EAE" w:rsidRDefault="002E5EAE" w:rsidP="00215A3A">
                  <w:pPr>
                    <w:jc w:val="both"/>
                    <w:rPr>
                      <w:rFonts w:ascii="Arial Narrow" w:hAnsi="Arial Narrow" w:cs="Arial"/>
                      <w:bCs/>
                    </w:rPr>
                  </w:pPr>
                </w:p>
                <w:p w14:paraId="29F19734" w14:textId="77777777" w:rsidR="002E5EAE" w:rsidRPr="002E5EAE" w:rsidRDefault="002E5EAE" w:rsidP="00215A3A">
                  <w:pPr>
                    <w:jc w:val="both"/>
                    <w:rPr>
                      <w:rFonts w:ascii="Arial Narrow" w:hAnsi="Arial Narrow" w:cs="Arial"/>
                    </w:rPr>
                  </w:pPr>
                  <w:r w:rsidRPr="002E5EAE">
                    <w:rPr>
                      <w:rFonts w:ascii="Arial Narrow" w:hAnsi="Arial Narrow" w:cs="Arial"/>
                    </w:rPr>
                    <w:t>El contratista deberá entregar certificado de asistencia a cada uno de los participantes en la transferencia de conocimiento e instrucción. Así como también un documento en el que certifique la asistencia, la intensidad horaria y transferencia de conocimientos certificaciones relacionadas con los temas en que se desarrolle la transferencia de conocimiento e instrucción, las cuales serán objeto de verificación por parte del supervisor.</w:t>
                  </w:r>
                </w:p>
                <w:p w14:paraId="344279E3" w14:textId="77777777" w:rsidR="002E5EAE" w:rsidRPr="002E5EAE" w:rsidRDefault="002E5EAE" w:rsidP="00215A3A">
                  <w:pPr>
                    <w:jc w:val="both"/>
                    <w:rPr>
                      <w:rFonts w:ascii="Arial Narrow" w:hAnsi="Arial Narrow" w:cs="Arial"/>
                    </w:rPr>
                  </w:pPr>
                </w:p>
                <w:p w14:paraId="754AC4B1" w14:textId="77777777" w:rsidR="002E5EAE" w:rsidRPr="002E5EAE" w:rsidRDefault="002E5EAE" w:rsidP="00215A3A">
                  <w:pPr>
                    <w:jc w:val="both"/>
                    <w:rPr>
                      <w:rFonts w:ascii="Arial Narrow" w:hAnsi="Arial Narrow" w:cs="Arial"/>
                    </w:rPr>
                  </w:pPr>
                  <w:r w:rsidRPr="002E5EAE">
                    <w:rPr>
                      <w:rFonts w:ascii="Arial Narrow" w:hAnsi="Arial Narrow" w:cs="Arial"/>
                    </w:rPr>
                    <w:t xml:space="preserve">La Intensidad horaria de la transferencia de conocimiento e instrucción de manejo del bien a adquirir será de mínimo (8) horas, en caso de requerirse horas adicionales, el supervisor del contrato y contratista deberán acordar el tiempo adicional. La Capacitación e instrucción de manejo se llevarán a cabo en las instalaciones del contratista o de la entidad (FGN), en caso de que las partes consideren conveniente, según las conveniencias institucionales, el contratista y supervisor deberán realizar las coordinaciones necesarias antes de iniciar el plan de capacitación.  </w:t>
                  </w:r>
                </w:p>
                <w:p w14:paraId="5068A23A" w14:textId="77777777" w:rsidR="002E5EAE" w:rsidRPr="002E5EAE" w:rsidRDefault="002E5EAE" w:rsidP="00215A3A">
                  <w:pPr>
                    <w:autoSpaceDE w:val="0"/>
                    <w:autoSpaceDN w:val="0"/>
                    <w:adjustRightInd w:val="0"/>
                    <w:jc w:val="both"/>
                    <w:rPr>
                      <w:rFonts w:ascii="Arial Narrow" w:hAnsi="Arial Narrow" w:cs="Arial"/>
                    </w:rPr>
                  </w:pPr>
                </w:p>
                <w:p w14:paraId="59246283" w14:textId="77777777" w:rsidR="002E5EAE" w:rsidRPr="002E5EAE" w:rsidRDefault="002E5EAE" w:rsidP="00215A3A">
                  <w:pPr>
                    <w:rPr>
                      <w:rFonts w:ascii="Arial Narrow" w:hAnsi="Arial Narrow" w:cs="Arial"/>
                      <w:b/>
                    </w:rPr>
                  </w:pPr>
                  <w:r w:rsidRPr="002E5EAE">
                    <w:rPr>
                      <w:rFonts w:ascii="Arial Narrow" w:hAnsi="Arial Narrow" w:cs="Arial"/>
                      <w:b/>
                    </w:rPr>
                    <w:t>ASPECTOS DE LA GARANTÍA DEL EQUIPO Y TÉRMINOS DE LA MISMA:</w:t>
                  </w:r>
                </w:p>
                <w:p w14:paraId="63E41474"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 xml:space="preserve">El período de garantía del equipo será por un término mínimo de doce (12) meses, donde garantice el correcto funcionamiento y calidad de los equipos detectores multi gases portátiles a adquirir, con todos sus componentes, así como el suministro de los componentes y partes requeridas para cumplir con los mantenimientos, el soporte y la asistencia </w:t>
                  </w:r>
                  <w:r w:rsidRPr="002E5EAE">
                    <w:rPr>
                      <w:rFonts w:ascii="Arial Narrow" w:hAnsi="Arial Narrow" w:cs="Arial"/>
                    </w:rPr>
                    <w:lastRenderedPageBreak/>
                    <w:t>técnica. Garantía que se deberá cumplir a partir de la fecha de entrega y recibido a satisfacción del bien a adquirir.</w:t>
                  </w:r>
                </w:p>
                <w:p w14:paraId="3FF19050"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La garantía de los equipos detectores multi gas portátil, se deberá brindar por medio de personal técnico calificado, idóneo y certificado por fábrica, a fin de brindar un excelente soporte y asistencia, si los equipos o sus partes sufren daño por defectos de fábrica, mala calidad de los componentes, desperfectos, fallas y</w:t>
                  </w:r>
                </w:p>
                <w:p w14:paraId="313A35AA" w14:textId="77777777" w:rsidR="002E5EAE" w:rsidRPr="002E5EAE" w:rsidRDefault="002E5EAE" w:rsidP="00215A3A">
                  <w:pPr>
                    <w:pStyle w:val="Prrafodelista"/>
                    <w:jc w:val="both"/>
                    <w:rPr>
                      <w:rFonts w:ascii="Arial Narrow" w:hAnsi="Arial Narrow" w:cs="Arial"/>
                    </w:rPr>
                  </w:pPr>
                  <w:r w:rsidRPr="002E5EAE">
                    <w:rPr>
                      <w:rFonts w:ascii="Arial Narrow" w:hAnsi="Arial Narrow" w:cs="Arial"/>
                    </w:rPr>
                    <w:t>demás.</w:t>
                  </w:r>
                </w:p>
                <w:p w14:paraId="2129841D" w14:textId="77777777" w:rsidR="002E5EAE" w:rsidRPr="002E5EAE" w:rsidRDefault="002E5EAE" w:rsidP="00215A3A">
                  <w:pPr>
                    <w:pStyle w:val="Prrafodelista"/>
                    <w:jc w:val="both"/>
                    <w:rPr>
                      <w:rFonts w:ascii="Arial Narrow" w:hAnsi="Arial Narrow" w:cs="Arial"/>
                    </w:rPr>
                  </w:pPr>
                  <w:r w:rsidRPr="002E5EAE">
                    <w:rPr>
                      <w:rFonts w:ascii="Arial Narrow" w:hAnsi="Arial Narrow" w:cs="Arial"/>
                    </w:rPr>
                    <w:t>Dichas solicitudes de asistencia y requerimientos de garantía deberán recibirse mediante servicio telefónico, mensajería instantánea, correo electrónico y demás conforme el acuerdo del plan de garantía que se adelante entre contratista y supervisor del contrato, una vez se dé inicio al mismo.</w:t>
                  </w:r>
                </w:p>
                <w:p w14:paraId="50BE1FB4"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Dentro del tiempo de la garantía el contratista se compromete a realizar los mantenimientos preventivos que sean necesarios, así como los mantenimientos correctivos que sean solicitados por parte del supervisor del contrato, el contratista deberá atenderlo de inmediato conforme las coordinaciones que se hagan con el supervisor del contrato, el cual deberá emitir los respectivos vistos</w:t>
                  </w:r>
                </w:p>
                <w:p w14:paraId="28D32E0F" w14:textId="77777777" w:rsidR="002E5EAE" w:rsidRPr="002E5EAE" w:rsidRDefault="002E5EAE" w:rsidP="00215A3A">
                  <w:pPr>
                    <w:pStyle w:val="Prrafodelista"/>
                    <w:jc w:val="both"/>
                    <w:rPr>
                      <w:rFonts w:ascii="Arial Narrow" w:hAnsi="Arial Narrow" w:cs="Arial"/>
                    </w:rPr>
                  </w:pPr>
                  <w:r w:rsidRPr="002E5EAE">
                    <w:rPr>
                      <w:rFonts w:ascii="Arial Narrow" w:hAnsi="Arial Narrow" w:cs="Arial"/>
                    </w:rPr>
                    <w:t>buenos después de cada acción correctiva.</w:t>
                  </w:r>
                </w:p>
                <w:p w14:paraId="489ABDFB"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Los componentes que presenten fallas o que no cumplan con las especificaciones técnicas de funcionamiento, el CONTRATISTA deberá corregir tal novedad con la reposición de los mismos, sin ningún costo adicional para la entidad, por tal motivo deberá subsanarlas por elementos iguales con total compatibilidad con el resto del equipo multi gas portátil que se encuentre presentando fallas.</w:t>
                  </w:r>
                </w:p>
                <w:p w14:paraId="7377196D"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 xml:space="preserve">Para asegurar una buena garantía, soporte y asistencia en sitio, con atención de manera permanente, el contratista deberá contar con instalaciones físicas en la ciudad de Bogotá, con capacidad de realizar mantenimientos preventivos y correctivos, al igual que mínimo un (1) técnico o ingeniero calificado e idóneo y los técnicos auxiliares que sean necesarios según el caso, para brindar un buen servicio técnico en sitio donde el supervisor del contrato indique), con la especialidad e idoneidad garantizada y certificada por la casa fabricante. </w:t>
                  </w:r>
                </w:p>
                <w:p w14:paraId="3B17633C"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Si dentro del periodo de garantía uno de los equipos multi gas portátil deba ser llevado a fabrica por fallas en el funcionamiento inferiores a dos (2) fallas, el contratista se compromete a coordinar por medio del supervisor del contrato todas las diligencias y gestiones pertinentes para agilizar la solución a las fallas, cubriendo todos los costos que este procedimiento genere, hasta devolver el bien nuevamente (supervisor del contrato), en la ciudad de Bogotá. Si el procedimiento demora más de quince (15) días calendario, el contratista informará al supervisor del contrato y se comprometerá con fábrica a dar solución de los daños y entregar en correcto funcionamiento el equipo multi gas en un tiempo no superior a 25 días calendario, sin que esto genere algún costo adicional para la entidad.</w:t>
                  </w:r>
                </w:p>
                <w:p w14:paraId="0B46B95C"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 xml:space="preserve">Dentro de la garantía el contratista deberá responder a cualquier requerimiento (soporte técnico), en un término no superior a cuatro (4) horas día calendario, cuando éste sea requerido mediante llamada telefónica u otro medio de comunicación efectivo, realizada por el supervisor del contrato o la persona que se delegue por la entidad para tal procedimiento. En este sentido, el contratista deberá contar con </w:t>
                  </w:r>
                  <w:r w:rsidRPr="002E5EAE">
                    <w:rPr>
                      <w:rFonts w:ascii="Arial Narrow" w:hAnsi="Arial Narrow" w:cs="Arial"/>
                    </w:rPr>
                    <w:lastRenderedPageBreak/>
                    <w:t xml:space="preserve">personal e instalaciones para brindar el soporte técnico en la ciudad de Bogotá. </w:t>
                  </w:r>
                </w:p>
                <w:p w14:paraId="3341B99E" w14:textId="77777777" w:rsidR="002E5EAE" w:rsidRPr="002E5EAE" w:rsidRDefault="002E5EAE" w:rsidP="002E5EAE">
                  <w:pPr>
                    <w:pStyle w:val="Prrafodelista"/>
                    <w:numPr>
                      <w:ilvl w:val="0"/>
                      <w:numId w:val="16"/>
                    </w:numPr>
                    <w:spacing w:after="0" w:line="240" w:lineRule="auto"/>
                    <w:jc w:val="both"/>
                    <w:rPr>
                      <w:rFonts w:ascii="Arial Narrow" w:hAnsi="Arial Narrow" w:cs="Arial"/>
                    </w:rPr>
                  </w:pPr>
                  <w:r w:rsidRPr="002E5EAE">
                    <w:rPr>
                      <w:rFonts w:ascii="Arial Narrow" w:hAnsi="Arial Narrow" w:cs="Arial"/>
                    </w:rPr>
                    <w:t xml:space="preserve">De ser necesario atención personalizada, por cualquier daño de los equipos multi gas portátiles, el contratista deberá brindar atención en sitio y solucionar la falla dentro de la ciudad de Bogotá, D.C., máximo en dos (2) días calendario, después de notificada la falla; si el daño es considerable el contratista deberá solucionarlo en máximo 5 días calendario; si el daño es crítico pero no amerita cambio de repuestos, el contratista tendrá hasta diez (10) días calendario para solucionar la falla, si el daño es crítico y requiere cambio de repuestos que se encuentren en stock, el contratista tendrá hasta quince (15) días calendario para solucionar la falla, siempre y cuando el supervisor del contrato autorice tal procedimiento. </w:t>
                  </w:r>
                </w:p>
                <w:p w14:paraId="7B7AA8E7" w14:textId="77777777" w:rsidR="002E5EAE" w:rsidRPr="002E5EAE" w:rsidRDefault="002E5EAE" w:rsidP="00215A3A">
                  <w:pPr>
                    <w:autoSpaceDE w:val="0"/>
                    <w:autoSpaceDN w:val="0"/>
                    <w:adjustRightInd w:val="0"/>
                    <w:jc w:val="both"/>
                    <w:rPr>
                      <w:rFonts w:ascii="Arial Narrow" w:hAnsi="Arial Narrow" w:cs="Arial"/>
                    </w:rPr>
                  </w:pP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r>
                  <w:r w:rsidRPr="002E5EAE">
                    <w:rPr>
                      <w:rFonts w:ascii="Arial Narrow" w:hAnsi="Arial Narrow" w:cs="Arial"/>
                    </w:rPr>
                    <w:softHyphen/>
                    <w:t>_______________________________________________</w:t>
                  </w:r>
                </w:p>
              </w:tc>
            </w:tr>
            <w:tr w:rsidR="002E5EAE" w:rsidRPr="002E5EAE" w14:paraId="479F979E" w14:textId="77777777" w:rsidTr="00215A3A">
              <w:trPr>
                <w:trHeight w:val="1049"/>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5B7A9FA" w14:textId="77777777" w:rsidR="002E5EAE" w:rsidRPr="002E5EAE" w:rsidRDefault="002E5EAE" w:rsidP="00215A3A">
                  <w:pPr>
                    <w:jc w:val="center"/>
                    <w:rPr>
                      <w:rFonts w:ascii="Arial Narrow" w:hAnsi="Arial Narrow" w:cs="Arial"/>
                      <w:b/>
                      <w:bCs/>
                    </w:rPr>
                  </w:pPr>
                  <w:r w:rsidRPr="002E5EAE">
                    <w:rPr>
                      <w:rFonts w:ascii="Arial Narrow" w:hAnsi="Arial Narrow" w:cs="Arial"/>
                      <w:b/>
                      <w:bCs/>
                    </w:rPr>
                    <w:lastRenderedPageBreak/>
                    <w:t>Empaque  y rotulado</w:t>
                  </w:r>
                </w:p>
              </w:tc>
              <w:tc>
                <w:tcPr>
                  <w:tcW w:w="6662"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200BC7A" w14:textId="77777777" w:rsidR="002E5EAE" w:rsidRPr="002E5EAE" w:rsidRDefault="002E5EAE" w:rsidP="00215A3A">
                  <w:pPr>
                    <w:jc w:val="both"/>
                    <w:rPr>
                      <w:rFonts w:ascii="Arial Narrow" w:hAnsi="Arial Narrow" w:cs="Arial"/>
                    </w:rPr>
                  </w:pPr>
                  <w:r w:rsidRPr="002E5EAE">
                    <w:rPr>
                      <w:rFonts w:ascii="Arial Narrow" w:hAnsi="Arial Narrow" w:cs="Arial"/>
                    </w:rPr>
                    <w:t>El producto debe estar rotulado indicando fabricante o marca registrada.</w:t>
                  </w:r>
                </w:p>
                <w:p w14:paraId="014B7A4D" w14:textId="77777777" w:rsidR="002E5EAE" w:rsidRPr="002E5EAE" w:rsidRDefault="002E5EAE" w:rsidP="00215A3A">
                  <w:pPr>
                    <w:jc w:val="both"/>
                    <w:rPr>
                      <w:rFonts w:ascii="Arial Narrow" w:hAnsi="Arial Narrow" w:cs="Arial"/>
                    </w:rPr>
                  </w:pPr>
                  <w:r w:rsidRPr="002E5EAE">
                    <w:rPr>
                      <w:rFonts w:ascii="Arial Narrow" w:hAnsi="Arial Narrow" w:cs="Arial"/>
                    </w:rPr>
                    <w:t>Empacado de forma tal que se garantice la conservación de la calidad durante su almacenamiento y transporte.</w:t>
                  </w:r>
                </w:p>
              </w:tc>
            </w:tr>
            <w:tr w:rsidR="002E5EAE" w:rsidRPr="002E5EAE" w14:paraId="76C0AD13" w14:textId="77777777" w:rsidTr="00215A3A">
              <w:trPr>
                <w:trHeight w:val="770"/>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088525A" w14:textId="77777777" w:rsidR="002E5EAE" w:rsidRPr="002E5EAE" w:rsidRDefault="002E5EAE" w:rsidP="00215A3A">
                  <w:pPr>
                    <w:tabs>
                      <w:tab w:val="left" w:pos="7740"/>
                    </w:tabs>
                    <w:jc w:val="center"/>
                    <w:rPr>
                      <w:rFonts w:ascii="Arial Narrow" w:hAnsi="Arial Narrow" w:cs="Arial"/>
                      <w:b/>
                      <w:bCs/>
                    </w:rPr>
                  </w:pPr>
                  <w:r w:rsidRPr="002E5EAE">
                    <w:rPr>
                      <w:rFonts w:ascii="Arial Narrow" w:hAnsi="Arial Narrow" w:cs="Arial"/>
                      <w:b/>
                      <w:bCs/>
                    </w:rPr>
                    <w:t>Presentación y Unidad de Medida</w:t>
                  </w:r>
                </w:p>
              </w:tc>
              <w:tc>
                <w:tcPr>
                  <w:tcW w:w="6662"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8CC36B7" w14:textId="77777777" w:rsidR="002E5EAE" w:rsidRPr="002E5EAE" w:rsidRDefault="002E5EAE" w:rsidP="00215A3A">
                  <w:pPr>
                    <w:tabs>
                      <w:tab w:val="left" w:pos="7740"/>
                    </w:tabs>
                    <w:rPr>
                      <w:rFonts w:ascii="Arial Narrow" w:hAnsi="Arial Narrow" w:cs="Arial"/>
                    </w:rPr>
                  </w:pPr>
                </w:p>
                <w:p w14:paraId="6D5BD329" w14:textId="77777777" w:rsidR="002E5EAE" w:rsidRPr="002E5EAE" w:rsidRDefault="002E5EAE" w:rsidP="00215A3A">
                  <w:pPr>
                    <w:tabs>
                      <w:tab w:val="left" w:pos="7740"/>
                    </w:tabs>
                    <w:rPr>
                      <w:rFonts w:ascii="Arial Narrow" w:hAnsi="Arial Narrow" w:cs="Arial"/>
                    </w:rPr>
                  </w:pPr>
                  <w:r w:rsidRPr="002E5EAE">
                    <w:rPr>
                      <w:rFonts w:ascii="Arial Narrow" w:hAnsi="Arial Narrow" w:cs="Arial"/>
                    </w:rPr>
                    <w:t>En estuche / kit portátil - Unidad</w:t>
                  </w:r>
                </w:p>
              </w:tc>
            </w:tr>
          </w:tbl>
          <w:p w14:paraId="58BCA25E" w14:textId="77777777" w:rsidR="002E5EAE" w:rsidRPr="002E5EAE" w:rsidRDefault="002E5EAE" w:rsidP="00215A3A">
            <w:pPr>
              <w:tabs>
                <w:tab w:val="left" w:pos="284"/>
              </w:tabs>
              <w:jc w:val="center"/>
              <w:rPr>
                <w:rFonts w:ascii="Arial Narrow" w:hAnsi="Arial Narrow" w:cs="Arial"/>
                <w:b/>
                <w:bCs/>
                <w:sz w:val="22"/>
                <w:szCs w:val="22"/>
              </w:rPr>
            </w:pPr>
          </w:p>
        </w:tc>
      </w:tr>
      <w:bookmarkEnd w:id="1"/>
    </w:tbl>
    <w:p w14:paraId="0E6227C0" w14:textId="77777777" w:rsidR="00581D04" w:rsidRPr="008856F6" w:rsidRDefault="00581D04" w:rsidP="00581D04">
      <w:pPr>
        <w:spacing w:after="0" w:line="240" w:lineRule="auto"/>
        <w:jc w:val="both"/>
        <w:rPr>
          <w:rFonts w:ascii="Arial Narrow" w:eastAsia="Arial Narrow" w:hAnsi="Arial Narrow" w:cs="Arial Narrow"/>
          <w:noProof/>
        </w:rPr>
      </w:pPr>
    </w:p>
    <w:p w14:paraId="4162C151" w14:textId="77777777" w:rsidR="00581D04" w:rsidRPr="008856F6" w:rsidRDefault="00581D04" w:rsidP="00581D04">
      <w:pPr>
        <w:jc w:val="cente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7BE232" w16cid:durableId="0000037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BA9DB" w14:textId="77777777" w:rsidR="00A844F6" w:rsidRDefault="00A844F6" w:rsidP="00BD33D0">
      <w:pPr>
        <w:spacing w:after="0" w:line="240" w:lineRule="auto"/>
      </w:pPr>
      <w:r>
        <w:separator/>
      </w:r>
    </w:p>
  </w:endnote>
  <w:endnote w:type="continuationSeparator" w:id="0">
    <w:p w14:paraId="0F0C5799" w14:textId="77777777" w:rsidR="00A844F6" w:rsidRDefault="00A844F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5F5776B8"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E5EAE" w:rsidRPr="002E5EAE">
            <w:rPr>
              <w:b/>
              <w:bCs/>
              <w:noProof/>
              <w:color w:val="4F81BD"/>
              <w:sz w:val="32"/>
              <w:szCs w:val="32"/>
              <w:lang w:val="es-ES"/>
            </w:rPr>
            <w:t>5</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17A45" w14:textId="77777777" w:rsidR="00A844F6" w:rsidRDefault="00A844F6" w:rsidP="00BD33D0">
      <w:pPr>
        <w:spacing w:after="0" w:line="240" w:lineRule="auto"/>
      </w:pPr>
      <w:r>
        <w:separator/>
      </w:r>
    </w:p>
  </w:footnote>
  <w:footnote w:type="continuationSeparator" w:id="0">
    <w:p w14:paraId="3E132D3D" w14:textId="77777777" w:rsidR="00A844F6" w:rsidRDefault="00A844F6"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3B221" w14:textId="77777777" w:rsidR="00CC1F8A" w:rsidRDefault="00A844F6">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6BF93" w14:textId="4ACCE144" w:rsidR="00CC1F8A" w:rsidRDefault="00A844F6"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EF51AA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115F" w14:textId="77777777" w:rsidR="00CC1F8A" w:rsidRDefault="00A844F6">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E101FE9"/>
    <w:multiLevelType w:val="hybridMultilevel"/>
    <w:tmpl w:val="D73816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296778"/>
    <w:multiLevelType w:val="hybridMultilevel"/>
    <w:tmpl w:val="423A36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8"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1"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8"/>
  </w:num>
  <w:num w:numId="3">
    <w:abstractNumId w:val="1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9"/>
  </w:num>
  <w:num w:numId="10">
    <w:abstractNumId w:val="1"/>
  </w:num>
  <w:num w:numId="11">
    <w:abstractNumId w:val="14"/>
  </w:num>
  <w:num w:numId="12">
    <w:abstractNumId w:val="13"/>
  </w:num>
  <w:num w:numId="13">
    <w:abstractNumId w:val="10"/>
  </w:num>
  <w:num w:numId="14">
    <w:abstractNumId w:val="4"/>
  </w:num>
  <w:num w:numId="15">
    <w:abstractNumId w:val="11"/>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2E5EAE"/>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221D"/>
    <w:rsid w:val="00951223"/>
    <w:rsid w:val="00977956"/>
    <w:rsid w:val="0099524B"/>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44F6"/>
    <w:rsid w:val="00A87CE6"/>
    <w:rsid w:val="00AA5F7E"/>
    <w:rsid w:val="00AE71C6"/>
    <w:rsid w:val="00B036FF"/>
    <w:rsid w:val="00B06949"/>
    <w:rsid w:val="00B13BD4"/>
    <w:rsid w:val="00B23778"/>
    <w:rsid w:val="00B26397"/>
    <w:rsid w:val="00B33EA4"/>
    <w:rsid w:val="00B355D9"/>
    <w:rsid w:val="00B80F6B"/>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uiPriority w:val="59"/>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AA5EB-9BB1-435C-AC86-286298A0C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1728</Words>
  <Characters>9504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70</cp:revision>
  <dcterms:created xsi:type="dcterms:W3CDTF">2021-05-20T21:00:00Z</dcterms:created>
  <dcterms:modified xsi:type="dcterms:W3CDTF">2026-06-23T23:45:00Z</dcterms:modified>
</cp:coreProperties>
</file>