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EBFDD" w14:textId="77777777" w:rsidR="00FE1A44" w:rsidRPr="00CB2A6B" w:rsidRDefault="00FE1A44" w:rsidP="0077727E">
      <w:pPr>
        <w:jc w:val="center"/>
        <w:rPr>
          <w:rFonts w:ascii="Verdana" w:hAnsi="Verdana" w:cs="Arial"/>
          <w:b/>
          <w:color w:val="000000" w:themeColor="text1"/>
        </w:rPr>
      </w:pPr>
      <w:bookmarkStart w:id="0" w:name="_GoBack"/>
      <w:bookmarkEnd w:id="0"/>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50AA65CC"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tbl>
      <w:tblPr>
        <w:tblStyle w:val="Tablaconcuadrcula"/>
        <w:tblW w:w="5000" w:type="pct"/>
        <w:tblLook w:val="04A0" w:firstRow="1" w:lastRow="0" w:firstColumn="1" w:lastColumn="0" w:noHBand="0" w:noVBand="1"/>
      </w:tblPr>
      <w:tblGrid>
        <w:gridCol w:w="349"/>
        <w:gridCol w:w="349"/>
        <w:gridCol w:w="349"/>
        <w:gridCol w:w="348"/>
        <w:gridCol w:w="348"/>
        <w:gridCol w:w="900"/>
        <w:gridCol w:w="348"/>
        <w:gridCol w:w="348"/>
        <w:gridCol w:w="348"/>
        <w:gridCol w:w="348"/>
        <w:gridCol w:w="348"/>
        <w:gridCol w:w="348"/>
        <w:gridCol w:w="886"/>
        <w:gridCol w:w="348"/>
        <w:gridCol w:w="348"/>
        <w:gridCol w:w="348"/>
        <w:gridCol w:w="348"/>
        <w:gridCol w:w="714"/>
        <w:gridCol w:w="333"/>
        <w:gridCol w:w="333"/>
        <w:gridCol w:w="926"/>
        <w:gridCol w:w="477"/>
      </w:tblGrid>
      <w:tr w:rsidR="005210A2" w:rsidRPr="001F4769" w14:paraId="4303D7AF" w14:textId="77777777" w:rsidTr="00FB14C6">
        <w:trPr>
          <w:cantSplit/>
          <w:trHeight w:val="1212"/>
        </w:trPr>
        <w:tc>
          <w:tcPr>
            <w:tcW w:w="170" w:type="pct"/>
            <w:vMerge w:val="restart"/>
            <w:shd w:val="clear" w:color="auto" w:fill="4D4D4D"/>
            <w:textDirection w:val="btLr"/>
          </w:tcPr>
          <w:p w14:paraId="74530E6E"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No.</w:t>
            </w:r>
          </w:p>
        </w:tc>
        <w:tc>
          <w:tcPr>
            <w:tcW w:w="170" w:type="pct"/>
            <w:vMerge w:val="restart"/>
            <w:shd w:val="clear" w:color="auto" w:fill="4D4D4D"/>
            <w:textDirection w:val="btLr"/>
          </w:tcPr>
          <w:p w14:paraId="315D9623"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Clase</w:t>
            </w:r>
          </w:p>
        </w:tc>
        <w:tc>
          <w:tcPr>
            <w:tcW w:w="170" w:type="pct"/>
            <w:vMerge w:val="restart"/>
            <w:shd w:val="clear" w:color="auto" w:fill="4D4D4D"/>
            <w:textDirection w:val="btLr"/>
          </w:tcPr>
          <w:p w14:paraId="6E558013"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Fuente</w:t>
            </w:r>
          </w:p>
        </w:tc>
        <w:tc>
          <w:tcPr>
            <w:tcW w:w="166" w:type="pct"/>
            <w:vMerge w:val="restart"/>
            <w:shd w:val="clear" w:color="auto" w:fill="4D4D4D"/>
            <w:textDirection w:val="btLr"/>
          </w:tcPr>
          <w:p w14:paraId="611F3E0E"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Etapa</w:t>
            </w:r>
          </w:p>
        </w:tc>
        <w:tc>
          <w:tcPr>
            <w:tcW w:w="166" w:type="pct"/>
            <w:vMerge w:val="restart"/>
            <w:shd w:val="clear" w:color="auto" w:fill="4D4D4D"/>
            <w:textDirection w:val="btLr"/>
          </w:tcPr>
          <w:p w14:paraId="069C8152"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Tipo</w:t>
            </w:r>
          </w:p>
        </w:tc>
        <w:tc>
          <w:tcPr>
            <w:tcW w:w="494" w:type="pct"/>
            <w:vMerge w:val="restart"/>
            <w:shd w:val="clear" w:color="auto" w:fill="4D4D4D"/>
            <w:textDirection w:val="btLr"/>
          </w:tcPr>
          <w:p w14:paraId="3D19DF49"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Descripción</w:t>
            </w:r>
          </w:p>
          <w:p w14:paraId="2497CBB6"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(Qué puede pasar y como puede ocurrir)</w:t>
            </w:r>
          </w:p>
          <w:p w14:paraId="6E6ED6F0"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81" w:type="pct"/>
            <w:vMerge w:val="restart"/>
            <w:shd w:val="clear" w:color="auto" w:fill="4D4D4D"/>
            <w:textDirection w:val="btLr"/>
          </w:tcPr>
          <w:p w14:paraId="2D389C84"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Consecuencia de la ocurrencia del evento</w:t>
            </w:r>
          </w:p>
        </w:tc>
        <w:tc>
          <w:tcPr>
            <w:tcW w:w="167" w:type="pct"/>
            <w:vMerge w:val="restart"/>
            <w:shd w:val="clear" w:color="auto" w:fill="4D4D4D"/>
            <w:textDirection w:val="btLr"/>
          </w:tcPr>
          <w:p w14:paraId="6FD93A02"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Probabilidad</w:t>
            </w:r>
          </w:p>
        </w:tc>
        <w:tc>
          <w:tcPr>
            <w:tcW w:w="167" w:type="pct"/>
            <w:vMerge w:val="restart"/>
            <w:shd w:val="clear" w:color="auto" w:fill="4D4D4D"/>
            <w:textDirection w:val="btLr"/>
          </w:tcPr>
          <w:p w14:paraId="7B93588F"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Impacto</w:t>
            </w:r>
          </w:p>
        </w:tc>
        <w:tc>
          <w:tcPr>
            <w:tcW w:w="167" w:type="pct"/>
            <w:vMerge w:val="restart"/>
            <w:shd w:val="clear" w:color="auto" w:fill="4D4D4D"/>
            <w:textDirection w:val="btLr"/>
          </w:tcPr>
          <w:p w14:paraId="5EB94D46"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Valoración del riesgo</w:t>
            </w:r>
          </w:p>
        </w:tc>
        <w:tc>
          <w:tcPr>
            <w:tcW w:w="167" w:type="pct"/>
            <w:vMerge w:val="restart"/>
            <w:shd w:val="clear" w:color="auto" w:fill="4D4D4D"/>
            <w:textDirection w:val="btLr"/>
          </w:tcPr>
          <w:p w14:paraId="05D662DB"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Categoría</w:t>
            </w:r>
          </w:p>
        </w:tc>
        <w:tc>
          <w:tcPr>
            <w:tcW w:w="166" w:type="pct"/>
            <w:vMerge w:val="restart"/>
            <w:shd w:val="clear" w:color="auto" w:fill="BFBFBF" w:themeFill="background1" w:themeFillShade="BF"/>
            <w:textDirection w:val="btLr"/>
          </w:tcPr>
          <w:p w14:paraId="0C9B18AB"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¿A quién se le asigna?</w:t>
            </w:r>
          </w:p>
        </w:tc>
        <w:tc>
          <w:tcPr>
            <w:tcW w:w="485" w:type="pct"/>
            <w:vMerge w:val="restart"/>
            <w:shd w:val="clear" w:color="auto" w:fill="BFBFBF" w:themeFill="background1" w:themeFillShade="BF"/>
            <w:textDirection w:val="btLr"/>
          </w:tcPr>
          <w:p w14:paraId="350E18EF"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Tratamiento/Controles a ser implementados</w:t>
            </w:r>
          </w:p>
        </w:tc>
        <w:tc>
          <w:tcPr>
            <w:tcW w:w="664" w:type="pct"/>
            <w:gridSpan w:val="4"/>
            <w:shd w:val="clear" w:color="auto" w:fill="BFBFBF" w:themeFill="background1" w:themeFillShade="BF"/>
          </w:tcPr>
          <w:p w14:paraId="78DF673B" w14:textId="77777777" w:rsidR="005210A2" w:rsidRPr="001F4769" w:rsidRDefault="005210A2" w:rsidP="00FB14C6">
            <w:pPr>
              <w:spacing w:after="100" w:afterAutospacing="1"/>
              <w:jc w:val="center"/>
              <w:rPr>
                <w:rFonts w:ascii="Arial" w:eastAsia="SimSun" w:hAnsi="Arial" w:cs="Arial"/>
                <w:b/>
                <w:color w:val="000000" w:themeColor="text1"/>
                <w:kern w:val="3"/>
                <w:sz w:val="16"/>
                <w:szCs w:val="20"/>
                <w:lang w:eastAsia="zh-CN" w:bidi="hi-IN"/>
              </w:rPr>
            </w:pPr>
          </w:p>
          <w:p w14:paraId="2D883D8B" w14:textId="77777777" w:rsidR="005210A2" w:rsidRPr="001F4769" w:rsidRDefault="005210A2" w:rsidP="00FB14C6">
            <w:pPr>
              <w:spacing w:after="100" w:afterAutospacing="1"/>
              <w:jc w:val="center"/>
              <w:rPr>
                <w:rFonts w:ascii="Arial" w:eastAsia="SimSun" w:hAnsi="Arial" w:cs="Arial"/>
                <w:b/>
                <w:color w:val="000000" w:themeColor="text1"/>
                <w:kern w:val="3"/>
                <w:sz w:val="16"/>
                <w:szCs w:val="20"/>
                <w:lang w:eastAsia="zh-CN" w:bidi="hi-IN"/>
              </w:rPr>
            </w:pPr>
          </w:p>
          <w:p w14:paraId="5EADC1C1" w14:textId="77777777" w:rsidR="005210A2" w:rsidRPr="001F4769" w:rsidRDefault="005210A2" w:rsidP="00FB14C6">
            <w:pPr>
              <w:spacing w:after="100" w:afterAutospacing="1"/>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Impacto después del tratamiento</w:t>
            </w:r>
          </w:p>
        </w:tc>
        <w:tc>
          <w:tcPr>
            <w:tcW w:w="383" w:type="pct"/>
            <w:vMerge w:val="restart"/>
            <w:shd w:val="clear" w:color="auto" w:fill="BFBFBF" w:themeFill="background1" w:themeFillShade="BF"/>
            <w:textDirection w:val="btLr"/>
          </w:tcPr>
          <w:p w14:paraId="4AEEF529"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¿Afecta la ejecución del contrato?</w:t>
            </w:r>
          </w:p>
        </w:tc>
        <w:tc>
          <w:tcPr>
            <w:tcW w:w="181" w:type="pct"/>
            <w:vMerge w:val="restart"/>
            <w:shd w:val="clear" w:color="auto" w:fill="BFBFBF" w:themeFill="background1" w:themeFillShade="BF"/>
            <w:textDirection w:val="btLr"/>
          </w:tcPr>
          <w:p w14:paraId="4C3FFCE3"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Persona responsable por implementar el tratamiento</w:t>
            </w:r>
          </w:p>
        </w:tc>
        <w:tc>
          <w:tcPr>
            <w:tcW w:w="184" w:type="pct"/>
            <w:vMerge w:val="restart"/>
            <w:shd w:val="clear" w:color="auto" w:fill="BFBFBF" w:themeFill="background1" w:themeFillShade="BF"/>
            <w:textDirection w:val="btLr"/>
          </w:tcPr>
          <w:p w14:paraId="4DD565E2"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Fecha estimada en que se completa el tratamiento</w:t>
            </w:r>
          </w:p>
        </w:tc>
        <w:tc>
          <w:tcPr>
            <w:tcW w:w="752" w:type="pct"/>
            <w:gridSpan w:val="2"/>
            <w:shd w:val="clear" w:color="auto" w:fill="BFBFBF" w:themeFill="background1" w:themeFillShade="BF"/>
          </w:tcPr>
          <w:p w14:paraId="0EB26BA4" w14:textId="77777777" w:rsidR="005210A2" w:rsidRPr="001F4769" w:rsidRDefault="005210A2" w:rsidP="00FB14C6">
            <w:pPr>
              <w:spacing w:after="100" w:afterAutospacing="1"/>
              <w:jc w:val="center"/>
              <w:rPr>
                <w:rFonts w:ascii="Arial" w:eastAsia="SimSun" w:hAnsi="Arial" w:cs="Arial"/>
                <w:b/>
                <w:color w:val="000000" w:themeColor="text1"/>
                <w:kern w:val="3"/>
                <w:sz w:val="16"/>
                <w:szCs w:val="20"/>
                <w:lang w:eastAsia="zh-CN" w:bidi="hi-IN"/>
              </w:rPr>
            </w:pPr>
          </w:p>
          <w:p w14:paraId="6DD83290" w14:textId="77777777" w:rsidR="005210A2" w:rsidRPr="001F4769" w:rsidRDefault="005210A2" w:rsidP="00FB14C6">
            <w:pPr>
              <w:spacing w:after="100" w:afterAutospacing="1"/>
              <w:jc w:val="center"/>
              <w:rPr>
                <w:rFonts w:ascii="Arial" w:eastAsia="SimSun" w:hAnsi="Arial" w:cs="Arial"/>
                <w:b/>
                <w:color w:val="000000" w:themeColor="text1"/>
                <w:kern w:val="3"/>
                <w:sz w:val="16"/>
                <w:szCs w:val="20"/>
                <w:lang w:eastAsia="zh-CN" w:bidi="hi-IN"/>
              </w:rPr>
            </w:pPr>
          </w:p>
          <w:p w14:paraId="1A18C32A" w14:textId="77777777" w:rsidR="005210A2" w:rsidRPr="001F4769" w:rsidRDefault="005210A2" w:rsidP="00FB14C6">
            <w:pPr>
              <w:spacing w:after="100" w:afterAutospacing="1"/>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Monitoreo y revisión</w:t>
            </w:r>
          </w:p>
        </w:tc>
      </w:tr>
      <w:tr w:rsidR="005210A2" w:rsidRPr="001F4769" w14:paraId="2C675E18" w14:textId="77777777" w:rsidTr="00FB14C6">
        <w:trPr>
          <w:cantSplit/>
          <w:trHeight w:val="2063"/>
        </w:trPr>
        <w:tc>
          <w:tcPr>
            <w:tcW w:w="170" w:type="pct"/>
            <w:vMerge/>
            <w:shd w:val="clear" w:color="auto" w:fill="4D4D4D"/>
            <w:textDirection w:val="btLr"/>
          </w:tcPr>
          <w:p w14:paraId="05761B9C"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70" w:type="pct"/>
            <w:vMerge/>
            <w:shd w:val="clear" w:color="auto" w:fill="4D4D4D"/>
            <w:textDirection w:val="btLr"/>
          </w:tcPr>
          <w:p w14:paraId="1F0DEAA5"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70" w:type="pct"/>
            <w:vMerge/>
            <w:shd w:val="clear" w:color="auto" w:fill="4D4D4D"/>
            <w:textDirection w:val="btLr"/>
          </w:tcPr>
          <w:p w14:paraId="73EF6D8B"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4D4D4D"/>
            <w:textDirection w:val="btLr"/>
          </w:tcPr>
          <w:p w14:paraId="434A50C7"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4D4D4D"/>
            <w:textDirection w:val="btLr"/>
          </w:tcPr>
          <w:p w14:paraId="1509AFB2"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94" w:type="pct"/>
            <w:vMerge/>
            <w:shd w:val="clear" w:color="auto" w:fill="4D4D4D"/>
            <w:textDirection w:val="btLr"/>
          </w:tcPr>
          <w:p w14:paraId="2FA60B7E"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81" w:type="pct"/>
            <w:vMerge/>
            <w:shd w:val="clear" w:color="auto" w:fill="4D4D4D"/>
            <w:textDirection w:val="btLr"/>
          </w:tcPr>
          <w:p w14:paraId="1013B3B9"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5EE2769A"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30ECED34"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0C54B604"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28D76DEE" w14:textId="77777777" w:rsidR="005210A2" w:rsidRPr="001F4769" w:rsidRDefault="005210A2" w:rsidP="00FB14C6">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BFBFBF" w:themeFill="background1" w:themeFillShade="BF"/>
            <w:textDirection w:val="btLr"/>
          </w:tcPr>
          <w:p w14:paraId="6BA0F8F5"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85" w:type="pct"/>
            <w:vMerge/>
            <w:shd w:val="clear" w:color="auto" w:fill="BFBFBF" w:themeFill="background1" w:themeFillShade="BF"/>
            <w:textDirection w:val="btLr"/>
          </w:tcPr>
          <w:p w14:paraId="197BC35F"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66" w:type="pct"/>
            <w:shd w:val="clear" w:color="auto" w:fill="BFBFBF" w:themeFill="background1" w:themeFillShade="BF"/>
            <w:textDirection w:val="btLr"/>
          </w:tcPr>
          <w:p w14:paraId="3C02CA6F"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Probabilidad</w:t>
            </w:r>
          </w:p>
        </w:tc>
        <w:tc>
          <w:tcPr>
            <w:tcW w:w="166" w:type="pct"/>
            <w:shd w:val="clear" w:color="auto" w:fill="BFBFBF" w:themeFill="background1" w:themeFillShade="BF"/>
            <w:textDirection w:val="btLr"/>
          </w:tcPr>
          <w:p w14:paraId="521CE3A2"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Impacto</w:t>
            </w:r>
          </w:p>
        </w:tc>
        <w:tc>
          <w:tcPr>
            <w:tcW w:w="166" w:type="pct"/>
            <w:shd w:val="clear" w:color="auto" w:fill="BFBFBF" w:themeFill="background1" w:themeFillShade="BF"/>
            <w:textDirection w:val="btLr"/>
          </w:tcPr>
          <w:p w14:paraId="3955997D"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Valoración del Riesgo</w:t>
            </w:r>
          </w:p>
        </w:tc>
        <w:tc>
          <w:tcPr>
            <w:tcW w:w="166" w:type="pct"/>
            <w:shd w:val="clear" w:color="auto" w:fill="BFBFBF" w:themeFill="background1" w:themeFillShade="BF"/>
            <w:textDirection w:val="btLr"/>
          </w:tcPr>
          <w:p w14:paraId="23EE2FDF"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Categoría</w:t>
            </w:r>
          </w:p>
        </w:tc>
        <w:tc>
          <w:tcPr>
            <w:tcW w:w="383" w:type="pct"/>
            <w:vMerge/>
            <w:shd w:val="clear" w:color="auto" w:fill="BFBFBF" w:themeFill="background1" w:themeFillShade="BF"/>
            <w:textDirection w:val="btLr"/>
          </w:tcPr>
          <w:p w14:paraId="03AF413A"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1" w:type="pct"/>
            <w:vMerge/>
            <w:shd w:val="clear" w:color="auto" w:fill="BFBFBF" w:themeFill="background1" w:themeFillShade="BF"/>
            <w:textDirection w:val="btLr"/>
          </w:tcPr>
          <w:p w14:paraId="7565FEEC"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4" w:type="pct"/>
            <w:vMerge/>
            <w:shd w:val="clear" w:color="auto" w:fill="BFBFBF" w:themeFill="background1" w:themeFillShade="BF"/>
            <w:textDirection w:val="btLr"/>
          </w:tcPr>
          <w:p w14:paraId="64F18E0E"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10" w:type="pct"/>
            <w:shd w:val="clear" w:color="auto" w:fill="BFBFBF" w:themeFill="background1" w:themeFillShade="BF"/>
            <w:textDirection w:val="btLr"/>
          </w:tcPr>
          <w:p w14:paraId="21E3A5B3"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¿Cómo se realiza el monitoreo?</w:t>
            </w:r>
          </w:p>
        </w:tc>
        <w:tc>
          <w:tcPr>
            <w:tcW w:w="242" w:type="pct"/>
            <w:shd w:val="clear" w:color="auto" w:fill="BFBFBF" w:themeFill="background1" w:themeFillShade="BF"/>
            <w:textDirection w:val="btLr"/>
          </w:tcPr>
          <w:p w14:paraId="35588C1C"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Periodicidad</w:t>
            </w:r>
          </w:p>
          <w:p w14:paraId="2103DDF9" w14:textId="77777777" w:rsidR="005210A2" w:rsidRPr="001F4769" w:rsidRDefault="005210A2" w:rsidP="00FB14C6">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¿Cuándo?</w:t>
            </w:r>
          </w:p>
        </w:tc>
      </w:tr>
      <w:tr w:rsidR="005210A2" w:rsidRPr="001F4769" w14:paraId="19CA161F" w14:textId="77777777" w:rsidTr="00FB14C6">
        <w:trPr>
          <w:cantSplit/>
          <w:trHeight w:val="466"/>
        </w:trPr>
        <w:tc>
          <w:tcPr>
            <w:tcW w:w="170" w:type="pct"/>
            <w:shd w:val="clear" w:color="auto" w:fill="auto"/>
            <w:vAlign w:val="center"/>
          </w:tcPr>
          <w:p w14:paraId="149180E2"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1</w:t>
            </w:r>
          </w:p>
        </w:tc>
        <w:tc>
          <w:tcPr>
            <w:tcW w:w="170" w:type="pct"/>
            <w:shd w:val="clear" w:color="auto" w:fill="auto"/>
            <w:textDirection w:val="btLr"/>
            <w:vAlign w:val="center"/>
          </w:tcPr>
          <w:p w14:paraId="2D0A207D"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88D32B3"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5BDEEE51"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SELEECCION - EJECUCION</w:t>
            </w:r>
          </w:p>
        </w:tc>
        <w:tc>
          <w:tcPr>
            <w:tcW w:w="166" w:type="pct"/>
            <w:shd w:val="clear" w:color="auto" w:fill="auto"/>
            <w:textDirection w:val="btLr"/>
            <w:vAlign w:val="center"/>
          </w:tcPr>
          <w:p w14:paraId="12698BD8"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ECONOMICO – RIESGO OPERACIONAL</w:t>
            </w:r>
          </w:p>
        </w:tc>
        <w:tc>
          <w:tcPr>
            <w:tcW w:w="494" w:type="pct"/>
            <w:shd w:val="clear" w:color="auto" w:fill="auto"/>
            <w:vAlign w:val="center"/>
          </w:tcPr>
          <w:p w14:paraId="76269EF4"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b/>
                <w:bCs/>
                <w:color w:val="000000"/>
                <w:sz w:val="12"/>
                <w:szCs w:val="12"/>
              </w:rPr>
              <w:t xml:space="preserve">Precios Por debajo del Presupuesto Oficial </w:t>
            </w:r>
            <w:r w:rsidRPr="001F4769">
              <w:rPr>
                <w:rFonts w:ascii="Arial" w:eastAsia="Times New Roman" w:hAnsi="Arial" w:cs="Arial"/>
                <w:color w:val="000000"/>
                <w:sz w:val="12"/>
                <w:szCs w:val="12"/>
              </w:rPr>
              <w:t>(por debajo del presupuesto oficial, o por debajo de los ítems del presupuesto oficial o de los insumos del APU del presupuesto oficial, tales como equipos, materiales, mano de obra, transportes, AIU EN LA PROPUESTA DEL PROPONENTE Y/O CONTRATISTA.</w:t>
            </w:r>
          </w:p>
        </w:tc>
        <w:tc>
          <w:tcPr>
            <w:tcW w:w="181" w:type="pct"/>
            <w:shd w:val="clear" w:color="auto" w:fill="auto"/>
            <w:textDirection w:val="btLr"/>
            <w:vAlign w:val="center"/>
          </w:tcPr>
          <w:p w14:paraId="42ACED67"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7F1C5E82"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7E62961C"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2725BE2A"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6DFD0CD3"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1FE1E401"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37F4BCD3"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Implementación de Controles en la Fase precontractual y contractual que aseguren la eficiencia del contrato conforme a la oferta Técnica y económica presentada</w:t>
            </w:r>
          </w:p>
        </w:tc>
        <w:tc>
          <w:tcPr>
            <w:tcW w:w="166" w:type="pct"/>
            <w:shd w:val="clear" w:color="auto" w:fill="auto"/>
            <w:vAlign w:val="center"/>
          </w:tcPr>
          <w:p w14:paraId="42FCC8EA"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76B47FD0"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0598415B"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3D0FFE06"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29910E56"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Si son muy bajos puede afectar la ejecución del contrato</w:t>
            </w:r>
          </w:p>
        </w:tc>
        <w:tc>
          <w:tcPr>
            <w:tcW w:w="181" w:type="pct"/>
            <w:shd w:val="clear" w:color="auto" w:fill="auto"/>
            <w:textDirection w:val="btLr"/>
            <w:vAlign w:val="center"/>
          </w:tcPr>
          <w:p w14:paraId="3CDFD122"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Supervisor, interventor, contratista</w:t>
            </w:r>
          </w:p>
        </w:tc>
        <w:tc>
          <w:tcPr>
            <w:tcW w:w="184" w:type="pct"/>
            <w:shd w:val="clear" w:color="auto" w:fill="auto"/>
            <w:textDirection w:val="btLr"/>
            <w:vAlign w:val="center"/>
          </w:tcPr>
          <w:p w14:paraId="7166E1A9"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al inicio de la ejecución del contrato</w:t>
            </w:r>
          </w:p>
        </w:tc>
        <w:tc>
          <w:tcPr>
            <w:tcW w:w="510" w:type="pct"/>
            <w:shd w:val="clear" w:color="auto" w:fill="auto"/>
            <w:vAlign w:val="center"/>
          </w:tcPr>
          <w:p w14:paraId="12EC0835"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Control de la ejecución de los ítems de obra con la calidad requerida en especificaciones técnicas. Seguimiento al avance de la obra, al cumplimiento del programa de inversiones. Comités técnicos, Seguimiento a informes, requerimientos escritos- Retroalimentación en los procedimientos adelantados por los responsables del tratamiento</w:t>
            </w:r>
          </w:p>
        </w:tc>
        <w:tc>
          <w:tcPr>
            <w:tcW w:w="242" w:type="pct"/>
            <w:shd w:val="clear" w:color="auto" w:fill="auto"/>
            <w:textDirection w:val="btLr"/>
            <w:vAlign w:val="center"/>
          </w:tcPr>
          <w:p w14:paraId="04039DD1"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Mensual</w:t>
            </w:r>
          </w:p>
        </w:tc>
      </w:tr>
      <w:tr w:rsidR="005210A2" w:rsidRPr="001F4769" w14:paraId="45134CC5" w14:textId="77777777" w:rsidTr="00FB14C6">
        <w:trPr>
          <w:cantSplit/>
          <w:trHeight w:val="418"/>
        </w:trPr>
        <w:tc>
          <w:tcPr>
            <w:tcW w:w="170" w:type="pct"/>
            <w:shd w:val="clear" w:color="auto" w:fill="auto"/>
            <w:vAlign w:val="center"/>
          </w:tcPr>
          <w:p w14:paraId="78BF69C4"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lastRenderedPageBreak/>
              <w:t>2</w:t>
            </w:r>
          </w:p>
        </w:tc>
        <w:tc>
          <w:tcPr>
            <w:tcW w:w="170" w:type="pct"/>
            <w:shd w:val="clear" w:color="auto" w:fill="auto"/>
            <w:textDirection w:val="btLr"/>
            <w:vAlign w:val="center"/>
          </w:tcPr>
          <w:p w14:paraId="6249817B"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38F9407F"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4D2C28CB"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SELECCION – EJECUCION</w:t>
            </w:r>
          </w:p>
        </w:tc>
        <w:tc>
          <w:tcPr>
            <w:tcW w:w="166" w:type="pct"/>
            <w:shd w:val="clear" w:color="auto" w:fill="auto"/>
            <w:textDirection w:val="btLr"/>
            <w:vAlign w:val="center"/>
          </w:tcPr>
          <w:p w14:paraId="3225D9BA"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ECONOMICO – RIESGO OPERACIONAL</w:t>
            </w:r>
          </w:p>
        </w:tc>
        <w:tc>
          <w:tcPr>
            <w:tcW w:w="494" w:type="pct"/>
            <w:shd w:val="clear" w:color="auto" w:fill="auto"/>
            <w:vAlign w:val="center"/>
          </w:tcPr>
          <w:p w14:paraId="711E7036"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Salida del mercado de insumos o materias primas fundamentales para la elaboración de las obras objeto del contrato</w:t>
            </w:r>
          </w:p>
        </w:tc>
        <w:tc>
          <w:tcPr>
            <w:tcW w:w="181" w:type="pct"/>
            <w:shd w:val="clear" w:color="auto" w:fill="auto"/>
            <w:textDirection w:val="btLr"/>
            <w:vAlign w:val="center"/>
          </w:tcPr>
          <w:p w14:paraId="37C3B7EF"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Impacto negativo en el cumplimiento del objeto contractual</w:t>
            </w:r>
          </w:p>
        </w:tc>
        <w:tc>
          <w:tcPr>
            <w:tcW w:w="167" w:type="pct"/>
            <w:shd w:val="clear" w:color="auto" w:fill="auto"/>
            <w:vAlign w:val="center"/>
          </w:tcPr>
          <w:p w14:paraId="6A743073"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1</w:t>
            </w:r>
          </w:p>
        </w:tc>
        <w:tc>
          <w:tcPr>
            <w:tcW w:w="167" w:type="pct"/>
            <w:shd w:val="clear" w:color="auto" w:fill="auto"/>
            <w:vAlign w:val="center"/>
          </w:tcPr>
          <w:p w14:paraId="0673A9D0"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1E46319C"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3</w:t>
            </w:r>
          </w:p>
        </w:tc>
        <w:tc>
          <w:tcPr>
            <w:tcW w:w="167" w:type="pct"/>
            <w:shd w:val="clear" w:color="auto" w:fill="auto"/>
            <w:textDirection w:val="btLr"/>
            <w:vAlign w:val="center"/>
          </w:tcPr>
          <w:p w14:paraId="05E9E51F" w14:textId="77777777" w:rsidR="005210A2" w:rsidRPr="001F4769" w:rsidRDefault="005210A2" w:rsidP="00FB14C6">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7907999E"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Contratista/Contratante</w:t>
            </w:r>
          </w:p>
        </w:tc>
        <w:tc>
          <w:tcPr>
            <w:tcW w:w="485" w:type="pct"/>
            <w:shd w:val="clear" w:color="auto" w:fill="auto"/>
            <w:vAlign w:val="center"/>
          </w:tcPr>
          <w:p w14:paraId="339D4DEA"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Recopilación de datos estadísticos e información a partir de las fuentes oficiales durante la etapa precontractual y contractual</w:t>
            </w:r>
          </w:p>
        </w:tc>
        <w:tc>
          <w:tcPr>
            <w:tcW w:w="166" w:type="pct"/>
            <w:shd w:val="clear" w:color="auto" w:fill="auto"/>
            <w:vAlign w:val="center"/>
          </w:tcPr>
          <w:p w14:paraId="34C2EC3D"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1</w:t>
            </w:r>
          </w:p>
        </w:tc>
        <w:tc>
          <w:tcPr>
            <w:tcW w:w="166" w:type="pct"/>
            <w:shd w:val="clear" w:color="auto" w:fill="auto"/>
            <w:vAlign w:val="center"/>
          </w:tcPr>
          <w:p w14:paraId="34EDBF05"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1FC5FB02"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093B4D8D"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31ADB30"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Si el insumo es materia prima básica puede afectarla, mientras se acuerda solucionan alterna</w:t>
            </w:r>
          </w:p>
        </w:tc>
        <w:tc>
          <w:tcPr>
            <w:tcW w:w="181" w:type="pct"/>
            <w:shd w:val="clear" w:color="auto" w:fill="auto"/>
            <w:textDirection w:val="btLr"/>
            <w:vAlign w:val="center"/>
          </w:tcPr>
          <w:p w14:paraId="7857866B"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50CCA9BC"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6987CAB"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Atención al comportamiento del suministro de materias primas e insumos en el mercado. Retroalimentación en los procedimientos adelantados por los responsables del tratamiento</w:t>
            </w:r>
          </w:p>
        </w:tc>
        <w:tc>
          <w:tcPr>
            <w:tcW w:w="242" w:type="pct"/>
            <w:shd w:val="clear" w:color="auto" w:fill="auto"/>
            <w:textDirection w:val="btLr"/>
            <w:vAlign w:val="center"/>
          </w:tcPr>
          <w:p w14:paraId="32F39120" w14:textId="77777777" w:rsidR="005210A2" w:rsidRPr="001F4769" w:rsidRDefault="005210A2" w:rsidP="00FB14C6">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Mensual</w:t>
            </w:r>
          </w:p>
        </w:tc>
      </w:tr>
      <w:tr w:rsidR="005210A2" w:rsidRPr="001F4769" w14:paraId="156AE269" w14:textId="77777777" w:rsidTr="00FB14C6">
        <w:trPr>
          <w:cantSplit/>
          <w:trHeight w:val="418"/>
        </w:trPr>
        <w:tc>
          <w:tcPr>
            <w:tcW w:w="170" w:type="pct"/>
            <w:shd w:val="clear" w:color="auto" w:fill="auto"/>
            <w:vAlign w:val="center"/>
          </w:tcPr>
          <w:p w14:paraId="1074FAB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70" w:type="pct"/>
            <w:shd w:val="clear" w:color="auto" w:fill="auto"/>
            <w:textDirection w:val="btLr"/>
            <w:vAlign w:val="center"/>
          </w:tcPr>
          <w:p w14:paraId="72C3B79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5968008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05E892C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4654D44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ECONOMICO</w:t>
            </w:r>
          </w:p>
        </w:tc>
        <w:tc>
          <w:tcPr>
            <w:tcW w:w="494" w:type="pct"/>
            <w:shd w:val="clear" w:color="auto" w:fill="auto"/>
            <w:vAlign w:val="center"/>
          </w:tcPr>
          <w:p w14:paraId="3F60BA2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Escasez de cualquier tipo de material o insumo para la ejecución de la obra</w:t>
            </w:r>
          </w:p>
        </w:tc>
        <w:tc>
          <w:tcPr>
            <w:tcW w:w="181" w:type="pct"/>
            <w:shd w:val="clear" w:color="auto" w:fill="auto"/>
            <w:textDirection w:val="btLr"/>
            <w:vAlign w:val="center"/>
          </w:tcPr>
          <w:p w14:paraId="7CD1540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cumplimiento del objeto contractual, retrasos en la ejecución del proyecto</w:t>
            </w:r>
          </w:p>
        </w:tc>
        <w:tc>
          <w:tcPr>
            <w:tcW w:w="167" w:type="pct"/>
            <w:shd w:val="clear" w:color="auto" w:fill="auto"/>
            <w:vAlign w:val="center"/>
          </w:tcPr>
          <w:p w14:paraId="0590D0A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1FA08CB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D43860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527A695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3D2795C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Contratista/contratante</w:t>
            </w:r>
          </w:p>
        </w:tc>
        <w:tc>
          <w:tcPr>
            <w:tcW w:w="485" w:type="pct"/>
            <w:shd w:val="clear" w:color="auto" w:fill="auto"/>
            <w:vAlign w:val="center"/>
          </w:tcPr>
          <w:p w14:paraId="32AAD4F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color w:val="000000"/>
                <w:sz w:val="12"/>
                <w:szCs w:val="12"/>
              </w:rPr>
              <w:t>Recopilación de datos estadísticos e información de disponibilidad de materiales en la zona del proyecto, e insumos, durante la etapa precontractual y contractual</w:t>
            </w:r>
          </w:p>
        </w:tc>
        <w:tc>
          <w:tcPr>
            <w:tcW w:w="166" w:type="pct"/>
            <w:shd w:val="clear" w:color="auto" w:fill="auto"/>
            <w:vAlign w:val="center"/>
          </w:tcPr>
          <w:p w14:paraId="5EB87BAA"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66D1F9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361E73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5DEF9FB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CCE0F0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824906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4DC4DD7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147014F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 consecución de materiales e insumos de acuerdos con los requerimientos del proyecto. Retroalimentación en los procedimientos adelantados por los responsables del tratamiento</w:t>
            </w:r>
          </w:p>
        </w:tc>
        <w:tc>
          <w:tcPr>
            <w:tcW w:w="242" w:type="pct"/>
            <w:shd w:val="clear" w:color="auto" w:fill="auto"/>
            <w:textDirection w:val="btLr"/>
            <w:vAlign w:val="center"/>
          </w:tcPr>
          <w:p w14:paraId="2AE1043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5210A2" w:rsidRPr="001F4769" w14:paraId="2B55A1D8" w14:textId="77777777" w:rsidTr="00FB14C6">
        <w:trPr>
          <w:cantSplit/>
          <w:trHeight w:val="418"/>
        </w:trPr>
        <w:tc>
          <w:tcPr>
            <w:tcW w:w="170" w:type="pct"/>
            <w:shd w:val="clear" w:color="auto" w:fill="auto"/>
            <w:vAlign w:val="center"/>
          </w:tcPr>
          <w:p w14:paraId="407C8D5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70" w:type="pct"/>
            <w:shd w:val="clear" w:color="auto" w:fill="auto"/>
            <w:textDirection w:val="btLr"/>
            <w:vAlign w:val="center"/>
          </w:tcPr>
          <w:p w14:paraId="054823F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3B98AC3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6B14CDD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1829B2F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ECONOMICO</w:t>
            </w:r>
          </w:p>
        </w:tc>
        <w:tc>
          <w:tcPr>
            <w:tcW w:w="494" w:type="pct"/>
            <w:shd w:val="clear" w:color="auto" w:fill="auto"/>
            <w:vAlign w:val="center"/>
          </w:tcPr>
          <w:p w14:paraId="12C3329B"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Fluctuación de precios y/o ajustes ocasionados durante la ejecución del contrato en el costo de insumos, tarifas, jornales, materiales, asesorías, honorarios, </w:t>
            </w:r>
            <w:proofErr w:type="spellStart"/>
            <w:r w:rsidRPr="001F4769">
              <w:rPr>
                <w:rFonts w:ascii="Arial" w:eastAsia="Times New Roman" w:hAnsi="Arial" w:cs="Arial"/>
                <w:color w:val="000000"/>
                <w:sz w:val="12"/>
                <w:szCs w:val="12"/>
              </w:rPr>
              <w:t>etc</w:t>
            </w:r>
            <w:proofErr w:type="spellEnd"/>
            <w:r w:rsidRPr="001F4769">
              <w:rPr>
                <w:rFonts w:ascii="Arial" w:eastAsia="Times New Roman" w:hAnsi="Arial" w:cs="Arial"/>
                <w:color w:val="000000"/>
                <w:sz w:val="12"/>
                <w:szCs w:val="12"/>
              </w:rPr>
              <w:t>, regulados y no regulados por el Gobierno.</w:t>
            </w:r>
            <w:r w:rsidRPr="001F4769">
              <w:rPr>
                <w:rFonts w:ascii="Arial" w:eastAsia="Times New Roman" w:hAnsi="Arial" w:cs="Arial"/>
                <w:color w:val="000000"/>
                <w:sz w:val="12"/>
                <w:szCs w:val="12"/>
              </w:rPr>
              <w:br/>
              <w:t>Riesgo que asume el PROPONENTE Y/O CONTRATISTA, cuando el ajuste sobrepase los establecidos contractualmente con el municipio</w:t>
            </w:r>
          </w:p>
        </w:tc>
        <w:tc>
          <w:tcPr>
            <w:tcW w:w="181" w:type="pct"/>
            <w:shd w:val="clear" w:color="auto" w:fill="auto"/>
            <w:textDirection w:val="btLr"/>
            <w:vAlign w:val="center"/>
          </w:tcPr>
          <w:p w14:paraId="6579105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cumplimiento del objeto contractual</w:t>
            </w:r>
          </w:p>
        </w:tc>
        <w:tc>
          <w:tcPr>
            <w:tcW w:w="167" w:type="pct"/>
            <w:shd w:val="clear" w:color="auto" w:fill="auto"/>
            <w:vAlign w:val="center"/>
          </w:tcPr>
          <w:p w14:paraId="7075B87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F33AB8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C47B69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56350F1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4C906A0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5B3F65E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Recopilación de datos estadísticos e información sobre comportamiento histórico de precios, durante la etapa precontractual. Atención al comportamiento de precios en la etapa contractual</w:t>
            </w:r>
          </w:p>
        </w:tc>
        <w:tc>
          <w:tcPr>
            <w:tcW w:w="166" w:type="pct"/>
            <w:shd w:val="clear" w:color="auto" w:fill="auto"/>
            <w:vAlign w:val="center"/>
          </w:tcPr>
          <w:p w14:paraId="2A34477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32A5D10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1E50F9F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239285A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71EE48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73144F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082E92B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7DC0378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Atención al comportamiento de los precios. Retroalimentación en los procedimientos adelantados por los responsables del tratamiento</w:t>
            </w:r>
          </w:p>
        </w:tc>
        <w:tc>
          <w:tcPr>
            <w:tcW w:w="242" w:type="pct"/>
            <w:shd w:val="clear" w:color="auto" w:fill="auto"/>
            <w:textDirection w:val="btLr"/>
            <w:vAlign w:val="center"/>
          </w:tcPr>
          <w:p w14:paraId="521FDC5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5210A2" w:rsidRPr="001F4769" w14:paraId="7F6E4D02" w14:textId="77777777" w:rsidTr="00FB14C6">
        <w:trPr>
          <w:cantSplit/>
          <w:trHeight w:val="418"/>
        </w:trPr>
        <w:tc>
          <w:tcPr>
            <w:tcW w:w="170" w:type="pct"/>
            <w:shd w:val="clear" w:color="auto" w:fill="auto"/>
            <w:vAlign w:val="center"/>
          </w:tcPr>
          <w:p w14:paraId="0F2EAEF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5</w:t>
            </w:r>
          </w:p>
        </w:tc>
        <w:tc>
          <w:tcPr>
            <w:tcW w:w="170" w:type="pct"/>
            <w:shd w:val="clear" w:color="auto" w:fill="auto"/>
            <w:textDirection w:val="btLr"/>
            <w:vAlign w:val="center"/>
          </w:tcPr>
          <w:p w14:paraId="0CFA145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0EC123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2B82DCE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6619AE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 – SOCIAL</w:t>
            </w:r>
          </w:p>
        </w:tc>
        <w:tc>
          <w:tcPr>
            <w:tcW w:w="494" w:type="pct"/>
            <w:shd w:val="clear" w:color="auto" w:fill="auto"/>
            <w:vAlign w:val="center"/>
          </w:tcPr>
          <w:p w14:paraId="79807BF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Cambio en la ubicación de las obras menores. Se refiere a solicitudes realizadas por usuarios o vecinos de la carretera invocando derechos de petición u otras herramientas legales</w:t>
            </w:r>
          </w:p>
        </w:tc>
        <w:tc>
          <w:tcPr>
            <w:tcW w:w="181" w:type="pct"/>
            <w:shd w:val="clear" w:color="auto" w:fill="auto"/>
            <w:textDirection w:val="btLr"/>
            <w:vAlign w:val="center"/>
          </w:tcPr>
          <w:p w14:paraId="512089B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Ajustes en la programación de obras y eventual generación de mayores costos al proyecto</w:t>
            </w:r>
          </w:p>
        </w:tc>
        <w:tc>
          <w:tcPr>
            <w:tcW w:w="167" w:type="pct"/>
            <w:shd w:val="clear" w:color="auto" w:fill="auto"/>
            <w:vAlign w:val="center"/>
          </w:tcPr>
          <w:p w14:paraId="685053B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CA7DD8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7EEA8CA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0722282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446B190A"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5BAC694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Efectuar la socialización del proyecto, para conocimiento de comunidad. Control y Control con los solicitantes para que los cambios </w:t>
            </w:r>
            <w:proofErr w:type="spellStart"/>
            <w:r w:rsidRPr="001F4769">
              <w:rPr>
                <w:rFonts w:ascii="Arial" w:eastAsia="Times New Roman" w:hAnsi="Arial" w:cs="Arial"/>
                <w:color w:val="000000"/>
                <w:sz w:val="12"/>
                <w:szCs w:val="12"/>
              </w:rPr>
              <w:t>e</w:t>
            </w:r>
            <w:proofErr w:type="spellEnd"/>
            <w:r w:rsidRPr="001F4769">
              <w:rPr>
                <w:rFonts w:ascii="Arial" w:eastAsia="Times New Roman" w:hAnsi="Arial" w:cs="Arial"/>
                <w:color w:val="000000"/>
                <w:sz w:val="12"/>
                <w:szCs w:val="12"/>
              </w:rPr>
              <w:t xml:space="preserve"> la ubicación de las obras menores afecten en </w:t>
            </w:r>
            <w:proofErr w:type="gramStart"/>
            <w:r w:rsidRPr="001F4769">
              <w:rPr>
                <w:rFonts w:ascii="Arial" w:eastAsia="Times New Roman" w:hAnsi="Arial" w:cs="Arial"/>
                <w:color w:val="000000"/>
                <w:sz w:val="12"/>
                <w:szCs w:val="12"/>
              </w:rPr>
              <w:t>menor  medida</w:t>
            </w:r>
            <w:proofErr w:type="gramEnd"/>
            <w:r w:rsidRPr="001F4769">
              <w:rPr>
                <w:rFonts w:ascii="Arial" w:eastAsia="Times New Roman" w:hAnsi="Arial" w:cs="Arial"/>
                <w:color w:val="000000"/>
                <w:sz w:val="12"/>
                <w:szCs w:val="12"/>
              </w:rPr>
              <w:t xml:space="preserve"> o no afecten las previsiones del proyecto tanto técnicas, como en costos y tiempo. Seguimiento a la ejecución del contrato, incrementando inspección y revisiones para asegurar el cumplimiento del mismo</w:t>
            </w:r>
          </w:p>
        </w:tc>
        <w:tc>
          <w:tcPr>
            <w:tcW w:w="166" w:type="pct"/>
            <w:shd w:val="clear" w:color="auto" w:fill="auto"/>
            <w:vAlign w:val="center"/>
          </w:tcPr>
          <w:p w14:paraId="0050928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2E13146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D034DFA"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72D3306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2AF4F5A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280C27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70B1FF7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77A1573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a la ejecución gestión social retroalimentación en los procedimientos adelantados por los responsables del tratamiento</w:t>
            </w:r>
          </w:p>
        </w:tc>
        <w:tc>
          <w:tcPr>
            <w:tcW w:w="242" w:type="pct"/>
            <w:shd w:val="clear" w:color="auto" w:fill="auto"/>
            <w:textDirection w:val="btLr"/>
            <w:vAlign w:val="center"/>
          </w:tcPr>
          <w:p w14:paraId="039B7F4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presente la solicitud de cambio de ubicación de obras menores</w:t>
            </w:r>
          </w:p>
        </w:tc>
      </w:tr>
      <w:tr w:rsidR="005210A2" w:rsidRPr="001F4769" w14:paraId="41783AEB" w14:textId="77777777" w:rsidTr="00FB14C6">
        <w:trPr>
          <w:cantSplit/>
          <w:trHeight w:val="418"/>
        </w:trPr>
        <w:tc>
          <w:tcPr>
            <w:tcW w:w="170" w:type="pct"/>
            <w:shd w:val="clear" w:color="auto" w:fill="auto"/>
            <w:vAlign w:val="center"/>
          </w:tcPr>
          <w:p w14:paraId="458D48D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70" w:type="pct"/>
            <w:shd w:val="clear" w:color="auto" w:fill="auto"/>
            <w:textDirection w:val="btLr"/>
            <w:vAlign w:val="center"/>
          </w:tcPr>
          <w:p w14:paraId="5830A83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5DB30C3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38E894F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4DA697C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RIESGOS SOCIALES O POLITICOS</w:t>
            </w:r>
          </w:p>
        </w:tc>
        <w:tc>
          <w:tcPr>
            <w:tcW w:w="494" w:type="pct"/>
            <w:shd w:val="clear" w:color="auto" w:fill="auto"/>
            <w:vAlign w:val="center"/>
          </w:tcPr>
          <w:p w14:paraId="0B1A5A6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Orden público: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w:t>
            </w:r>
          </w:p>
        </w:tc>
        <w:tc>
          <w:tcPr>
            <w:tcW w:w="181" w:type="pct"/>
            <w:shd w:val="clear" w:color="auto" w:fill="auto"/>
            <w:textDirection w:val="btLr"/>
            <w:vAlign w:val="center"/>
          </w:tcPr>
          <w:p w14:paraId="0D0C085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Pérdida de bienes del contratista, daños en obras del proyecto causadas por disturbios violentos, interferencia en el desarrollo del proyecto</w:t>
            </w:r>
          </w:p>
        </w:tc>
        <w:tc>
          <w:tcPr>
            <w:tcW w:w="167" w:type="pct"/>
            <w:shd w:val="clear" w:color="auto" w:fill="auto"/>
            <w:vAlign w:val="center"/>
          </w:tcPr>
          <w:p w14:paraId="21A8343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4CE8EB1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1E8EBC0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64D00BA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1C5B8E2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 Municipio</w:t>
            </w:r>
          </w:p>
        </w:tc>
        <w:tc>
          <w:tcPr>
            <w:tcW w:w="485" w:type="pct"/>
            <w:shd w:val="clear" w:color="auto" w:fill="auto"/>
            <w:vAlign w:val="center"/>
          </w:tcPr>
          <w:p w14:paraId="7F689C5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66" w:type="pct"/>
            <w:shd w:val="clear" w:color="auto" w:fill="auto"/>
            <w:vAlign w:val="center"/>
          </w:tcPr>
          <w:p w14:paraId="6B42CEA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7CFFED0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0134530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4F62CDC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1C7DEE2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2626AB8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348E636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5895E8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A </w:t>
            </w:r>
            <w:proofErr w:type="gramStart"/>
            <w:r w:rsidRPr="001F4769">
              <w:rPr>
                <w:rFonts w:ascii="Arial" w:eastAsia="Times New Roman" w:hAnsi="Arial" w:cs="Arial"/>
                <w:b/>
                <w:bCs/>
                <w:color w:val="000000"/>
                <w:sz w:val="12"/>
                <w:szCs w:val="12"/>
              </w:rPr>
              <w:t>partir  de</w:t>
            </w:r>
            <w:proofErr w:type="gramEnd"/>
            <w:r w:rsidRPr="001F4769">
              <w:rPr>
                <w:rFonts w:ascii="Arial" w:eastAsia="Times New Roman" w:hAnsi="Arial" w:cs="Arial"/>
                <w:b/>
                <w:bCs/>
                <w:color w:val="000000"/>
                <w:sz w:val="12"/>
                <w:szCs w:val="12"/>
              </w:rPr>
              <w:t xml:space="preserve"> la información oficial, información del interventor, del contratista, del municipio se determinan las acciones a seguir, para procurar la menor afectación al proyecto</w:t>
            </w:r>
          </w:p>
        </w:tc>
        <w:tc>
          <w:tcPr>
            <w:tcW w:w="242" w:type="pct"/>
            <w:shd w:val="clear" w:color="auto" w:fill="auto"/>
            <w:textDirection w:val="btLr"/>
            <w:vAlign w:val="center"/>
          </w:tcPr>
          <w:p w14:paraId="11FD677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presente el evento</w:t>
            </w:r>
          </w:p>
        </w:tc>
      </w:tr>
      <w:tr w:rsidR="005210A2" w:rsidRPr="001F4769" w14:paraId="16CDDFF8" w14:textId="77777777" w:rsidTr="00FB14C6">
        <w:trPr>
          <w:cantSplit/>
          <w:trHeight w:val="418"/>
        </w:trPr>
        <w:tc>
          <w:tcPr>
            <w:tcW w:w="170" w:type="pct"/>
            <w:shd w:val="clear" w:color="auto" w:fill="auto"/>
            <w:vAlign w:val="center"/>
          </w:tcPr>
          <w:p w14:paraId="3C7923A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7</w:t>
            </w:r>
          </w:p>
        </w:tc>
        <w:tc>
          <w:tcPr>
            <w:tcW w:w="170" w:type="pct"/>
            <w:shd w:val="clear" w:color="auto" w:fill="auto"/>
            <w:textDirection w:val="btLr"/>
            <w:vAlign w:val="center"/>
          </w:tcPr>
          <w:p w14:paraId="0E59DF8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8E08B9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4958FCD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75E9D3F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2676C77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w:t>
            </w:r>
            <w:r w:rsidRPr="001F4769">
              <w:rPr>
                <w:rFonts w:ascii="Arial" w:eastAsia="Times New Roman" w:hAnsi="Arial" w:cs="Arial"/>
                <w:color w:val="000000"/>
                <w:sz w:val="12"/>
                <w:szCs w:val="12"/>
              </w:rPr>
              <w:br/>
              <w:t>de seguridad industrial y de señalización y dotación de los</w:t>
            </w:r>
            <w:r w:rsidRPr="001F4769">
              <w:rPr>
                <w:rFonts w:ascii="Arial" w:eastAsia="Times New Roman" w:hAnsi="Arial" w:cs="Arial"/>
                <w:color w:val="000000"/>
                <w:sz w:val="12"/>
                <w:szCs w:val="12"/>
              </w:rPr>
              <w:br/>
              <w:t>operarios y trabajadores, etc., por</w:t>
            </w:r>
            <w:r w:rsidRPr="001F4769">
              <w:rPr>
                <w:rFonts w:ascii="Arial" w:eastAsia="Times New Roman" w:hAnsi="Arial" w:cs="Arial"/>
                <w:color w:val="000000"/>
                <w:sz w:val="12"/>
                <w:szCs w:val="12"/>
              </w:rPr>
              <w:br/>
              <w:t>parte del CONTRATISTA</w:t>
            </w:r>
          </w:p>
        </w:tc>
        <w:tc>
          <w:tcPr>
            <w:tcW w:w="181" w:type="pct"/>
            <w:shd w:val="clear" w:color="auto" w:fill="auto"/>
            <w:textDirection w:val="btLr"/>
            <w:vAlign w:val="center"/>
          </w:tcPr>
          <w:p w14:paraId="35CDD97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proyecto por la probable ocurrencia de accidentes de usuarios de la vía y trabajadores de la obra, inconformidad con la obra por parte de la comunidad</w:t>
            </w:r>
          </w:p>
        </w:tc>
        <w:tc>
          <w:tcPr>
            <w:tcW w:w="167" w:type="pct"/>
            <w:shd w:val="clear" w:color="auto" w:fill="auto"/>
            <w:vAlign w:val="center"/>
          </w:tcPr>
          <w:p w14:paraId="351BC86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5E2DC2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B2560E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1403140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5523F42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5F59A0E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166" w:type="pct"/>
            <w:shd w:val="clear" w:color="auto" w:fill="auto"/>
            <w:vAlign w:val="center"/>
          </w:tcPr>
          <w:p w14:paraId="0C7EB4F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73F1CCB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1E473F8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2E5DF18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65083BD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7ED430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343086A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44A9C5B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Inspecciones diarias del interventor, comités técnicos seguimiento a informes, requerimientos escritos. Retroalimentación en los procedimientos adelantados por los responsables del tratamiento</w:t>
            </w:r>
          </w:p>
        </w:tc>
        <w:tc>
          <w:tcPr>
            <w:tcW w:w="242" w:type="pct"/>
            <w:shd w:val="clear" w:color="auto" w:fill="auto"/>
            <w:textDirection w:val="btLr"/>
            <w:vAlign w:val="center"/>
          </w:tcPr>
          <w:p w14:paraId="40123D7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Diario</w:t>
            </w:r>
          </w:p>
        </w:tc>
      </w:tr>
      <w:tr w:rsidR="005210A2" w:rsidRPr="001F4769" w14:paraId="2151894C" w14:textId="77777777" w:rsidTr="00FB14C6">
        <w:trPr>
          <w:cantSplit/>
          <w:trHeight w:val="418"/>
        </w:trPr>
        <w:tc>
          <w:tcPr>
            <w:tcW w:w="170" w:type="pct"/>
            <w:shd w:val="clear" w:color="auto" w:fill="auto"/>
            <w:vAlign w:val="center"/>
          </w:tcPr>
          <w:p w14:paraId="7315F4B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8</w:t>
            </w:r>
          </w:p>
        </w:tc>
        <w:tc>
          <w:tcPr>
            <w:tcW w:w="170" w:type="pct"/>
            <w:shd w:val="clear" w:color="auto" w:fill="auto"/>
            <w:textDirection w:val="btLr"/>
            <w:vAlign w:val="center"/>
          </w:tcPr>
          <w:p w14:paraId="2C5A4FE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1FB8EE2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1495D4D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3141C0B"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4584B23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Por Ajuste y/0 Actualización y/o Unificación y/o Modificación de estudios y diseños y/o elaboración de estudios complementarios realizados por el Contratista: Ocurre cuando se presentan efectos originados por cambios o actualización de los estudios y/o diseños definitivos necesarios para la correcta ejecución y operación de las obras</w:t>
            </w:r>
          </w:p>
        </w:tc>
        <w:tc>
          <w:tcPr>
            <w:tcW w:w="181" w:type="pct"/>
            <w:shd w:val="clear" w:color="auto" w:fill="auto"/>
            <w:textDirection w:val="btLr"/>
            <w:vAlign w:val="center"/>
          </w:tcPr>
          <w:p w14:paraId="0EB5576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Retrasos en el cronograma de ejecución, </w:t>
            </w:r>
            <w:proofErr w:type="gramStart"/>
            <w:r w:rsidRPr="001F4769">
              <w:rPr>
                <w:rFonts w:ascii="Arial" w:eastAsia="Times New Roman" w:hAnsi="Arial" w:cs="Arial"/>
                <w:color w:val="000000"/>
                <w:sz w:val="12"/>
                <w:szCs w:val="12"/>
              </w:rPr>
              <w:t>variación  de</w:t>
            </w:r>
            <w:proofErr w:type="gramEnd"/>
            <w:r w:rsidRPr="001F4769">
              <w:rPr>
                <w:rFonts w:ascii="Arial" w:eastAsia="Times New Roman" w:hAnsi="Arial" w:cs="Arial"/>
                <w:color w:val="000000"/>
                <w:sz w:val="12"/>
                <w:szCs w:val="12"/>
              </w:rPr>
              <w:t xml:space="preserve"> algunas obras del contrato y por ende de cantidades de obra</w:t>
            </w:r>
          </w:p>
        </w:tc>
        <w:tc>
          <w:tcPr>
            <w:tcW w:w="167" w:type="pct"/>
            <w:shd w:val="clear" w:color="auto" w:fill="auto"/>
            <w:vAlign w:val="center"/>
          </w:tcPr>
          <w:p w14:paraId="5DE79E9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19BC680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BEF34C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52C8692B"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6D777D5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1C109A4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Realizar una interventoría adecuada durante la etapa de ajuste y/o actualización y/o unificación y/o modificación de estudios y diseños complementarios para evitar cambios que impacten negativamente el proyecto. Realizar las consultas pertinentes y oportunas cuando se encuentran diferencias o inconsistencias en los diseños</w:t>
            </w:r>
          </w:p>
        </w:tc>
        <w:tc>
          <w:tcPr>
            <w:tcW w:w="166" w:type="pct"/>
            <w:shd w:val="clear" w:color="auto" w:fill="auto"/>
            <w:vAlign w:val="center"/>
          </w:tcPr>
          <w:p w14:paraId="43FC1CD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39EC408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3774204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7D074E8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1C5DAD1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50C585B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44A8D40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del ajuste y/p actualización y/</w:t>
            </w:r>
            <w:proofErr w:type="gramStart"/>
            <w:r w:rsidRPr="001F4769">
              <w:rPr>
                <w:rFonts w:ascii="Arial" w:eastAsia="Times New Roman" w:hAnsi="Arial" w:cs="Arial"/>
                <w:b/>
                <w:bCs/>
                <w:color w:val="000000"/>
                <w:sz w:val="12"/>
                <w:szCs w:val="12"/>
              </w:rPr>
              <w:t>o  unificación</w:t>
            </w:r>
            <w:proofErr w:type="gramEnd"/>
            <w:r w:rsidRPr="001F4769">
              <w:rPr>
                <w:rFonts w:ascii="Arial" w:eastAsia="Times New Roman" w:hAnsi="Arial" w:cs="Arial"/>
                <w:b/>
                <w:bCs/>
                <w:color w:val="000000"/>
                <w:sz w:val="12"/>
                <w:szCs w:val="12"/>
              </w:rPr>
              <w:t xml:space="preserve"> y/o Modificación de estudios y diseños y/o elaboración de estudios complementarios</w:t>
            </w:r>
          </w:p>
        </w:tc>
        <w:tc>
          <w:tcPr>
            <w:tcW w:w="510" w:type="pct"/>
            <w:shd w:val="clear" w:color="auto" w:fill="auto"/>
            <w:vAlign w:val="center"/>
          </w:tcPr>
          <w:p w14:paraId="1BDB73C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La interventoría debe efectuar seguimiento continuo a través de sus especialistas, al ajuste y/o actualización y/o unificación y/o modificación de estudios complementarios por parte del contratista, de manera que los cambios que se requieran impacten lo menos posible al proyecto</w:t>
            </w:r>
          </w:p>
        </w:tc>
        <w:tc>
          <w:tcPr>
            <w:tcW w:w="242" w:type="pct"/>
            <w:shd w:val="clear" w:color="auto" w:fill="auto"/>
            <w:textDirection w:val="btLr"/>
            <w:vAlign w:val="center"/>
          </w:tcPr>
          <w:p w14:paraId="4CF6561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 en la etapa de ajuste y/o actualización y/o unificación y/o modificación de estudios y diseños y/o elaboración de estudios complementarios</w:t>
            </w:r>
          </w:p>
        </w:tc>
      </w:tr>
      <w:tr w:rsidR="005210A2" w:rsidRPr="001F4769" w14:paraId="46D4C930" w14:textId="77777777" w:rsidTr="00FB14C6">
        <w:trPr>
          <w:cantSplit/>
          <w:trHeight w:val="418"/>
        </w:trPr>
        <w:tc>
          <w:tcPr>
            <w:tcW w:w="170" w:type="pct"/>
            <w:shd w:val="clear" w:color="auto" w:fill="auto"/>
            <w:vAlign w:val="center"/>
          </w:tcPr>
          <w:p w14:paraId="500CF36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9</w:t>
            </w:r>
          </w:p>
        </w:tc>
        <w:tc>
          <w:tcPr>
            <w:tcW w:w="170" w:type="pct"/>
            <w:shd w:val="clear" w:color="auto" w:fill="auto"/>
            <w:textDirection w:val="btLr"/>
            <w:vAlign w:val="center"/>
          </w:tcPr>
          <w:p w14:paraId="1BE2017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485E3C2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6236271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2867A6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0C13254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Ejecución de mayores cantidades de obra no autorizadas, por materiales y/o procedimientos constructivos inadecuados, y/o por deficiente programación de ejecución de las obras</w:t>
            </w:r>
          </w:p>
        </w:tc>
        <w:tc>
          <w:tcPr>
            <w:tcW w:w="181" w:type="pct"/>
            <w:shd w:val="clear" w:color="auto" w:fill="auto"/>
            <w:textDirection w:val="btLr"/>
            <w:vAlign w:val="center"/>
          </w:tcPr>
          <w:p w14:paraId="5589D66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Demora en la ejecución de obra por correctivos necesarios</w:t>
            </w:r>
          </w:p>
        </w:tc>
        <w:tc>
          <w:tcPr>
            <w:tcW w:w="167" w:type="pct"/>
            <w:shd w:val="clear" w:color="auto" w:fill="auto"/>
            <w:vAlign w:val="center"/>
          </w:tcPr>
          <w:p w14:paraId="23F4184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654E96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28A434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6D4392C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54626E3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5F2A844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Interventoría permanente en la ejecución de las obras, para controla obras autorizadas, materiales procedimientos constructivos, ajustados a las obras requeridas y especificaciones técnicas contractuales</w:t>
            </w:r>
          </w:p>
        </w:tc>
        <w:tc>
          <w:tcPr>
            <w:tcW w:w="166" w:type="pct"/>
            <w:shd w:val="clear" w:color="auto" w:fill="auto"/>
            <w:vAlign w:val="center"/>
          </w:tcPr>
          <w:p w14:paraId="7D20706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085017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9975C7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6EC45B8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DF88A1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42D6367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2EF3A62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4391D5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Control permanente por parte del interventor de la ejecución de las obras requeridas del proyecto del cumplimiento de especificaciones técnicas</w:t>
            </w:r>
          </w:p>
        </w:tc>
        <w:tc>
          <w:tcPr>
            <w:tcW w:w="242" w:type="pct"/>
            <w:shd w:val="clear" w:color="auto" w:fill="auto"/>
            <w:textDirection w:val="btLr"/>
            <w:vAlign w:val="center"/>
          </w:tcPr>
          <w:p w14:paraId="2E27C59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Diario</w:t>
            </w:r>
          </w:p>
        </w:tc>
      </w:tr>
      <w:tr w:rsidR="005210A2" w:rsidRPr="001F4769" w14:paraId="54D83BB0" w14:textId="77777777" w:rsidTr="00FB14C6">
        <w:trPr>
          <w:cantSplit/>
          <w:trHeight w:val="418"/>
        </w:trPr>
        <w:tc>
          <w:tcPr>
            <w:tcW w:w="170" w:type="pct"/>
            <w:shd w:val="clear" w:color="auto" w:fill="auto"/>
            <w:vAlign w:val="center"/>
          </w:tcPr>
          <w:p w14:paraId="6C37164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10</w:t>
            </w:r>
          </w:p>
        </w:tc>
        <w:tc>
          <w:tcPr>
            <w:tcW w:w="170" w:type="pct"/>
            <w:shd w:val="clear" w:color="auto" w:fill="auto"/>
            <w:textDirection w:val="btLr"/>
            <w:vAlign w:val="center"/>
          </w:tcPr>
          <w:p w14:paraId="185E3B1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720ED70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3E5BD4F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64054B1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3A1F736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Variación de cantidades de obra debidamente justificadas: Son los efectos derivados de los cambios en las condiciones técnicas que incrementen o disminuyan las cantidades previstas para la ejecución de las obras. El contratista asume las variaciones de las cantidades de obra técnicamente requeridas para la ejecución del proyecto y el Contratista asume el riesgo de ejecutar las cantidades de obra en las variaciones que sean necesarias</w:t>
            </w:r>
          </w:p>
        </w:tc>
        <w:tc>
          <w:tcPr>
            <w:tcW w:w="181" w:type="pct"/>
            <w:shd w:val="clear" w:color="auto" w:fill="auto"/>
            <w:textDirection w:val="btLr"/>
            <w:vAlign w:val="center"/>
          </w:tcPr>
          <w:p w14:paraId="639ADE0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Obras previstas inicialmente, siendo necesario ajustes al balance de cantidades de obra, para ceñirse al presupuesto</w:t>
            </w:r>
          </w:p>
        </w:tc>
        <w:tc>
          <w:tcPr>
            <w:tcW w:w="167" w:type="pct"/>
            <w:shd w:val="clear" w:color="auto" w:fill="auto"/>
            <w:vAlign w:val="center"/>
          </w:tcPr>
          <w:p w14:paraId="47459C4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vAlign w:val="center"/>
          </w:tcPr>
          <w:p w14:paraId="5489E7F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4994350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7</w:t>
            </w:r>
          </w:p>
        </w:tc>
        <w:tc>
          <w:tcPr>
            <w:tcW w:w="167" w:type="pct"/>
            <w:shd w:val="clear" w:color="auto" w:fill="auto"/>
            <w:textDirection w:val="btLr"/>
            <w:vAlign w:val="center"/>
          </w:tcPr>
          <w:p w14:paraId="55C3795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47135ECA"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4D28573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Planeación, revisión y ajuste y seguimiento en la fase precontractual y contractual de forma adecuada de los diseños y cantidades de obra</w:t>
            </w:r>
          </w:p>
        </w:tc>
        <w:tc>
          <w:tcPr>
            <w:tcW w:w="166" w:type="pct"/>
            <w:shd w:val="clear" w:color="auto" w:fill="auto"/>
            <w:vAlign w:val="center"/>
          </w:tcPr>
          <w:p w14:paraId="1FA64E5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vAlign w:val="center"/>
          </w:tcPr>
          <w:p w14:paraId="4A18416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1F914E6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5</w:t>
            </w:r>
          </w:p>
        </w:tc>
        <w:tc>
          <w:tcPr>
            <w:tcW w:w="166" w:type="pct"/>
            <w:shd w:val="clear" w:color="auto" w:fill="auto"/>
            <w:textDirection w:val="btLr"/>
            <w:vAlign w:val="center"/>
          </w:tcPr>
          <w:p w14:paraId="2478A9C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Medio</w:t>
            </w:r>
          </w:p>
        </w:tc>
        <w:tc>
          <w:tcPr>
            <w:tcW w:w="383" w:type="pct"/>
            <w:shd w:val="clear" w:color="auto" w:fill="auto"/>
            <w:vAlign w:val="center"/>
          </w:tcPr>
          <w:p w14:paraId="4416A05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33113FE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37CC8FA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3DAED4C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Análisis y revisión de los estudios realizados y revisión de las cantidades contractuales, a </w:t>
            </w:r>
            <w:proofErr w:type="gramStart"/>
            <w:r w:rsidRPr="001F4769">
              <w:rPr>
                <w:rFonts w:ascii="Arial" w:eastAsia="Times New Roman" w:hAnsi="Arial" w:cs="Arial"/>
                <w:b/>
                <w:bCs/>
                <w:color w:val="000000"/>
                <w:sz w:val="12"/>
                <w:szCs w:val="12"/>
              </w:rPr>
              <w:t>que  va</w:t>
            </w:r>
            <w:proofErr w:type="gramEnd"/>
            <w:r w:rsidRPr="001F4769">
              <w:rPr>
                <w:rFonts w:ascii="Arial" w:eastAsia="Times New Roman" w:hAnsi="Arial" w:cs="Arial"/>
                <w:b/>
                <w:bCs/>
                <w:color w:val="000000"/>
                <w:sz w:val="12"/>
                <w:szCs w:val="12"/>
              </w:rPr>
              <w:t xml:space="preserve"> ejecutando el proyecto, para realizar ajustes de ser necesario</w:t>
            </w:r>
          </w:p>
        </w:tc>
        <w:tc>
          <w:tcPr>
            <w:tcW w:w="242" w:type="pct"/>
            <w:shd w:val="clear" w:color="auto" w:fill="auto"/>
            <w:textDirection w:val="btLr"/>
            <w:vAlign w:val="center"/>
          </w:tcPr>
          <w:p w14:paraId="7724AB9A"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5210A2" w:rsidRPr="001F4769" w14:paraId="4F6B18D5" w14:textId="77777777" w:rsidTr="00FB14C6">
        <w:trPr>
          <w:cantSplit/>
          <w:trHeight w:val="418"/>
        </w:trPr>
        <w:tc>
          <w:tcPr>
            <w:tcW w:w="170" w:type="pct"/>
            <w:shd w:val="clear" w:color="auto" w:fill="auto"/>
            <w:vAlign w:val="center"/>
          </w:tcPr>
          <w:p w14:paraId="0676BBD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11</w:t>
            </w:r>
          </w:p>
        </w:tc>
        <w:tc>
          <w:tcPr>
            <w:tcW w:w="170" w:type="pct"/>
            <w:shd w:val="clear" w:color="auto" w:fill="auto"/>
            <w:textDirection w:val="btLr"/>
            <w:vAlign w:val="center"/>
          </w:tcPr>
          <w:p w14:paraId="140FCB1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3CF00C5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601692F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D11D9E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10E0BB7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Modificación y/o cambios de ubicación en las fuentes de materiales presentadas y/o propuestas y/o proyectadas por el PROPONENTE Y/O CONTRATISTA.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181" w:type="pct"/>
            <w:shd w:val="clear" w:color="auto" w:fill="auto"/>
            <w:textDirection w:val="btLr"/>
            <w:vAlign w:val="center"/>
          </w:tcPr>
          <w:p w14:paraId="1884DAE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3BCF013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F6DD23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0326C69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019DB90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1ACFBBB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2E60AC6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Planeación revisión y ajuste y seguimiento en la fase precontractual a las fuentes de materiales para el proyecto. en la fase contractual verificación del cumplimiento de especificaciones técnicas de los materiales</w:t>
            </w:r>
          </w:p>
        </w:tc>
        <w:tc>
          <w:tcPr>
            <w:tcW w:w="166" w:type="pct"/>
            <w:shd w:val="clear" w:color="auto" w:fill="auto"/>
            <w:vAlign w:val="center"/>
          </w:tcPr>
          <w:p w14:paraId="4DC36F3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D8F114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4967CB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2C3AC9C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665C911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837147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441915C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En la planeación del proyecto y en la etapa precontractual</w:t>
            </w:r>
          </w:p>
        </w:tc>
        <w:tc>
          <w:tcPr>
            <w:tcW w:w="510" w:type="pct"/>
            <w:shd w:val="clear" w:color="auto" w:fill="auto"/>
            <w:vAlign w:val="center"/>
          </w:tcPr>
          <w:p w14:paraId="1164AF5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242" w:type="pct"/>
            <w:shd w:val="clear" w:color="auto" w:fill="auto"/>
            <w:textDirection w:val="btLr"/>
            <w:vAlign w:val="center"/>
          </w:tcPr>
          <w:p w14:paraId="5EA7336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5210A2" w:rsidRPr="001F4769" w14:paraId="1B2440A9" w14:textId="77777777" w:rsidTr="00FB14C6">
        <w:trPr>
          <w:cantSplit/>
          <w:trHeight w:val="418"/>
        </w:trPr>
        <w:tc>
          <w:tcPr>
            <w:tcW w:w="170" w:type="pct"/>
            <w:shd w:val="clear" w:color="auto" w:fill="auto"/>
            <w:vAlign w:val="center"/>
          </w:tcPr>
          <w:p w14:paraId="5AA4823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12</w:t>
            </w:r>
          </w:p>
        </w:tc>
        <w:tc>
          <w:tcPr>
            <w:tcW w:w="170" w:type="pct"/>
            <w:shd w:val="clear" w:color="auto" w:fill="auto"/>
            <w:textDirection w:val="btLr"/>
            <w:vAlign w:val="center"/>
          </w:tcPr>
          <w:p w14:paraId="7425365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52A2EC8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4F586B4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0E186F2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DE LA NATURALEZA</w:t>
            </w:r>
          </w:p>
        </w:tc>
        <w:tc>
          <w:tcPr>
            <w:tcW w:w="494" w:type="pct"/>
            <w:shd w:val="clear" w:color="auto" w:fill="auto"/>
            <w:vAlign w:val="center"/>
          </w:tcPr>
          <w:p w14:paraId="5A6C849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Inestabilidad Geológica, Geotécnica, Hidrogeológica.</w:t>
            </w:r>
            <w:r w:rsidRPr="001F4769">
              <w:rPr>
                <w:rFonts w:ascii="Arial" w:eastAsia="Times New Roman" w:hAnsi="Arial" w:cs="Arial"/>
                <w:color w:val="000000"/>
                <w:sz w:val="12"/>
                <w:szCs w:val="12"/>
              </w:rPr>
              <w:br/>
              <w:t>El riesgo puede surgir en taludes, en excavaciones a cielo abierto,</w:t>
            </w:r>
            <w:r w:rsidRPr="001F4769">
              <w:rPr>
                <w:rFonts w:ascii="Arial" w:eastAsia="Times New Roman" w:hAnsi="Arial" w:cs="Arial"/>
                <w:color w:val="000000"/>
                <w:sz w:val="12"/>
                <w:szCs w:val="12"/>
              </w:rPr>
              <w:br/>
              <w:t>efectos de erosión de márgenes</w:t>
            </w:r>
            <w:r w:rsidRPr="001F4769">
              <w:rPr>
                <w:rFonts w:ascii="Arial" w:eastAsia="Times New Roman" w:hAnsi="Arial" w:cs="Arial"/>
                <w:color w:val="000000"/>
                <w:sz w:val="12"/>
                <w:szCs w:val="12"/>
              </w:rPr>
              <w:br/>
              <w:t>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geológicos, geotécnicos e</w:t>
            </w:r>
            <w:r w:rsidRPr="001F4769">
              <w:rPr>
                <w:rFonts w:ascii="Arial" w:eastAsia="Times New Roman" w:hAnsi="Arial" w:cs="Arial"/>
                <w:color w:val="000000"/>
                <w:sz w:val="12"/>
                <w:szCs w:val="12"/>
              </w:rPr>
              <w:br/>
              <w:t>hidrogeológicos identificados, y los que debió identificar en el ajuste</w:t>
            </w:r>
            <w:r w:rsidRPr="001F4769">
              <w:rPr>
                <w:rFonts w:ascii="Arial" w:eastAsia="Times New Roman" w:hAnsi="Arial" w:cs="Arial"/>
                <w:color w:val="000000"/>
                <w:sz w:val="12"/>
                <w:szCs w:val="12"/>
              </w:rPr>
              <w:br/>
              <w:t>y/o elaboración de estudios y</w:t>
            </w:r>
            <w:r w:rsidRPr="001F4769">
              <w:rPr>
                <w:rFonts w:ascii="Arial" w:eastAsia="Times New Roman" w:hAnsi="Arial" w:cs="Arial"/>
                <w:color w:val="000000"/>
                <w:sz w:val="12"/>
                <w:szCs w:val="12"/>
              </w:rPr>
              <w:br/>
              <w:t>diseños y los que se presenten durante la ejecución del contrato. El municipio asume el Riesgo por concepto de mayores cantidades de obra que sean necesarias, siempre y cuando no sean de responsabilidad del Contratista</w:t>
            </w:r>
          </w:p>
        </w:tc>
        <w:tc>
          <w:tcPr>
            <w:tcW w:w="181" w:type="pct"/>
            <w:shd w:val="clear" w:color="auto" w:fill="auto"/>
            <w:textDirection w:val="btLr"/>
            <w:vAlign w:val="center"/>
          </w:tcPr>
          <w:p w14:paraId="10270D1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desarrollo del objeto contractual, aumento de costos por necesidad de mayores cantidades de obra, y eventuales mayores plazos</w:t>
            </w:r>
          </w:p>
        </w:tc>
        <w:tc>
          <w:tcPr>
            <w:tcW w:w="167" w:type="pct"/>
            <w:shd w:val="clear" w:color="auto" w:fill="auto"/>
            <w:vAlign w:val="center"/>
          </w:tcPr>
          <w:p w14:paraId="452CFCD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69ECE91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40B73CD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67" w:type="pct"/>
            <w:shd w:val="clear" w:color="auto" w:fill="auto"/>
            <w:textDirection w:val="btLr"/>
            <w:vAlign w:val="center"/>
          </w:tcPr>
          <w:p w14:paraId="50A71A3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35A59CB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2D796E5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Monitoreo del corredor vial para recomendar medidas preventivas, correctivas o </w:t>
            </w:r>
            <w:proofErr w:type="gramStart"/>
            <w:r w:rsidRPr="001F4769">
              <w:rPr>
                <w:rFonts w:ascii="Arial" w:eastAsia="Times New Roman" w:hAnsi="Arial" w:cs="Arial"/>
                <w:b/>
                <w:bCs/>
                <w:color w:val="000000"/>
                <w:sz w:val="12"/>
                <w:szCs w:val="12"/>
              </w:rPr>
              <w:t>mitigación  de</w:t>
            </w:r>
            <w:proofErr w:type="gramEnd"/>
            <w:r w:rsidRPr="001F4769">
              <w:rPr>
                <w:rFonts w:ascii="Arial" w:eastAsia="Times New Roman" w:hAnsi="Arial" w:cs="Arial"/>
                <w:b/>
                <w:bCs/>
                <w:color w:val="000000"/>
                <w:sz w:val="12"/>
                <w:szCs w:val="12"/>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1F4769">
              <w:rPr>
                <w:rFonts w:ascii="Arial" w:eastAsia="Times New Roman" w:hAnsi="Arial" w:cs="Arial"/>
                <w:b/>
                <w:bCs/>
                <w:color w:val="000000"/>
                <w:sz w:val="12"/>
                <w:szCs w:val="12"/>
              </w:rPr>
              <w:t>transitabilidad</w:t>
            </w:r>
            <w:proofErr w:type="spellEnd"/>
            <w:r w:rsidRPr="001F4769">
              <w:rPr>
                <w:rFonts w:ascii="Arial" w:eastAsia="Times New Roman" w:hAnsi="Arial" w:cs="Arial"/>
                <w:b/>
                <w:bCs/>
                <w:color w:val="000000"/>
                <w:sz w:val="12"/>
                <w:szCs w:val="12"/>
              </w:rPr>
              <w:t xml:space="preserve"> y seguridad vial, recomendación de especialistas para solución definitiva, provisional o de mitigación, análisis e implementación. En todos los casos, adoptar las medidas contractuales a que haya lugar, en cuanto a mayores cantidades de obra y plazos si fuere necesario.</w:t>
            </w:r>
          </w:p>
        </w:tc>
        <w:tc>
          <w:tcPr>
            <w:tcW w:w="166" w:type="pct"/>
            <w:shd w:val="clear" w:color="auto" w:fill="auto"/>
            <w:vAlign w:val="center"/>
          </w:tcPr>
          <w:p w14:paraId="268C093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549EFC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081522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5C38A0D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Medio</w:t>
            </w:r>
          </w:p>
        </w:tc>
        <w:tc>
          <w:tcPr>
            <w:tcW w:w="383" w:type="pct"/>
            <w:shd w:val="clear" w:color="auto" w:fill="auto"/>
            <w:vAlign w:val="center"/>
          </w:tcPr>
          <w:p w14:paraId="037F44A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En emergencias de gran magnitud puede afectarse la ejecución del contrato</w:t>
            </w:r>
          </w:p>
        </w:tc>
        <w:tc>
          <w:tcPr>
            <w:tcW w:w="181" w:type="pct"/>
            <w:shd w:val="clear" w:color="auto" w:fill="auto"/>
            <w:textDirection w:val="btLr"/>
            <w:vAlign w:val="center"/>
          </w:tcPr>
          <w:p w14:paraId="447A824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2AE3D68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01AA980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Visitas y recomendaciones de especialistas, análisis de contratista e interventor y si es necesario participación del municipio, Comités técnicos de seguimiento a implementación de medidas preventivas, correctivas o de mitigación, informes respectivos, requerimientos escritos, retroalimentación en los procedimientos adelantados por los responsables del tratamiento</w:t>
            </w:r>
          </w:p>
        </w:tc>
        <w:tc>
          <w:tcPr>
            <w:tcW w:w="242" w:type="pct"/>
            <w:shd w:val="clear" w:color="auto" w:fill="auto"/>
            <w:textDirection w:val="btLr"/>
            <w:vAlign w:val="center"/>
          </w:tcPr>
          <w:p w14:paraId="0896C58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del contrato, cuando se detecten nuevos sitios inestables, cuando se presenten ocurrencias</w:t>
            </w:r>
          </w:p>
        </w:tc>
      </w:tr>
      <w:tr w:rsidR="005210A2" w:rsidRPr="001F4769" w14:paraId="6A75929D" w14:textId="77777777" w:rsidTr="00FB14C6">
        <w:trPr>
          <w:cantSplit/>
          <w:trHeight w:val="418"/>
        </w:trPr>
        <w:tc>
          <w:tcPr>
            <w:tcW w:w="170" w:type="pct"/>
            <w:shd w:val="clear" w:color="auto" w:fill="auto"/>
            <w:vAlign w:val="center"/>
          </w:tcPr>
          <w:p w14:paraId="58D1467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13</w:t>
            </w:r>
          </w:p>
        </w:tc>
        <w:tc>
          <w:tcPr>
            <w:tcW w:w="170" w:type="pct"/>
            <w:shd w:val="clear" w:color="auto" w:fill="auto"/>
            <w:textDirection w:val="btLr"/>
            <w:vAlign w:val="center"/>
          </w:tcPr>
          <w:p w14:paraId="6F89EF5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19B0523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1C4F185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2166A8D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7A67052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Interferencia con las de redes de servicios públicos existentes: Ocurre por la presencia de redes existentes, que puedan interferir con el proyecto, afectando el normal desarrollo de las obras. El Contratista deberá realizar todas las gestiones que correspondan. EL municipio asumirá los costos que correspondan de acuerdo con lo establecido en el Capítulo III de</w:t>
            </w:r>
            <w:r w:rsidRPr="001F4769">
              <w:rPr>
                <w:rFonts w:ascii="Arial" w:eastAsia="Times New Roman" w:hAnsi="Arial" w:cs="Arial"/>
                <w:color w:val="000000"/>
                <w:sz w:val="12"/>
                <w:szCs w:val="12"/>
              </w:rPr>
              <w:br/>
              <w:t>la Ley 1682 de 2013</w:t>
            </w:r>
          </w:p>
        </w:tc>
        <w:tc>
          <w:tcPr>
            <w:tcW w:w="181" w:type="pct"/>
            <w:shd w:val="clear" w:color="auto" w:fill="auto"/>
            <w:textDirection w:val="btLr"/>
            <w:vAlign w:val="center"/>
          </w:tcPr>
          <w:p w14:paraId="5D3DC85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desarrollo del objeto contractual, por la interferencia de las redes con la ejecución del proyecto</w:t>
            </w:r>
          </w:p>
        </w:tc>
        <w:tc>
          <w:tcPr>
            <w:tcW w:w="167" w:type="pct"/>
            <w:shd w:val="clear" w:color="auto" w:fill="auto"/>
            <w:vAlign w:val="center"/>
          </w:tcPr>
          <w:p w14:paraId="263A9DC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31C3804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341E263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textDirection w:val="btLr"/>
            <w:vAlign w:val="center"/>
          </w:tcPr>
          <w:p w14:paraId="03AC41A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Riesgo Bajo </w:t>
            </w:r>
          </w:p>
        </w:tc>
        <w:tc>
          <w:tcPr>
            <w:tcW w:w="166" w:type="pct"/>
            <w:shd w:val="clear" w:color="auto" w:fill="auto"/>
            <w:textDirection w:val="btLr"/>
            <w:vAlign w:val="center"/>
          </w:tcPr>
          <w:p w14:paraId="025F765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234AC25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 gestionar de inmediato lo pertinente con la empresa de servicios, para la menor afectación al proyecto</w:t>
            </w:r>
          </w:p>
        </w:tc>
        <w:tc>
          <w:tcPr>
            <w:tcW w:w="166" w:type="pct"/>
            <w:shd w:val="clear" w:color="auto" w:fill="auto"/>
            <w:vAlign w:val="center"/>
          </w:tcPr>
          <w:p w14:paraId="060D5C7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9A042A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242AC8B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186283C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1666095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638204B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0DFC72D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 y cuando se detecte la existencia de redes de servicio público que interfieran con el proyecto</w:t>
            </w:r>
          </w:p>
        </w:tc>
        <w:tc>
          <w:tcPr>
            <w:tcW w:w="510" w:type="pct"/>
            <w:shd w:val="clear" w:color="auto" w:fill="auto"/>
            <w:vAlign w:val="center"/>
          </w:tcPr>
          <w:p w14:paraId="28CF8EE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permanente a la gestión para solucionar la interferencia de redes de servicios públicos existentes, informes de resultados requerimientos escritos</w:t>
            </w:r>
          </w:p>
        </w:tc>
        <w:tc>
          <w:tcPr>
            <w:tcW w:w="242" w:type="pct"/>
            <w:shd w:val="clear" w:color="auto" w:fill="auto"/>
            <w:textDirection w:val="btLr"/>
            <w:vAlign w:val="center"/>
          </w:tcPr>
          <w:p w14:paraId="3DAB29F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presenta la interferencia, seguimiento semanal</w:t>
            </w:r>
          </w:p>
        </w:tc>
      </w:tr>
      <w:tr w:rsidR="005210A2" w:rsidRPr="001F4769" w14:paraId="76A02BA2" w14:textId="77777777" w:rsidTr="00FB14C6">
        <w:trPr>
          <w:cantSplit/>
          <w:trHeight w:val="418"/>
        </w:trPr>
        <w:tc>
          <w:tcPr>
            <w:tcW w:w="170" w:type="pct"/>
            <w:shd w:val="clear" w:color="auto" w:fill="auto"/>
            <w:vAlign w:val="center"/>
          </w:tcPr>
          <w:p w14:paraId="3B867F7B"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14</w:t>
            </w:r>
          </w:p>
        </w:tc>
        <w:tc>
          <w:tcPr>
            <w:tcW w:w="170" w:type="pct"/>
            <w:shd w:val="clear" w:color="auto" w:fill="auto"/>
            <w:textDirection w:val="btLr"/>
            <w:vAlign w:val="center"/>
          </w:tcPr>
          <w:p w14:paraId="31D5617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20996A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24E679B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38D90A0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FINANCIERO</w:t>
            </w:r>
          </w:p>
        </w:tc>
        <w:tc>
          <w:tcPr>
            <w:tcW w:w="494" w:type="pct"/>
            <w:shd w:val="clear" w:color="auto" w:fill="auto"/>
            <w:vAlign w:val="center"/>
          </w:tcPr>
          <w:p w14:paraId="796345A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Financiero: Se deriva de los efectos provenientes de las variaciones de las tasas de interés, plazos, tasas de cambio,</w:t>
            </w:r>
            <w:r w:rsidRPr="001F4769">
              <w:rPr>
                <w:rFonts w:ascii="Arial" w:eastAsia="Times New Roman" w:hAnsi="Arial" w:cs="Arial"/>
                <w:color w:val="000000"/>
                <w:sz w:val="12"/>
                <w:szCs w:val="12"/>
              </w:rPr>
              <w:br/>
              <w:t>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w:t>
            </w:r>
            <w:r w:rsidRPr="001F4769">
              <w:rPr>
                <w:rFonts w:ascii="Arial" w:eastAsia="Times New Roman" w:hAnsi="Arial" w:cs="Arial"/>
                <w:color w:val="000000"/>
                <w:sz w:val="12"/>
                <w:szCs w:val="12"/>
              </w:rPr>
              <w:br/>
              <w:t>en moneda nacional o extranjera, para el cumplimiento del objeto contractual, en los plazos fijados para tal efecto</w:t>
            </w:r>
          </w:p>
        </w:tc>
        <w:tc>
          <w:tcPr>
            <w:tcW w:w="181" w:type="pct"/>
            <w:shd w:val="clear" w:color="auto" w:fill="auto"/>
            <w:textDirection w:val="btLr"/>
            <w:vAlign w:val="center"/>
          </w:tcPr>
          <w:p w14:paraId="7073E29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28C8D3A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3B6BD5C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32F50AA9"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7DA6C74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0238502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4568B69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Realizar por parte del contratista proyecciones de acuerdo con los datos históricos de las variables descritas, y con el estudio del mercado financiero con el fin de que el interesado establezca un punto de equilibrio tendiente a disminuir el riesgo</w:t>
            </w:r>
          </w:p>
        </w:tc>
        <w:tc>
          <w:tcPr>
            <w:tcW w:w="166" w:type="pct"/>
            <w:shd w:val="clear" w:color="auto" w:fill="auto"/>
            <w:vAlign w:val="center"/>
          </w:tcPr>
          <w:p w14:paraId="5D30F24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39CB8C9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0DCA3C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3B83712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3C9945B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5F14D8D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184" w:type="pct"/>
            <w:shd w:val="clear" w:color="auto" w:fill="auto"/>
            <w:textDirection w:val="btLr"/>
            <w:vAlign w:val="center"/>
          </w:tcPr>
          <w:p w14:paraId="3DD0B6D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w:t>
            </w:r>
          </w:p>
        </w:tc>
        <w:tc>
          <w:tcPr>
            <w:tcW w:w="510" w:type="pct"/>
            <w:shd w:val="clear" w:color="auto" w:fill="auto"/>
            <w:vAlign w:val="center"/>
          </w:tcPr>
          <w:p w14:paraId="0B03D33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242" w:type="pct"/>
            <w:shd w:val="clear" w:color="auto" w:fill="auto"/>
            <w:textDirection w:val="btLr"/>
            <w:vAlign w:val="center"/>
          </w:tcPr>
          <w:p w14:paraId="2CCAAEC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5210A2" w:rsidRPr="001F4769" w14:paraId="5CB33729" w14:textId="77777777" w:rsidTr="00FB14C6">
        <w:trPr>
          <w:cantSplit/>
          <w:trHeight w:val="418"/>
        </w:trPr>
        <w:tc>
          <w:tcPr>
            <w:tcW w:w="170" w:type="pct"/>
            <w:shd w:val="clear" w:color="auto" w:fill="auto"/>
            <w:vAlign w:val="center"/>
          </w:tcPr>
          <w:p w14:paraId="79B6E52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15</w:t>
            </w:r>
          </w:p>
        </w:tc>
        <w:tc>
          <w:tcPr>
            <w:tcW w:w="170" w:type="pct"/>
            <w:shd w:val="clear" w:color="auto" w:fill="auto"/>
            <w:textDirection w:val="btLr"/>
            <w:vAlign w:val="center"/>
          </w:tcPr>
          <w:p w14:paraId="7881FA6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D6F6D2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26BA314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00143A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REGULATORIO</w:t>
            </w:r>
          </w:p>
        </w:tc>
        <w:tc>
          <w:tcPr>
            <w:tcW w:w="494" w:type="pct"/>
            <w:shd w:val="clear" w:color="auto" w:fill="auto"/>
            <w:vAlign w:val="center"/>
          </w:tcPr>
          <w:p w14:paraId="5B8DA68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Expedición y/o modificación de normas</w:t>
            </w:r>
            <w:r w:rsidRPr="001F4769">
              <w:rPr>
                <w:rFonts w:ascii="Arial" w:eastAsia="Times New Roman" w:hAnsi="Arial" w:cs="Arial"/>
                <w:color w:val="000000"/>
                <w:sz w:val="12"/>
                <w:szCs w:val="12"/>
              </w:rPr>
              <w:t>: Ocurre por cambios normativos o por la expedición de normas posteriores al cierre del proceso de licitación pública, que afecten las condiciones económicas y/o técnicas inicialmente pactadas</w:t>
            </w:r>
          </w:p>
        </w:tc>
        <w:tc>
          <w:tcPr>
            <w:tcW w:w="181" w:type="pct"/>
            <w:shd w:val="clear" w:color="auto" w:fill="auto"/>
            <w:textDirection w:val="btLr"/>
            <w:vAlign w:val="center"/>
          </w:tcPr>
          <w:p w14:paraId="643B483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Afectación del desarrollo del contrato previsto con la normatividad existente al cierre del proceso de selección</w:t>
            </w:r>
          </w:p>
        </w:tc>
        <w:tc>
          <w:tcPr>
            <w:tcW w:w="167" w:type="pct"/>
            <w:shd w:val="clear" w:color="auto" w:fill="auto"/>
            <w:vAlign w:val="center"/>
          </w:tcPr>
          <w:p w14:paraId="514F1DE8"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33B2DA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7052B6A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303723B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4E6178D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0C65E91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Proceso precontractual con las normas aplicables vigencias. Revisión de los cambios sustanciales de las normas que se produzcan posterior al cierre del proceso de licitación pública, que afecten el normal desarrollo del contrato, con el fin de estudiar los ajustes pertinentes a que hubiere lugar</w:t>
            </w:r>
          </w:p>
        </w:tc>
        <w:tc>
          <w:tcPr>
            <w:tcW w:w="166" w:type="pct"/>
            <w:shd w:val="clear" w:color="auto" w:fill="auto"/>
            <w:vAlign w:val="center"/>
          </w:tcPr>
          <w:p w14:paraId="3CACAD9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78B57B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47B0B84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61999F5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D82542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6BE4031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25573A6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 y cuando se expida una nueva normatividad que pueda afectar el contrato</w:t>
            </w:r>
          </w:p>
        </w:tc>
        <w:tc>
          <w:tcPr>
            <w:tcW w:w="510" w:type="pct"/>
            <w:shd w:val="clear" w:color="auto" w:fill="auto"/>
            <w:vAlign w:val="center"/>
          </w:tcPr>
          <w:p w14:paraId="1E698D4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a la implementación de la nueva normatividad que aplique al proyecto, y a las medidas tomadas para mitigar su efecto en el contrato. Informes requerimientos escritos</w:t>
            </w:r>
          </w:p>
        </w:tc>
        <w:tc>
          <w:tcPr>
            <w:tcW w:w="242" w:type="pct"/>
            <w:shd w:val="clear" w:color="auto" w:fill="auto"/>
            <w:textDirection w:val="btLr"/>
            <w:vAlign w:val="center"/>
          </w:tcPr>
          <w:p w14:paraId="525D347B"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5210A2" w:rsidRPr="001F4769" w14:paraId="63C3C5F6" w14:textId="77777777" w:rsidTr="00FB14C6">
        <w:trPr>
          <w:cantSplit/>
          <w:trHeight w:val="418"/>
        </w:trPr>
        <w:tc>
          <w:tcPr>
            <w:tcW w:w="170" w:type="pct"/>
            <w:shd w:val="clear" w:color="auto" w:fill="auto"/>
            <w:vAlign w:val="center"/>
          </w:tcPr>
          <w:p w14:paraId="62580FF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16</w:t>
            </w:r>
          </w:p>
        </w:tc>
        <w:tc>
          <w:tcPr>
            <w:tcW w:w="170" w:type="pct"/>
            <w:shd w:val="clear" w:color="auto" w:fill="auto"/>
            <w:textDirection w:val="btLr"/>
            <w:vAlign w:val="center"/>
          </w:tcPr>
          <w:p w14:paraId="676A2C8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F3C470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67D087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35BBB1DA"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7CA2B73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Gestión Ambiental: </w:t>
            </w:r>
            <w:r w:rsidRPr="001F4769">
              <w:rPr>
                <w:rFonts w:ascii="Arial" w:eastAsia="Times New Roman" w:hAnsi="Arial" w:cs="Arial"/>
                <w:color w:val="000000"/>
                <w:sz w:val="12"/>
                <w:szCs w:val="12"/>
              </w:rPr>
              <w:t>Demora en la obtención de licencias y/o permisos ambientales por demora y/o inadecuada presentación de soportes y estudios.</w:t>
            </w:r>
          </w:p>
        </w:tc>
        <w:tc>
          <w:tcPr>
            <w:tcW w:w="181" w:type="pct"/>
            <w:shd w:val="clear" w:color="auto" w:fill="auto"/>
            <w:textDirection w:val="btLr"/>
            <w:vAlign w:val="center"/>
          </w:tcPr>
          <w:p w14:paraId="095B633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Retraso en la ejecución de los trabajos</w:t>
            </w:r>
          </w:p>
        </w:tc>
        <w:tc>
          <w:tcPr>
            <w:tcW w:w="167" w:type="pct"/>
            <w:shd w:val="clear" w:color="auto" w:fill="auto"/>
            <w:vAlign w:val="center"/>
          </w:tcPr>
          <w:p w14:paraId="11FB061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625352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3C7638F2"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1E7372D5"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4E0923D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4FB05CA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por parte del interventor a la gestión documentada del contratista para la obtención de licencias permisos y autorizaciones ambientales</w:t>
            </w:r>
          </w:p>
        </w:tc>
        <w:tc>
          <w:tcPr>
            <w:tcW w:w="166" w:type="pct"/>
            <w:shd w:val="clear" w:color="auto" w:fill="auto"/>
            <w:vAlign w:val="center"/>
          </w:tcPr>
          <w:p w14:paraId="3BE01876"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1F1748E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5B53835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2DE2121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4DC0D3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8F4A8B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7CF8455F"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B8A3AC1"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 la gestión realizada y sus resultados, por parte de especialista ambiental del interventor, comités técnicos, seguimiento a informes ambientales por parte de la supervisión ambiental, requerimientos escritos - retroalimentación en los procedimientos adelantados por los responsables del tratamiento</w:t>
            </w:r>
          </w:p>
        </w:tc>
        <w:tc>
          <w:tcPr>
            <w:tcW w:w="242" w:type="pct"/>
            <w:shd w:val="clear" w:color="auto" w:fill="auto"/>
            <w:textDirection w:val="btLr"/>
            <w:vAlign w:val="center"/>
          </w:tcPr>
          <w:p w14:paraId="60FCF80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w:t>
            </w:r>
          </w:p>
        </w:tc>
      </w:tr>
      <w:tr w:rsidR="005210A2" w:rsidRPr="001F4769" w14:paraId="50C8ABFA" w14:textId="77777777" w:rsidTr="00FB14C6">
        <w:trPr>
          <w:cantSplit/>
          <w:trHeight w:val="418"/>
        </w:trPr>
        <w:tc>
          <w:tcPr>
            <w:tcW w:w="170" w:type="pct"/>
            <w:shd w:val="clear" w:color="auto" w:fill="auto"/>
            <w:vAlign w:val="center"/>
          </w:tcPr>
          <w:p w14:paraId="688E48A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17</w:t>
            </w:r>
          </w:p>
        </w:tc>
        <w:tc>
          <w:tcPr>
            <w:tcW w:w="170" w:type="pct"/>
            <w:shd w:val="clear" w:color="auto" w:fill="auto"/>
            <w:textDirection w:val="btLr"/>
            <w:vAlign w:val="center"/>
          </w:tcPr>
          <w:p w14:paraId="35862A2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70BDAD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1CD6EDDB"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7C6FA15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618D0B4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color w:val="000000"/>
                <w:sz w:val="12"/>
                <w:szCs w:val="12"/>
              </w:rPr>
              <w:t>Pasivos Ambientales: Pasivos ambientales generados en el proceso constructivo, desde el punto de vista ambiental.</w:t>
            </w:r>
          </w:p>
        </w:tc>
        <w:tc>
          <w:tcPr>
            <w:tcW w:w="181" w:type="pct"/>
            <w:shd w:val="clear" w:color="auto" w:fill="auto"/>
            <w:textDirection w:val="btLr"/>
            <w:vAlign w:val="center"/>
          </w:tcPr>
          <w:p w14:paraId="7AF57A4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por efectos en la ejecución del proyecto</w:t>
            </w:r>
          </w:p>
        </w:tc>
        <w:tc>
          <w:tcPr>
            <w:tcW w:w="167" w:type="pct"/>
            <w:shd w:val="clear" w:color="auto" w:fill="auto"/>
            <w:vAlign w:val="center"/>
          </w:tcPr>
          <w:p w14:paraId="3660E271"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3DDBCB37"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340FBF5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textDirection w:val="btLr"/>
            <w:vAlign w:val="center"/>
          </w:tcPr>
          <w:p w14:paraId="5B2D5070"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7473C9FA"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19186E3D"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compensaciones de los mismos impuestas por la autoridad ambiental. Seguimiento por parte de la Secretaria de Ambiente, agricultura y Desarrollo Rural. De ser necesario llevar a cabo </w:t>
            </w:r>
            <w:proofErr w:type="gramStart"/>
            <w:r w:rsidRPr="001F4769">
              <w:rPr>
                <w:rFonts w:ascii="Arial" w:eastAsia="Times New Roman" w:hAnsi="Arial" w:cs="Arial"/>
                <w:b/>
                <w:bCs/>
                <w:color w:val="000000"/>
                <w:sz w:val="12"/>
                <w:szCs w:val="12"/>
              </w:rPr>
              <w:t>procesos sancionatorio</w:t>
            </w:r>
            <w:proofErr w:type="gramEnd"/>
            <w:r w:rsidRPr="001F4769">
              <w:rPr>
                <w:rFonts w:ascii="Arial" w:eastAsia="Times New Roman" w:hAnsi="Arial" w:cs="Arial"/>
                <w:b/>
                <w:bCs/>
                <w:color w:val="000000"/>
                <w:sz w:val="12"/>
                <w:szCs w:val="12"/>
              </w:rPr>
              <w:t xml:space="preserve"> para conminar su cumplimiento o sancionar el incumplimiento</w:t>
            </w:r>
          </w:p>
        </w:tc>
        <w:tc>
          <w:tcPr>
            <w:tcW w:w="166" w:type="pct"/>
            <w:shd w:val="clear" w:color="auto" w:fill="auto"/>
            <w:vAlign w:val="center"/>
          </w:tcPr>
          <w:p w14:paraId="5949DBB9"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17F1F9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4EB1C4E"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4AA97DE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634FFAA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E4F398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105DA7C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73F9A98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Comités técnicos, seguimiento por parte del especialista ambiental </w:t>
            </w:r>
            <w:proofErr w:type="gramStart"/>
            <w:r w:rsidRPr="001F4769">
              <w:rPr>
                <w:rFonts w:ascii="Arial" w:eastAsia="Times New Roman" w:hAnsi="Arial" w:cs="Arial"/>
                <w:b/>
                <w:bCs/>
                <w:color w:val="000000"/>
                <w:sz w:val="12"/>
                <w:szCs w:val="12"/>
              </w:rPr>
              <w:t>del interventoría</w:t>
            </w:r>
            <w:proofErr w:type="gramEnd"/>
            <w:r w:rsidRPr="001F4769">
              <w:rPr>
                <w:rFonts w:ascii="Arial" w:eastAsia="Times New Roman" w:hAnsi="Arial" w:cs="Arial"/>
                <w:b/>
                <w:bCs/>
                <w:color w:val="000000"/>
                <w:sz w:val="12"/>
                <w:szCs w:val="12"/>
              </w:rPr>
              <w:t>, seguimiento a informes ambientales por parte de la supervisión ambiental requerimientos escritos retroalimentación en los procedimientos adelantados por los responsables del tratamiento</w:t>
            </w:r>
          </w:p>
        </w:tc>
        <w:tc>
          <w:tcPr>
            <w:tcW w:w="242" w:type="pct"/>
            <w:shd w:val="clear" w:color="auto" w:fill="auto"/>
            <w:textDirection w:val="btLr"/>
            <w:vAlign w:val="center"/>
          </w:tcPr>
          <w:p w14:paraId="4BE950A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w:t>
            </w:r>
          </w:p>
        </w:tc>
      </w:tr>
      <w:tr w:rsidR="005210A2" w:rsidRPr="004D7C35" w14:paraId="45270840" w14:textId="77777777" w:rsidTr="00FB14C6">
        <w:trPr>
          <w:cantSplit/>
          <w:trHeight w:val="418"/>
        </w:trPr>
        <w:tc>
          <w:tcPr>
            <w:tcW w:w="170" w:type="pct"/>
            <w:shd w:val="clear" w:color="auto" w:fill="auto"/>
            <w:vAlign w:val="center"/>
          </w:tcPr>
          <w:p w14:paraId="3D7A795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18</w:t>
            </w:r>
          </w:p>
        </w:tc>
        <w:tc>
          <w:tcPr>
            <w:tcW w:w="170" w:type="pct"/>
            <w:shd w:val="clear" w:color="auto" w:fill="auto"/>
            <w:textDirection w:val="btLr"/>
            <w:vAlign w:val="center"/>
          </w:tcPr>
          <w:p w14:paraId="1E8D4763"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CF8597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4E8CDC0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0CE2FD46"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7B1B2764"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Ambiental</w:t>
            </w:r>
            <w:r w:rsidRPr="001F4769">
              <w:rPr>
                <w:rFonts w:ascii="Arial" w:eastAsia="Times New Roman" w:hAnsi="Arial" w:cs="Arial"/>
                <w:color w:val="000000"/>
                <w:sz w:val="12"/>
                <w:szCs w:val="12"/>
              </w:rPr>
              <w:t>: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explotación minera, ocupación de cauces e intervenciones forestales sin los debidos permisos de las autoridades ambientales</w:t>
            </w:r>
          </w:p>
        </w:tc>
        <w:tc>
          <w:tcPr>
            <w:tcW w:w="181" w:type="pct"/>
            <w:shd w:val="clear" w:color="auto" w:fill="auto"/>
            <w:textDirection w:val="btLr"/>
            <w:vAlign w:val="center"/>
          </w:tcPr>
          <w:p w14:paraId="5BC313AC"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 incumplimiento ambiental que puede afectar la ejecución del proyecto y ocasiona sanciones de las entidades ambientales competentes</w:t>
            </w:r>
          </w:p>
        </w:tc>
        <w:tc>
          <w:tcPr>
            <w:tcW w:w="167" w:type="pct"/>
            <w:shd w:val="clear" w:color="auto" w:fill="auto"/>
            <w:vAlign w:val="center"/>
          </w:tcPr>
          <w:p w14:paraId="65D6A07F"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75D8215E"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vAlign w:val="center"/>
          </w:tcPr>
          <w:p w14:paraId="7F850F4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67" w:type="pct"/>
            <w:shd w:val="clear" w:color="auto" w:fill="auto"/>
            <w:textDirection w:val="btLr"/>
            <w:vAlign w:val="center"/>
          </w:tcPr>
          <w:p w14:paraId="2EA8FC6D" w14:textId="77777777" w:rsidR="005210A2" w:rsidRPr="001F4769" w:rsidRDefault="005210A2" w:rsidP="00FB14C6">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23E8BA64"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32434B2C"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Aplicación de la normatividad ambiental y exigencia de la licencia y/o permisos autorizaciones ambientales al contratista. Verificación del cumplimiento del contratista de las obligaciones que emanan de los mismos. De ser necesario llevar a cabo procesos sancionatorios para conminar o sancionar su incumplimiento</w:t>
            </w:r>
          </w:p>
        </w:tc>
        <w:tc>
          <w:tcPr>
            <w:tcW w:w="166" w:type="pct"/>
            <w:shd w:val="clear" w:color="auto" w:fill="auto"/>
            <w:vAlign w:val="center"/>
          </w:tcPr>
          <w:p w14:paraId="5AA79D57"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B4C01F2"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DF39DF8"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66001313"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2BE8B3E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SI</w:t>
            </w:r>
          </w:p>
        </w:tc>
        <w:tc>
          <w:tcPr>
            <w:tcW w:w="181" w:type="pct"/>
            <w:shd w:val="clear" w:color="auto" w:fill="auto"/>
            <w:textDirection w:val="btLr"/>
            <w:vAlign w:val="center"/>
          </w:tcPr>
          <w:p w14:paraId="194A1290"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 - Interventoría</w:t>
            </w:r>
          </w:p>
        </w:tc>
        <w:tc>
          <w:tcPr>
            <w:tcW w:w="184" w:type="pct"/>
            <w:shd w:val="clear" w:color="auto" w:fill="auto"/>
            <w:textDirection w:val="btLr"/>
            <w:vAlign w:val="center"/>
          </w:tcPr>
          <w:p w14:paraId="49B6E4E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08780315" w14:textId="77777777" w:rsidR="005210A2" w:rsidRPr="001F4769"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w:t>
            </w:r>
          </w:p>
        </w:tc>
        <w:tc>
          <w:tcPr>
            <w:tcW w:w="242" w:type="pct"/>
            <w:shd w:val="clear" w:color="auto" w:fill="auto"/>
            <w:textDirection w:val="btLr"/>
            <w:vAlign w:val="center"/>
          </w:tcPr>
          <w:p w14:paraId="7F1AE097" w14:textId="77777777" w:rsidR="005210A2" w:rsidRPr="008F3F67" w:rsidRDefault="005210A2" w:rsidP="00FB14C6">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bl>
    <w:p w14:paraId="74770F23" w14:textId="77777777" w:rsidR="00815604" w:rsidRPr="00CB2A6B" w:rsidRDefault="00815604"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52D7D" w14:textId="77777777" w:rsidR="00EC7193" w:rsidRDefault="00EC7193" w:rsidP="00091875">
      <w:pPr>
        <w:spacing w:line="240" w:lineRule="auto"/>
      </w:pPr>
      <w:r>
        <w:separator/>
      </w:r>
    </w:p>
  </w:endnote>
  <w:endnote w:type="continuationSeparator" w:id="0">
    <w:p w14:paraId="52D20762" w14:textId="77777777" w:rsidR="00EC7193" w:rsidRDefault="00EC719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18"/>
        <w:szCs w:val="18"/>
      </w:rPr>
      <w:id w:val="552671562"/>
      <w:docPartObj>
        <w:docPartGallery w:val="Page Numbers (Bottom of Page)"/>
        <w:docPartUnique/>
      </w:docPartObj>
    </w:sdtPr>
    <w:sdtEnd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95470" w14:textId="77777777" w:rsidR="00EC7193" w:rsidRDefault="00EC7193" w:rsidP="00091875">
      <w:pPr>
        <w:spacing w:line="240" w:lineRule="auto"/>
      </w:pPr>
      <w:r>
        <w:separator/>
      </w:r>
    </w:p>
  </w:footnote>
  <w:footnote w:type="continuationSeparator" w:id="0">
    <w:p w14:paraId="23DBDEDB" w14:textId="77777777" w:rsidR="00EC7193" w:rsidRDefault="00EC719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A32DC"/>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210A2"/>
    <w:rsid w:val="00540CF2"/>
    <w:rsid w:val="00545461"/>
    <w:rsid w:val="005752CE"/>
    <w:rsid w:val="0058222E"/>
    <w:rsid w:val="005E5030"/>
    <w:rsid w:val="00602088"/>
    <w:rsid w:val="006212C1"/>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F421A"/>
    <w:rsid w:val="00E20BE5"/>
    <w:rsid w:val="00E56873"/>
    <w:rsid w:val="00EC719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documentManagement/types"/>
    <ds:schemaRef ds:uri="http://purl.org/dc/terms/"/>
    <ds:schemaRef ds:uri="http://www.w3.org/XML/1998/namespace"/>
    <ds:schemaRef ds:uri="a6cb9e4b-f1d1-4245-83ec-6cad768d538a"/>
    <ds:schemaRef ds:uri="http://purl.org/dc/elements/1.1/"/>
    <ds:schemaRef ds:uri="http://schemas.openxmlformats.org/package/2006/metadata/core-properties"/>
    <ds:schemaRef ds:uri="http://schemas.microsoft.com/office/infopath/2007/PartnerControls"/>
    <ds:schemaRef ds:uri="9d85dbaf-23eb-4e57-a637-93dcacc8b1a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A6CAF78-C079-4E10-936E-474509E95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3470</Words>
  <Characters>19091</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LENOVO</cp:lastModifiedBy>
  <cp:revision>2</cp:revision>
  <cp:lastPrinted>2020-11-13T23:50:00Z</cp:lastPrinted>
  <dcterms:created xsi:type="dcterms:W3CDTF">2026-09-15T20:33:00Z</dcterms:created>
  <dcterms:modified xsi:type="dcterms:W3CDTF">2026-09-15T20:33:00Z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