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7B4AC7" w14:textId="77777777" w:rsidR="00CA2C5C" w:rsidRPr="009D1F17" w:rsidRDefault="00CA2C5C" w:rsidP="00CA2C5C">
      <w:pPr>
        <w:jc w:val="center"/>
        <w:rPr>
          <w:rFonts w:ascii="Century Gothic" w:hAnsi="Century Gothic" w:cs="Arial"/>
          <w:b/>
          <w:bCs/>
          <w:sz w:val="20"/>
          <w:szCs w:val="20"/>
          <w:u w:val="single"/>
        </w:rPr>
      </w:pPr>
      <w:r w:rsidRPr="00F9771C">
        <w:rPr>
          <w:rFonts w:ascii="Century Gothic" w:hAnsi="Century Gothic" w:cs="Arial"/>
          <w:b/>
          <w:bCs/>
          <w:sz w:val="20"/>
          <w:szCs w:val="20"/>
          <w:u w:val="single"/>
        </w:rPr>
        <w:t>A</w:t>
      </w:r>
      <w:r w:rsidRPr="009D1F17">
        <w:rPr>
          <w:rFonts w:ascii="Century Gothic" w:hAnsi="Century Gothic" w:cs="Arial"/>
          <w:b/>
          <w:bCs/>
          <w:sz w:val="20"/>
          <w:szCs w:val="20"/>
          <w:u w:val="single"/>
        </w:rPr>
        <w:t>NEXO No 2</w:t>
      </w:r>
    </w:p>
    <w:p w14:paraId="10F08944"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76CEA86D" w14:textId="77777777" w:rsidR="00CA2C5C" w:rsidRPr="009D1F17" w:rsidRDefault="00CA2C5C" w:rsidP="00CA2C5C">
      <w:pPr>
        <w:spacing w:line="276" w:lineRule="auto"/>
        <w:jc w:val="center"/>
        <w:rPr>
          <w:rFonts w:ascii="Century Gothic" w:hAnsi="Century Gothic" w:cs="Arial"/>
          <w:b/>
          <w:bCs/>
          <w:sz w:val="20"/>
          <w:szCs w:val="20"/>
        </w:rPr>
      </w:pPr>
      <w:r w:rsidRPr="009D1F17">
        <w:rPr>
          <w:rFonts w:ascii="Century Gothic" w:hAnsi="Century Gothic" w:cs="Arial"/>
          <w:b/>
          <w:bCs/>
          <w:sz w:val="20"/>
          <w:szCs w:val="20"/>
        </w:rPr>
        <w:t>ANEXO TÉCNICO Y DE OFERTA ECONÓMICA</w:t>
      </w:r>
    </w:p>
    <w:p w14:paraId="71205CAC" w14:textId="77777777" w:rsidR="00CA2C5C" w:rsidRPr="009D1F17" w:rsidRDefault="00CA2C5C" w:rsidP="00CA2C5C">
      <w:pPr>
        <w:tabs>
          <w:tab w:val="left" w:pos="2550"/>
        </w:tabs>
        <w:spacing w:line="276" w:lineRule="auto"/>
        <w:jc w:val="center"/>
        <w:rPr>
          <w:rFonts w:ascii="Century Gothic" w:hAnsi="Century Gothic" w:cs="Arial"/>
          <w:b/>
          <w:bCs/>
          <w:sz w:val="20"/>
          <w:szCs w:val="20"/>
          <w:u w:val="single"/>
        </w:rPr>
      </w:pPr>
    </w:p>
    <w:p w14:paraId="01903517"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Ciudad y fecha </w:t>
      </w:r>
    </w:p>
    <w:p w14:paraId="1451578D" w14:textId="77777777" w:rsidR="00CA2C5C" w:rsidRPr="009D1F17" w:rsidRDefault="00CA2C5C" w:rsidP="00CA2C5C">
      <w:pPr>
        <w:tabs>
          <w:tab w:val="left" w:pos="2550"/>
        </w:tabs>
        <w:spacing w:line="276" w:lineRule="auto"/>
        <w:rPr>
          <w:rFonts w:ascii="Century Gothic" w:hAnsi="Century Gothic" w:cs="Arial"/>
          <w:sz w:val="20"/>
          <w:szCs w:val="20"/>
          <w:lang w:val="es-ES"/>
        </w:rPr>
      </w:pPr>
    </w:p>
    <w:p w14:paraId="0F986570"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Señores </w:t>
      </w:r>
    </w:p>
    <w:p w14:paraId="647834E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b/>
          <w:sz w:val="20"/>
          <w:szCs w:val="20"/>
          <w:lang w:val="es-ES"/>
        </w:rPr>
        <w:t>Alcaldía Municipal de Aguadas Caldas</w:t>
      </w:r>
    </w:p>
    <w:p w14:paraId="7292F88B" w14:textId="77777777" w:rsidR="00CA2C5C" w:rsidRPr="009D1F17" w:rsidRDefault="00CA2C5C" w:rsidP="00CA2C5C">
      <w:pPr>
        <w:tabs>
          <w:tab w:val="left" w:pos="2550"/>
        </w:tabs>
        <w:spacing w:line="276" w:lineRule="auto"/>
        <w:rPr>
          <w:rFonts w:ascii="Century Gothic" w:hAnsi="Century Gothic" w:cs="Arial"/>
          <w:sz w:val="20"/>
          <w:szCs w:val="20"/>
          <w:lang w:val="es-ES"/>
        </w:rPr>
      </w:pPr>
      <w:r w:rsidRPr="009D1F17">
        <w:rPr>
          <w:rFonts w:ascii="Century Gothic" w:hAnsi="Century Gothic" w:cs="Arial"/>
          <w:sz w:val="20"/>
          <w:szCs w:val="20"/>
          <w:lang w:val="es-ES"/>
        </w:rPr>
        <w:t xml:space="preserve">Carrera 6ª No.  5 – 23 </w:t>
      </w:r>
    </w:p>
    <w:p w14:paraId="0B55D480" w14:textId="77777777" w:rsidR="00CA2C5C" w:rsidRPr="009D1F17" w:rsidRDefault="00CA2C5C" w:rsidP="009415AA">
      <w:pPr>
        <w:spacing w:line="276" w:lineRule="auto"/>
        <w:jc w:val="both"/>
        <w:rPr>
          <w:rFonts w:ascii="Century Gothic" w:hAnsi="Century Gothic" w:cs="Arial"/>
          <w:sz w:val="20"/>
          <w:szCs w:val="20"/>
          <w:lang w:val="es-ES"/>
        </w:rPr>
      </w:pPr>
    </w:p>
    <w:p w14:paraId="6E2E1DE5" w14:textId="66D39F81" w:rsidR="001E3DD4" w:rsidRDefault="00CA2C5C" w:rsidP="00172BD0">
      <w:pPr>
        <w:jc w:val="both"/>
        <w:rPr>
          <w:rFonts w:ascii="Century Gothic" w:hAnsi="Century Gothic" w:cs="Arial"/>
          <w:b/>
          <w:i/>
          <w:color w:val="000000"/>
          <w:sz w:val="20"/>
          <w:szCs w:val="20"/>
        </w:rPr>
      </w:pPr>
      <w:r w:rsidRPr="009D1F17">
        <w:rPr>
          <w:rFonts w:ascii="Century Gothic" w:hAnsi="Century Gothic" w:cs="Arial"/>
          <w:b/>
          <w:sz w:val="20"/>
          <w:szCs w:val="20"/>
          <w:u w:val="single"/>
        </w:rPr>
        <w:t>OBJETO:</w:t>
      </w:r>
      <w:r w:rsidRPr="009D1F17">
        <w:rPr>
          <w:rFonts w:ascii="Century Gothic" w:hAnsi="Century Gothic" w:cs="Arial"/>
          <w:sz w:val="20"/>
          <w:szCs w:val="20"/>
        </w:rPr>
        <w:t xml:space="preserve"> </w:t>
      </w:r>
      <w:r w:rsidRPr="009D1F17">
        <w:rPr>
          <w:rFonts w:ascii="Century Gothic" w:hAnsi="Century Gothic" w:cs="Arial"/>
          <w:b/>
          <w:bCs/>
          <w:sz w:val="20"/>
          <w:szCs w:val="20"/>
          <w:lang w:val="es-ES"/>
        </w:rPr>
        <w:t xml:space="preserve"> </w:t>
      </w:r>
      <w:r w:rsidR="00605B43" w:rsidRPr="005930FA">
        <w:rPr>
          <w:rFonts w:ascii="Century Gothic" w:hAnsi="Century Gothic" w:cs="Arial"/>
          <w:b/>
          <w:i/>
          <w:color w:val="000000"/>
          <w:sz w:val="20"/>
          <w:szCs w:val="20"/>
        </w:rPr>
        <w:t>“</w:t>
      </w:r>
      <w:r w:rsidR="00605B43" w:rsidRPr="005930FA">
        <w:rPr>
          <w:rFonts w:ascii="Century Gothic" w:hAnsi="Century Gothic" w:cs="Arial"/>
          <w:b/>
          <w:color w:val="000000"/>
          <w:sz w:val="20"/>
          <w:szCs w:val="20"/>
        </w:rPr>
        <w:t>ADQUISICIÓN DE PAPELERÍA, INSUMOS DE ESCRITORIO PARA EL FORTALECIMIENTO OPERATIVO Y EL DESARROLLO DE LAS ACTIVIDADES MISIONALES DE LA DIRECCIÓN LOCAL DE SALUD DE LA ALCALDÍA DE AGUADAS, CALDAS</w:t>
      </w:r>
      <w:r w:rsidR="00605B43" w:rsidRPr="005930FA">
        <w:rPr>
          <w:rFonts w:ascii="Century Gothic" w:hAnsi="Century Gothic" w:cs="Arial"/>
          <w:b/>
          <w:i/>
          <w:color w:val="000000"/>
          <w:sz w:val="20"/>
          <w:szCs w:val="20"/>
        </w:rPr>
        <w:t>”.</w:t>
      </w:r>
    </w:p>
    <w:p w14:paraId="6B00803A" w14:textId="77777777" w:rsidR="00605B43" w:rsidRDefault="00605B43" w:rsidP="00172BD0">
      <w:pPr>
        <w:jc w:val="both"/>
        <w:rPr>
          <w:rFonts w:ascii="Century Gothic" w:hAnsi="Century Gothic" w:cs="Arial"/>
          <w:b/>
          <w:i/>
          <w:color w:val="000000"/>
          <w:sz w:val="20"/>
          <w:szCs w:val="20"/>
        </w:rPr>
      </w:pPr>
    </w:p>
    <w:p w14:paraId="09D016E0" w14:textId="77777777" w:rsidR="00605B43" w:rsidRDefault="00605B43" w:rsidP="00172BD0">
      <w:pPr>
        <w:jc w:val="both"/>
        <w:rPr>
          <w:rFonts w:ascii="Century Gothic" w:hAnsi="Century Gothic" w:cs="Arial"/>
          <w:b/>
          <w:i/>
          <w:color w:val="000000"/>
          <w:sz w:val="20"/>
          <w:szCs w:val="20"/>
        </w:rPr>
      </w:pPr>
    </w:p>
    <w:p w14:paraId="72A3FF26" w14:textId="77777777" w:rsidR="00605B43" w:rsidRPr="005930FA" w:rsidRDefault="00605B43" w:rsidP="00605B43">
      <w:pPr>
        <w:jc w:val="both"/>
        <w:rPr>
          <w:rFonts w:ascii="Century Gothic" w:hAnsi="Century Gothic" w:cs="Arial"/>
          <w:color w:val="141414"/>
          <w:sz w:val="20"/>
          <w:szCs w:val="20"/>
        </w:rPr>
      </w:pPr>
      <w:r w:rsidRPr="005930FA">
        <w:rPr>
          <w:rFonts w:ascii="Century Gothic" w:hAnsi="Century Gothic" w:cs="Arial"/>
          <w:color w:val="141414"/>
          <w:sz w:val="20"/>
          <w:szCs w:val="20"/>
        </w:rPr>
        <w:t>Las condiciones técnicas que deben ser tenidas en cuenta por parte de los proponentes para la celebración y ejecución del contrato son las siguientes:</w:t>
      </w:r>
    </w:p>
    <w:p w14:paraId="1880407B" w14:textId="77777777" w:rsidR="00605B43" w:rsidRPr="005930FA" w:rsidRDefault="00605B43" w:rsidP="00605B43">
      <w:pPr>
        <w:jc w:val="both"/>
        <w:rPr>
          <w:rFonts w:ascii="Century Gothic" w:hAnsi="Century Gothic" w:cs="Arial"/>
          <w:color w:val="141414"/>
          <w:sz w:val="20"/>
          <w:szCs w:val="20"/>
        </w:rPr>
      </w:pPr>
    </w:p>
    <w:tbl>
      <w:tblPr>
        <w:tblW w:w="5781" w:type="pct"/>
        <w:tblInd w:w="-714" w:type="dxa"/>
        <w:tblCellMar>
          <w:left w:w="70" w:type="dxa"/>
          <w:right w:w="70" w:type="dxa"/>
        </w:tblCellMar>
        <w:tblLook w:val="04A0" w:firstRow="1" w:lastRow="0" w:firstColumn="1" w:lastColumn="0" w:noHBand="0" w:noVBand="1"/>
      </w:tblPr>
      <w:tblGrid>
        <w:gridCol w:w="1836"/>
        <w:gridCol w:w="4536"/>
        <w:gridCol w:w="1134"/>
        <w:gridCol w:w="1281"/>
        <w:gridCol w:w="1420"/>
      </w:tblGrid>
      <w:tr w:rsidR="00605B43" w:rsidRPr="005930FA" w14:paraId="407D4F46" w14:textId="77777777" w:rsidTr="00E617D1">
        <w:trPr>
          <w:trHeight w:val="510"/>
        </w:trPr>
        <w:tc>
          <w:tcPr>
            <w:tcW w:w="5000" w:type="pct"/>
            <w:gridSpan w:val="5"/>
            <w:tcBorders>
              <w:top w:val="single" w:sz="4" w:space="0" w:color="auto"/>
              <w:left w:val="single" w:sz="4" w:space="0" w:color="auto"/>
              <w:bottom w:val="single" w:sz="4" w:space="0" w:color="auto"/>
              <w:right w:val="single" w:sz="4" w:space="0" w:color="auto"/>
            </w:tcBorders>
            <w:vAlign w:val="center"/>
          </w:tcPr>
          <w:p w14:paraId="0B3662EA" w14:textId="7777777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PAPELERÍA DIRECCIÓN LOCAL DE SALUD</w:t>
            </w:r>
          </w:p>
        </w:tc>
      </w:tr>
      <w:tr w:rsidR="00605B43" w:rsidRPr="005930FA" w14:paraId="56B14EB0" w14:textId="77777777" w:rsidTr="00605B43">
        <w:trPr>
          <w:trHeight w:val="624"/>
        </w:trPr>
        <w:tc>
          <w:tcPr>
            <w:tcW w:w="625" w:type="pct"/>
            <w:tcBorders>
              <w:top w:val="single" w:sz="4" w:space="0" w:color="auto"/>
              <w:left w:val="single" w:sz="4" w:space="0" w:color="auto"/>
              <w:bottom w:val="single" w:sz="4" w:space="0" w:color="auto"/>
              <w:right w:val="single" w:sz="4" w:space="0" w:color="auto"/>
            </w:tcBorders>
            <w:vAlign w:val="center"/>
          </w:tcPr>
          <w:p w14:paraId="225706F9" w14:textId="7777777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Equipo y/o elemento</w:t>
            </w:r>
          </w:p>
        </w:tc>
        <w:tc>
          <w:tcPr>
            <w:tcW w:w="2291" w:type="pct"/>
            <w:tcBorders>
              <w:top w:val="single" w:sz="4" w:space="0" w:color="auto"/>
              <w:left w:val="nil"/>
              <w:bottom w:val="single" w:sz="4" w:space="0" w:color="auto"/>
              <w:right w:val="single" w:sz="4" w:space="0" w:color="auto"/>
            </w:tcBorders>
            <w:vAlign w:val="center"/>
          </w:tcPr>
          <w:p w14:paraId="7FB3506D" w14:textId="7777777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Descripción Técnica Detallada</w:t>
            </w:r>
          </w:p>
        </w:tc>
        <w:tc>
          <w:tcPr>
            <w:tcW w:w="624" w:type="pct"/>
            <w:tcBorders>
              <w:top w:val="single" w:sz="4" w:space="0" w:color="auto"/>
              <w:left w:val="nil"/>
              <w:bottom w:val="single" w:sz="4" w:space="0" w:color="auto"/>
              <w:right w:val="single" w:sz="4" w:space="0" w:color="auto"/>
            </w:tcBorders>
            <w:vAlign w:val="center"/>
          </w:tcPr>
          <w:p w14:paraId="1D215ADD" w14:textId="7777777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Cantidad</w:t>
            </w:r>
          </w:p>
        </w:tc>
        <w:tc>
          <w:tcPr>
            <w:tcW w:w="696" w:type="pct"/>
            <w:tcBorders>
              <w:top w:val="single" w:sz="4" w:space="0" w:color="auto"/>
              <w:left w:val="single" w:sz="4" w:space="0" w:color="auto"/>
              <w:bottom w:val="single" w:sz="4" w:space="0" w:color="auto"/>
              <w:right w:val="single" w:sz="4" w:space="0" w:color="auto"/>
            </w:tcBorders>
            <w:vAlign w:val="center"/>
          </w:tcPr>
          <w:p w14:paraId="23A78E1A" w14:textId="79A3C4B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br/>
              <w:t>Valor Unitario</w:t>
            </w:r>
          </w:p>
          <w:p w14:paraId="6E034FAA" w14:textId="7777777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IVA incluido</w:t>
            </w:r>
          </w:p>
        </w:tc>
        <w:tc>
          <w:tcPr>
            <w:tcW w:w="764" w:type="pct"/>
            <w:tcBorders>
              <w:top w:val="single" w:sz="4" w:space="0" w:color="auto"/>
              <w:left w:val="nil"/>
              <w:bottom w:val="single" w:sz="4" w:space="0" w:color="auto"/>
              <w:right w:val="single" w:sz="4" w:space="0" w:color="auto"/>
            </w:tcBorders>
            <w:vAlign w:val="center"/>
          </w:tcPr>
          <w:p w14:paraId="10140CE5" w14:textId="1ABE9931"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br/>
              <w:t>Valor Total</w:t>
            </w:r>
          </w:p>
          <w:p w14:paraId="6C3F6277" w14:textId="77777777"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IVA incluido</w:t>
            </w:r>
          </w:p>
        </w:tc>
      </w:tr>
      <w:tr w:rsidR="00605B43" w:rsidRPr="005930FA" w14:paraId="119E8692" w14:textId="77777777" w:rsidTr="00605B43">
        <w:trPr>
          <w:trHeight w:val="750"/>
        </w:trPr>
        <w:tc>
          <w:tcPr>
            <w:tcW w:w="625" w:type="pct"/>
            <w:tcBorders>
              <w:top w:val="nil"/>
              <w:left w:val="single" w:sz="4" w:space="0" w:color="auto"/>
              <w:bottom w:val="single" w:sz="4" w:space="0" w:color="auto"/>
              <w:right w:val="single" w:sz="4" w:space="0" w:color="auto"/>
            </w:tcBorders>
            <w:vAlign w:val="center"/>
            <w:hideMark/>
          </w:tcPr>
          <w:p w14:paraId="6B249FA9"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Papel Carta</w:t>
            </w:r>
          </w:p>
        </w:tc>
        <w:tc>
          <w:tcPr>
            <w:tcW w:w="2291" w:type="pct"/>
            <w:tcBorders>
              <w:top w:val="nil"/>
              <w:left w:val="nil"/>
              <w:bottom w:val="single" w:sz="4" w:space="0" w:color="auto"/>
              <w:right w:val="single" w:sz="4" w:space="0" w:color="auto"/>
            </w:tcBorders>
            <w:vAlign w:val="center"/>
            <w:hideMark/>
          </w:tcPr>
          <w:p w14:paraId="770DFB8B"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Papel de 75 gr, con una presentación de 500 hojas por resma. </w:t>
            </w:r>
          </w:p>
        </w:tc>
        <w:tc>
          <w:tcPr>
            <w:tcW w:w="624" w:type="pct"/>
            <w:tcBorders>
              <w:top w:val="nil"/>
              <w:left w:val="nil"/>
              <w:bottom w:val="single" w:sz="4" w:space="0" w:color="auto"/>
              <w:right w:val="single" w:sz="4" w:space="0" w:color="auto"/>
            </w:tcBorders>
            <w:vAlign w:val="center"/>
            <w:hideMark/>
          </w:tcPr>
          <w:p w14:paraId="6E780C16"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hAnsi="Century Gothic"/>
                <w:sz w:val="20"/>
                <w:szCs w:val="20"/>
              </w:rPr>
              <w:t>10 cajas x 10 Resmas Carta</w:t>
            </w:r>
          </w:p>
        </w:tc>
        <w:tc>
          <w:tcPr>
            <w:tcW w:w="696" w:type="pct"/>
            <w:tcBorders>
              <w:top w:val="nil"/>
              <w:left w:val="single" w:sz="4" w:space="0" w:color="auto"/>
              <w:bottom w:val="single" w:sz="4" w:space="0" w:color="auto"/>
              <w:right w:val="single" w:sz="4" w:space="0" w:color="auto"/>
            </w:tcBorders>
            <w:noWrap/>
            <w:vAlign w:val="center"/>
          </w:tcPr>
          <w:p w14:paraId="0E74AD4B" w14:textId="774B995B"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D28CF1E" w14:textId="1B9D2971"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2CB7DCF0" w14:textId="77777777" w:rsidTr="00605B43">
        <w:trPr>
          <w:trHeight w:val="855"/>
        </w:trPr>
        <w:tc>
          <w:tcPr>
            <w:tcW w:w="625" w:type="pct"/>
            <w:tcBorders>
              <w:top w:val="nil"/>
              <w:left w:val="single" w:sz="4" w:space="0" w:color="auto"/>
              <w:bottom w:val="single" w:sz="4" w:space="0" w:color="auto"/>
              <w:right w:val="single" w:sz="4" w:space="0" w:color="auto"/>
            </w:tcBorders>
            <w:vAlign w:val="center"/>
            <w:hideMark/>
          </w:tcPr>
          <w:p w14:paraId="099D4C42"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Bolígrafo</w:t>
            </w:r>
          </w:p>
        </w:tc>
        <w:tc>
          <w:tcPr>
            <w:tcW w:w="2291" w:type="pct"/>
            <w:tcBorders>
              <w:top w:val="nil"/>
              <w:left w:val="nil"/>
              <w:bottom w:val="single" w:sz="4" w:space="0" w:color="auto"/>
              <w:right w:val="single" w:sz="4" w:space="0" w:color="auto"/>
            </w:tcBorders>
            <w:vAlign w:val="center"/>
            <w:hideMark/>
          </w:tcPr>
          <w:p w14:paraId="728342CF"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Bolígrafo de color negro, de 0.7 mm, con semigel y de punta fina, presentado en caja por 12 unidades. </w:t>
            </w:r>
          </w:p>
        </w:tc>
        <w:tc>
          <w:tcPr>
            <w:tcW w:w="624" w:type="pct"/>
            <w:tcBorders>
              <w:top w:val="nil"/>
              <w:left w:val="nil"/>
              <w:bottom w:val="single" w:sz="4" w:space="0" w:color="auto"/>
              <w:right w:val="single" w:sz="4" w:space="0" w:color="auto"/>
            </w:tcBorders>
            <w:vAlign w:val="center"/>
            <w:hideMark/>
          </w:tcPr>
          <w:p w14:paraId="30A7004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w:t>
            </w:r>
          </w:p>
        </w:tc>
        <w:tc>
          <w:tcPr>
            <w:tcW w:w="696" w:type="pct"/>
            <w:tcBorders>
              <w:top w:val="nil"/>
              <w:left w:val="single" w:sz="4" w:space="0" w:color="auto"/>
              <w:bottom w:val="single" w:sz="4" w:space="0" w:color="auto"/>
              <w:right w:val="single" w:sz="4" w:space="0" w:color="auto"/>
            </w:tcBorders>
            <w:noWrap/>
            <w:vAlign w:val="center"/>
          </w:tcPr>
          <w:p w14:paraId="11C3629E" w14:textId="096012D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FAAF64F" w14:textId="2A4738F0"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53A88D57" w14:textId="77777777" w:rsidTr="00605B43">
        <w:trPr>
          <w:trHeight w:val="285"/>
        </w:trPr>
        <w:tc>
          <w:tcPr>
            <w:tcW w:w="625" w:type="pct"/>
            <w:tcBorders>
              <w:top w:val="nil"/>
              <w:left w:val="single" w:sz="4" w:space="0" w:color="auto"/>
              <w:bottom w:val="single" w:sz="4" w:space="0" w:color="auto"/>
              <w:right w:val="single" w:sz="4" w:space="0" w:color="auto"/>
            </w:tcBorders>
            <w:vAlign w:val="center"/>
            <w:hideMark/>
          </w:tcPr>
          <w:p w14:paraId="24A3AB6C"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Lápiz</w:t>
            </w:r>
          </w:p>
        </w:tc>
        <w:tc>
          <w:tcPr>
            <w:tcW w:w="2291" w:type="pct"/>
            <w:tcBorders>
              <w:top w:val="nil"/>
              <w:left w:val="nil"/>
              <w:bottom w:val="single" w:sz="4" w:space="0" w:color="auto"/>
              <w:right w:val="single" w:sz="4" w:space="0" w:color="auto"/>
            </w:tcBorders>
            <w:vAlign w:val="center"/>
            <w:hideMark/>
          </w:tcPr>
          <w:p w14:paraId="35F4059B"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Lápiz Negro 2HB Caja por 12 unidades. </w:t>
            </w:r>
          </w:p>
        </w:tc>
        <w:tc>
          <w:tcPr>
            <w:tcW w:w="624" w:type="pct"/>
            <w:tcBorders>
              <w:top w:val="nil"/>
              <w:left w:val="nil"/>
              <w:bottom w:val="single" w:sz="4" w:space="0" w:color="auto"/>
              <w:right w:val="single" w:sz="4" w:space="0" w:color="auto"/>
            </w:tcBorders>
            <w:vAlign w:val="center"/>
            <w:hideMark/>
          </w:tcPr>
          <w:p w14:paraId="6D87EE10"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3</w:t>
            </w:r>
          </w:p>
        </w:tc>
        <w:tc>
          <w:tcPr>
            <w:tcW w:w="696" w:type="pct"/>
            <w:tcBorders>
              <w:top w:val="nil"/>
              <w:left w:val="single" w:sz="4" w:space="0" w:color="auto"/>
              <w:bottom w:val="single" w:sz="4" w:space="0" w:color="auto"/>
              <w:right w:val="single" w:sz="4" w:space="0" w:color="auto"/>
            </w:tcBorders>
            <w:noWrap/>
            <w:vAlign w:val="center"/>
          </w:tcPr>
          <w:p w14:paraId="12C4C517" w14:textId="6E6D7EBB"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1C9BEC7" w14:textId="45BFE97F"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AE581B9" w14:textId="77777777" w:rsidTr="00605B43">
        <w:trPr>
          <w:trHeight w:val="566"/>
        </w:trPr>
        <w:tc>
          <w:tcPr>
            <w:tcW w:w="625" w:type="pct"/>
            <w:tcBorders>
              <w:top w:val="nil"/>
              <w:left w:val="single" w:sz="4" w:space="0" w:color="auto"/>
              <w:bottom w:val="single" w:sz="4" w:space="0" w:color="auto"/>
              <w:right w:val="single" w:sz="4" w:space="0" w:color="auto"/>
            </w:tcBorders>
            <w:vAlign w:val="center"/>
            <w:hideMark/>
          </w:tcPr>
          <w:p w14:paraId="04433387"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Portaminas</w:t>
            </w:r>
          </w:p>
        </w:tc>
        <w:tc>
          <w:tcPr>
            <w:tcW w:w="2291" w:type="pct"/>
            <w:tcBorders>
              <w:top w:val="nil"/>
              <w:left w:val="nil"/>
              <w:bottom w:val="single" w:sz="4" w:space="0" w:color="auto"/>
              <w:right w:val="single" w:sz="4" w:space="0" w:color="auto"/>
            </w:tcBorders>
            <w:vAlign w:val="center"/>
            <w:hideMark/>
          </w:tcPr>
          <w:p w14:paraId="211C6B41"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Portaminas mecánico recargable para minas de grafito calibre 0.7 mm de uso profesional e institucional, fabricado con cuerpo cilíndrico de resina plástica de alta durabilidad y resistencia al impacto; equipado con mecanismo de avance por pulsador superior con resorte de precisión y mordaza interna metálica que previene la rotura de la mina bajo presión constante de escritura; provisto de puntera metálica guía fija o retráctil que protege el grafito y optimiza el uso con reglas o plantillas, zona de agarre (</w:t>
            </w:r>
            <w:r w:rsidRPr="005930FA">
              <w:rPr>
                <w:rFonts w:ascii="Century Gothic" w:eastAsia="Times New Roman" w:hAnsi="Century Gothic" w:cs="Times New Roman"/>
                <w:i/>
                <w:iCs/>
                <w:color w:val="000000"/>
                <w:sz w:val="20"/>
                <w:szCs w:val="20"/>
                <w:lang w:val="es-CO"/>
              </w:rPr>
              <w:t>grip</w:t>
            </w:r>
            <w:r w:rsidRPr="005930FA">
              <w:rPr>
                <w:rFonts w:ascii="Century Gothic" w:eastAsia="Times New Roman" w:hAnsi="Century Gothic" w:cs="Times New Roman"/>
                <w:color w:val="000000"/>
                <w:sz w:val="20"/>
                <w:szCs w:val="20"/>
                <w:lang w:val="es-CO"/>
              </w:rPr>
              <w:t xml:space="preserve">) ergonómica con relieve o textura antideslizante para evitar la fatiga manual, clip metálico flexible de alta sujeción para bolsillo, y borrador de goma sintética libre de PVC y látex integrado en el extremo superior bajo tapa protectora, </w:t>
            </w:r>
            <w:r w:rsidRPr="005930FA">
              <w:rPr>
                <w:rFonts w:ascii="Century Gothic" w:eastAsia="Times New Roman" w:hAnsi="Century Gothic" w:cs="Times New Roman"/>
                <w:color w:val="000000"/>
                <w:sz w:val="20"/>
                <w:szCs w:val="20"/>
                <w:lang w:val="es-CO"/>
              </w:rPr>
              <w:lastRenderedPageBreak/>
              <w:t>compatible con minas estándar 0.7 mm de dureza HB, B o 2B.</w:t>
            </w:r>
          </w:p>
        </w:tc>
        <w:tc>
          <w:tcPr>
            <w:tcW w:w="624" w:type="pct"/>
            <w:tcBorders>
              <w:top w:val="nil"/>
              <w:left w:val="nil"/>
              <w:bottom w:val="single" w:sz="4" w:space="0" w:color="auto"/>
              <w:right w:val="single" w:sz="4" w:space="0" w:color="auto"/>
            </w:tcBorders>
            <w:vAlign w:val="center"/>
            <w:hideMark/>
          </w:tcPr>
          <w:p w14:paraId="5A4B72B4"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lastRenderedPageBreak/>
              <w:t>8</w:t>
            </w:r>
          </w:p>
        </w:tc>
        <w:tc>
          <w:tcPr>
            <w:tcW w:w="696" w:type="pct"/>
            <w:tcBorders>
              <w:top w:val="nil"/>
              <w:left w:val="single" w:sz="4" w:space="0" w:color="auto"/>
              <w:bottom w:val="single" w:sz="4" w:space="0" w:color="auto"/>
              <w:right w:val="single" w:sz="4" w:space="0" w:color="auto"/>
            </w:tcBorders>
            <w:noWrap/>
            <w:vAlign w:val="center"/>
          </w:tcPr>
          <w:p w14:paraId="1B7C5848" w14:textId="5925D65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C53836C" w14:textId="339AEA93"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5AFAF2EA" w14:textId="77777777" w:rsidTr="00605B43">
        <w:trPr>
          <w:trHeight w:val="3866"/>
        </w:trPr>
        <w:tc>
          <w:tcPr>
            <w:tcW w:w="625" w:type="pct"/>
            <w:tcBorders>
              <w:top w:val="nil"/>
              <w:left w:val="single" w:sz="4" w:space="0" w:color="auto"/>
              <w:bottom w:val="single" w:sz="4" w:space="0" w:color="auto"/>
              <w:right w:val="single" w:sz="4" w:space="0" w:color="auto"/>
            </w:tcBorders>
            <w:vAlign w:val="center"/>
            <w:hideMark/>
          </w:tcPr>
          <w:p w14:paraId="51AE9EF3"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Minas para portaminas</w:t>
            </w:r>
          </w:p>
        </w:tc>
        <w:tc>
          <w:tcPr>
            <w:tcW w:w="2291" w:type="pct"/>
            <w:tcBorders>
              <w:top w:val="nil"/>
              <w:left w:val="nil"/>
              <w:bottom w:val="single" w:sz="4" w:space="0" w:color="auto"/>
              <w:right w:val="single" w:sz="4" w:space="0" w:color="auto"/>
            </w:tcBorders>
            <w:vAlign w:val="center"/>
            <w:hideMark/>
          </w:tcPr>
          <w:p w14:paraId="3314BD26"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Minas o puntillas de grafito polimérico de alta densidad calibre 0.7 mm y longitud estándar de 60 mm a 65 mm para uso en portaminas mecánicos institucionales y de oficina; formuladas con mezcla homogénea de grafito y aglutinantes poliméricos de alta elasticidad y tecnología antirotura (</w:t>
            </w:r>
            <w:r w:rsidRPr="005930FA">
              <w:rPr>
                <w:rFonts w:ascii="Century Gothic" w:eastAsia="Times New Roman" w:hAnsi="Century Gothic" w:cs="Times New Roman"/>
                <w:i/>
                <w:iCs/>
                <w:color w:val="000000"/>
                <w:sz w:val="20"/>
                <w:szCs w:val="20"/>
                <w:lang w:val="es-CO"/>
              </w:rPr>
              <w:t>Super Polímero</w:t>
            </w:r>
            <w:r w:rsidRPr="005930FA">
              <w:rPr>
                <w:rFonts w:ascii="Century Gothic" w:eastAsia="Times New Roman" w:hAnsi="Century Gothic" w:cs="Times New Roman"/>
                <w:color w:val="000000"/>
                <w:sz w:val="20"/>
                <w:szCs w:val="20"/>
                <w:lang w:val="es-CO"/>
              </w:rPr>
              <w:t xml:space="preserve"> o equivalente) que garantizan una resistencia superior a la flexión y a la presión en la escritura continua; con graduación de dureza estándar tipo 2B o HB que proporciona un trazo negro intenso, suave, uniforme y de fácil borrado sin dejar sombras ni manchas sobre el papel; presentadas en estuche plástico rígido protector y dosificador con tapa deslizable o basculante para recarga rápida, limpia y unitaria, con contenido nominal de doce (12) a veinticuatro (24) unidades por tubo. </w:t>
            </w:r>
          </w:p>
        </w:tc>
        <w:tc>
          <w:tcPr>
            <w:tcW w:w="624" w:type="pct"/>
            <w:tcBorders>
              <w:top w:val="nil"/>
              <w:left w:val="nil"/>
              <w:bottom w:val="single" w:sz="4" w:space="0" w:color="auto"/>
              <w:right w:val="single" w:sz="4" w:space="0" w:color="auto"/>
            </w:tcBorders>
            <w:vAlign w:val="center"/>
            <w:hideMark/>
          </w:tcPr>
          <w:p w14:paraId="3DA931B9"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hAnsi="Century Gothic"/>
                <w:sz w:val="20"/>
                <w:szCs w:val="20"/>
              </w:rPr>
              <w:t>1 Caja x 12 unidades</w:t>
            </w:r>
          </w:p>
        </w:tc>
        <w:tc>
          <w:tcPr>
            <w:tcW w:w="696" w:type="pct"/>
            <w:tcBorders>
              <w:top w:val="nil"/>
              <w:left w:val="single" w:sz="4" w:space="0" w:color="auto"/>
              <w:bottom w:val="single" w:sz="4" w:space="0" w:color="auto"/>
              <w:right w:val="single" w:sz="4" w:space="0" w:color="auto"/>
            </w:tcBorders>
            <w:shd w:val="clear" w:color="auto" w:fill="FFFFFF" w:themeFill="background1"/>
            <w:noWrap/>
            <w:vAlign w:val="center"/>
          </w:tcPr>
          <w:p w14:paraId="1EE554A9" w14:textId="10A441A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shd w:val="clear" w:color="auto" w:fill="FFFFFF" w:themeFill="background1"/>
            <w:noWrap/>
            <w:vAlign w:val="center"/>
          </w:tcPr>
          <w:p w14:paraId="5EED91B0" w14:textId="58FA2D2F"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659DAB3" w14:textId="77777777" w:rsidTr="00605B43">
        <w:trPr>
          <w:trHeight w:val="720"/>
        </w:trPr>
        <w:tc>
          <w:tcPr>
            <w:tcW w:w="625" w:type="pct"/>
            <w:tcBorders>
              <w:top w:val="nil"/>
              <w:left w:val="single" w:sz="4" w:space="0" w:color="auto"/>
              <w:bottom w:val="single" w:sz="4" w:space="0" w:color="auto"/>
              <w:right w:val="single" w:sz="4" w:space="0" w:color="auto"/>
            </w:tcBorders>
            <w:vAlign w:val="center"/>
            <w:hideMark/>
          </w:tcPr>
          <w:p w14:paraId="6845DD03"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Borrador</w:t>
            </w:r>
          </w:p>
        </w:tc>
        <w:tc>
          <w:tcPr>
            <w:tcW w:w="2291" w:type="pct"/>
            <w:tcBorders>
              <w:top w:val="nil"/>
              <w:left w:val="nil"/>
              <w:bottom w:val="single" w:sz="4" w:space="0" w:color="auto"/>
              <w:right w:val="single" w:sz="4" w:space="0" w:color="auto"/>
            </w:tcBorders>
            <w:vAlign w:val="center"/>
            <w:hideMark/>
          </w:tcPr>
          <w:p w14:paraId="5B3CAC68"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Borrador miga de pan color (beige/café) de </w:t>
            </w:r>
            <w:r w:rsidRPr="005930FA">
              <w:rPr>
                <w:rFonts w:ascii="Century Gothic" w:eastAsia="Times New Roman" w:hAnsi="Century Gothic" w:cs="Times New Roman"/>
                <w:b/>
                <w:bCs/>
                <w:color w:val="000000"/>
                <w:sz w:val="20"/>
                <w:szCs w:val="20"/>
                <w:lang w:val="es-CO"/>
              </w:rPr>
              <w:t>5,5 cm x 2cm x 0,9</w:t>
            </w:r>
            <w:r w:rsidRPr="005930FA">
              <w:rPr>
                <w:rFonts w:ascii="Century Gothic" w:eastAsia="Times New Roman" w:hAnsi="Century Gothic" w:cs="Times New Roman"/>
                <w:color w:val="000000"/>
                <w:sz w:val="20"/>
                <w:szCs w:val="20"/>
                <w:lang w:val="es-CO"/>
              </w:rPr>
              <w:t xml:space="preserve">, caja por 20 unidades. </w:t>
            </w:r>
          </w:p>
        </w:tc>
        <w:tc>
          <w:tcPr>
            <w:tcW w:w="624" w:type="pct"/>
            <w:tcBorders>
              <w:top w:val="nil"/>
              <w:left w:val="nil"/>
              <w:bottom w:val="single" w:sz="4" w:space="0" w:color="auto"/>
              <w:right w:val="single" w:sz="4" w:space="0" w:color="auto"/>
            </w:tcBorders>
            <w:vAlign w:val="center"/>
            <w:hideMark/>
          </w:tcPr>
          <w:p w14:paraId="41AEF656"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702D11F0" w14:textId="4152133E"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C161615" w14:textId="08B5CBA4"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B87D1D9" w14:textId="77777777" w:rsidTr="00605B43">
        <w:trPr>
          <w:trHeight w:val="705"/>
        </w:trPr>
        <w:tc>
          <w:tcPr>
            <w:tcW w:w="625" w:type="pct"/>
            <w:tcBorders>
              <w:top w:val="nil"/>
              <w:left w:val="single" w:sz="4" w:space="0" w:color="auto"/>
              <w:bottom w:val="single" w:sz="4" w:space="0" w:color="auto"/>
              <w:right w:val="single" w:sz="4" w:space="0" w:color="auto"/>
            </w:tcBorders>
            <w:vAlign w:val="center"/>
            <w:hideMark/>
          </w:tcPr>
          <w:p w14:paraId="0027F247"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Carpeta archivo</w:t>
            </w:r>
          </w:p>
        </w:tc>
        <w:tc>
          <w:tcPr>
            <w:tcW w:w="2291" w:type="pct"/>
            <w:tcBorders>
              <w:top w:val="nil"/>
              <w:left w:val="nil"/>
              <w:bottom w:val="single" w:sz="4" w:space="0" w:color="auto"/>
              <w:right w:val="single" w:sz="4" w:space="0" w:color="auto"/>
            </w:tcBorders>
            <w:vAlign w:val="center"/>
            <w:hideMark/>
          </w:tcPr>
          <w:p w14:paraId="17863AD4"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Carpeta de color café, presentada en caja por 100 unidades. </w:t>
            </w:r>
          </w:p>
        </w:tc>
        <w:tc>
          <w:tcPr>
            <w:tcW w:w="624" w:type="pct"/>
            <w:tcBorders>
              <w:top w:val="nil"/>
              <w:left w:val="nil"/>
              <w:bottom w:val="single" w:sz="4" w:space="0" w:color="auto"/>
              <w:right w:val="single" w:sz="4" w:space="0" w:color="auto"/>
            </w:tcBorders>
            <w:vAlign w:val="center"/>
            <w:hideMark/>
          </w:tcPr>
          <w:p w14:paraId="138B90D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4</w:t>
            </w:r>
          </w:p>
        </w:tc>
        <w:tc>
          <w:tcPr>
            <w:tcW w:w="696" w:type="pct"/>
            <w:tcBorders>
              <w:top w:val="nil"/>
              <w:left w:val="single" w:sz="4" w:space="0" w:color="auto"/>
              <w:bottom w:val="single" w:sz="4" w:space="0" w:color="auto"/>
              <w:right w:val="single" w:sz="4" w:space="0" w:color="auto"/>
            </w:tcBorders>
            <w:noWrap/>
            <w:vAlign w:val="center"/>
          </w:tcPr>
          <w:p w14:paraId="6C4138D1" w14:textId="488E709F"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1D2DA7B7" w14:textId="04B90200"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63897AE6" w14:textId="77777777" w:rsidTr="00605B43">
        <w:trPr>
          <w:trHeight w:val="600"/>
        </w:trPr>
        <w:tc>
          <w:tcPr>
            <w:tcW w:w="625" w:type="pct"/>
            <w:tcBorders>
              <w:top w:val="nil"/>
              <w:left w:val="single" w:sz="4" w:space="0" w:color="auto"/>
              <w:bottom w:val="single" w:sz="4" w:space="0" w:color="auto"/>
              <w:right w:val="single" w:sz="4" w:space="0" w:color="auto"/>
            </w:tcBorders>
            <w:vAlign w:val="center"/>
            <w:hideMark/>
          </w:tcPr>
          <w:p w14:paraId="248A5EC8"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Clips-MARIPOSA</w:t>
            </w:r>
          </w:p>
        </w:tc>
        <w:tc>
          <w:tcPr>
            <w:tcW w:w="2291" w:type="pct"/>
            <w:tcBorders>
              <w:top w:val="nil"/>
              <w:left w:val="nil"/>
              <w:bottom w:val="single" w:sz="4" w:space="0" w:color="auto"/>
              <w:right w:val="single" w:sz="4" w:space="0" w:color="auto"/>
            </w:tcBorders>
            <w:vAlign w:val="center"/>
            <w:hideMark/>
          </w:tcPr>
          <w:p w14:paraId="6B62D653"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Cajas de clips tipo mariposa por 50 unidades. Caja por 50 unidades.</w:t>
            </w:r>
          </w:p>
        </w:tc>
        <w:tc>
          <w:tcPr>
            <w:tcW w:w="624" w:type="pct"/>
            <w:tcBorders>
              <w:top w:val="nil"/>
              <w:left w:val="nil"/>
              <w:bottom w:val="single" w:sz="4" w:space="0" w:color="auto"/>
              <w:right w:val="single" w:sz="4" w:space="0" w:color="auto"/>
            </w:tcBorders>
            <w:vAlign w:val="center"/>
            <w:hideMark/>
          </w:tcPr>
          <w:p w14:paraId="49C52CC8"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9</w:t>
            </w:r>
          </w:p>
        </w:tc>
        <w:tc>
          <w:tcPr>
            <w:tcW w:w="696" w:type="pct"/>
            <w:tcBorders>
              <w:top w:val="nil"/>
              <w:left w:val="single" w:sz="4" w:space="0" w:color="auto"/>
              <w:bottom w:val="single" w:sz="4" w:space="0" w:color="auto"/>
              <w:right w:val="single" w:sz="4" w:space="0" w:color="auto"/>
            </w:tcBorders>
            <w:noWrap/>
            <w:vAlign w:val="center"/>
          </w:tcPr>
          <w:p w14:paraId="2C53CD99" w14:textId="1C0EF313"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603315D" w14:textId="1B836D90"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BC704BA" w14:textId="77777777" w:rsidTr="00605B43">
        <w:trPr>
          <w:trHeight w:val="690"/>
        </w:trPr>
        <w:tc>
          <w:tcPr>
            <w:tcW w:w="625" w:type="pct"/>
            <w:tcBorders>
              <w:top w:val="nil"/>
              <w:left w:val="single" w:sz="4" w:space="0" w:color="auto"/>
              <w:bottom w:val="single" w:sz="4" w:space="0" w:color="auto"/>
              <w:right w:val="single" w:sz="4" w:space="0" w:color="auto"/>
            </w:tcBorders>
            <w:vAlign w:val="center"/>
            <w:hideMark/>
          </w:tcPr>
          <w:p w14:paraId="2C3CB9A6"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Banderas adhesivas</w:t>
            </w:r>
          </w:p>
        </w:tc>
        <w:tc>
          <w:tcPr>
            <w:tcW w:w="2291" w:type="pct"/>
            <w:tcBorders>
              <w:top w:val="nil"/>
              <w:left w:val="nil"/>
              <w:bottom w:val="single" w:sz="4" w:space="0" w:color="auto"/>
              <w:right w:val="single" w:sz="4" w:space="0" w:color="auto"/>
            </w:tcBorders>
            <w:vAlign w:val="center"/>
            <w:hideMark/>
          </w:tcPr>
          <w:p w14:paraId="30AAE4F4"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Banderitas de colores surtidos para señalización. Paquete por 100 hojas</w:t>
            </w:r>
          </w:p>
        </w:tc>
        <w:tc>
          <w:tcPr>
            <w:tcW w:w="624" w:type="pct"/>
            <w:tcBorders>
              <w:top w:val="nil"/>
              <w:left w:val="nil"/>
              <w:bottom w:val="single" w:sz="4" w:space="0" w:color="auto"/>
              <w:right w:val="single" w:sz="4" w:space="0" w:color="auto"/>
            </w:tcBorders>
            <w:vAlign w:val="center"/>
            <w:hideMark/>
          </w:tcPr>
          <w:p w14:paraId="271E41B4"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18</w:t>
            </w:r>
          </w:p>
        </w:tc>
        <w:tc>
          <w:tcPr>
            <w:tcW w:w="696" w:type="pct"/>
            <w:tcBorders>
              <w:top w:val="nil"/>
              <w:left w:val="single" w:sz="4" w:space="0" w:color="auto"/>
              <w:bottom w:val="single" w:sz="4" w:space="0" w:color="auto"/>
              <w:right w:val="single" w:sz="4" w:space="0" w:color="auto"/>
            </w:tcBorders>
            <w:noWrap/>
            <w:vAlign w:val="center"/>
          </w:tcPr>
          <w:p w14:paraId="4ECB60CB" w14:textId="1D4B1ACD"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6B4D33BF" w14:textId="048FD781"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06F1A91" w14:textId="77777777" w:rsidTr="00605B43">
        <w:trPr>
          <w:trHeight w:val="465"/>
        </w:trPr>
        <w:tc>
          <w:tcPr>
            <w:tcW w:w="625" w:type="pct"/>
            <w:tcBorders>
              <w:top w:val="nil"/>
              <w:left w:val="single" w:sz="4" w:space="0" w:color="auto"/>
              <w:bottom w:val="single" w:sz="4" w:space="0" w:color="auto"/>
              <w:right w:val="single" w:sz="4" w:space="0" w:color="auto"/>
            </w:tcBorders>
            <w:vAlign w:val="center"/>
            <w:hideMark/>
          </w:tcPr>
          <w:p w14:paraId="6D0CFB0E"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Clips estándar</w:t>
            </w:r>
          </w:p>
        </w:tc>
        <w:tc>
          <w:tcPr>
            <w:tcW w:w="2291" w:type="pct"/>
            <w:tcBorders>
              <w:top w:val="nil"/>
              <w:left w:val="nil"/>
              <w:bottom w:val="single" w:sz="4" w:space="0" w:color="auto"/>
              <w:right w:val="single" w:sz="4" w:space="0" w:color="auto"/>
            </w:tcBorders>
            <w:vAlign w:val="center"/>
            <w:hideMark/>
          </w:tcPr>
          <w:p w14:paraId="26083DBA"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Cajas de clips estándar por 100 unidades. </w:t>
            </w:r>
          </w:p>
        </w:tc>
        <w:tc>
          <w:tcPr>
            <w:tcW w:w="624" w:type="pct"/>
            <w:tcBorders>
              <w:top w:val="nil"/>
              <w:left w:val="nil"/>
              <w:bottom w:val="single" w:sz="4" w:space="0" w:color="auto"/>
              <w:right w:val="single" w:sz="4" w:space="0" w:color="auto"/>
            </w:tcBorders>
            <w:vAlign w:val="center"/>
            <w:hideMark/>
          </w:tcPr>
          <w:p w14:paraId="2534C2F1"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10</w:t>
            </w:r>
          </w:p>
        </w:tc>
        <w:tc>
          <w:tcPr>
            <w:tcW w:w="696" w:type="pct"/>
            <w:tcBorders>
              <w:top w:val="nil"/>
              <w:left w:val="single" w:sz="4" w:space="0" w:color="auto"/>
              <w:bottom w:val="single" w:sz="4" w:space="0" w:color="auto"/>
              <w:right w:val="single" w:sz="4" w:space="0" w:color="auto"/>
            </w:tcBorders>
            <w:noWrap/>
            <w:vAlign w:val="center"/>
          </w:tcPr>
          <w:p w14:paraId="74275E21" w14:textId="44785FA6"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5531C3D" w14:textId="654FE105"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8B77173" w14:textId="77777777" w:rsidTr="00605B43">
        <w:trPr>
          <w:trHeight w:val="885"/>
        </w:trPr>
        <w:tc>
          <w:tcPr>
            <w:tcW w:w="625" w:type="pct"/>
            <w:tcBorders>
              <w:top w:val="nil"/>
              <w:left w:val="single" w:sz="4" w:space="0" w:color="auto"/>
              <w:bottom w:val="single" w:sz="4" w:space="0" w:color="auto"/>
              <w:right w:val="single" w:sz="4" w:space="0" w:color="auto"/>
            </w:tcBorders>
            <w:vAlign w:val="center"/>
            <w:hideMark/>
          </w:tcPr>
          <w:p w14:paraId="415AEE50"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Notas adhesivas</w:t>
            </w:r>
          </w:p>
        </w:tc>
        <w:tc>
          <w:tcPr>
            <w:tcW w:w="2291" w:type="pct"/>
            <w:tcBorders>
              <w:top w:val="nil"/>
              <w:left w:val="nil"/>
              <w:bottom w:val="single" w:sz="4" w:space="0" w:color="auto"/>
              <w:right w:val="single" w:sz="4" w:space="0" w:color="auto"/>
            </w:tcBorders>
            <w:vAlign w:val="center"/>
            <w:hideMark/>
          </w:tcPr>
          <w:p w14:paraId="58755166"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Post-it en colores surtidos con dimensiones de 76 x 76 mm. Cantidad de 100 hojas por paquete.</w:t>
            </w:r>
          </w:p>
        </w:tc>
        <w:tc>
          <w:tcPr>
            <w:tcW w:w="624" w:type="pct"/>
            <w:tcBorders>
              <w:top w:val="nil"/>
              <w:left w:val="nil"/>
              <w:bottom w:val="single" w:sz="4" w:space="0" w:color="auto"/>
              <w:right w:val="single" w:sz="4" w:space="0" w:color="auto"/>
            </w:tcBorders>
            <w:vAlign w:val="center"/>
            <w:hideMark/>
          </w:tcPr>
          <w:p w14:paraId="27C08F4C"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30</w:t>
            </w:r>
          </w:p>
        </w:tc>
        <w:tc>
          <w:tcPr>
            <w:tcW w:w="696" w:type="pct"/>
            <w:tcBorders>
              <w:top w:val="nil"/>
              <w:left w:val="single" w:sz="4" w:space="0" w:color="auto"/>
              <w:bottom w:val="single" w:sz="4" w:space="0" w:color="auto"/>
              <w:right w:val="single" w:sz="4" w:space="0" w:color="auto"/>
            </w:tcBorders>
            <w:noWrap/>
            <w:vAlign w:val="center"/>
          </w:tcPr>
          <w:p w14:paraId="214616E6" w14:textId="35B92AD6"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18E9498D" w14:textId="63E07A1A"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654D2BB0" w14:textId="77777777" w:rsidTr="00605B43">
        <w:trPr>
          <w:trHeight w:val="990"/>
        </w:trPr>
        <w:tc>
          <w:tcPr>
            <w:tcW w:w="625" w:type="pct"/>
            <w:tcBorders>
              <w:top w:val="nil"/>
              <w:left w:val="single" w:sz="4" w:space="0" w:color="auto"/>
              <w:bottom w:val="single" w:sz="4" w:space="0" w:color="auto"/>
              <w:right w:val="single" w:sz="4" w:space="0" w:color="auto"/>
            </w:tcBorders>
            <w:vAlign w:val="center"/>
            <w:hideMark/>
          </w:tcPr>
          <w:p w14:paraId="408830B4"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Tijeras</w:t>
            </w:r>
          </w:p>
        </w:tc>
        <w:tc>
          <w:tcPr>
            <w:tcW w:w="2291" w:type="pct"/>
            <w:tcBorders>
              <w:top w:val="nil"/>
              <w:left w:val="nil"/>
              <w:bottom w:val="single" w:sz="4" w:space="0" w:color="auto"/>
              <w:right w:val="single" w:sz="4" w:space="0" w:color="auto"/>
            </w:tcBorders>
            <w:vAlign w:val="center"/>
            <w:hideMark/>
          </w:tcPr>
          <w:p w14:paraId="43C140C2"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Tijeras de oficina de 8.5 pulgadas, con hojas en acero inoxidable y agarre en caucho para mayor comodidad, permitiendo cortes precisos. </w:t>
            </w:r>
          </w:p>
        </w:tc>
        <w:tc>
          <w:tcPr>
            <w:tcW w:w="624" w:type="pct"/>
            <w:tcBorders>
              <w:top w:val="nil"/>
              <w:left w:val="nil"/>
              <w:bottom w:val="single" w:sz="4" w:space="0" w:color="auto"/>
              <w:right w:val="single" w:sz="4" w:space="0" w:color="auto"/>
            </w:tcBorders>
            <w:vAlign w:val="center"/>
            <w:hideMark/>
          </w:tcPr>
          <w:p w14:paraId="67DE245F"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2</w:t>
            </w:r>
          </w:p>
        </w:tc>
        <w:tc>
          <w:tcPr>
            <w:tcW w:w="696" w:type="pct"/>
            <w:tcBorders>
              <w:top w:val="nil"/>
              <w:left w:val="single" w:sz="4" w:space="0" w:color="auto"/>
              <w:bottom w:val="single" w:sz="4" w:space="0" w:color="auto"/>
              <w:right w:val="single" w:sz="4" w:space="0" w:color="auto"/>
            </w:tcBorders>
            <w:noWrap/>
            <w:vAlign w:val="center"/>
          </w:tcPr>
          <w:p w14:paraId="50263ECE" w14:textId="5C2810E8"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66444D0F" w14:textId="1BAD2318"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242825A7" w14:textId="77777777" w:rsidTr="00605B43">
        <w:trPr>
          <w:trHeight w:val="675"/>
        </w:trPr>
        <w:tc>
          <w:tcPr>
            <w:tcW w:w="625" w:type="pct"/>
            <w:tcBorders>
              <w:top w:val="nil"/>
              <w:left w:val="single" w:sz="4" w:space="0" w:color="auto"/>
              <w:bottom w:val="single" w:sz="4" w:space="0" w:color="auto"/>
              <w:right w:val="single" w:sz="4" w:space="0" w:color="auto"/>
            </w:tcBorders>
            <w:vAlign w:val="center"/>
            <w:hideMark/>
          </w:tcPr>
          <w:p w14:paraId="5C91E6B6"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Grapadoras</w:t>
            </w:r>
          </w:p>
        </w:tc>
        <w:tc>
          <w:tcPr>
            <w:tcW w:w="2291" w:type="pct"/>
            <w:tcBorders>
              <w:top w:val="nil"/>
              <w:left w:val="nil"/>
              <w:bottom w:val="single" w:sz="4" w:space="0" w:color="auto"/>
              <w:right w:val="single" w:sz="4" w:space="0" w:color="auto"/>
            </w:tcBorders>
            <w:vAlign w:val="center"/>
            <w:hideMark/>
          </w:tcPr>
          <w:p w14:paraId="644CC3E9"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Grapadora normal mediana, de construcción metálica en color negro. </w:t>
            </w:r>
          </w:p>
        </w:tc>
        <w:tc>
          <w:tcPr>
            <w:tcW w:w="624" w:type="pct"/>
            <w:tcBorders>
              <w:top w:val="nil"/>
              <w:left w:val="nil"/>
              <w:bottom w:val="single" w:sz="4" w:space="0" w:color="auto"/>
              <w:right w:val="single" w:sz="4" w:space="0" w:color="auto"/>
            </w:tcBorders>
            <w:vAlign w:val="center"/>
            <w:hideMark/>
          </w:tcPr>
          <w:p w14:paraId="70049BC8"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2</w:t>
            </w:r>
          </w:p>
        </w:tc>
        <w:tc>
          <w:tcPr>
            <w:tcW w:w="696" w:type="pct"/>
            <w:tcBorders>
              <w:top w:val="nil"/>
              <w:left w:val="single" w:sz="4" w:space="0" w:color="auto"/>
              <w:bottom w:val="single" w:sz="4" w:space="0" w:color="auto"/>
              <w:right w:val="single" w:sz="4" w:space="0" w:color="auto"/>
            </w:tcBorders>
            <w:noWrap/>
            <w:vAlign w:val="center"/>
          </w:tcPr>
          <w:p w14:paraId="7BD93533" w14:textId="6C3EAB1F"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56DAD4F2" w14:textId="081D6F2C"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24AA0BFF" w14:textId="77777777" w:rsidTr="00605B43">
        <w:trPr>
          <w:trHeight w:val="660"/>
        </w:trPr>
        <w:tc>
          <w:tcPr>
            <w:tcW w:w="625" w:type="pct"/>
            <w:tcBorders>
              <w:top w:val="nil"/>
              <w:left w:val="single" w:sz="4" w:space="0" w:color="auto"/>
              <w:bottom w:val="single" w:sz="4" w:space="0" w:color="auto"/>
              <w:right w:val="single" w:sz="4" w:space="0" w:color="auto"/>
            </w:tcBorders>
            <w:vAlign w:val="center"/>
            <w:hideMark/>
          </w:tcPr>
          <w:p w14:paraId="33393410"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Grapas</w:t>
            </w:r>
          </w:p>
        </w:tc>
        <w:tc>
          <w:tcPr>
            <w:tcW w:w="2291" w:type="pct"/>
            <w:tcBorders>
              <w:top w:val="nil"/>
              <w:left w:val="nil"/>
              <w:bottom w:val="single" w:sz="4" w:space="0" w:color="auto"/>
              <w:right w:val="single" w:sz="4" w:space="0" w:color="auto"/>
            </w:tcBorders>
            <w:vAlign w:val="center"/>
            <w:hideMark/>
          </w:tcPr>
          <w:p w14:paraId="348F0CB9"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Grapas estándar galvanizadas, presentadas en cajas por 5000 unidades. </w:t>
            </w:r>
          </w:p>
        </w:tc>
        <w:tc>
          <w:tcPr>
            <w:tcW w:w="624" w:type="pct"/>
            <w:tcBorders>
              <w:top w:val="nil"/>
              <w:left w:val="nil"/>
              <w:bottom w:val="single" w:sz="4" w:space="0" w:color="auto"/>
              <w:right w:val="single" w:sz="4" w:space="0" w:color="auto"/>
            </w:tcBorders>
            <w:vAlign w:val="center"/>
            <w:hideMark/>
          </w:tcPr>
          <w:p w14:paraId="6EE7F6E9"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w:t>
            </w:r>
          </w:p>
        </w:tc>
        <w:tc>
          <w:tcPr>
            <w:tcW w:w="696" w:type="pct"/>
            <w:tcBorders>
              <w:top w:val="nil"/>
              <w:left w:val="single" w:sz="4" w:space="0" w:color="auto"/>
              <w:bottom w:val="single" w:sz="4" w:space="0" w:color="auto"/>
              <w:right w:val="single" w:sz="4" w:space="0" w:color="auto"/>
            </w:tcBorders>
            <w:noWrap/>
            <w:vAlign w:val="center"/>
          </w:tcPr>
          <w:p w14:paraId="53F84373" w14:textId="6281FD1E"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764087E3" w14:textId="3B37B0AF"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56D43E30" w14:textId="77777777" w:rsidTr="00605B43">
        <w:trPr>
          <w:trHeight w:val="420"/>
        </w:trPr>
        <w:tc>
          <w:tcPr>
            <w:tcW w:w="625" w:type="pct"/>
            <w:tcBorders>
              <w:top w:val="nil"/>
              <w:left w:val="single" w:sz="4" w:space="0" w:color="auto"/>
              <w:bottom w:val="single" w:sz="4" w:space="0" w:color="auto"/>
              <w:right w:val="single" w:sz="4" w:space="0" w:color="auto"/>
            </w:tcBorders>
            <w:vAlign w:val="center"/>
            <w:hideMark/>
          </w:tcPr>
          <w:p w14:paraId="2A9B0B48"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Perforadora</w:t>
            </w:r>
          </w:p>
        </w:tc>
        <w:tc>
          <w:tcPr>
            <w:tcW w:w="2291" w:type="pct"/>
            <w:tcBorders>
              <w:top w:val="nil"/>
              <w:left w:val="nil"/>
              <w:bottom w:val="single" w:sz="4" w:space="0" w:color="auto"/>
              <w:right w:val="single" w:sz="4" w:space="0" w:color="auto"/>
            </w:tcBorders>
            <w:vAlign w:val="center"/>
            <w:hideMark/>
          </w:tcPr>
          <w:p w14:paraId="190C943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Perforadora de 2 huecos de colores surtidos. </w:t>
            </w:r>
          </w:p>
        </w:tc>
        <w:tc>
          <w:tcPr>
            <w:tcW w:w="624" w:type="pct"/>
            <w:tcBorders>
              <w:top w:val="nil"/>
              <w:left w:val="nil"/>
              <w:bottom w:val="single" w:sz="4" w:space="0" w:color="auto"/>
              <w:right w:val="single" w:sz="4" w:space="0" w:color="auto"/>
            </w:tcBorders>
            <w:vAlign w:val="center"/>
            <w:hideMark/>
          </w:tcPr>
          <w:p w14:paraId="129F9BCA"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2</w:t>
            </w:r>
          </w:p>
        </w:tc>
        <w:tc>
          <w:tcPr>
            <w:tcW w:w="696" w:type="pct"/>
            <w:tcBorders>
              <w:top w:val="nil"/>
              <w:left w:val="single" w:sz="4" w:space="0" w:color="auto"/>
              <w:bottom w:val="single" w:sz="4" w:space="0" w:color="auto"/>
              <w:right w:val="single" w:sz="4" w:space="0" w:color="auto"/>
            </w:tcBorders>
            <w:noWrap/>
            <w:vAlign w:val="center"/>
          </w:tcPr>
          <w:p w14:paraId="10284DA2" w14:textId="1969BE4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7536EAA2" w14:textId="2FD8560B"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183B3A08" w14:textId="77777777" w:rsidTr="00605B43">
        <w:trPr>
          <w:trHeight w:val="6195"/>
        </w:trPr>
        <w:tc>
          <w:tcPr>
            <w:tcW w:w="625" w:type="pct"/>
            <w:tcBorders>
              <w:top w:val="nil"/>
              <w:left w:val="single" w:sz="4" w:space="0" w:color="auto"/>
              <w:bottom w:val="single" w:sz="4" w:space="0" w:color="auto"/>
              <w:right w:val="single" w:sz="4" w:space="0" w:color="auto"/>
            </w:tcBorders>
            <w:vAlign w:val="center"/>
            <w:hideMark/>
          </w:tcPr>
          <w:p w14:paraId="2762A2A9"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Perforadora industrial de alto rendimiento (uso pesado) de 2 perforaciones – capacidad 70 hojas</w:t>
            </w:r>
          </w:p>
        </w:tc>
        <w:tc>
          <w:tcPr>
            <w:tcW w:w="2291" w:type="pct"/>
            <w:tcBorders>
              <w:top w:val="nil"/>
              <w:left w:val="nil"/>
              <w:bottom w:val="single" w:sz="4" w:space="0" w:color="auto"/>
              <w:right w:val="single" w:sz="4" w:space="0" w:color="auto"/>
            </w:tcBorders>
            <w:vAlign w:val="center"/>
            <w:hideMark/>
          </w:tcPr>
          <w:p w14:paraId="0E070477"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Perforadora manual de alta resistencia y uso pesado (</w:t>
            </w:r>
            <w:r w:rsidRPr="005930FA">
              <w:rPr>
                <w:rFonts w:ascii="Century Gothic" w:eastAsia="Times New Roman" w:hAnsi="Century Gothic" w:cs="Times New Roman"/>
                <w:i/>
                <w:iCs/>
                <w:color w:val="000000"/>
                <w:sz w:val="20"/>
                <w:szCs w:val="20"/>
                <w:lang w:val="es-CO"/>
              </w:rPr>
              <w:t>heavy duty</w:t>
            </w:r>
            <w:r w:rsidRPr="005930FA">
              <w:rPr>
                <w:rFonts w:ascii="Century Gothic" w:eastAsia="Times New Roman" w:hAnsi="Century Gothic" w:cs="Times New Roman"/>
                <w:color w:val="000000"/>
                <w:sz w:val="20"/>
                <w:szCs w:val="20"/>
                <w:lang w:val="es-CO"/>
              </w:rPr>
              <w:t>) de dos (2) perforaciones para archivo y oficina institucional, construida con cuerpo y base en acero sólido de alta durabilidad con cubierta ergonómica de plástico de alto impacto; equipada con dos punzones cilíndricos huecos en acero templado rectificado de alta precisión para perforaciones de 6 mm de diámetro con separación estándar entre centros de 80 mm; con capacidad nominal efectiva de perforación continua de hasta setenta (70) hojas de papel bond estándar (75-80 g/m²) en una sola operación mediante sistema de palanca metálica articulada con mecanismo desmultiplicador de fuerza (</w:t>
            </w:r>
            <w:r w:rsidRPr="005930FA">
              <w:rPr>
                <w:rFonts w:ascii="Century Gothic" w:eastAsia="Times New Roman" w:hAnsi="Century Gothic" w:cs="Times New Roman"/>
                <w:i/>
                <w:iCs/>
                <w:color w:val="000000"/>
                <w:sz w:val="20"/>
                <w:szCs w:val="20"/>
                <w:lang w:val="es-CO"/>
              </w:rPr>
              <w:t>effortless / easy punch</w:t>
            </w:r>
            <w:r w:rsidRPr="005930FA">
              <w:rPr>
                <w:rFonts w:ascii="Century Gothic" w:eastAsia="Times New Roman" w:hAnsi="Century Gothic" w:cs="Times New Roman"/>
                <w:color w:val="000000"/>
                <w:sz w:val="20"/>
                <w:szCs w:val="20"/>
                <w:lang w:val="es-CO"/>
              </w:rPr>
              <w:t>) que reduce en al menos un 40% el esfuerzo físico requerido; provista de guía/regleta lateral plástica milimetrada y ajustable con topes para múltiples formatos de papel (Carta, Oficio, A4, A5, B5), depósito inferior translúcido desmontable de gran capacidad para recolección de residuos y base antideslizante con almohadillas de goma que garantizan total estabilidad operativa sobre el escritorio.</w:t>
            </w:r>
          </w:p>
        </w:tc>
        <w:tc>
          <w:tcPr>
            <w:tcW w:w="624" w:type="pct"/>
            <w:tcBorders>
              <w:top w:val="nil"/>
              <w:left w:val="nil"/>
              <w:bottom w:val="single" w:sz="4" w:space="0" w:color="auto"/>
              <w:right w:val="single" w:sz="4" w:space="0" w:color="auto"/>
            </w:tcBorders>
            <w:vAlign w:val="center"/>
            <w:hideMark/>
          </w:tcPr>
          <w:p w14:paraId="3E42FF41"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2B473908" w14:textId="477EBB33"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6663A845" w14:textId="6DF0BC8F"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E97594B" w14:textId="77777777" w:rsidTr="00605B43">
        <w:trPr>
          <w:trHeight w:val="3630"/>
        </w:trPr>
        <w:tc>
          <w:tcPr>
            <w:tcW w:w="625" w:type="pct"/>
            <w:tcBorders>
              <w:top w:val="nil"/>
              <w:left w:val="single" w:sz="4" w:space="0" w:color="auto"/>
              <w:bottom w:val="single" w:sz="4" w:space="0" w:color="auto"/>
              <w:right w:val="single" w:sz="4" w:space="0" w:color="auto"/>
            </w:tcBorders>
            <w:vAlign w:val="center"/>
            <w:hideMark/>
          </w:tcPr>
          <w:p w14:paraId="332E0C04"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Tóner</w:t>
            </w:r>
          </w:p>
        </w:tc>
        <w:tc>
          <w:tcPr>
            <w:tcW w:w="2291" w:type="pct"/>
            <w:tcBorders>
              <w:top w:val="nil"/>
              <w:left w:val="nil"/>
              <w:bottom w:val="single" w:sz="4" w:space="0" w:color="auto"/>
              <w:right w:val="single" w:sz="4" w:space="0" w:color="auto"/>
            </w:tcBorders>
            <w:vAlign w:val="center"/>
            <w:hideMark/>
          </w:tcPr>
          <w:p w14:paraId="088FB765"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Genérico para impresora multifuncional blanco y negro más ARDF Ricoh im2500. Incluye panel de operación inteligente sin llave de 10.1”, alimentador de documentos de un solo paso de 220 hojas, dúplex automático, emulación PostScript3, 2 bandejas de papel de 550 hojas y bandeja bypass de 100 hojas. Cuenta con interfaz de host USB, Gigabit Ethernet, DOSS (estándar certificado por Common Criteria), emulación de impresión directa de PDF, cifrado de disco duro, escaneo a/impresión desde USB/Tarjeta SD, 2GB de RAM y disco duro de 320 GB. Velocidad de salida (Carta) de 25 ppm, volumen mensual promedio de 4,000 impresiones y máximo de 10,000. </w:t>
            </w:r>
          </w:p>
        </w:tc>
        <w:tc>
          <w:tcPr>
            <w:tcW w:w="624" w:type="pct"/>
            <w:tcBorders>
              <w:top w:val="nil"/>
              <w:left w:val="nil"/>
              <w:bottom w:val="single" w:sz="4" w:space="0" w:color="auto"/>
              <w:right w:val="single" w:sz="4" w:space="0" w:color="auto"/>
            </w:tcBorders>
            <w:vAlign w:val="center"/>
            <w:hideMark/>
          </w:tcPr>
          <w:p w14:paraId="0C7B4B2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10</w:t>
            </w:r>
          </w:p>
        </w:tc>
        <w:tc>
          <w:tcPr>
            <w:tcW w:w="696" w:type="pct"/>
            <w:tcBorders>
              <w:top w:val="nil"/>
              <w:left w:val="single" w:sz="4" w:space="0" w:color="auto"/>
              <w:bottom w:val="single" w:sz="4" w:space="0" w:color="auto"/>
              <w:right w:val="single" w:sz="4" w:space="0" w:color="auto"/>
            </w:tcBorders>
            <w:noWrap/>
            <w:vAlign w:val="center"/>
          </w:tcPr>
          <w:p w14:paraId="70FFBAA3" w14:textId="339172E0"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1DA7EF63" w14:textId="22E12D3E"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350458CB" w14:textId="77777777" w:rsidTr="00605B43">
        <w:trPr>
          <w:trHeight w:val="3135"/>
        </w:trPr>
        <w:tc>
          <w:tcPr>
            <w:tcW w:w="625" w:type="pct"/>
            <w:tcBorders>
              <w:top w:val="nil"/>
              <w:left w:val="single" w:sz="4" w:space="0" w:color="auto"/>
              <w:bottom w:val="single" w:sz="4" w:space="0" w:color="auto"/>
              <w:right w:val="single" w:sz="4" w:space="0" w:color="auto"/>
            </w:tcBorders>
            <w:vAlign w:val="center"/>
            <w:hideMark/>
          </w:tcPr>
          <w:p w14:paraId="1F497228"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Tabla de Apoyo con Caja de Almacenamiento</w:t>
            </w:r>
          </w:p>
        </w:tc>
        <w:tc>
          <w:tcPr>
            <w:tcW w:w="2291" w:type="pct"/>
            <w:tcBorders>
              <w:top w:val="nil"/>
              <w:left w:val="nil"/>
              <w:bottom w:val="single" w:sz="4" w:space="0" w:color="auto"/>
              <w:right w:val="single" w:sz="4" w:space="0" w:color="auto"/>
            </w:tcBorders>
            <w:vAlign w:val="center"/>
            <w:hideMark/>
          </w:tcPr>
          <w:p w14:paraId="5FAD2F30"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Formato A4 (21 x 29.7 cm aprox.) Plástico resistente (polipropileno o similar). Clip metálico o plástico con resorte para asegurar los documentos Compartimento integrado en la parte posterior para almacenamiento de documentos u objetos pequeñoS Surtidos (azul, rojo, verde, amarillo u ofros según disponibilidad del proveecdor) Ideal para archivar, transportar y organizar documentos tamaño carta o A4 Características adicionales: Liviana, reutilizable, superficie lisa, fácil de limpiar.</w:t>
            </w:r>
          </w:p>
        </w:tc>
        <w:tc>
          <w:tcPr>
            <w:tcW w:w="624" w:type="pct"/>
            <w:tcBorders>
              <w:top w:val="nil"/>
              <w:left w:val="nil"/>
              <w:bottom w:val="single" w:sz="4" w:space="0" w:color="auto"/>
              <w:right w:val="single" w:sz="4" w:space="0" w:color="auto"/>
            </w:tcBorders>
            <w:vAlign w:val="center"/>
            <w:hideMark/>
          </w:tcPr>
          <w:p w14:paraId="11F8294B"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2</w:t>
            </w:r>
          </w:p>
        </w:tc>
        <w:tc>
          <w:tcPr>
            <w:tcW w:w="696" w:type="pct"/>
            <w:tcBorders>
              <w:top w:val="nil"/>
              <w:left w:val="single" w:sz="4" w:space="0" w:color="auto"/>
              <w:bottom w:val="single" w:sz="4" w:space="0" w:color="auto"/>
              <w:right w:val="single" w:sz="4" w:space="0" w:color="auto"/>
            </w:tcBorders>
            <w:noWrap/>
            <w:vAlign w:val="center"/>
          </w:tcPr>
          <w:p w14:paraId="7854E873" w14:textId="6E2A0C88"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6C668B8C" w14:textId="0E304DEC"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359CCE71" w14:textId="77777777" w:rsidTr="00605B43">
        <w:trPr>
          <w:trHeight w:val="570"/>
        </w:trPr>
        <w:tc>
          <w:tcPr>
            <w:tcW w:w="625" w:type="pct"/>
            <w:tcBorders>
              <w:top w:val="nil"/>
              <w:left w:val="single" w:sz="4" w:space="0" w:color="auto"/>
              <w:bottom w:val="single" w:sz="4" w:space="0" w:color="auto"/>
              <w:right w:val="single" w:sz="4" w:space="0" w:color="auto"/>
            </w:tcBorders>
            <w:vAlign w:val="center"/>
            <w:hideMark/>
          </w:tcPr>
          <w:p w14:paraId="02CF42FC"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Sacapuntas Tajalápiz</w:t>
            </w:r>
          </w:p>
        </w:tc>
        <w:tc>
          <w:tcPr>
            <w:tcW w:w="2291" w:type="pct"/>
            <w:tcBorders>
              <w:top w:val="nil"/>
              <w:left w:val="nil"/>
              <w:bottom w:val="single" w:sz="4" w:space="0" w:color="auto"/>
              <w:right w:val="single" w:sz="4" w:space="0" w:color="auto"/>
            </w:tcBorders>
            <w:vAlign w:val="center"/>
            <w:hideMark/>
          </w:tcPr>
          <w:p w14:paraId="64496BDA"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Sacapuntas metálicos, presentados en caja por 12 unidades. </w:t>
            </w:r>
          </w:p>
        </w:tc>
        <w:tc>
          <w:tcPr>
            <w:tcW w:w="624" w:type="pct"/>
            <w:tcBorders>
              <w:top w:val="nil"/>
              <w:left w:val="nil"/>
              <w:bottom w:val="single" w:sz="4" w:space="0" w:color="auto"/>
              <w:right w:val="single" w:sz="4" w:space="0" w:color="auto"/>
            </w:tcBorders>
            <w:vAlign w:val="center"/>
            <w:hideMark/>
          </w:tcPr>
          <w:p w14:paraId="6FBB6DC6"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046F4523" w14:textId="653141F5"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3BBBFB19" w14:textId="5E2FA747"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A82059E" w14:textId="77777777" w:rsidTr="00605B43">
        <w:trPr>
          <w:trHeight w:val="1140"/>
        </w:trPr>
        <w:tc>
          <w:tcPr>
            <w:tcW w:w="625" w:type="pct"/>
            <w:tcBorders>
              <w:top w:val="nil"/>
              <w:left w:val="single" w:sz="4" w:space="0" w:color="auto"/>
              <w:bottom w:val="single" w:sz="4" w:space="0" w:color="auto"/>
              <w:right w:val="single" w:sz="4" w:space="0" w:color="auto"/>
            </w:tcBorders>
            <w:vAlign w:val="center"/>
            <w:hideMark/>
          </w:tcPr>
          <w:p w14:paraId="5BA88F27"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Cinta ancha transparente</w:t>
            </w:r>
          </w:p>
        </w:tc>
        <w:tc>
          <w:tcPr>
            <w:tcW w:w="2291" w:type="pct"/>
            <w:tcBorders>
              <w:top w:val="nil"/>
              <w:left w:val="nil"/>
              <w:bottom w:val="single" w:sz="4" w:space="0" w:color="auto"/>
              <w:right w:val="single" w:sz="4" w:space="0" w:color="auto"/>
            </w:tcBorders>
            <w:vAlign w:val="center"/>
            <w:hideMark/>
          </w:tcPr>
          <w:p w14:paraId="6C88BDA8"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Cinta adhesiva transparente de embalaje con un ancho de 48 mm (o 50 mm según fabricante) y un largo de 100 metros. Color transparente (“cristal”). </w:t>
            </w:r>
          </w:p>
        </w:tc>
        <w:tc>
          <w:tcPr>
            <w:tcW w:w="624" w:type="pct"/>
            <w:tcBorders>
              <w:top w:val="nil"/>
              <w:left w:val="nil"/>
              <w:bottom w:val="single" w:sz="4" w:space="0" w:color="auto"/>
              <w:right w:val="single" w:sz="4" w:space="0" w:color="auto"/>
            </w:tcBorders>
            <w:vAlign w:val="center"/>
            <w:hideMark/>
          </w:tcPr>
          <w:p w14:paraId="54E0C4D9"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10</w:t>
            </w:r>
          </w:p>
        </w:tc>
        <w:tc>
          <w:tcPr>
            <w:tcW w:w="696" w:type="pct"/>
            <w:tcBorders>
              <w:top w:val="nil"/>
              <w:left w:val="single" w:sz="4" w:space="0" w:color="auto"/>
              <w:bottom w:val="single" w:sz="4" w:space="0" w:color="auto"/>
              <w:right w:val="single" w:sz="4" w:space="0" w:color="auto"/>
            </w:tcBorders>
            <w:noWrap/>
            <w:vAlign w:val="center"/>
          </w:tcPr>
          <w:p w14:paraId="4DECAB8C" w14:textId="2842DD1D"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B7DF739" w14:textId="2DBC34D0"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5DD0758" w14:textId="77777777" w:rsidTr="00605B43">
        <w:trPr>
          <w:trHeight w:val="1140"/>
        </w:trPr>
        <w:tc>
          <w:tcPr>
            <w:tcW w:w="625" w:type="pct"/>
            <w:tcBorders>
              <w:top w:val="nil"/>
              <w:left w:val="single" w:sz="4" w:space="0" w:color="auto"/>
              <w:bottom w:val="single" w:sz="4" w:space="0" w:color="auto"/>
              <w:right w:val="single" w:sz="4" w:space="0" w:color="auto"/>
            </w:tcBorders>
            <w:vAlign w:val="center"/>
            <w:hideMark/>
          </w:tcPr>
          <w:p w14:paraId="691E7C47"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Cinta de enmascarar</w:t>
            </w:r>
          </w:p>
        </w:tc>
        <w:tc>
          <w:tcPr>
            <w:tcW w:w="2291" w:type="pct"/>
            <w:tcBorders>
              <w:top w:val="nil"/>
              <w:left w:val="nil"/>
              <w:bottom w:val="single" w:sz="4" w:space="0" w:color="auto"/>
              <w:right w:val="single" w:sz="4" w:space="0" w:color="auto"/>
            </w:tcBorders>
            <w:vAlign w:val="center"/>
            <w:hideMark/>
          </w:tcPr>
          <w:p w14:paraId="51928FA0"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Cinta adhesiva de papel crepé con ancho variable (12 mm a 48 mm) y largo de 40 m a 60 m. Ofrece facilidad de corte a mano sin necesidad de tijeras. </w:t>
            </w:r>
          </w:p>
        </w:tc>
        <w:tc>
          <w:tcPr>
            <w:tcW w:w="624" w:type="pct"/>
            <w:tcBorders>
              <w:top w:val="nil"/>
              <w:left w:val="nil"/>
              <w:bottom w:val="single" w:sz="4" w:space="0" w:color="auto"/>
              <w:right w:val="single" w:sz="4" w:space="0" w:color="auto"/>
            </w:tcBorders>
            <w:vAlign w:val="center"/>
            <w:hideMark/>
          </w:tcPr>
          <w:p w14:paraId="7E9CD32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10</w:t>
            </w:r>
          </w:p>
        </w:tc>
        <w:tc>
          <w:tcPr>
            <w:tcW w:w="696" w:type="pct"/>
            <w:tcBorders>
              <w:top w:val="nil"/>
              <w:left w:val="single" w:sz="4" w:space="0" w:color="auto"/>
              <w:bottom w:val="single" w:sz="4" w:space="0" w:color="auto"/>
              <w:right w:val="single" w:sz="4" w:space="0" w:color="auto"/>
            </w:tcBorders>
            <w:noWrap/>
            <w:vAlign w:val="center"/>
          </w:tcPr>
          <w:p w14:paraId="615E4E52" w14:textId="5A6C03AD"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79EF8C0F" w14:textId="28297B4D"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24EF013" w14:textId="77777777" w:rsidTr="00605B43">
        <w:trPr>
          <w:trHeight w:val="570"/>
        </w:trPr>
        <w:tc>
          <w:tcPr>
            <w:tcW w:w="625" w:type="pct"/>
            <w:tcBorders>
              <w:top w:val="nil"/>
              <w:left w:val="single" w:sz="4" w:space="0" w:color="auto"/>
              <w:bottom w:val="single" w:sz="4" w:space="0" w:color="auto"/>
              <w:right w:val="single" w:sz="4" w:space="0" w:color="auto"/>
            </w:tcBorders>
            <w:vAlign w:val="center"/>
            <w:hideMark/>
          </w:tcPr>
          <w:p w14:paraId="3B6FAA63"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Pliego Cartulina blanca</w:t>
            </w:r>
          </w:p>
        </w:tc>
        <w:tc>
          <w:tcPr>
            <w:tcW w:w="2291" w:type="pct"/>
            <w:tcBorders>
              <w:top w:val="nil"/>
              <w:left w:val="nil"/>
              <w:bottom w:val="single" w:sz="4" w:space="0" w:color="auto"/>
              <w:right w:val="single" w:sz="4" w:space="0" w:color="auto"/>
            </w:tcBorders>
            <w:vAlign w:val="center"/>
            <w:hideMark/>
          </w:tcPr>
          <w:p w14:paraId="45E875B3"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Tamaño pliego completo (70x100 cm aprox.) en color blanco. </w:t>
            </w:r>
          </w:p>
        </w:tc>
        <w:tc>
          <w:tcPr>
            <w:tcW w:w="624" w:type="pct"/>
            <w:tcBorders>
              <w:top w:val="nil"/>
              <w:left w:val="nil"/>
              <w:bottom w:val="single" w:sz="4" w:space="0" w:color="auto"/>
              <w:right w:val="single" w:sz="4" w:space="0" w:color="auto"/>
            </w:tcBorders>
            <w:vAlign w:val="center"/>
            <w:hideMark/>
          </w:tcPr>
          <w:p w14:paraId="01F836C9"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15</w:t>
            </w:r>
          </w:p>
        </w:tc>
        <w:tc>
          <w:tcPr>
            <w:tcW w:w="696" w:type="pct"/>
            <w:tcBorders>
              <w:top w:val="nil"/>
              <w:left w:val="single" w:sz="4" w:space="0" w:color="auto"/>
              <w:bottom w:val="single" w:sz="4" w:space="0" w:color="auto"/>
              <w:right w:val="single" w:sz="4" w:space="0" w:color="auto"/>
            </w:tcBorders>
            <w:noWrap/>
            <w:vAlign w:val="center"/>
          </w:tcPr>
          <w:p w14:paraId="2A5A7FEF" w14:textId="34335446"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6CEAAF2B" w14:textId="7CD5E15B"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16F1BA48" w14:textId="77777777" w:rsidTr="00605B43">
        <w:trPr>
          <w:trHeight w:val="570"/>
        </w:trPr>
        <w:tc>
          <w:tcPr>
            <w:tcW w:w="625" w:type="pct"/>
            <w:tcBorders>
              <w:top w:val="nil"/>
              <w:left w:val="single" w:sz="4" w:space="0" w:color="auto"/>
              <w:bottom w:val="single" w:sz="4" w:space="0" w:color="auto"/>
              <w:right w:val="single" w:sz="4" w:space="0" w:color="auto"/>
            </w:tcBorders>
            <w:vAlign w:val="center"/>
            <w:hideMark/>
          </w:tcPr>
          <w:p w14:paraId="295CA84D"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Pliego de papel bond</w:t>
            </w:r>
          </w:p>
        </w:tc>
        <w:tc>
          <w:tcPr>
            <w:tcW w:w="2291" w:type="pct"/>
            <w:tcBorders>
              <w:top w:val="nil"/>
              <w:left w:val="nil"/>
              <w:bottom w:val="single" w:sz="4" w:space="0" w:color="auto"/>
              <w:right w:val="single" w:sz="4" w:space="0" w:color="auto"/>
            </w:tcBorders>
            <w:vAlign w:val="center"/>
            <w:hideMark/>
          </w:tcPr>
          <w:p w14:paraId="62B14992"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Tamaño pliego completo (70x100 cm aprox.) en color blanco. </w:t>
            </w:r>
          </w:p>
        </w:tc>
        <w:tc>
          <w:tcPr>
            <w:tcW w:w="624" w:type="pct"/>
            <w:tcBorders>
              <w:top w:val="nil"/>
              <w:left w:val="nil"/>
              <w:bottom w:val="single" w:sz="4" w:space="0" w:color="auto"/>
              <w:right w:val="single" w:sz="4" w:space="0" w:color="auto"/>
            </w:tcBorders>
            <w:vAlign w:val="center"/>
            <w:hideMark/>
          </w:tcPr>
          <w:p w14:paraId="46604E57"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20</w:t>
            </w:r>
          </w:p>
        </w:tc>
        <w:tc>
          <w:tcPr>
            <w:tcW w:w="696" w:type="pct"/>
            <w:tcBorders>
              <w:top w:val="nil"/>
              <w:left w:val="single" w:sz="4" w:space="0" w:color="auto"/>
              <w:bottom w:val="single" w:sz="4" w:space="0" w:color="auto"/>
              <w:right w:val="single" w:sz="4" w:space="0" w:color="auto"/>
            </w:tcBorders>
            <w:noWrap/>
            <w:vAlign w:val="center"/>
          </w:tcPr>
          <w:p w14:paraId="77AA3372" w14:textId="753A49D7"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5784A66E" w14:textId="3034D0C8"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054C5C0" w14:textId="77777777" w:rsidTr="00605B43">
        <w:trPr>
          <w:trHeight w:val="570"/>
        </w:trPr>
        <w:tc>
          <w:tcPr>
            <w:tcW w:w="625" w:type="pct"/>
            <w:tcBorders>
              <w:top w:val="nil"/>
              <w:left w:val="single" w:sz="4" w:space="0" w:color="auto"/>
              <w:bottom w:val="single" w:sz="4" w:space="0" w:color="auto"/>
              <w:right w:val="single" w:sz="4" w:space="0" w:color="auto"/>
            </w:tcBorders>
            <w:vAlign w:val="center"/>
            <w:hideMark/>
          </w:tcPr>
          <w:p w14:paraId="52841A59"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Pliego Cartulina colores</w:t>
            </w:r>
          </w:p>
        </w:tc>
        <w:tc>
          <w:tcPr>
            <w:tcW w:w="2291" w:type="pct"/>
            <w:tcBorders>
              <w:top w:val="nil"/>
              <w:left w:val="nil"/>
              <w:bottom w:val="single" w:sz="4" w:space="0" w:color="auto"/>
              <w:right w:val="single" w:sz="4" w:space="0" w:color="auto"/>
            </w:tcBorders>
            <w:vAlign w:val="center"/>
            <w:hideMark/>
          </w:tcPr>
          <w:p w14:paraId="30F39908"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Tamaño pliego completo (70x100 cm aprox.) en colores surtidos. </w:t>
            </w:r>
          </w:p>
        </w:tc>
        <w:tc>
          <w:tcPr>
            <w:tcW w:w="624" w:type="pct"/>
            <w:tcBorders>
              <w:top w:val="nil"/>
              <w:left w:val="nil"/>
              <w:bottom w:val="single" w:sz="4" w:space="0" w:color="auto"/>
              <w:right w:val="single" w:sz="4" w:space="0" w:color="auto"/>
            </w:tcBorders>
            <w:vAlign w:val="center"/>
            <w:hideMark/>
          </w:tcPr>
          <w:p w14:paraId="0C429370"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15</w:t>
            </w:r>
          </w:p>
        </w:tc>
        <w:tc>
          <w:tcPr>
            <w:tcW w:w="696" w:type="pct"/>
            <w:tcBorders>
              <w:top w:val="nil"/>
              <w:left w:val="single" w:sz="4" w:space="0" w:color="auto"/>
              <w:bottom w:val="single" w:sz="4" w:space="0" w:color="auto"/>
              <w:right w:val="single" w:sz="4" w:space="0" w:color="auto"/>
            </w:tcBorders>
            <w:noWrap/>
            <w:vAlign w:val="center"/>
          </w:tcPr>
          <w:p w14:paraId="711EE6C2" w14:textId="3AA68FA3"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49878DB9" w14:textId="582FBE5B"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3828F125" w14:textId="77777777" w:rsidTr="00605B43">
        <w:trPr>
          <w:trHeight w:val="855"/>
        </w:trPr>
        <w:tc>
          <w:tcPr>
            <w:tcW w:w="625" w:type="pct"/>
            <w:tcBorders>
              <w:top w:val="nil"/>
              <w:left w:val="single" w:sz="4" w:space="0" w:color="auto"/>
              <w:bottom w:val="single" w:sz="4" w:space="0" w:color="auto"/>
              <w:right w:val="single" w:sz="4" w:space="0" w:color="auto"/>
            </w:tcBorders>
            <w:vAlign w:val="center"/>
            <w:hideMark/>
          </w:tcPr>
          <w:p w14:paraId="7F3344E4"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Hoja cartulina</w:t>
            </w:r>
          </w:p>
        </w:tc>
        <w:tc>
          <w:tcPr>
            <w:tcW w:w="2291" w:type="pct"/>
            <w:tcBorders>
              <w:top w:val="nil"/>
              <w:left w:val="nil"/>
              <w:bottom w:val="single" w:sz="4" w:space="0" w:color="auto"/>
              <w:right w:val="single" w:sz="4" w:space="0" w:color="auto"/>
            </w:tcBorders>
            <w:vAlign w:val="center"/>
            <w:hideMark/>
          </w:tcPr>
          <w:p w14:paraId="6CE6DFA1"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Formato tamaño carta (21.6 cm x 27.9 cm) en material tipo Bristol o similar, con acabado liso sin texturas ni recubrimientos plastificados. </w:t>
            </w:r>
          </w:p>
        </w:tc>
        <w:tc>
          <w:tcPr>
            <w:tcW w:w="624" w:type="pct"/>
            <w:tcBorders>
              <w:top w:val="nil"/>
              <w:left w:val="nil"/>
              <w:bottom w:val="single" w:sz="4" w:space="0" w:color="auto"/>
              <w:right w:val="single" w:sz="4" w:space="0" w:color="auto"/>
            </w:tcBorders>
            <w:vAlign w:val="center"/>
            <w:hideMark/>
          </w:tcPr>
          <w:p w14:paraId="701E069E"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50</w:t>
            </w:r>
          </w:p>
        </w:tc>
        <w:tc>
          <w:tcPr>
            <w:tcW w:w="696" w:type="pct"/>
            <w:tcBorders>
              <w:top w:val="nil"/>
              <w:left w:val="single" w:sz="4" w:space="0" w:color="auto"/>
              <w:bottom w:val="single" w:sz="4" w:space="0" w:color="auto"/>
              <w:right w:val="single" w:sz="4" w:space="0" w:color="auto"/>
            </w:tcBorders>
            <w:noWrap/>
            <w:vAlign w:val="center"/>
          </w:tcPr>
          <w:p w14:paraId="4AF0C13A" w14:textId="7C1FFD64"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1131A238" w14:textId="51A9DA13"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12B2441C" w14:textId="77777777" w:rsidTr="00605B43">
        <w:trPr>
          <w:trHeight w:val="855"/>
        </w:trPr>
        <w:tc>
          <w:tcPr>
            <w:tcW w:w="625" w:type="pct"/>
            <w:tcBorders>
              <w:top w:val="nil"/>
              <w:left w:val="single" w:sz="4" w:space="0" w:color="auto"/>
              <w:bottom w:val="single" w:sz="4" w:space="0" w:color="auto"/>
              <w:right w:val="single" w:sz="4" w:space="0" w:color="auto"/>
            </w:tcBorders>
            <w:vAlign w:val="center"/>
            <w:hideMark/>
          </w:tcPr>
          <w:p w14:paraId="15B7F821"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Cartulina opalina Lino</w:t>
            </w:r>
          </w:p>
        </w:tc>
        <w:tc>
          <w:tcPr>
            <w:tcW w:w="2291" w:type="pct"/>
            <w:tcBorders>
              <w:top w:val="nil"/>
              <w:left w:val="nil"/>
              <w:bottom w:val="single" w:sz="4" w:space="0" w:color="auto"/>
              <w:right w:val="single" w:sz="4" w:space="0" w:color="auto"/>
            </w:tcBorders>
            <w:vAlign w:val="center"/>
            <w:hideMark/>
          </w:tcPr>
          <w:p w14:paraId="4DB6BBB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Cartulina lino blanca de 180 gramos, tamaño carta, texturizada y de extra blancura, en paquete por 50 unidades. </w:t>
            </w:r>
          </w:p>
        </w:tc>
        <w:tc>
          <w:tcPr>
            <w:tcW w:w="624" w:type="pct"/>
            <w:tcBorders>
              <w:top w:val="nil"/>
              <w:left w:val="nil"/>
              <w:bottom w:val="single" w:sz="4" w:space="0" w:color="auto"/>
              <w:right w:val="single" w:sz="4" w:space="0" w:color="auto"/>
            </w:tcBorders>
            <w:vAlign w:val="center"/>
            <w:hideMark/>
          </w:tcPr>
          <w:p w14:paraId="764D32E0"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10</w:t>
            </w:r>
          </w:p>
        </w:tc>
        <w:tc>
          <w:tcPr>
            <w:tcW w:w="696" w:type="pct"/>
            <w:tcBorders>
              <w:top w:val="nil"/>
              <w:left w:val="single" w:sz="4" w:space="0" w:color="auto"/>
              <w:bottom w:val="single" w:sz="4" w:space="0" w:color="auto"/>
              <w:right w:val="single" w:sz="4" w:space="0" w:color="auto"/>
            </w:tcBorders>
            <w:noWrap/>
            <w:vAlign w:val="center"/>
          </w:tcPr>
          <w:p w14:paraId="0AA5A6D3" w14:textId="6EFF8227"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FFDB26A" w14:textId="7248D425"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0DFBA3E" w14:textId="77777777" w:rsidTr="00605B43">
        <w:trPr>
          <w:trHeight w:val="855"/>
        </w:trPr>
        <w:tc>
          <w:tcPr>
            <w:tcW w:w="625" w:type="pct"/>
            <w:tcBorders>
              <w:top w:val="nil"/>
              <w:left w:val="single" w:sz="4" w:space="0" w:color="auto"/>
              <w:bottom w:val="single" w:sz="4" w:space="0" w:color="auto"/>
              <w:right w:val="single" w:sz="4" w:space="0" w:color="auto"/>
            </w:tcBorders>
            <w:vAlign w:val="center"/>
            <w:hideMark/>
          </w:tcPr>
          <w:p w14:paraId="5BEB911B"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Cartulina Opalina Colores</w:t>
            </w:r>
          </w:p>
        </w:tc>
        <w:tc>
          <w:tcPr>
            <w:tcW w:w="2291" w:type="pct"/>
            <w:tcBorders>
              <w:top w:val="nil"/>
              <w:left w:val="nil"/>
              <w:bottom w:val="single" w:sz="4" w:space="0" w:color="auto"/>
              <w:right w:val="single" w:sz="4" w:space="0" w:color="auto"/>
            </w:tcBorders>
            <w:vAlign w:val="center"/>
            <w:hideMark/>
          </w:tcPr>
          <w:p w14:paraId="772A95B7"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Cartulina opalina de 180 gramos, tamaño carta (21.5 x 28 cm), acabado liso, en paquete por 50 unidades. </w:t>
            </w:r>
          </w:p>
        </w:tc>
        <w:tc>
          <w:tcPr>
            <w:tcW w:w="624" w:type="pct"/>
            <w:tcBorders>
              <w:top w:val="nil"/>
              <w:left w:val="nil"/>
              <w:bottom w:val="single" w:sz="4" w:space="0" w:color="auto"/>
              <w:right w:val="single" w:sz="4" w:space="0" w:color="auto"/>
            </w:tcBorders>
            <w:vAlign w:val="center"/>
            <w:hideMark/>
          </w:tcPr>
          <w:p w14:paraId="37BE96A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w:t>
            </w:r>
          </w:p>
        </w:tc>
        <w:tc>
          <w:tcPr>
            <w:tcW w:w="696" w:type="pct"/>
            <w:tcBorders>
              <w:top w:val="nil"/>
              <w:left w:val="single" w:sz="4" w:space="0" w:color="auto"/>
              <w:bottom w:val="single" w:sz="4" w:space="0" w:color="auto"/>
              <w:right w:val="single" w:sz="4" w:space="0" w:color="auto"/>
            </w:tcBorders>
            <w:noWrap/>
            <w:vAlign w:val="center"/>
          </w:tcPr>
          <w:p w14:paraId="25A734CE" w14:textId="0524920E"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1AA18107" w14:textId="5B3115F7"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27609D8" w14:textId="77777777" w:rsidTr="00605B43">
        <w:trPr>
          <w:trHeight w:val="1140"/>
        </w:trPr>
        <w:tc>
          <w:tcPr>
            <w:tcW w:w="625" w:type="pct"/>
            <w:tcBorders>
              <w:top w:val="nil"/>
              <w:left w:val="single" w:sz="4" w:space="0" w:color="auto"/>
              <w:bottom w:val="single" w:sz="4" w:space="0" w:color="auto"/>
              <w:right w:val="single" w:sz="4" w:space="0" w:color="auto"/>
            </w:tcBorders>
            <w:vAlign w:val="center"/>
            <w:hideMark/>
          </w:tcPr>
          <w:p w14:paraId="61F8A80D"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Pegante en barra</w:t>
            </w:r>
          </w:p>
        </w:tc>
        <w:tc>
          <w:tcPr>
            <w:tcW w:w="2291" w:type="pct"/>
            <w:tcBorders>
              <w:top w:val="nil"/>
              <w:left w:val="nil"/>
              <w:bottom w:val="single" w:sz="4" w:space="0" w:color="auto"/>
              <w:right w:val="single" w:sz="4" w:space="0" w:color="auto"/>
            </w:tcBorders>
            <w:vAlign w:val="center"/>
            <w:hideMark/>
          </w:tcPr>
          <w:p w14:paraId="1B53D829"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Pegamento en barra de grado administrativo superior, formulado para proporcionar una unión permanente y limpia sobre diversos tipos de papel y cartulina de 40 gramos.</w:t>
            </w:r>
          </w:p>
        </w:tc>
        <w:tc>
          <w:tcPr>
            <w:tcW w:w="624" w:type="pct"/>
            <w:tcBorders>
              <w:top w:val="nil"/>
              <w:left w:val="nil"/>
              <w:bottom w:val="single" w:sz="4" w:space="0" w:color="auto"/>
              <w:right w:val="single" w:sz="4" w:space="0" w:color="auto"/>
            </w:tcBorders>
            <w:vAlign w:val="center"/>
            <w:hideMark/>
          </w:tcPr>
          <w:p w14:paraId="7A9863C6"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9</w:t>
            </w:r>
          </w:p>
        </w:tc>
        <w:tc>
          <w:tcPr>
            <w:tcW w:w="696" w:type="pct"/>
            <w:tcBorders>
              <w:top w:val="nil"/>
              <w:left w:val="single" w:sz="4" w:space="0" w:color="auto"/>
              <w:bottom w:val="single" w:sz="4" w:space="0" w:color="auto"/>
              <w:right w:val="single" w:sz="4" w:space="0" w:color="auto"/>
            </w:tcBorders>
            <w:noWrap/>
            <w:vAlign w:val="center"/>
          </w:tcPr>
          <w:p w14:paraId="43389CB0" w14:textId="195F4315"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6DDFEC38" w14:textId="6703D716"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6EFA871D" w14:textId="77777777" w:rsidTr="00605B43">
        <w:trPr>
          <w:trHeight w:val="1140"/>
        </w:trPr>
        <w:tc>
          <w:tcPr>
            <w:tcW w:w="625" w:type="pct"/>
            <w:tcBorders>
              <w:top w:val="nil"/>
              <w:left w:val="single" w:sz="4" w:space="0" w:color="auto"/>
              <w:bottom w:val="single" w:sz="4" w:space="0" w:color="auto"/>
              <w:right w:val="single" w:sz="4" w:space="0" w:color="auto"/>
            </w:tcBorders>
            <w:vAlign w:val="center"/>
            <w:hideMark/>
          </w:tcPr>
          <w:p w14:paraId="456473B8"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Pegante liquido de papel</w:t>
            </w:r>
          </w:p>
        </w:tc>
        <w:tc>
          <w:tcPr>
            <w:tcW w:w="2291" w:type="pct"/>
            <w:tcBorders>
              <w:top w:val="nil"/>
              <w:left w:val="nil"/>
              <w:bottom w:val="single" w:sz="4" w:space="0" w:color="auto"/>
              <w:right w:val="single" w:sz="4" w:space="0" w:color="auto"/>
            </w:tcBorders>
            <w:vAlign w:val="center"/>
            <w:hideMark/>
          </w:tcPr>
          <w:p w14:paraId="39B821E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Pegante líquido de base acuosa (Acetato de Polivinilo) diseñado para aplicaciones de alta demanda en oficinas y centros de archivo</w:t>
            </w:r>
            <w:r w:rsidRPr="005930FA">
              <w:rPr>
                <w:rFonts w:ascii="Century Gothic" w:eastAsia="Times New Roman" w:hAnsi="Century Gothic" w:cs="Times New Roman"/>
                <w:color w:val="000000"/>
                <w:sz w:val="20"/>
                <w:szCs w:val="20"/>
                <w:lang w:val="es-CO"/>
              </w:rPr>
              <w:br/>
              <w:t>Contenido Neto: Presentación (250 g).</w:t>
            </w:r>
          </w:p>
        </w:tc>
        <w:tc>
          <w:tcPr>
            <w:tcW w:w="624" w:type="pct"/>
            <w:tcBorders>
              <w:top w:val="nil"/>
              <w:left w:val="nil"/>
              <w:bottom w:val="single" w:sz="4" w:space="0" w:color="auto"/>
              <w:right w:val="single" w:sz="4" w:space="0" w:color="auto"/>
            </w:tcBorders>
            <w:vAlign w:val="center"/>
            <w:hideMark/>
          </w:tcPr>
          <w:p w14:paraId="67FA50E5"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9</w:t>
            </w:r>
          </w:p>
        </w:tc>
        <w:tc>
          <w:tcPr>
            <w:tcW w:w="696" w:type="pct"/>
            <w:tcBorders>
              <w:top w:val="nil"/>
              <w:left w:val="single" w:sz="4" w:space="0" w:color="auto"/>
              <w:bottom w:val="single" w:sz="4" w:space="0" w:color="auto"/>
              <w:right w:val="single" w:sz="4" w:space="0" w:color="auto"/>
            </w:tcBorders>
            <w:noWrap/>
            <w:vAlign w:val="center"/>
          </w:tcPr>
          <w:p w14:paraId="08FE4C31" w14:textId="08A71DD6"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1EBDB5F7" w14:textId="769D392B"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673F0B86" w14:textId="77777777" w:rsidTr="00605B43">
        <w:trPr>
          <w:trHeight w:val="979"/>
        </w:trPr>
        <w:tc>
          <w:tcPr>
            <w:tcW w:w="625" w:type="pct"/>
            <w:tcBorders>
              <w:top w:val="nil"/>
              <w:left w:val="single" w:sz="4" w:space="0" w:color="auto"/>
              <w:bottom w:val="single" w:sz="4" w:space="0" w:color="auto"/>
              <w:right w:val="single" w:sz="4" w:space="0" w:color="auto"/>
            </w:tcBorders>
            <w:vAlign w:val="center"/>
            <w:hideMark/>
          </w:tcPr>
          <w:p w14:paraId="1C1E6131"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Resaltadores</w:t>
            </w:r>
          </w:p>
        </w:tc>
        <w:tc>
          <w:tcPr>
            <w:tcW w:w="2291" w:type="pct"/>
            <w:tcBorders>
              <w:top w:val="nil"/>
              <w:left w:val="nil"/>
              <w:bottom w:val="single" w:sz="4" w:space="0" w:color="auto"/>
              <w:right w:val="single" w:sz="4" w:space="0" w:color="auto"/>
            </w:tcBorders>
            <w:vAlign w:val="center"/>
            <w:hideMark/>
          </w:tcPr>
          <w:p w14:paraId="54835FCE"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Set de resaltadores tipo tanque diseñados para uso profesional y académico intenso. que permita resaltar sobre diversas tintas sin comprometer la legibilidad del texto original.</w:t>
            </w:r>
            <w:r w:rsidRPr="005930FA">
              <w:rPr>
                <w:rFonts w:ascii="Century Gothic" w:eastAsia="Times New Roman" w:hAnsi="Century Gothic" w:cs="Times New Roman"/>
                <w:color w:val="000000"/>
                <w:sz w:val="20"/>
                <w:szCs w:val="20"/>
                <w:lang w:val="es-CO"/>
              </w:rPr>
              <w:br/>
              <w:t>Equipados con una fórmula de tinta especial diseñada para resistir el corrido de la mayoría de las tintas de bolígrafos y marcadores, garantizando un resaltado limpio y profesional.</w:t>
            </w:r>
            <w:r w:rsidRPr="005930FA">
              <w:rPr>
                <w:rFonts w:ascii="Century Gothic" w:eastAsia="Times New Roman" w:hAnsi="Century Gothic" w:cs="Times New Roman"/>
                <w:color w:val="000000"/>
                <w:sz w:val="20"/>
                <w:szCs w:val="20"/>
                <w:lang w:val="es-CO"/>
              </w:rPr>
              <w:br/>
              <w:t>Deben utilizar tinta a base de agua de alta intensidad y secado rápido, lo que minimiza el traspaso a través del papel.</w:t>
            </w:r>
            <w:r w:rsidRPr="005930FA">
              <w:rPr>
                <w:rFonts w:ascii="Century Gothic" w:eastAsia="Times New Roman" w:hAnsi="Century Gothic" w:cs="Times New Roman"/>
                <w:color w:val="000000"/>
                <w:sz w:val="20"/>
                <w:szCs w:val="20"/>
                <w:lang w:val="es-CO"/>
              </w:rPr>
              <w:br/>
              <w:t>Debe poseer una punta de fieltro resistente con corte en bisel (cincel) que permite realizar trazos de diferentes grosores (aproximadamente 1 mm para subrayado fino hasta trazos anchos para cobertura total).</w:t>
            </w:r>
            <w:r w:rsidRPr="005930FA">
              <w:rPr>
                <w:rFonts w:ascii="Century Gothic" w:eastAsia="Times New Roman" w:hAnsi="Century Gothic" w:cs="Times New Roman"/>
                <w:color w:val="000000"/>
                <w:sz w:val="20"/>
                <w:szCs w:val="20"/>
                <w:lang w:val="es-CO"/>
              </w:rPr>
              <w:br/>
              <w:t>Set de 4 resaltadores en tonalidades Pastel, que ofrezcan una señalización suave, permitiendo una lectura cómoda y descansada a la vista.</w:t>
            </w:r>
            <w:r w:rsidRPr="005930FA">
              <w:rPr>
                <w:rFonts w:ascii="Century Gothic" w:eastAsia="Times New Roman" w:hAnsi="Century Gothic" w:cs="Times New Roman"/>
                <w:color w:val="000000"/>
                <w:sz w:val="20"/>
                <w:szCs w:val="20"/>
                <w:lang w:val="es-CO"/>
              </w:rPr>
              <w:br/>
              <w:t>Debe tener cuerpo redondo y ancho que facilita un agarre firme y confortable durante sesiones de trabajo extensas.</w:t>
            </w:r>
            <w:r w:rsidRPr="005930FA">
              <w:rPr>
                <w:rFonts w:ascii="Century Gothic" w:eastAsia="Times New Roman" w:hAnsi="Century Gothic" w:cs="Times New Roman"/>
                <w:color w:val="000000"/>
                <w:sz w:val="20"/>
                <w:szCs w:val="20"/>
                <w:lang w:val="es-CO"/>
              </w:rPr>
              <w:br/>
              <w:t>Incluye tapa de seguridad con clip integrado para evitar el rodamiento en el escritorio y facilitar el transporte en bolsillos o carpetas.</w:t>
            </w:r>
          </w:p>
        </w:tc>
        <w:tc>
          <w:tcPr>
            <w:tcW w:w="624" w:type="pct"/>
            <w:tcBorders>
              <w:top w:val="nil"/>
              <w:left w:val="nil"/>
              <w:bottom w:val="single" w:sz="4" w:space="0" w:color="auto"/>
              <w:right w:val="single" w:sz="4" w:space="0" w:color="auto"/>
            </w:tcBorders>
            <w:vAlign w:val="center"/>
            <w:hideMark/>
          </w:tcPr>
          <w:p w14:paraId="4EFF34DB"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8</w:t>
            </w:r>
          </w:p>
        </w:tc>
        <w:tc>
          <w:tcPr>
            <w:tcW w:w="696" w:type="pct"/>
            <w:tcBorders>
              <w:top w:val="nil"/>
              <w:left w:val="single" w:sz="4" w:space="0" w:color="auto"/>
              <w:bottom w:val="single" w:sz="4" w:space="0" w:color="auto"/>
              <w:right w:val="single" w:sz="4" w:space="0" w:color="auto"/>
            </w:tcBorders>
            <w:noWrap/>
            <w:vAlign w:val="center"/>
          </w:tcPr>
          <w:p w14:paraId="2F9B994A" w14:textId="1FF33E4D"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7F547CA7" w14:textId="4361F4A5"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2CA0C3DE" w14:textId="77777777" w:rsidTr="00605B43">
        <w:trPr>
          <w:trHeight w:val="992"/>
        </w:trPr>
        <w:tc>
          <w:tcPr>
            <w:tcW w:w="625" w:type="pct"/>
            <w:tcBorders>
              <w:top w:val="nil"/>
              <w:left w:val="single" w:sz="4" w:space="0" w:color="auto"/>
              <w:bottom w:val="single" w:sz="4" w:space="0" w:color="auto"/>
              <w:right w:val="single" w:sz="4" w:space="0" w:color="auto"/>
            </w:tcBorders>
            <w:vAlign w:val="center"/>
            <w:hideMark/>
          </w:tcPr>
          <w:p w14:paraId="78AA136E"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Resaltadores</w:t>
            </w:r>
          </w:p>
        </w:tc>
        <w:tc>
          <w:tcPr>
            <w:tcW w:w="2291" w:type="pct"/>
            <w:tcBorders>
              <w:top w:val="nil"/>
              <w:left w:val="nil"/>
              <w:bottom w:val="single" w:sz="4" w:space="0" w:color="auto"/>
              <w:right w:val="single" w:sz="4" w:space="0" w:color="auto"/>
            </w:tcBorders>
            <w:vAlign w:val="center"/>
            <w:hideMark/>
          </w:tcPr>
          <w:p w14:paraId="2FB8578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Set de resaltadores tipo tanque diseñados para uso profesional y académico intenso. que permita resaltar sobre diversas tintas sin comprometer la legibilidad del texto original.</w:t>
            </w:r>
            <w:r w:rsidRPr="005930FA">
              <w:rPr>
                <w:rFonts w:ascii="Century Gothic" w:eastAsia="Times New Roman" w:hAnsi="Century Gothic" w:cs="Times New Roman"/>
                <w:color w:val="000000"/>
                <w:sz w:val="20"/>
                <w:szCs w:val="20"/>
                <w:lang w:val="es-CO"/>
              </w:rPr>
              <w:br/>
              <w:t>Equipados con una fórmula de tinta especial diseñada para resistir el corrido de la mayoría de las tintas de bolígrafos y marcadores, garantizando un resaltado limpio y profesional.</w:t>
            </w:r>
            <w:r w:rsidRPr="005930FA">
              <w:rPr>
                <w:rFonts w:ascii="Century Gothic" w:eastAsia="Times New Roman" w:hAnsi="Century Gothic" w:cs="Times New Roman"/>
                <w:color w:val="000000"/>
                <w:sz w:val="20"/>
                <w:szCs w:val="20"/>
                <w:lang w:val="es-CO"/>
              </w:rPr>
              <w:br/>
              <w:t>Deben utilizar tinta a base de agua de alta intensidad y secado rápido, lo que minimiza el traspaso a través del papel.</w:t>
            </w:r>
            <w:r w:rsidRPr="005930FA">
              <w:rPr>
                <w:rFonts w:ascii="Century Gothic" w:eastAsia="Times New Roman" w:hAnsi="Century Gothic" w:cs="Times New Roman"/>
                <w:color w:val="000000"/>
                <w:sz w:val="20"/>
                <w:szCs w:val="20"/>
                <w:lang w:val="es-CO"/>
              </w:rPr>
              <w:br/>
              <w:t>Debe poseer una punta de fieltro resistente con corte en bisel (cincel) que permite realizar trazos de diferentes grosores (aproximadamente 1 mm para subrayado fino hasta trazos anchos para cobertura total).</w:t>
            </w:r>
            <w:r w:rsidRPr="005930FA">
              <w:rPr>
                <w:rFonts w:ascii="Century Gothic" w:eastAsia="Times New Roman" w:hAnsi="Century Gothic" w:cs="Times New Roman"/>
                <w:color w:val="000000"/>
                <w:sz w:val="20"/>
                <w:szCs w:val="20"/>
                <w:lang w:val="es-CO"/>
              </w:rPr>
              <w:br/>
              <w:t>Set de 4 resaltadores en tonalidades neón, que ofrezcan una señalización suave, permitiendo una lectura cómoda y descansada a la vista.</w:t>
            </w:r>
            <w:r w:rsidRPr="005930FA">
              <w:rPr>
                <w:rFonts w:ascii="Century Gothic" w:eastAsia="Times New Roman" w:hAnsi="Century Gothic" w:cs="Times New Roman"/>
                <w:color w:val="000000"/>
                <w:sz w:val="20"/>
                <w:szCs w:val="20"/>
                <w:lang w:val="es-CO"/>
              </w:rPr>
              <w:br/>
              <w:t xml:space="preserve">Debe tener cuerpo redondo y ancho que facilita un agarre firme y confortable durante </w:t>
            </w:r>
            <w:r w:rsidRPr="005930FA">
              <w:rPr>
                <w:rFonts w:ascii="Century Gothic" w:eastAsia="Times New Roman" w:hAnsi="Century Gothic" w:cs="Times New Roman"/>
                <w:color w:val="000000"/>
                <w:sz w:val="20"/>
                <w:szCs w:val="20"/>
                <w:lang w:val="es-CO"/>
              </w:rPr>
              <w:lastRenderedPageBreak/>
              <w:t>sesiones de trabajo extensas.</w:t>
            </w:r>
            <w:r w:rsidRPr="005930FA">
              <w:rPr>
                <w:rFonts w:ascii="Century Gothic" w:eastAsia="Times New Roman" w:hAnsi="Century Gothic" w:cs="Times New Roman"/>
                <w:color w:val="000000"/>
                <w:sz w:val="20"/>
                <w:szCs w:val="20"/>
                <w:lang w:val="es-CO"/>
              </w:rPr>
              <w:br/>
              <w:t>Incluye tapa de seguridad con clip integrado para evitar el rodamiento en el escritorio y facilitar el transporte en bolsillos o carpetas.</w:t>
            </w:r>
          </w:p>
        </w:tc>
        <w:tc>
          <w:tcPr>
            <w:tcW w:w="624" w:type="pct"/>
            <w:tcBorders>
              <w:top w:val="nil"/>
              <w:left w:val="nil"/>
              <w:bottom w:val="single" w:sz="4" w:space="0" w:color="auto"/>
              <w:right w:val="single" w:sz="4" w:space="0" w:color="auto"/>
            </w:tcBorders>
            <w:vAlign w:val="center"/>
            <w:hideMark/>
          </w:tcPr>
          <w:p w14:paraId="4E0387FA"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lastRenderedPageBreak/>
              <w:t>8</w:t>
            </w:r>
          </w:p>
        </w:tc>
        <w:tc>
          <w:tcPr>
            <w:tcW w:w="696" w:type="pct"/>
            <w:tcBorders>
              <w:top w:val="nil"/>
              <w:left w:val="single" w:sz="4" w:space="0" w:color="auto"/>
              <w:bottom w:val="single" w:sz="4" w:space="0" w:color="auto"/>
              <w:right w:val="single" w:sz="4" w:space="0" w:color="auto"/>
            </w:tcBorders>
            <w:noWrap/>
            <w:vAlign w:val="center"/>
          </w:tcPr>
          <w:p w14:paraId="78844DCB" w14:textId="56C0F41E"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6A96BFF" w14:textId="5E9D61E2"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1B52B145" w14:textId="77777777" w:rsidTr="00605B43">
        <w:trPr>
          <w:trHeight w:val="8190"/>
        </w:trPr>
        <w:tc>
          <w:tcPr>
            <w:tcW w:w="625" w:type="pct"/>
            <w:tcBorders>
              <w:top w:val="nil"/>
              <w:left w:val="single" w:sz="4" w:space="0" w:color="auto"/>
              <w:bottom w:val="single" w:sz="4" w:space="0" w:color="auto"/>
              <w:right w:val="single" w:sz="4" w:space="0" w:color="auto"/>
            </w:tcBorders>
            <w:vAlign w:val="center"/>
            <w:hideMark/>
          </w:tcPr>
          <w:p w14:paraId="2E86F843"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Extensión eléctrica</w:t>
            </w:r>
          </w:p>
        </w:tc>
        <w:tc>
          <w:tcPr>
            <w:tcW w:w="2291" w:type="pct"/>
            <w:tcBorders>
              <w:top w:val="nil"/>
              <w:left w:val="nil"/>
              <w:bottom w:val="single" w:sz="4" w:space="0" w:color="auto"/>
              <w:right w:val="single" w:sz="4" w:space="0" w:color="auto"/>
            </w:tcBorders>
            <w:vAlign w:val="center"/>
            <w:hideMark/>
          </w:tcPr>
          <w:p w14:paraId="0AEEE94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Extensión eléctrica de grado industrial diseñada para el suministro seguro de energía a dispositivos de alto vatiaje y equipos con resistencias térmicas, garantizando la integridad del cableado ante altas cargas de corriente.</w:t>
            </w:r>
            <w:r w:rsidRPr="005930FA">
              <w:rPr>
                <w:rFonts w:ascii="Century Gothic" w:eastAsia="Times New Roman" w:hAnsi="Century Gothic" w:cs="Times New Roman"/>
                <w:color w:val="000000"/>
                <w:sz w:val="20"/>
                <w:szCs w:val="20"/>
                <w:lang w:val="es-CO"/>
              </w:rPr>
              <w:br/>
              <w:t xml:space="preserve">Conductores de Alta Capacidad: Fabricada con 3 conductores internos de cobre de calibre grueso, optimizados para soportar el arrastre de corriente de equipos como cafeteras y calentadores de ambiente sin sobrecalentamiento. </w:t>
            </w:r>
            <w:r w:rsidRPr="005930FA">
              <w:rPr>
                <w:rFonts w:ascii="Century Gothic" w:eastAsia="Times New Roman" w:hAnsi="Century Gothic" w:cs="Times New Roman"/>
                <w:color w:val="000000"/>
                <w:sz w:val="20"/>
                <w:szCs w:val="20"/>
                <w:lang w:val="es-CO"/>
              </w:rPr>
              <w:br/>
              <w:t xml:space="preserve">Voltaje y Amperaje: Diseñada para operar de manera estable en rangos de 120V - 127V a 60Hz, permitiendo una conducción de energía fluida para motores y resistencias. </w:t>
            </w:r>
            <w:r w:rsidRPr="005930FA">
              <w:rPr>
                <w:rFonts w:ascii="Century Gothic" w:eastAsia="Times New Roman" w:hAnsi="Century Gothic" w:cs="Times New Roman"/>
                <w:color w:val="000000"/>
                <w:sz w:val="20"/>
                <w:szCs w:val="20"/>
                <w:lang w:val="es-CO"/>
              </w:rPr>
              <w:br/>
              <w:t xml:space="preserve">Protección contra Sobrecarga: Recubrimiento aislante de alta densidad resistente a la temperatura, diseñado para prevenir quemaduras en el forro exterior ante un uso prolongado con cargas críticas. </w:t>
            </w:r>
            <w:r w:rsidRPr="005930FA">
              <w:rPr>
                <w:rFonts w:ascii="Century Gothic" w:eastAsia="Times New Roman" w:hAnsi="Century Gothic" w:cs="Times New Roman"/>
                <w:color w:val="000000"/>
                <w:sz w:val="20"/>
                <w:szCs w:val="20"/>
                <w:lang w:val="es-CO"/>
              </w:rPr>
              <w:br/>
              <w:t>Construcción y Seguridad</w:t>
            </w:r>
            <w:r w:rsidRPr="005930FA">
              <w:rPr>
                <w:rFonts w:ascii="Century Gothic" w:eastAsia="Times New Roman" w:hAnsi="Century Gothic" w:cs="Times New Roman"/>
                <w:color w:val="000000"/>
                <w:sz w:val="20"/>
                <w:szCs w:val="20"/>
                <w:lang w:val="es-CO"/>
              </w:rPr>
              <w:br/>
              <w:t xml:space="preserve">Aislamiento Reforzado: Forro de caucho o PVC de alta resistencia mecánica, que ofrece protección contra la abrasión, el aplastamiento y la exposición a entornos de oficina exigentes. </w:t>
            </w:r>
            <w:r w:rsidRPr="005930FA">
              <w:rPr>
                <w:rFonts w:ascii="Century Gothic" w:eastAsia="Times New Roman" w:hAnsi="Century Gothic" w:cs="Times New Roman"/>
                <w:color w:val="000000"/>
                <w:sz w:val="20"/>
                <w:szCs w:val="20"/>
                <w:lang w:val="es-CO"/>
              </w:rPr>
              <w:br/>
              <w:t xml:space="preserve">Polo a Tierra: Incluye conexión de seguridad (polo a tierra) para proteger los equipos electrónicos y al personal contra descargas accidentales o picos de voltaje. </w:t>
            </w:r>
            <w:r w:rsidRPr="005930FA">
              <w:rPr>
                <w:rFonts w:ascii="Century Gothic" w:eastAsia="Times New Roman" w:hAnsi="Century Gothic" w:cs="Times New Roman"/>
                <w:color w:val="000000"/>
                <w:sz w:val="20"/>
                <w:szCs w:val="20"/>
                <w:lang w:val="es-CO"/>
              </w:rPr>
              <w:br/>
              <w:t xml:space="preserve">Longitud Estándar de Operación: Extensión de 5 metros, ideal para facilitar la ubicación de equipos en oficinas o consultorios sin perder eficiencia por caída de tensión. </w:t>
            </w:r>
          </w:p>
        </w:tc>
        <w:tc>
          <w:tcPr>
            <w:tcW w:w="624" w:type="pct"/>
            <w:tcBorders>
              <w:top w:val="nil"/>
              <w:left w:val="nil"/>
              <w:bottom w:val="single" w:sz="4" w:space="0" w:color="auto"/>
              <w:right w:val="single" w:sz="4" w:space="0" w:color="auto"/>
            </w:tcBorders>
            <w:vAlign w:val="center"/>
            <w:hideMark/>
          </w:tcPr>
          <w:p w14:paraId="0A78E2FA"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4</w:t>
            </w:r>
          </w:p>
        </w:tc>
        <w:tc>
          <w:tcPr>
            <w:tcW w:w="696" w:type="pct"/>
            <w:tcBorders>
              <w:top w:val="nil"/>
              <w:left w:val="single" w:sz="4" w:space="0" w:color="auto"/>
              <w:bottom w:val="single" w:sz="4" w:space="0" w:color="auto"/>
              <w:right w:val="single" w:sz="4" w:space="0" w:color="auto"/>
            </w:tcBorders>
            <w:noWrap/>
            <w:vAlign w:val="center"/>
          </w:tcPr>
          <w:p w14:paraId="5AA8468B" w14:textId="077CED04"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4A72568" w14:textId="337E1874"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22DAC40D" w14:textId="77777777" w:rsidTr="00605B43">
        <w:trPr>
          <w:trHeight w:val="3957"/>
        </w:trPr>
        <w:tc>
          <w:tcPr>
            <w:tcW w:w="625" w:type="pct"/>
            <w:tcBorders>
              <w:top w:val="nil"/>
              <w:left w:val="single" w:sz="4" w:space="0" w:color="auto"/>
              <w:bottom w:val="single" w:sz="4" w:space="0" w:color="auto"/>
              <w:right w:val="single" w:sz="4" w:space="0" w:color="auto"/>
            </w:tcBorders>
            <w:vAlign w:val="center"/>
            <w:hideMark/>
          </w:tcPr>
          <w:p w14:paraId="4E67572B"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Marcador permanente</w:t>
            </w:r>
          </w:p>
          <w:p w14:paraId="6D87E1D0"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Jumbo</w:t>
            </w:r>
          </w:p>
        </w:tc>
        <w:tc>
          <w:tcPr>
            <w:tcW w:w="2291" w:type="pct"/>
            <w:tcBorders>
              <w:top w:val="nil"/>
              <w:left w:val="nil"/>
              <w:bottom w:val="single" w:sz="4" w:space="0" w:color="auto"/>
              <w:right w:val="single" w:sz="4" w:space="0" w:color="auto"/>
            </w:tcBorders>
            <w:vAlign w:val="center"/>
            <w:hideMark/>
          </w:tcPr>
          <w:p w14:paraId="10EED68F"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Marcador permanente de gran formato diseñado para la escritura en superficies amplias. Tinta de </w:t>
            </w:r>
            <w:r w:rsidRPr="005930FA">
              <w:rPr>
                <w:rFonts w:ascii="Century Gothic" w:eastAsia="Times New Roman" w:hAnsi="Century Gothic" w:cs="Times New Roman"/>
                <w:b/>
                <w:bCs/>
                <w:color w:val="000000"/>
                <w:sz w:val="20"/>
                <w:szCs w:val="20"/>
                <w:lang w:val="es-CO"/>
              </w:rPr>
              <w:t>color negro</w:t>
            </w:r>
            <w:r w:rsidRPr="005930FA">
              <w:rPr>
                <w:rFonts w:ascii="Century Gothic" w:eastAsia="Times New Roman" w:hAnsi="Century Gothic" w:cs="Times New Roman"/>
                <w:color w:val="000000"/>
                <w:sz w:val="20"/>
                <w:szCs w:val="20"/>
                <w:lang w:val="es-CO"/>
              </w:rPr>
              <w:t xml:space="preserve"> profundo con alta carga de pigmento para un cubrimiento total en </w:t>
            </w:r>
            <w:r w:rsidRPr="005930FA">
              <w:rPr>
                <w:rFonts w:ascii="Century Gothic" w:eastAsia="Times New Roman" w:hAnsi="Century Gothic" w:cs="Times New Roman"/>
                <w:b/>
                <w:bCs/>
                <w:color w:val="000000"/>
                <w:sz w:val="20"/>
                <w:szCs w:val="20"/>
                <w:lang w:val="es-CO"/>
              </w:rPr>
              <w:t>una sola pasada</w:t>
            </w:r>
            <w:r w:rsidRPr="005930FA">
              <w:rPr>
                <w:rFonts w:ascii="Century Gothic" w:eastAsia="Times New Roman" w:hAnsi="Century Gothic" w:cs="Times New Roman"/>
                <w:color w:val="000000"/>
                <w:sz w:val="20"/>
                <w:szCs w:val="20"/>
                <w:lang w:val="es-CO"/>
              </w:rPr>
              <w:t xml:space="preserve"> Su diseño de </w:t>
            </w:r>
            <w:r w:rsidRPr="005930FA">
              <w:rPr>
                <w:rFonts w:ascii="Century Gothic" w:eastAsia="Times New Roman" w:hAnsi="Century Gothic" w:cs="Times New Roman"/>
                <w:b/>
                <w:bCs/>
                <w:color w:val="000000"/>
                <w:sz w:val="20"/>
                <w:szCs w:val="20"/>
                <w:lang w:val="es-CO"/>
              </w:rPr>
              <w:t>punta extra ancha</w:t>
            </w:r>
            <w:r w:rsidRPr="005930FA">
              <w:rPr>
                <w:rFonts w:ascii="Century Gothic" w:eastAsia="Times New Roman" w:hAnsi="Century Gothic" w:cs="Times New Roman"/>
                <w:color w:val="000000"/>
                <w:sz w:val="20"/>
                <w:szCs w:val="20"/>
                <w:lang w:val="es-CO"/>
              </w:rPr>
              <w:t xml:space="preserve"> permite realizar trazos gruesos y legibles a larga distancia, permite realizar trazos finos de </w:t>
            </w:r>
            <w:r w:rsidRPr="005930FA">
              <w:rPr>
                <w:rFonts w:ascii="Century Gothic" w:eastAsia="Times New Roman" w:hAnsi="Century Gothic" w:cs="Times New Roman"/>
                <w:b/>
                <w:bCs/>
                <w:color w:val="000000"/>
                <w:sz w:val="20"/>
                <w:szCs w:val="20"/>
                <w:lang w:val="es-CO"/>
              </w:rPr>
              <w:t>5 mm</w:t>
            </w:r>
            <w:r w:rsidRPr="005930FA">
              <w:rPr>
                <w:rFonts w:ascii="Century Gothic" w:eastAsia="Times New Roman" w:hAnsi="Century Gothic" w:cs="Times New Roman"/>
                <w:color w:val="000000"/>
                <w:sz w:val="20"/>
                <w:szCs w:val="20"/>
                <w:lang w:val="es-CO"/>
              </w:rPr>
              <w:t xml:space="preserve"> (usando el borde) o trazos de hasta </w:t>
            </w:r>
            <w:r w:rsidRPr="005930FA">
              <w:rPr>
                <w:rFonts w:ascii="Century Gothic" w:eastAsia="Times New Roman" w:hAnsi="Century Gothic" w:cs="Times New Roman"/>
                <w:b/>
                <w:bCs/>
                <w:color w:val="000000"/>
                <w:sz w:val="20"/>
                <w:szCs w:val="20"/>
                <w:lang w:val="es-CO"/>
              </w:rPr>
              <w:t>12 mm</w:t>
            </w:r>
            <w:r w:rsidRPr="005930FA">
              <w:rPr>
                <w:rFonts w:ascii="Century Gothic" w:eastAsia="Times New Roman" w:hAnsi="Century Gothic" w:cs="Times New Roman"/>
                <w:color w:val="000000"/>
                <w:sz w:val="20"/>
                <w:szCs w:val="20"/>
                <w:lang w:val="es-CO"/>
              </w:rPr>
              <w:t xml:space="preserve"> (usando la cara plana de la punta) para títulos grandes., ideal para la elaboración de carteleras con cilindro de tamaño jumbo que ofrece un agarre firme y ergonómico, facilitando el control manual en trazos de gran escala, con punta de fieltro de alta densidad con corte en bisel que permite tres anchos de trazo distintos según la inclinación y con punta reforzada que mantiene su forma original incluso bajo presión constante sobre materiales rugosos como papel bond o cartulina, diseñado para rendir aproximadamente entre </w:t>
            </w:r>
            <w:r w:rsidRPr="005930FA">
              <w:rPr>
                <w:rFonts w:ascii="Century Gothic" w:eastAsia="Times New Roman" w:hAnsi="Century Gothic" w:cs="Times New Roman"/>
                <w:b/>
                <w:bCs/>
                <w:color w:val="000000"/>
                <w:sz w:val="20"/>
                <w:szCs w:val="20"/>
                <w:lang w:val="es-CO"/>
              </w:rPr>
              <w:t>400 y 600 metros</w:t>
            </w:r>
            <w:r w:rsidRPr="005930FA">
              <w:rPr>
                <w:rFonts w:ascii="Century Gothic" w:eastAsia="Times New Roman" w:hAnsi="Century Gothic" w:cs="Times New Roman"/>
                <w:color w:val="000000"/>
                <w:sz w:val="20"/>
                <w:szCs w:val="20"/>
                <w:lang w:val="es-CO"/>
              </w:rPr>
              <w:t xml:space="preserve"> de escritura continua.</w:t>
            </w:r>
          </w:p>
        </w:tc>
        <w:tc>
          <w:tcPr>
            <w:tcW w:w="624" w:type="pct"/>
            <w:tcBorders>
              <w:top w:val="nil"/>
              <w:left w:val="nil"/>
              <w:bottom w:val="single" w:sz="4" w:space="0" w:color="auto"/>
              <w:right w:val="single" w:sz="4" w:space="0" w:color="auto"/>
            </w:tcBorders>
            <w:vAlign w:val="center"/>
            <w:hideMark/>
          </w:tcPr>
          <w:p w14:paraId="35A9F84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hAnsi="Century Gothic"/>
                <w:sz w:val="20"/>
                <w:szCs w:val="20"/>
              </w:rPr>
              <w:t>1 Caja x 10 o 12 unidades</w:t>
            </w:r>
          </w:p>
        </w:tc>
        <w:tc>
          <w:tcPr>
            <w:tcW w:w="696" w:type="pct"/>
            <w:tcBorders>
              <w:top w:val="nil"/>
              <w:left w:val="single" w:sz="4" w:space="0" w:color="auto"/>
              <w:bottom w:val="single" w:sz="4" w:space="0" w:color="auto"/>
              <w:right w:val="single" w:sz="4" w:space="0" w:color="auto"/>
            </w:tcBorders>
            <w:noWrap/>
            <w:vAlign w:val="center"/>
          </w:tcPr>
          <w:p w14:paraId="54A77F55" w14:textId="490A8431"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38CCC628" w14:textId="6C9FC9B8"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303552BC" w14:textId="77777777" w:rsidTr="00605B43">
        <w:trPr>
          <w:trHeight w:val="56"/>
        </w:trPr>
        <w:tc>
          <w:tcPr>
            <w:tcW w:w="625" w:type="pct"/>
            <w:tcBorders>
              <w:top w:val="nil"/>
              <w:left w:val="single" w:sz="4" w:space="0" w:color="auto"/>
              <w:bottom w:val="single" w:sz="4" w:space="0" w:color="auto"/>
              <w:right w:val="single" w:sz="4" w:space="0" w:color="auto"/>
            </w:tcBorders>
            <w:vAlign w:val="center"/>
            <w:hideMark/>
          </w:tcPr>
          <w:p w14:paraId="3D9FE031"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Marcador permanente</w:t>
            </w:r>
            <w:r w:rsidRPr="005930FA">
              <w:rPr>
                <w:rFonts w:ascii="Century Gothic" w:eastAsia="Times New Roman" w:hAnsi="Century Gothic" w:cs="Times New Roman"/>
                <w:b/>
                <w:bCs/>
                <w:color w:val="000000"/>
                <w:sz w:val="20"/>
                <w:szCs w:val="20"/>
                <w:lang w:val="es-CO"/>
              </w:rPr>
              <w:br/>
              <w:t xml:space="preserve">Jumbo </w:t>
            </w:r>
          </w:p>
        </w:tc>
        <w:tc>
          <w:tcPr>
            <w:tcW w:w="2291" w:type="pct"/>
            <w:tcBorders>
              <w:top w:val="nil"/>
              <w:left w:val="nil"/>
              <w:bottom w:val="single" w:sz="4" w:space="0" w:color="auto"/>
              <w:right w:val="single" w:sz="4" w:space="0" w:color="auto"/>
            </w:tcBorders>
            <w:vAlign w:val="center"/>
            <w:hideMark/>
          </w:tcPr>
          <w:p w14:paraId="39689DDB"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Marcador permanente de gran formato diseñado para la escritura en superficies amplias. Tinta de </w:t>
            </w:r>
            <w:r w:rsidRPr="005930FA">
              <w:rPr>
                <w:rFonts w:ascii="Century Gothic" w:eastAsia="Times New Roman" w:hAnsi="Century Gothic" w:cs="Times New Roman"/>
                <w:b/>
                <w:bCs/>
                <w:color w:val="000000"/>
                <w:sz w:val="20"/>
                <w:szCs w:val="20"/>
                <w:lang w:val="es-CO"/>
              </w:rPr>
              <w:t>colores surtidos (azul – naranja – verde – violeta – rosado – marrón – rojo – entre otros)</w:t>
            </w:r>
            <w:r w:rsidRPr="005930FA">
              <w:rPr>
                <w:rFonts w:ascii="Century Gothic" w:eastAsia="Times New Roman" w:hAnsi="Century Gothic" w:cs="Times New Roman"/>
                <w:color w:val="000000"/>
                <w:sz w:val="20"/>
                <w:szCs w:val="20"/>
                <w:lang w:val="es-CO"/>
              </w:rPr>
              <w:t xml:space="preserve"> profundo con alta carga de pigmento para un cubrimiento total en </w:t>
            </w:r>
            <w:r w:rsidRPr="005930FA">
              <w:rPr>
                <w:rFonts w:ascii="Century Gothic" w:eastAsia="Times New Roman" w:hAnsi="Century Gothic" w:cs="Times New Roman"/>
                <w:b/>
                <w:bCs/>
                <w:color w:val="000000"/>
                <w:sz w:val="20"/>
                <w:szCs w:val="20"/>
                <w:lang w:val="es-CO"/>
              </w:rPr>
              <w:t>una sola pasada</w:t>
            </w:r>
            <w:r w:rsidRPr="005930FA">
              <w:rPr>
                <w:rFonts w:ascii="Century Gothic" w:eastAsia="Times New Roman" w:hAnsi="Century Gothic" w:cs="Times New Roman"/>
                <w:color w:val="000000"/>
                <w:sz w:val="20"/>
                <w:szCs w:val="20"/>
                <w:lang w:val="es-CO"/>
              </w:rPr>
              <w:t xml:space="preserve"> Su diseño de </w:t>
            </w:r>
            <w:r w:rsidRPr="005930FA">
              <w:rPr>
                <w:rFonts w:ascii="Century Gothic" w:eastAsia="Times New Roman" w:hAnsi="Century Gothic" w:cs="Times New Roman"/>
                <w:b/>
                <w:bCs/>
                <w:color w:val="000000"/>
                <w:sz w:val="20"/>
                <w:szCs w:val="20"/>
                <w:lang w:val="es-CO"/>
              </w:rPr>
              <w:t>punta extra ancha</w:t>
            </w:r>
            <w:r w:rsidRPr="005930FA">
              <w:rPr>
                <w:rFonts w:ascii="Century Gothic" w:eastAsia="Times New Roman" w:hAnsi="Century Gothic" w:cs="Times New Roman"/>
                <w:color w:val="000000"/>
                <w:sz w:val="20"/>
                <w:szCs w:val="20"/>
                <w:lang w:val="es-CO"/>
              </w:rPr>
              <w:t xml:space="preserve"> permite realizar trazos gruesos y legibles a larga distancia, permite realizar trazos finos de </w:t>
            </w:r>
            <w:r w:rsidRPr="005930FA">
              <w:rPr>
                <w:rFonts w:ascii="Century Gothic" w:eastAsia="Times New Roman" w:hAnsi="Century Gothic" w:cs="Times New Roman"/>
                <w:b/>
                <w:bCs/>
                <w:color w:val="000000"/>
                <w:sz w:val="20"/>
                <w:szCs w:val="20"/>
                <w:lang w:val="es-CO"/>
              </w:rPr>
              <w:t>5 mm</w:t>
            </w:r>
            <w:r w:rsidRPr="005930FA">
              <w:rPr>
                <w:rFonts w:ascii="Century Gothic" w:eastAsia="Times New Roman" w:hAnsi="Century Gothic" w:cs="Times New Roman"/>
                <w:color w:val="000000"/>
                <w:sz w:val="20"/>
                <w:szCs w:val="20"/>
                <w:lang w:val="es-CO"/>
              </w:rPr>
              <w:t xml:space="preserve"> (usando el borde) o trazos de hasta </w:t>
            </w:r>
            <w:r w:rsidRPr="005930FA">
              <w:rPr>
                <w:rFonts w:ascii="Century Gothic" w:eastAsia="Times New Roman" w:hAnsi="Century Gothic" w:cs="Times New Roman"/>
                <w:b/>
                <w:bCs/>
                <w:color w:val="000000"/>
                <w:sz w:val="20"/>
                <w:szCs w:val="20"/>
                <w:lang w:val="es-CO"/>
              </w:rPr>
              <w:t>12 mm</w:t>
            </w:r>
            <w:r w:rsidRPr="005930FA">
              <w:rPr>
                <w:rFonts w:ascii="Century Gothic" w:eastAsia="Times New Roman" w:hAnsi="Century Gothic" w:cs="Times New Roman"/>
                <w:color w:val="000000"/>
                <w:sz w:val="20"/>
                <w:szCs w:val="20"/>
                <w:lang w:val="es-CO"/>
              </w:rPr>
              <w:t xml:space="preserve"> (usando la cara plana de la punta) para títulos grandes., ideal para la elaboración de carteleras con cilindro de tamaño jumbo que ofrece un agarre firme y ergonómico, facilitando el control manual en trazos de gran escala, con punta de fieltro de alta densidad con corte en bisel que permite tres anchos de trazo distintos según la inclinación y con punta reforzada que mantiene su forma original incluso bajo presión constante sobre materiales rugosos como papel bond o cartulina, diseñado para rendir aproximadamente entre </w:t>
            </w:r>
            <w:r w:rsidRPr="005930FA">
              <w:rPr>
                <w:rFonts w:ascii="Century Gothic" w:eastAsia="Times New Roman" w:hAnsi="Century Gothic" w:cs="Times New Roman"/>
                <w:b/>
                <w:bCs/>
                <w:color w:val="000000"/>
                <w:sz w:val="20"/>
                <w:szCs w:val="20"/>
                <w:lang w:val="es-CO"/>
              </w:rPr>
              <w:t>400 y 600 metros</w:t>
            </w:r>
            <w:r w:rsidRPr="005930FA">
              <w:rPr>
                <w:rFonts w:ascii="Century Gothic" w:eastAsia="Times New Roman" w:hAnsi="Century Gothic" w:cs="Times New Roman"/>
                <w:color w:val="000000"/>
                <w:sz w:val="20"/>
                <w:szCs w:val="20"/>
                <w:lang w:val="es-CO"/>
              </w:rPr>
              <w:t xml:space="preserve"> de escritura continua.</w:t>
            </w:r>
            <w:r w:rsidRPr="005930FA">
              <w:rPr>
                <w:rFonts w:ascii="Century Gothic" w:eastAsia="Times New Roman" w:hAnsi="Century Gothic" w:cs="Times New Roman"/>
                <w:color w:val="000000"/>
                <w:sz w:val="20"/>
                <w:szCs w:val="20"/>
                <w:lang w:val="es-CO"/>
              </w:rPr>
              <w:br/>
              <w:t>Contenido neto superior a los marcadores estándar (aprox. 15 ml a 20 ml por unidad), lo que los hace ideales para proyectos de alto consumo.</w:t>
            </w:r>
            <w:r w:rsidRPr="005930FA">
              <w:rPr>
                <w:rFonts w:ascii="Century Gothic" w:eastAsia="Times New Roman" w:hAnsi="Century Gothic" w:cs="Times New Roman"/>
                <w:color w:val="000000"/>
                <w:sz w:val="20"/>
                <w:szCs w:val="20"/>
                <w:lang w:val="es-CO"/>
              </w:rPr>
              <w:br/>
              <w:t>Cantidad en unidad o caja según disponibilidad del producto.</w:t>
            </w:r>
          </w:p>
        </w:tc>
        <w:tc>
          <w:tcPr>
            <w:tcW w:w="624" w:type="pct"/>
            <w:tcBorders>
              <w:top w:val="nil"/>
              <w:left w:val="nil"/>
              <w:bottom w:val="single" w:sz="4" w:space="0" w:color="auto"/>
              <w:right w:val="single" w:sz="4" w:space="0" w:color="auto"/>
            </w:tcBorders>
            <w:vAlign w:val="center"/>
            <w:hideMark/>
          </w:tcPr>
          <w:p w14:paraId="7D7C9D2B"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hAnsi="Century Gothic"/>
                <w:sz w:val="20"/>
                <w:szCs w:val="20"/>
              </w:rPr>
              <w:t>12 Unidades</w:t>
            </w:r>
          </w:p>
        </w:tc>
        <w:tc>
          <w:tcPr>
            <w:tcW w:w="696" w:type="pct"/>
            <w:tcBorders>
              <w:top w:val="nil"/>
              <w:left w:val="single" w:sz="4" w:space="0" w:color="auto"/>
              <w:bottom w:val="single" w:sz="4" w:space="0" w:color="auto"/>
              <w:right w:val="single" w:sz="4" w:space="0" w:color="auto"/>
            </w:tcBorders>
            <w:noWrap/>
            <w:vAlign w:val="center"/>
          </w:tcPr>
          <w:p w14:paraId="30A666D2" w14:textId="18C8DBA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7AC344DA" w14:textId="046B05C4"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54EA4ECE" w14:textId="77777777" w:rsidTr="00605B43">
        <w:trPr>
          <w:trHeight w:val="3806"/>
        </w:trPr>
        <w:tc>
          <w:tcPr>
            <w:tcW w:w="625" w:type="pct"/>
            <w:tcBorders>
              <w:top w:val="nil"/>
              <w:left w:val="single" w:sz="4" w:space="0" w:color="auto"/>
              <w:bottom w:val="single" w:sz="4" w:space="0" w:color="auto"/>
              <w:right w:val="single" w:sz="4" w:space="0" w:color="auto"/>
            </w:tcBorders>
            <w:vAlign w:val="center"/>
            <w:hideMark/>
          </w:tcPr>
          <w:p w14:paraId="08B3D3BC"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Marcador permanente punta fina negro</w:t>
            </w:r>
          </w:p>
        </w:tc>
        <w:tc>
          <w:tcPr>
            <w:tcW w:w="2291" w:type="pct"/>
            <w:tcBorders>
              <w:top w:val="nil"/>
              <w:left w:val="nil"/>
              <w:bottom w:val="single" w:sz="4" w:space="0" w:color="auto"/>
              <w:right w:val="single" w:sz="4" w:space="0" w:color="auto"/>
            </w:tcBorders>
            <w:vAlign w:val="center"/>
            <w:hideMark/>
          </w:tcPr>
          <w:p w14:paraId="75CE9A2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Marcadores permanentes de tinta indeleble color negro de alto rendimiento para uso institucional y de oficina, con punta fina cónica de polipropileno/fieltro sintético de alta resistencia y trazo uniforme aproximado de 1.0 mm a 1.4 mm que conserve su forma bajo presión constante; formulados con tinta base alcohol de secado ultrarrápido, libre de xileno y tolueno (no tóxica), resistente al agua, a la decoloración por luz y a la abrasión sobre múltiples superficies porosas y no porosas (papel, cartón, plástico, metal, madera, vidrio y cuero); cuerpo y tapa hermética de plástico con clip de sujeción integrado y tapa posterior con código de color idéntico a la tinta, garantizando un flujo continuo y homogéneo sin desvanecimiento ni goteo.</w:t>
            </w:r>
          </w:p>
        </w:tc>
        <w:tc>
          <w:tcPr>
            <w:tcW w:w="624" w:type="pct"/>
            <w:tcBorders>
              <w:top w:val="nil"/>
              <w:left w:val="nil"/>
              <w:bottom w:val="single" w:sz="4" w:space="0" w:color="auto"/>
              <w:right w:val="single" w:sz="4" w:space="0" w:color="auto"/>
            </w:tcBorders>
            <w:vAlign w:val="center"/>
            <w:hideMark/>
          </w:tcPr>
          <w:p w14:paraId="11FDAA1C"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20</w:t>
            </w:r>
          </w:p>
        </w:tc>
        <w:tc>
          <w:tcPr>
            <w:tcW w:w="696" w:type="pct"/>
            <w:tcBorders>
              <w:top w:val="nil"/>
              <w:left w:val="single" w:sz="4" w:space="0" w:color="auto"/>
              <w:bottom w:val="single" w:sz="4" w:space="0" w:color="auto"/>
              <w:right w:val="single" w:sz="4" w:space="0" w:color="auto"/>
            </w:tcBorders>
            <w:noWrap/>
            <w:vAlign w:val="center"/>
          </w:tcPr>
          <w:p w14:paraId="4B73AE17" w14:textId="07CAA6BB"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FEA91DB" w14:textId="0B48ED77"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9267671" w14:textId="77777777" w:rsidTr="00605B43">
        <w:trPr>
          <w:trHeight w:val="855"/>
        </w:trPr>
        <w:tc>
          <w:tcPr>
            <w:tcW w:w="625" w:type="pct"/>
            <w:tcBorders>
              <w:top w:val="nil"/>
              <w:left w:val="single" w:sz="4" w:space="0" w:color="auto"/>
              <w:bottom w:val="single" w:sz="4" w:space="0" w:color="auto"/>
              <w:right w:val="single" w:sz="4" w:space="0" w:color="auto"/>
            </w:tcBorders>
            <w:vAlign w:val="center"/>
            <w:hideMark/>
          </w:tcPr>
          <w:p w14:paraId="3BDE2348"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Gancho legajador plástico</w:t>
            </w:r>
          </w:p>
        </w:tc>
        <w:tc>
          <w:tcPr>
            <w:tcW w:w="2291" w:type="pct"/>
            <w:tcBorders>
              <w:top w:val="nil"/>
              <w:left w:val="nil"/>
              <w:bottom w:val="single" w:sz="4" w:space="0" w:color="auto"/>
              <w:right w:val="single" w:sz="4" w:space="0" w:color="auto"/>
            </w:tcBorders>
            <w:vAlign w:val="center"/>
            <w:hideMark/>
          </w:tcPr>
          <w:p w14:paraId="53FC50F4"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Durables, no se oxidan ni manchan los documentos, aptos para archivar en 7 y 8 cm, sin bordes cortantes. Paquetes por 20 unidades.</w:t>
            </w:r>
          </w:p>
        </w:tc>
        <w:tc>
          <w:tcPr>
            <w:tcW w:w="624" w:type="pct"/>
            <w:tcBorders>
              <w:top w:val="nil"/>
              <w:left w:val="nil"/>
              <w:bottom w:val="single" w:sz="4" w:space="0" w:color="auto"/>
              <w:right w:val="single" w:sz="4" w:space="0" w:color="auto"/>
            </w:tcBorders>
            <w:vAlign w:val="center"/>
            <w:hideMark/>
          </w:tcPr>
          <w:p w14:paraId="11BA8BA4"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w:t>
            </w:r>
          </w:p>
        </w:tc>
        <w:tc>
          <w:tcPr>
            <w:tcW w:w="696" w:type="pct"/>
            <w:tcBorders>
              <w:top w:val="nil"/>
              <w:left w:val="single" w:sz="4" w:space="0" w:color="auto"/>
              <w:bottom w:val="single" w:sz="4" w:space="0" w:color="auto"/>
              <w:right w:val="single" w:sz="4" w:space="0" w:color="auto"/>
            </w:tcBorders>
            <w:noWrap/>
            <w:vAlign w:val="center"/>
          </w:tcPr>
          <w:p w14:paraId="3C8BD4BE" w14:textId="23F9FCCB"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5B6D3F69" w14:textId="24DBEC03"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198E78A" w14:textId="77777777" w:rsidTr="00605B43">
        <w:trPr>
          <w:trHeight w:val="1140"/>
        </w:trPr>
        <w:tc>
          <w:tcPr>
            <w:tcW w:w="625" w:type="pct"/>
            <w:tcBorders>
              <w:top w:val="nil"/>
              <w:left w:val="single" w:sz="4" w:space="0" w:color="auto"/>
              <w:bottom w:val="single" w:sz="4" w:space="0" w:color="auto"/>
              <w:right w:val="single" w:sz="4" w:space="0" w:color="auto"/>
            </w:tcBorders>
            <w:vAlign w:val="center"/>
            <w:hideMark/>
          </w:tcPr>
          <w:p w14:paraId="239A719E"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Marcador tablero</w:t>
            </w:r>
          </w:p>
        </w:tc>
        <w:tc>
          <w:tcPr>
            <w:tcW w:w="2291" w:type="pct"/>
            <w:tcBorders>
              <w:top w:val="nil"/>
              <w:left w:val="nil"/>
              <w:bottom w:val="single" w:sz="4" w:space="0" w:color="auto"/>
              <w:right w:val="single" w:sz="4" w:space="0" w:color="auto"/>
            </w:tcBorders>
            <w:vAlign w:val="center"/>
            <w:hideMark/>
          </w:tcPr>
          <w:p w14:paraId="77058673"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Borrable a base de alcohol, de secado rápido y escritura suave, ideal para pizarras blancas proporcionando líneas nítidas. Caja por 10 unidades. </w:t>
            </w:r>
          </w:p>
        </w:tc>
        <w:tc>
          <w:tcPr>
            <w:tcW w:w="624" w:type="pct"/>
            <w:tcBorders>
              <w:top w:val="nil"/>
              <w:left w:val="nil"/>
              <w:bottom w:val="single" w:sz="4" w:space="0" w:color="auto"/>
              <w:right w:val="single" w:sz="4" w:space="0" w:color="auto"/>
            </w:tcBorders>
            <w:vAlign w:val="center"/>
            <w:hideMark/>
          </w:tcPr>
          <w:p w14:paraId="2A03D1A1"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6F8DDE09" w14:textId="34C04374"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308BE33A" w14:textId="4863B915"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B7240BB" w14:textId="77777777" w:rsidTr="00605B43">
        <w:trPr>
          <w:trHeight w:val="1140"/>
        </w:trPr>
        <w:tc>
          <w:tcPr>
            <w:tcW w:w="625" w:type="pct"/>
            <w:tcBorders>
              <w:top w:val="nil"/>
              <w:left w:val="single" w:sz="4" w:space="0" w:color="auto"/>
              <w:bottom w:val="single" w:sz="4" w:space="0" w:color="auto"/>
              <w:right w:val="single" w:sz="4" w:space="0" w:color="auto"/>
            </w:tcBorders>
            <w:vAlign w:val="center"/>
            <w:hideMark/>
          </w:tcPr>
          <w:p w14:paraId="61F746D6"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Tablero Borrable Acrílico</w:t>
            </w:r>
          </w:p>
        </w:tc>
        <w:tc>
          <w:tcPr>
            <w:tcW w:w="2291" w:type="pct"/>
            <w:tcBorders>
              <w:top w:val="nil"/>
              <w:left w:val="nil"/>
              <w:bottom w:val="single" w:sz="4" w:space="0" w:color="auto"/>
              <w:right w:val="single" w:sz="4" w:space="0" w:color="auto"/>
            </w:tcBorders>
            <w:vAlign w:val="center"/>
            <w:hideMark/>
          </w:tcPr>
          <w:p w14:paraId="6665784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Blanco de 120 x 80 cm, fabricado en MDF de 9 mm con recubrimiento acrílico de borrado en seco, garantizando escritura fluida y sin manchas. </w:t>
            </w:r>
          </w:p>
        </w:tc>
        <w:tc>
          <w:tcPr>
            <w:tcW w:w="624" w:type="pct"/>
            <w:tcBorders>
              <w:top w:val="nil"/>
              <w:left w:val="nil"/>
              <w:bottom w:val="single" w:sz="4" w:space="0" w:color="auto"/>
              <w:right w:val="single" w:sz="4" w:space="0" w:color="auto"/>
            </w:tcBorders>
            <w:vAlign w:val="center"/>
            <w:hideMark/>
          </w:tcPr>
          <w:p w14:paraId="5DC5113D"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6C33473F" w14:textId="4C05113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6411FEB" w14:textId="4EE89766"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566D94E" w14:textId="77777777" w:rsidTr="00605B43">
        <w:trPr>
          <w:trHeight w:val="979"/>
        </w:trPr>
        <w:tc>
          <w:tcPr>
            <w:tcW w:w="625" w:type="pct"/>
            <w:tcBorders>
              <w:top w:val="nil"/>
              <w:left w:val="single" w:sz="4" w:space="0" w:color="auto"/>
              <w:bottom w:val="single" w:sz="4" w:space="0" w:color="auto"/>
              <w:right w:val="single" w:sz="4" w:space="0" w:color="auto"/>
            </w:tcBorders>
            <w:vAlign w:val="center"/>
            <w:hideMark/>
          </w:tcPr>
          <w:p w14:paraId="392A0EEA"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Tablero de Corcho Natural</w:t>
            </w:r>
          </w:p>
        </w:tc>
        <w:tc>
          <w:tcPr>
            <w:tcW w:w="2291" w:type="pct"/>
            <w:tcBorders>
              <w:top w:val="nil"/>
              <w:left w:val="nil"/>
              <w:bottom w:val="single" w:sz="4" w:space="0" w:color="auto"/>
              <w:right w:val="single" w:sz="4" w:space="0" w:color="auto"/>
            </w:tcBorders>
            <w:vAlign w:val="center"/>
            <w:hideMark/>
          </w:tcPr>
          <w:p w14:paraId="1D8AFDB4" w14:textId="77777777" w:rsidR="00605B43" w:rsidRPr="005930FA" w:rsidRDefault="00605B43" w:rsidP="00E617D1">
            <w:pPr>
              <w:jc w:val="both"/>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Tablero en corcho de 200X150 CM:</w:t>
            </w:r>
            <w:r w:rsidRPr="005930FA">
              <w:rPr>
                <w:rFonts w:ascii="Century Gothic" w:eastAsia="Times New Roman" w:hAnsi="Century Gothic" w:cs="Times New Roman"/>
                <w:color w:val="000000"/>
                <w:sz w:val="20"/>
                <w:szCs w:val="20"/>
                <w:lang w:val="es-CO"/>
              </w:rPr>
              <w:t xml:space="preserve"> Suministro de cartelera institucional de anuncios con dimensiones de 150 cm de ancho por 200 cm de alto. Superficie frontal en corcho natural de alta densidad con propiedad autorrecuperable, ensamblada sobre un sustrato posterior rígido en MDF o aglomerado para evitar deformaciones. Marco perimetral en madera maciza pulida, inmunizada y lacada con uniones a inglete de seguridad. Incluye kit completo de herrajes para fijación y anclaje a pared. Garantía mínima de un (1) año. Todo entregado a satisfacción de la entidad según las condiciones del anexo técnico.</w:t>
            </w:r>
          </w:p>
        </w:tc>
        <w:tc>
          <w:tcPr>
            <w:tcW w:w="624" w:type="pct"/>
            <w:tcBorders>
              <w:top w:val="nil"/>
              <w:left w:val="nil"/>
              <w:bottom w:val="single" w:sz="4" w:space="0" w:color="auto"/>
              <w:right w:val="single" w:sz="4" w:space="0" w:color="auto"/>
            </w:tcBorders>
            <w:vAlign w:val="center"/>
            <w:hideMark/>
          </w:tcPr>
          <w:p w14:paraId="78339BEF"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6EF20CD8" w14:textId="3F03AE77"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56E39F65" w14:textId="7972AA7E"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71462065" w14:textId="77777777" w:rsidTr="00605B43">
        <w:trPr>
          <w:trHeight w:val="285"/>
        </w:trPr>
        <w:tc>
          <w:tcPr>
            <w:tcW w:w="625" w:type="pct"/>
            <w:tcBorders>
              <w:top w:val="nil"/>
              <w:left w:val="single" w:sz="4" w:space="0" w:color="auto"/>
              <w:bottom w:val="single" w:sz="4" w:space="0" w:color="auto"/>
              <w:right w:val="single" w:sz="4" w:space="0" w:color="auto"/>
            </w:tcBorders>
            <w:vAlign w:val="center"/>
            <w:hideMark/>
          </w:tcPr>
          <w:p w14:paraId="05AB6998"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Corrector Cinta</w:t>
            </w:r>
          </w:p>
        </w:tc>
        <w:tc>
          <w:tcPr>
            <w:tcW w:w="2291" w:type="pct"/>
            <w:tcBorders>
              <w:top w:val="nil"/>
              <w:left w:val="nil"/>
              <w:bottom w:val="single" w:sz="4" w:space="0" w:color="auto"/>
              <w:right w:val="single" w:sz="4" w:space="0" w:color="auto"/>
            </w:tcBorders>
            <w:vAlign w:val="center"/>
            <w:hideMark/>
          </w:tcPr>
          <w:p w14:paraId="1BFEA132"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Tipo cinta con un largo de 6 metros. </w:t>
            </w:r>
          </w:p>
        </w:tc>
        <w:tc>
          <w:tcPr>
            <w:tcW w:w="624" w:type="pct"/>
            <w:tcBorders>
              <w:top w:val="nil"/>
              <w:left w:val="nil"/>
              <w:bottom w:val="single" w:sz="4" w:space="0" w:color="auto"/>
              <w:right w:val="single" w:sz="4" w:space="0" w:color="auto"/>
            </w:tcBorders>
            <w:vAlign w:val="center"/>
            <w:hideMark/>
          </w:tcPr>
          <w:p w14:paraId="127ABEC1"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w:t>
            </w:r>
          </w:p>
        </w:tc>
        <w:tc>
          <w:tcPr>
            <w:tcW w:w="696" w:type="pct"/>
            <w:tcBorders>
              <w:top w:val="nil"/>
              <w:left w:val="single" w:sz="4" w:space="0" w:color="auto"/>
              <w:bottom w:val="single" w:sz="4" w:space="0" w:color="auto"/>
              <w:right w:val="single" w:sz="4" w:space="0" w:color="auto"/>
            </w:tcBorders>
            <w:noWrap/>
            <w:vAlign w:val="center"/>
          </w:tcPr>
          <w:p w14:paraId="09F49F73" w14:textId="6EA20E24"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895AE23" w14:textId="15D38500"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36A04394" w14:textId="77777777" w:rsidTr="00605B43">
        <w:trPr>
          <w:trHeight w:val="3815"/>
        </w:trPr>
        <w:tc>
          <w:tcPr>
            <w:tcW w:w="625" w:type="pct"/>
            <w:tcBorders>
              <w:top w:val="nil"/>
              <w:left w:val="single" w:sz="4" w:space="0" w:color="auto"/>
              <w:bottom w:val="single" w:sz="4" w:space="0" w:color="auto"/>
              <w:right w:val="single" w:sz="4" w:space="0" w:color="auto"/>
            </w:tcBorders>
            <w:vAlign w:val="center"/>
            <w:hideMark/>
          </w:tcPr>
          <w:p w14:paraId="2A55BEED"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Corrector Liquido</w:t>
            </w:r>
          </w:p>
        </w:tc>
        <w:tc>
          <w:tcPr>
            <w:tcW w:w="2291" w:type="pct"/>
            <w:tcBorders>
              <w:top w:val="nil"/>
              <w:left w:val="nil"/>
              <w:bottom w:val="single" w:sz="4" w:space="0" w:color="auto"/>
              <w:right w:val="single" w:sz="4" w:space="0" w:color="auto"/>
            </w:tcBorders>
            <w:vAlign w:val="center"/>
            <w:hideMark/>
          </w:tcPr>
          <w:p w14:paraId="368A43DE"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Corrector líquido blanco en presentación tipo lápiz (pluma/bolígrafo dosificador) de 7 ml a 10 ml de capacidad nominal para uso institucional y de oficina, compuesto por cuerpo plástico flexible ergonómico que permite controlar la salida del fluido mediante suave compresión; equipado con punta metálica de precisión con mecanismo de resorte que garantiza un trazo fino, uniforme y sin derrames; formulado con fluido corrector opaco de secado rápido y alto poder cubriente de una sola pasada sobre tintas de bolígrafo, gel, plumón, fotocopias e impresiones láser o de inyección, libre de solventes tóxicos o nocivos (a base de agua o solvente ecológico), de textura suave que permite la reescritura inmediata sin agrietarse ni generar grumos, e incluye tapa hermética de seguridad con clip de sujeción para evitar la evaporación u obstrucción de la punta.</w:t>
            </w:r>
          </w:p>
        </w:tc>
        <w:tc>
          <w:tcPr>
            <w:tcW w:w="624" w:type="pct"/>
            <w:tcBorders>
              <w:top w:val="nil"/>
              <w:left w:val="nil"/>
              <w:bottom w:val="single" w:sz="4" w:space="0" w:color="auto"/>
              <w:right w:val="single" w:sz="4" w:space="0" w:color="auto"/>
            </w:tcBorders>
            <w:vAlign w:val="center"/>
            <w:hideMark/>
          </w:tcPr>
          <w:p w14:paraId="715A7735"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5</w:t>
            </w:r>
          </w:p>
        </w:tc>
        <w:tc>
          <w:tcPr>
            <w:tcW w:w="696" w:type="pct"/>
            <w:tcBorders>
              <w:top w:val="nil"/>
              <w:left w:val="single" w:sz="4" w:space="0" w:color="auto"/>
              <w:bottom w:val="single" w:sz="4" w:space="0" w:color="auto"/>
              <w:right w:val="single" w:sz="4" w:space="0" w:color="auto"/>
            </w:tcBorders>
            <w:noWrap/>
            <w:vAlign w:val="center"/>
          </w:tcPr>
          <w:p w14:paraId="369C2B1C" w14:textId="1AD97EA3"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02E9895" w14:textId="5A055D4F"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3FF9F692" w14:textId="77777777" w:rsidTr="00605B43">
        <w:trPr>
          <w:trHeight w:val="570"/>
        </w:trPr>
        <w:tc>
          <w:tcPr>
            <w:tcW w:w="625" w:type="pct"/>
            <w:tcBorders>
              <w:top w:val="nil"/>
              <w:left w:val="single" w:sz="4" w:space="0" w:color="auto"/>
              <w:bottom w:val="single" w:sz="4" w:space="0" w:color="auto"/>
              <w:right w:val="single" w:sz="4" w:space="0" w:color="auto"/>
            </w:tcBorders>
            <w:vAlign w:val="center"/>
            <w:hideMark/>
          </w:tcPr>
          <w:p w14:paraId="3D4D4820"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Sacaganchos</w:t>
            </w:r>
          </w:p>
        </w:tc>
        <w:tc>
          <w:tcPr>
            <w:tcW w:w="2291" w:type="pct"/>
            <w:tcBorders>
              <w:top w:val="nil"/>
              <w:left w:val="nil"/>
              <w:bottom w:val="single" w:sz="4" w:space="0" w:color="auto"/>
              <w:right w:val="single" w:sz="4" w:space="0" w:color="auto"/>
            </w:tcBorders>
            <w:vAlign w:val="center"/>
            <w:hideMark/>
          </w:tcPr>
          <w:p w14:paraId="58D4D8C7"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Metálico con recubrimiento de plástico, tipo uña para grapas. </w:t>
            </w:r>
          </w:p>
        </w:tc>
        <w:tc>
          <w:tcPr>
            <w:tcW w:w="624" w:type="pct"/>
            <w:tcBorders>
              <w:top w:val="nil"/>
              <w:left w:val="nil"/>
              <w:bottom w:val="single" w:sz="4" w:space="0" w:color="auto"/>
              <w:right w:val="single" w:sz="4" w:space="0" w:color="auto"/>
            </w:tcBorders>
            <w:vAlign w:val="center"/>
            <w:hideMark/>
          </w:tcPr>
          <w:p w14:paraId="788D2C5F"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4</w:t>
            </w:r>
          </w:p>
        </w:tc>
        <w:tc>
          <w:tcPr>
            <w:tcW w:w="696" w:type="pct"/>
            <w:tcBorders>
              <w:top w:val="nil"/>
              <w:left w:val="single" w:sz="4" w:space="0" w:color="auto"/>
              <w:bottom w:val="single" w:sz="4" w:space="0" w:color="auto"/>
              <w:right w:val="single" w:sz="4" w:space="0" w:color="auto"/>
            </w:tcBorders>
            <w:noWrap/>
            <w:vAlign w:val="center"/>
          </w:tcPr>
          <w:p w14:paraId="5AEC2FCC" w14:textId="2A169DE4"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31F2858B" w14:textId="45676190"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682B6F76" w14:textId="77777777" w:rsidTr="00605B43">
        <w:trPr>
          <w:trHeight w:val="570"/>
        </w:trPr>
        <w:tc>
          <w:tcPr>
            <w:tcW w:w="625" w:type="pct"/>
            <w:tcBorders>
              <w:top w:val="nil"/>
              <w:left w:val="single" w:sz="4" w:space="0" w:color="auto"/>
              <w:bottom w:val="single" w:sz="4" w:space="0" w:color="auto"/>
              <w:right w:val="single" w:sz="4" w:space="0" w:color="auto"/>
            </w:tcBorders>
            <w:vAlign w:val="center"/>
            <w:hideMark/>
          </w:tcPr>
          <w:p w14:paraId="7375070B"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Paquete De Bombas</w:t>
            </w:r>
          </w:p>
        </w:tc>
        <w:tc>
          <w:tcPr>
            <w:tcW w:w="2291" w:type="pct"/>
            <w:tcBorders>
              <w:top w:val="nil"/>
              <w:left w:val="nil"/>
              <w:bottom w:val="single" w:sz="4" w:space="0" w:color="auto"/>
              <w:right w:val="single" w:sz="4" w:space="0" w:color="auto"/>
            </w:tcBorders>
            <w:vAlign w:val="center"/>
            <w:hideMark/>
          </w:tcPr>
          <w:p w14:paraId="6B9C2030"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Colores surtidos, tamaño R-12 redonda (30 cm inflado), paquete por 50 unidades. </w:t>
            </w:r>
          </w:p>
        </w:tc>
        <w:tc>
          <w:tcPr>
            <w:tcW w:w="624" w:type="pct"/>
            <w:tcBorders>
              <w:top w:val="nil"/>
              <w:left w:val="nil"/>
              <w:bottom w:val="single" w:sz="4" w:space="0" w:color="auto"/>
              <w:right w:val="single" w:sz="4" w:space="0" w:color="auto"/>
            </w:tcBorders>
            <w:vAlign w:val="center"/>
            <w:hideMark/>
          </w:tcPr>
          <w:p w14:paraId="5F8BC08E"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3 Paquetes</w:t>
            </w:r>
          </w:p>
        </w:tc>
        <w:tc>
          <w:tcPr>
            <w:tcW w:w="696" w:type="pct"/>
            <w:tcBorders>
              <w:top w:val="nil"/>
              <w:left w:val="single" w:sz="4" w:space="0" w:color="auto"/>
              <w:bottom w:val="single" w:sz="4" w:space="0" w:color="auto"/>
              <w:right w:val="single" w:sz="4" w:space="0" w:color="auto"/>
            </w:tcBorders>
            <w:noWrap/>
            <w:vAlign w:val="center"/>
          </w:tcPr>
          <w:p w14:paraId="0F66EFD1" w14:textId="546682D9"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7B0ACB70" w14:textId="40B3FFBB"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0BEA1E11" w14:textId="77777777" w:rsidTr="00605B43">
        <w:trPr>
          <w:trHeight w:val="855"/>
        </w:trPr>
        <w:tc>
          <w:tcPr>
            <w:tcW w:w="625" w:type="pct"/>
            <w:tcBorders>
              <w:top w:val="nil"/>
              <w:left w:val="single" w:sz="4" w:space="0" w:color="auto"/>
              <w:bottom w:val="single" w:sz="4" w:space="0" w:color="auto"/>
              <w:right w:val="single" w:sz="4" w:space="0" w:color="auto"/>
            </w:tcBorders>
            <w:vAlign w:val="center"/>
            <w:hideMark/>
          </w:tcPr>
          <w:p w14:paraId="655FF1BC"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Chinches</w:t>
            </w:r>
          </w:p>
        </w:tc>
        <w:tc>
          <w:tcPr>
            <w:tcW w:w="2291" w:type="pct"/>
            <w:tcBorders>
              <w:top w:val="nil"/>
              <w:left w:val="nil"/>
              <w:bottom w:val="single" w:sz="4" w:space="0" w:color="auto"/>
              <w:right w:val="single" w:sz="4" w:space="0" w:color="auto"/>
            </w:tcBorders>
            <w:vAlign w:val="center"/>
            <w:hideMark/>
          </w:tcPr>
          <w:p w14:paraId="2CC99A68"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Chinche plastificado en presentación de 50 unidades, de forma circular y plana con punta corta y fina. </w:t>
            </w:r>
          </w:p>
        </w:tc>
        <w:tc>
          <w:tcPr>
            <w:tcW w:w="624" w:type="pct"/>
            <w:tcBorders>
              <w:top w:val="nil"/>
              <w:left w:val="nil"/>
              <w:bottom w:val="single" w:sz="4" w:space="0" w:color="auto"/>
              <w:right w:val="single" w:sz="4" w:space="0" w:color="auto"/>
            </w:tcBorders>
            <w:vAlign w:val="center"/>
            <w:hideMark/>
          </w:tcPr>
          <w:p w14:paraId="4D354AD7"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9</w:t>
            </w:r>
          </w:p>
        </w:tc>
        <w:tc>
          <w:tcPr>
            <w:tcW w:w="696" w:type="pct"/>
            <w:tcBorders>
              <w:top w:val="nil"/>
              <w:left w:val="single" w:sz="4" w:space="0" w:color="auto"/>
              <w:bottom w:val="single" w:sz="4" w:space="0" w:color="auto"/>
              <w:right w:val="single" w:sz="4" w:space="0" w:color="auto"/>
            </w:tcBorders>
            <w:noWrap/>
            <w:vAlign w:val="center"/>
          </w:tcPr>
          <w:p w14:paraId="108509C0" w14:textId="26DDD23A"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5AD3D6F3" w14:textId="7BB69778"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E3796CA" w14:textId="77777777" w:rsidTr="00605B43">
        <w:trPr>
          <w:trHeight w:val="56"/>
        </w:trPr>
        <w:tc>
          <w:tcPr>
            <w:tcW w:w="625" w:type="pct"/>
            <w:tcBorders>
              <w:top w:val="nil"/>
              <w:left w:val="single" w:sz="4" w:space="0" w:color="auto"/>
              <w:bottom w:val="single" w:sz="4" w:space="0" w:color="auto"/>
              <w:right w:val="single" w:sz="4" w:space="0" w:color="auto"/>
            </w:tcBorders>
            <w:vAlign w:val="center"/>
            <w:hideMark/>
          </w:tcPr>
          <w:p w14:paraId="2F903A55"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Guillotina manual</w:t>
            </w:r>
          </w:p>
        </w:tc>
        <w:tc>
          <w:tcPr>
            <w:tcW w:w="2291" w:type="pct"/>
            <w:tcBorders>
              <w:top w:val="nil"/>
              <w:left w:val="nil"/>
              <w:bottom w:val="single" w:sz="4" w:space="0" w:color="auto"/>
              <w:right w:val="single" w:sz="4" w:space="0" w:color="auto"/>
            </w:tcBorders>
            <w:vAlign w:val="center"/>
            <w:hideMark/>
          </w:tcPr>
          <w:p w14:paraId="4B1AA5A5"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Guillotina manual para papel tamaño B4 de uso comercial e institucional para oficina, construida con base metálica sólida de alta resistencia y durabilidad, equipada con cuadrícula serigrafiada y guías de corte milimétricas y por formatos estándar (B4, A4, B5, A5, B6 y B7) para alineación precisa del material; con capacidad nominal de corte de hasta diez (10) a doce (12) hojas de papel bond estándar (75 g/m²) de manera simultánea en una sola pasada y longitud de corte efectiva mínima de 38 cm (380 mm); dotada de cuchilla y contracuchilla en acero templado autoafilable de alto rendimiento, mango ergonómico antideslizante con palanca de presión para corte suave, pisón sujetador de papel para evitar desalineaciones durante el accionamiento, mecanismo de bloqueo o seguro de seguridad para la cuchilla en posición de reposo y patas de goma antideslizantes en la base que garantizan total estabilidad y seguridad operativa sobre la superficie de trabajo.</w:t>
            </w:r>
          </w:p>
        </w:tc>
        <w:tc>
          <w:tcPr>
            <w:tcW w:w="624" w:type="pct"/>
            <w:tcBorders>
              <w:top w:val="nil"/>
              <w:left w:val="nil"/>
              <w:bottom w:val="single" w:sz="4" w:space="0" w:color="auto"/>
              <w:right w:val="single" w:sz="4" w:space="0" w:color="auto"/>
            </w:tcBorders>
            <w:vAlign w:val="center"/>
            <w:hideMark/>
          </w:tcPr>
          <w:p w14:paraId="585191D1"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4C53E7D3" w14:textId="19095376"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49F16EE1" w14:textId="26D6C9D2"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66BFE50D" w14:textId="77777777" w:rsidTr="00605B43">
        <w:trPr>
          <w:trHeight w:val="4090"/>
        </w:trPr>
        <w:tc>
          <w:tcPr>
            <w:tcW w:w="625" w:type="pct"/>
            <w:tcBorders>
              <w:top w:val="nil"/>
              <w:left w:val="single" w:sz="4" w:space="0" w:color="auto"/>
              <w:bottom w:val="single" w:sz="4" w:space="0" w:color="auto"/>
              <w:right w:val="single" w:sz="4" w:space="0" w:color="auto"/>
            </w:tcBorders>
            <w:vAlign w:val="center"/>
            <w:hideMark/>
          </w:tcPr>
          <w:p w14:paraId="45A0902F"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Juego de bingo profesional de alto rendimiento con balotera de jaula metálica, balotas indelebles y tablero de control</w:t>
            </w:r>
          </w:p>
        </w:tc>
        <w:tc>
          <w:tcPr>
            <w:tcW w:w="2291" w:type="pct"/>
            <w:tcBorders>
              <w:top w:val="nil"/>
              <w:left w:val="nil"/>
              <w:bottom w:val="single" w:sz="4" w:space="0" w:color="auto"/>
              <w:right w:val="single" w:sz="4" w:space="0" w:color="auto"/>
            </w:tcBorders>
            <w:vAlign w:val="center"/>
            <w:hideMark/>
          </w:tcPr>
          <w:p w14:paraId="3BC83BE2"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Juego de bingo profesional de alta resistencia y durabilidad para eventos institucionales y actividades comunitarias; compuesto por una balotera / tómbola de jaula giratoria esférica elaborada en alambre de acero macizo o latón de alto calibre con recubrimiento en pintura electrostática o acabado niquelado/antioxidante, montada sobre base metálica rígida y estable con apoyos antideslizantes de caucho, provista de manivela ergonómica de accionamiento manual suave y copa selectora/extractor metálico automático de balotas de alta precisión; juego completo de setenta y cinco (75) balotas profesionales con numeración (1 al 75) y letras (B-I-N-G-O) en bajo relieve grabado/estampado de alta resistencia al desgaste que garantice visibilidad permanente e impida el borrado por fricción; incluye tablero maestro / mesa de control numerada de 75 cavidades para ubicación y conteo de balotas extraídas, fabricado en polímero rígido de alto impacto o madera de primera calidad, set de cartones/tablas de juego reutilizables de alta resistencia y fichas/marcadores plásticos de conteo.</w:t>
            </w:r>
          </w:p>
        </w:tc>
        <w:tc>
          <w:tcPr>
            <w:tcW w:w="624" w:type="pct"/>
            <w:tcBorders>
              <w:top w:val="nil"/>
              <w:left w:val="nil"/>
              <w:bottom w:val="single" w:sz="4" w:space="0" w:color="auto"/>
              <w:right w:val="single" w:sz="4" w:space="0" w:color="auto"/>
            </w:tcBorders>
            <w:vAlign w:val="center"/>
            <w:hideMark/>
          </w:tcPr>
          <w:p w14:paraId="0BAE1AA8"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1</w:t>
            </w:r>
          </w:p>
        </w:tc>
        <w:tc>
          <w:tcPr>
            <w:tcW w:w="696" w:type="pct"/>
            <w:tcBorders>
              <w:top w:val="nil"/>
              <w:left w:val="single" w:sz="4" w:space="0" w:color="auto"/>
              <w:bottom w:val="single" w:sz="4" w:space="0" w:color="auto"/>
              <w:right w:val="single" w:sz="4" w:space="0" w:color="auto"/>
            </w:tcBorders>
            <w:noWrap/>
            <w:vAlign w:val="center"/>
          </w:tcPr>
          <w:p w14:paraId="3141526F" w14:textId="1D439993"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32043707" w14:textId="69CA9F06"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5A927262" w14:textId="77777777" w:rsidTr="00605B43">
        <w:trPr>
          <w:trHeight w:val="3360"/>
        </w:trPr>
        <w:tc>
          <w:tcPr>
            <w:tcW w:w="625" w:type="pct"/>
            <w:tcBorders>
              <w:top w:val="nil"/>
              <w:left w:val="single" w:sz="4" w:space="0" w:color="auto"/>
              <w:bottom w:val="single" w:sz="4" w:space="0" w:color="auto"/>
              <w:right w:val="single" w:sz="4" w:space="0" w:color="auto"/>
            </w:tcBorders>
            <w:vAlign w:val="center"/>
            <w:hideMark/>
          </w:tcPr>
          <w:p w14:paraId="6AC317EF"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Juego de repuesto de balotas profesionales para bingo</w:t>
            </w:r>
          </w:p>
        </w:tc>
        <w:tc>
          <w:tcPr>
            <w:tcW w:w="2291" w:type="pct"/>
            <w:tcBorders>
              <w:top w:val="nil"/>
              <w:left w:val="nil"/>
              <w:bottom w:val="single" w:sz="4" w:space="0" w:color="auto"/>
              <w:right w:val="single" w:sz="4" w:space="0" w:color="auto"/>
            </w:tcBorders>
            <w:vAlign w:val="center"/>
            <w:hideMark/>
          </w:tcPr>
          <w:p w14:paraId="597A2176"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Esferas para bingo tradicional de uso profesional e institucional, compuesto por un set completo de setenta y cinco (75) unidades ordenadas alfabética y numéricamente según el estándar internacional (B 1-15, I 16-30, N 31-45, G 46-60, O 61-75); fabricadas en polímero termoplástico macizo o madera pulida de alta densidad, con diámetro homogéneo de 18 mm a 22 mm (o medida estándar para jaulas de alambre metálico) y peso uniforme calibrado que garantice una mezcla dinámica y aleatoria dentro de la tómbola sin atascos; dotadas de marcación nítida de letras y números grabados en bajo relieve o protegidos bajo película plástica transparente/barniz de alta resistencia al desgaste continuo, a la fricción y al contacto con el sudor de las manos, previniendo el borrado o desvanecimiento de los dígitos; presentadas en estuche, bandeja o caja protectora para almacenamiento y conteo.</w:t>
            </w:r>
          </w:p>
        </w:tc>
        <w:tc>
          <w:tcPr>
            <w:tcW w:w="624" w:type="pct"/>
            <w:tcBorders>
              <w:top w:val="nil"/>
              <w:left w:val="nil"/>
              <w:bottom w:val="single" w:sz="4" w:space="0" w:color="auto"/>
              <w:right w:val="single" w:sz="4" w:space="0" w:color="auto"/>
            </w:tcBorders>
            <w:vAlign w:val="center"/>
            <w:hideMark/>
          </w:tcPr>
          <w:p w14:paraId="3D628C73"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hAnsi="Century Gothic"/>
                <w:sz w:val="20"/>
                <w:szCs w:val="20"/>
              </w:rPr>
              <w:t>1 Set de 75 bolas</w:t>
            </w:r>
          </w:p>
        </w:tc>
        <w:tc>
          <w:tcPr>
            <w:tcW w:w="696" w:type="pct"/>
            <w:tcBorders>
              <w:top w:val="nil"/>
              <w:left w:val="single" w:sz="4" w:space="0" w:color="auto"/>
              <w:bottom w:val="single" w:sz="4" w:space="0" w:color="auto"/>
              <w:right w:val="single" w:sz="4" w:space="0" w:color="auto"/>
            </w:tcBorders>
            <w:noWrap/>
            <w:vAlign w:val="center"/>
          </w:tcPr>
          <w:p w14:paraId="08B2F6CA" w14:textId="0B5227B9"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54B26325" w14:textId="1B399692"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EC38C16" w14:textId="77777777" w:rsidTr="00605B43">
        <w:trPr>
          <w:trHeight w:val="6520"/>
        </w:trPr>
        <w:tc>
          <w:tcPr>
            <w:tcW w:w="625" w:type="pct"/>
            <w:tcBorders>
              <w:top w:val="nil"/>
              <w:left w:val="single" w:sz="4" w:space="0" w:color="auto"/>
              <w:bottom w:val="single" w:sz="4" w:space="0" w:color="auto"/>
              <w:right w:val="single" w:sz="4" w:space="0" w:color="auto"/>
            </w:tcBorders>
            <w:vAlign w:val="center"/>
            <w:hideMark/>
          </w:tcPr>
          <w:p w14:paraId="3F3B01AD"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Pendones publicitarios institucionales tipo Roll Up (autoenrollables) de 1.00 m x 2.00 m</w:t>
            </w:r>
          </w:p>
        </w:tc>
        <w:tc>
          <w:tcPr>
            <w:tcW w:w="2291" w:type="pct"/>
            <w:tcBorders>
              <w:top w:val="nil"/>
              <w:left w:val="nil"/>
              <w:bottom w:val="single" w:sz="4" w:space="0" w:color="auto"/>
              <w:right w:val="single" w:sz="4" w:space="0" w:color="auto"/>
            </w:tcBorders>
            <w:vAlign w:val="center"/>
            <w:hideMark/>
          </w:tcPr>
          <w:p w14:paraId="55BC2F26"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Impresión digital de alta resolución y ensamble de dos (2) pendones publicitarios institucionales tipo Roll Up autoenrollables de 1.00 metro de ancho por 2.00 metros de alto, fabricados con estructura retráctil en aluminio anodizado reforzado de alta densidad, patas estabilizadoras dobles, mástil vertical seccionado y regleta superior de mordaza a presión tipo click clack que garantice la tensión uniforme del gráfico; impresos mediante tecnología digital UV, látex o ecosolvente a una resolución mínima de 1440 DPI sobre sustrato premium de polipropileno/PET film tipo blockout o lona antientorchado (anti-curling) de 13 oz con acabado mate antirreflejo y bloqueo total de luz que evite la deformación de los bordes laterales, garantizando la exacta fidelidad cromática, nitidez de logos institucionales y textos oficiales para dos motivos gráficos independientes: el primero alusivo a la Dirección Local de Salud de la Alcaldía de Aguadas y el segundo a la Red de Vigilancia Epidemiológica Basada en Comunidad (REVCOM); entregados totalmente armados y probados, incluyendo individualmente su respectiva maleta/tula de transporte acolchada en lona impermeable de alta resistencia con cremallera reforzada y correa para colgar al hombro.</w:t>
            </w:r>
          </w:p>
          <w:p w14:paraId="2F69B4D3"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054ACB56"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Imagen de referencia </w:t>
            </w:r>
          </w:p>
          <w:p w14:paraId="21675D10"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1569F8D8"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noProof/>
                <w:color w:val="000000"/>
                <w:sz w:val="20"/>
                <w:szCs w:val="20"/>
                <w:lang w:val="es-CO"/>
              </w:rPr>
              <w:drawing>
                <wp:inline distT="0" distB="0" distL="0" distR="0" wp14:anchorId="32C0181A" wp14:editId="0E697BA2">
                  <wp:extent cx="1942468" cy="1754372"/>
                  <wp:effectExtent l="0" t="0" r="635" b="0"/>
                  <wp:docPr id="8593278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49635" cy="1760845"/>
                          </a:xfrm>
                          <a:prstGeom prst="rect">
                            <a:avLst/>
                          </a:prstGeom>
                          <a:noFill/>
                        </pic:spPr>
                      </pic:pic>
                    </a:graphicData>
                  </a:graphic>
                </wp:inline>
              </w:drawing>
            </w:r>
          </w:p>
          <w:p w14:paraId="1D7C3BA1"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42085C11"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55C0C414"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Diseño Pendón #1:</w:t>
            </w:r>
          </w:p>
          <w:p w14:paraId="5F2F0D2E"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2B19765A"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noProof/>
                <w:color w:val="000000"/>
                <w:sz w:val="20"/>
                <w:szCs w:val="20"/>
                <w:lang w:val="es-CO"/>
              </w:rPr>
              <w:lastRenderedPageBreak/>
              <w:drawing>
                <wp:inline distT="0" distB="0" distL="0" distR="0" wp14:anchorId="7FB8B5B0" wp14:editId="6C1F17D9">
                  <wp:extent cx="1998921" cy="4038464"/>
                  <wp:effectExtent l="0" t="0" r="1905" b="635"/>
                  <wp:docPr id="132690483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07423" cy="4055642"/>
                          </a:xfrm>
                          <a:prstGeom prst="rect">
                            <a:avLst/>
                          </a:prstGeom>
                          <a:noFill/>
                        </pic:spPr>
                      </pic:pic>
                    </a:graphicData>
                  </a:graphic>
                </wp:inline>
              </w:drawing>
            </w:r>
          </w:p>
          <w:p w14:paraId="0ADE2FF8"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08E2E555"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0384B61D"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Diseño Pendón #2:</w:t>
            </w:r>
          </w:p>
          <w:p w14:paraId="154B2DE9"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002D000A"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hAnsi="Century Gothic"/>
                <w:noProof/>
                <w:sz w:val="20"/>
                <w:szCs w:val="20"/>
              </w:rPr>
              <w:lastRenderedPageBreak/>
              <w:drawing>
                <wp:inline distT="0" distB="0" distL="0" distR="0" wp14:anchorId="7FE2C3DC" wp14:editId="3980BBA5">
                  <wp:extent cx="2010241" cy="4051005"/>
                  <wp:effectExtent l="0" t="0" r="9525" b="6985"/>
                  <wp:docPr id="1744164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64164" name=""/>
                          <pic:cNvPicPr/>
                        </pic:nvPicPr>
                        <pic:blipFill>
                          <a:blip r:embed="rId7"/>
                          <a:stretch>
                            <a:fillRect/>
                          </a:stretch>
                        </pic:blipFill>
                        <pic:spPr>
                          <a:xfrm>
                            <a:off x="0" y="0"/>
                            <a:ext cx="2027780" cy="4086349"/>
                          </a:xfrm>
                          <a:prstGeom prst="rect">
                            <a:avLst/>
                          </a:prstGeom>
                        </pic:spPr>
                      </pic:pic>
                    </a:graphicData>
                  </a:graphic>
                </wp:inline>
              </w:drawing>
            </w:r>
          </w:p>
        </w:tc>
        <w:tc>
          <w:tcPr>
            <w:tcW w:w="624" w:type="pct"/>
            <w:tcBorders>
              <w:top w:val="nil"/>
              <w:left w:val="nil"/>
              <w:bottom w:val="single" w:sz="4" w:space="0" w:color="auto"/>
              <w:right w:val="single" w:sz="4" w:space="0" w:color="auto"/>
            </w:tcBorders>
            <w:vAlign w:val="center"/>
            <w:hideMark/>
          </w:tcPr>
          <w:p w14:paraId="5967428B"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lastRenderedPageBreak/>
              <w:t>2</w:t>
            </w:r>
          </w:p>
        </w:tc>
        <w:tc>
          <w:tcPr>
            <w:tcW w:w="696" w:type="pct"/>
            <w:tcBorders>
              <w:top w:val="nil"/>
              <w:left w:val="single" w:sz="4" w:space="0" w:color="auto"/>
              <w:bottom w:val="single" w:sz="4" w:space="0" w:color="auto"/>
              <w:right w:val="single" w:sz="4" w:space="0" w:color="auto"/>
            </w:tcBorders>
            <w:noWrap/>
            <w:vAlign w:val="center"/>
          </w:tcPr>
          <w:p w14:paraId="6970B034" w14:textId="4F701DF1"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23249DB9" w14:textId="3EFEC8F4"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27E5FAF7" w14:textId="77777777" w:rsidTr="00605B43">
        <w:trPr>
          <w:trHeight w:val="56"/>
        </w:trPr>
        <w:tc>
          <w:tcPr>
            <w:tcW w:w="625" w:type="pct"/>
            <w:tcBorders>
              <w:top w:val="nil"/>
              <w:left w:val="single" w:sz="4" w:space="0" w:color="auto"/>
              <w:bottom w:val="single" w:sz="4" w:space="0" w:color="auto"/>
              <w:right w:val="single" w:sz="4" w:space="0" w:color="auto"/>
            </w:tcBorders>
            <w:vAlign w:val="center"/>
            <w:hideMark/>
          </w:tcPr>
          <w:p w14:paraId="3EE20594" w14:textId="77777777" w:rsidR="00605B43" w:rsidRPr="005930FA" w:rsidRDefault="00605B43" w:rsidP="00E617D1">
            <w:pP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lastRenderedPageBreak/>
              <w:t>Buzón de sugerencias</w:t>
            </w:r>
          </w:p>
        </w:tc>
        <w:tc>
          <w:tcPr>
            <w:tcW w:w="2291" w:type="pct"/>
            <w:tcBorders>
              <w:top w:val="nil"/>
              <w:left w:val="nil"/>
              <w:bottom w:val="single" w:sz="4" w:space="0" w:color="auto"/>
              <w:right w:val="single" w:sz="4" w:space="0" w:color="auto"/>
            </w:tcBorders>
            <w:vAlign w:val="center"/>
            <w:hideMark/>
          </w:tcPr>
          <w:p w14:paraId="7FFCD395" w14:textId="77777777" w:rsidR="00605B43" w:rsidRPr="005930FA" w:rsidRDefault="00605B43" w:rsidP="00E617D1">
            <w:pPr>
              <w:jc w:val="both"/>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t xml:space="preserve">Suministro y ensamble de buzón de sugerencias y PQRS institucional para uso mixto (sobremesa y anclaje a pared), fabricado en lámina de acrílico de primera calidad (PMMA 100% virgen colado/cast) de 3 mm a 4 mm de espesor en combinación de colores blanco opal y azul rey institucional con cantos pulidos al láser; con dimensiones generales aproximadas de 21 cm a 25 cm de ancho, 17 cm a 20 cm de profundidad y 28 cm a 32 cm de altura total con espaldar perforado para anclaje a muro; cuerpo con tapa lateral y con ranura superior de 12 cm a 14 cm de largo por 6 mm de ancho para depósito de formatos y boletas; equipado con sistema de apertura lateral abisagrado y cerradura de seguridad cilíndrica metálica tipo trinquete o lengüeta provista de dos (2) copias de llaves; integrado en su lateral izquierdo con dispensador/bolsillo de 2 cavidades para almacenamiento de formatos/volantes de sugerencias y portabolígrafo vertical; rotulado en alta definición mediante impresión digital directa UV o vinilo laminado con la imagen corporativa institucional: copete superior con </w:t>
            </w:r>
            <w:r w:rsidRPr="005930FA">
              <w:rPr>
                <w:rFonts w:ascii="Century Gothic" w:eastAsia="Times New Roman" w:hAnsi="Century Gothic" w:cs="Times New Roman"/>
                <w:color w:val="000000"/>
                <w:sz w:val="20"/>
                <w:szCs w:val="20"/>
                <w:lang w:val="es-CO"/>
              </w:rPr>
              <w:lastRenderedPageBreak/>
              <w:t>texto “TU OPINIÓN NOS AYUDA A MEJORAR” e ícono de bombilla, panel central con título “BUZÓN DE SUGERENCIAS” e ícono de diálogo, y panel inferior con el escudo oficial a todo color de la entidad y el texto “DIRECCIÓN LOCAL DE SALUD”; entregado completamente armado con topes antideslizantes de goma en la base y kit de chazos y tornillos para montaje.</w:t>
            </w:r>
          </w:p>
          <w:p w14:paraId="214DECA6" w14:textId="77777777" w:rsidR="00605B43" w:rsidRPr="005930FA" w:rsidRDefault="00605B43" w:rsidP="00E617D1">
            <w:pPr>
              <w:jc w:val="both"/>
              <w:rPr>
                <w:rFonts w:ascii="Century Gothic" w:eastAsia="Times New Roman" w:hAnsi="Century Gothic" w:cs="Times New Roman"/>
                <w:color w:val="000000"/>
                <w:sz w:val="20"/>
                <w:szCs w:val="20"/>
                <w:lang w:val="es-CO"/>
              </w:rPr>
            </w:pPr>
          </w:p>
          <w:p w14:paraId="457C56F9" w14:textId="77777777" w:rsidR="00605B43" w:rsidRPr="005930FA" w:rsidRDefault="00605B43" w:rsidP="00E617D1">
            <w:pPr>
              <w:rPr>
                <w:rFonts w:ascii="Century Gothic" w:hAnsi="Century Gothic"/>
                <w:sz w:val="20"/>
                <w:szCs w:val="20"/>
              </w:rPr>
            </w:pPr>
            <w:r w:rsidRPr="005930FA">
              <w:rPr>
                <w:rFonts w:ascii="Century Gothic" w:hAnsi="Century Gothic"/>
                <w:sz w:val="20"/>
                <w:szCs w:val="20"/>
              </w:rPr>
              <w:t>Imagen de referencia para el diseño</w:t>
            </w:r>
          </w:p>
          <w:p w14:paraId="4E2170EA" w14:textId="77777777" w:rsidR="00605B43" w:rsidRPr="005930FA" w:rsidRDefault="00605B43" w:rsidP="00E617D1">
            <w:pPr>
              <w:jc w:val="center"/>
              <w:rPr>
                <w:rFonts w:ascii="Century Gothic" w:hAnsi="Century Gothic"/>
                <w:sz w:val="20"/>
                <w:szCs w:val="20"/>
              </w:rPr>
            </w:pPr>
            <w:r w:rsidRPr="005930FA">
              <w:rPr>
                <w:rFonts w:ascii="Century Gothic" w:hAnsi="Century Gothic"/>
                <w:noProof/>
                <w:sz w:val="20"/>
                <w:szCs w:val="20"/>
              </w:rPr>
              <w:drawing>
                <wp:inline distT="0" distB="0" distL="0" distR="0" wp14:anchorId="1AAB7200" wp14:editId="3E41214C">
                  <wp:extent cx="1472619" cy="1562986"/>
                  <wp:effectExtent l="0" t="0" r="0" b="0"/>
                  <wp:docPr id="2077346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734630" name=""/>
                          <pic:cNvPicPr/>
                        </pic:nvPicPr>
                        <pic:blipFill>
                          <a:blip r:embed="rId8"/>
                          <a:stretch>
                            <a:fillRect/>
                          </a:stretch>
                        </pic:blipFill>
                        <pic:spPr>
                          <a:xfrm>
                            <a:off x="0" y="0"/>
                            <a:ext cx="1474269" cy="1564737"/>
                          </a:xfrm>
                          <a:prstGeom prst="rect">
                            <a:avLst/>
                          </a:prstGeom>
                        </pic:spPr>
                      </pic:pic>
                    </a:graphicData>
                  </a:graphic>
                </wp:inline>
              </w:drawing>
            </w:r>
          </w:p>
          <w:p w14:paraId="73F58E68" w14:textId="77777777" w:rsidR="00605B43" w:rsidRPr="005930FA" w:rsidRDefault="00605B43" w:rsidP="00E617D1">
            <w:pPr>
              <w:jc w:val="center"/>
              <w:rPr>
                <w:rFonts w:ascii="Century Gothic" w:hAnsi="Century Gothic"/>
                <w:sz w:val="20"/>
                <w:szCs w:val="20"/>
              </w:rPr>
            </w:pPr>
          </w:p>
          <w:p w14:paraId="2E651DF9" w14:textId="77777777" w:rsidR="00605B43" w:rsidRPr="005930FA" w:rsidRDefault="00605B43" w:rsidP="00E617D1">
            <w:pPr>
              <w:jc w:val="center"/>
              <w:rPr>
                <w:rFonts w:ascii="Century Gothic" w:hAnsi="Century Gothic"/>
                <w:sz w:val="20"/>
                <w:szCs w:val="20"/>
              </w:rPr>
            </w:pPr>
          </w:p>
          <w:p w14:paraId="783BAC66" w14:textId="77777777" w:rsidR="00605B43" w:rsidRPr="005930FA" w:rsidRDefault="00605B43" w:rsidP="00E617D1">
            <w:pPr>
              <w:rPr>
                <w:rFonts w:ascii="Century Gothic" w:hAnsi="Century Gothic"/>
                <w:sz w:val="20"/>
                <w:szCs w:val="20"/>
              </w:rPr>
            </w:pPr>
            <w:r w:rsidRPr="005930FA">
              <w:rPr>
                <w:rFonts w:ascii="Century Gothic" w:hAnsi="Century Gothic"/>
                <w:sz w:val="20"/>
                <w:szCs w:val="20"/>
              </w:rPr>
              <w:t>Imagen de sugerencia par visualizar el diseño estructural del buzón</w:t>
            </w:r>
          </w:p>
          <w:p w14:paraId="2451C82E" w14:textId="77777777" w:rsidR="00605B43" w:rsidRPr="005930FA" w:rsidRDefault="00605B43" w:rsidP="00E617D1">
            <w:pPr>
              <w:rPr>
                <w:rFonts w:ascii="Century Gothic" w:hAnsi="Century Gothic"/>
                <w:sz w:val="20"/>
                <w:szCs w:val="20"/>
              </w:rPr>
            </w:pPr>
          </w:p>
          <w:p w14:paraId="707961C0" w14:textId="77777777" w:rsidR="00605B43" w:rsidRPr="005930FA" w:rsidRDefault="00605B43" w:rsidP="00E617D1">
            <w:pPr>
              <w:rPr>
                <w:rFonts w:ascii="Century Gothic" w:hAnsi="Century Gothic"/>
                <w:sz w:val="20"/>
                <w:szCs w:val="20"/>
              </w:rPr>
            </w:pPr>
            <w:r w:rsidRPr="005930FA">
              <w:rPr>
                <w:rFonts w:ascii="Century Gothic" w:hAnsi="Century Gothic"/>
                <w:noProof/>
                <w:sz w:val="20"/>
                <w:szCs w:val="20"/>
              </w:rPr>
              <w:drawing>
                <wp:inline distT="0" distB="0" distL="0" distR="0" wp14:anchorId="63A73C65" wp14:editId="21C4DC17">
                  <wp:extent cx="1572895" cy="1922145"/>
                  <wp:effectExtent l="0" t="0" r="8255" b="1905"/>
                  <wp:docPr id="1157199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199385" name=""/>
                          <pic:cNvPicPr/>
                        </pic:nvPicPr>
                        <pic:blipFill>
                          <a:blip r:embed="rId9"/>
                          <a:stretch>
                            <a:fillRect/>
                          </a:stretch>
                        </pic:blipFill>
                        <pic:spPr>
                          <a:xfrm>
                            <a:off x="0" y="0"/>
                            <a:ext cx="1572895" cy="1922145"/>
                          </a:xfrm>
                          <a:prstGeom prst="rect">
                            <a:avLst/>
                          </a:prstGeom>
                        </pic:spPr>
                      </pic:pic>
                    </a:graphicData>
                  </a:graphic>
                </wp:inline>
              </w:drawing>
            </w:r>
          </w:p>
          <w:p w14:paraId="7BA8092B" w14:textId="77777777" w:rsidR="00605B43" w:rsidRPr="005930FA" w:rsidRDefault="00605B43" w:rsidP="00E617D1">
            <w:pPr>
              <w:jc w:val="center"/>
              <w:rPr>
                <w:rFonts w:ascii="Century Gothic" w:hAnsi="Century Gothic"/>
                <w:sz w:val="20"/>
                <w:szCs w:val="20"/>
              </w:rPr>
            </w:pPr>
          </w:p>
          <w:p w14:paraId="7874B1BA" w14:textId="77777777" w:rsidR="00605B43" w:rsidRPr="005930FA" w:rsidRDefault="00605B43" w:rsidP="00E617D1">
            <w:pPr>
              <w:jc w:val="both"/>
              <w:rPr>
                <w:rFonts w:ascii="Century Gothic" w:eastAsia="Times New Roman" w:hAnsi="Century Gothic" w:cs="Times New Roman"/>
                <w:color w:val="000000"/>
                <w:sz w:val="20"/>
                <w:szCs w:val="20"/>
                <w:lang w:val="es-CO"/>
              </w:rPr>
            </w:pPr>
          </w:p>
        </w:tc>
        <w:tc>
          <w:tcPr>
            <w:tcW w:w="624" w:type="pct"/>
            <w:tcBorders>
              <w:top w:val="nil"/>
              <w:left w:val="nil"/>
              <w:bottom w:val="single" w:sz="4" w:space="0" w:color="auto"/>
              <w:right w:val="single" w:sz="4" w:space="0" w:color="auto"/>
            </w:tcBorders>
            <w:vAlign w:val="center"/>
            <w:hideMark/>
          </w:tcPr>
          <w:p w14:paraId="2FD31732"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color w:val="000000"/>
                <w:sz w:val="20"/>
                <w:szCs w:val="20"/>
                <w:lang w:val="es-CO"/>
              </w:rPr>
              <w:lastRenderedPageBreak/>
              <w:t>1</w:t>
            </w:r>
          </w:p>
        </w:tc>
        <w:tc>
          <w:tcPr>
            <w:tcW w:w="696" w:type="pct"/>
            <w:tcBorders>
              <w:top w:val="nil"/>
              <w:left w:val="single" w:sz="4" w:space="0" w:color="auto"/>
              <w:bottom w:val="single" w:sz="4" w:space="0" w:color="auto"/>
              <w:right w:val="single" w:sz="4" w:space="0" w:color="auto"/>
            </w:tcBorders>
            <w:noWrap/>
            <w:vAlign w:val="center"/>
          </w:tcPr>
          <w:p w14:paraId="502D9EEC" w14:textId="4E5F7455" w:rsidR="00605B43" w:rsidRPr="005930FA" w:rsidRDefault="00605B43" w:rsidP="00E617D1">
            <w:pPr>
              <w:jc w:val="center"/>
              <w:rPr>
                <w:rFonts w:ascii="Century Gothic" w:eastAsia="Times New Roman" w:hAnsi="Century Gothic" w:cs="Times New Roman"/>
                <w:color w:val="000000"/>
                <w:sz w:val="20"/>
                <w:szCs w:val="20"/>
                <w:lang w:val="es-CO"/>
              </w:rPr>
            </w:pPr>
          </w:p>
        </w:tc>
        <w:tc>
          <w:tcPr>
            <w:tcW w:w="764" w:type="pct"/>
            <w:tcBorders>
              <w:top w:val="nil"/>
              <w:left w:val="nil"/>
              <w:bottom w:val="single" w:sz="4" w:space="0" w:color="auto"/>
              <w:right w:val="single" w:sz="4" w:space="0" w:color="auto"/>
            </w:tcBorders>
            <w:noWrap/>
            <w:vAlign w:val="center"/>
          </w:tcPr>
          <w:p w14:paraId="0136A1B3" w14:textId="222707B5" w:rsidR="00605B43" w:rsidRPr="005930FA" w:rsidRDefault="00605B43" w:rsidP="00E617D1">
            <w:pPr>
              <w:jc w:val="center"/>
              <w:rPr>
                <w:rFonts w:ascii="Century Gothic" w:eastAsia="Times New Roman" w:hAnsi="Century Gothic" w:cs="Times New Roman"/>
                <w:color w:val="000000"/>
                <w:sz w:val="20"/>
                <w:szCs w:val="20"/>
                <w:lang w:val="es-CO"/>
              </w:rPr>
            </w:pPr>
          </w:p>
        </w:tc>
      </w:tr>
      <w:tr w:rsidR="00605B43" w:rsidRPr="005930FA" w14:paraId="49789A31" w14:textId="77777777" w:rsidTr="00605B43">
        <w:trPr>
          <w:trHeight w:val="340"/>
        </w:trPr>
        <w:tc>
          <w:tcPr>
            <w:tcW w:w="4236" w:type="pct"/>
            <w:gridSpan w:val="4"/>
            <w:tcBorders>
              <w:top w:val="nil"/>
              <w:left w:val="single" w:sz="4" w:space="0" w:color="auto"/>
              <w:bottom w:val="single" w:sz="4" w:space="0" w:color="auto"/>
              <w:right w:val="single" w:sz="4" w:space="0" w:color="auto"/>
            </w:tcBorders>
            <w:vAlign w:val="center"/>
          </w:tcPr>
          <w:p w14:paraId="3CD98C48" w14:textId="77777777" w:rsidR="00605B43" w:rsidRPr="005930FA" w:rsidRDefault="00605B43" w:rsidP="00E617D1">
            <w:pPr>
              <w:jc w:val="center"/>
              <w:rPr>
                <w:rFonts w:ascii="Century Gothic" w:eastAsia="Times New Roman" w:hAnsi="Century Gothic" w:cs="Times New Roman"/>
                <w:color w:val="000000"/>
                <w:sz w:val="20"/>
                <w:szCs w:val="20"/>
                <w:lang w:val="es-CO"/>
              </w:rPr>
            </w:pPr>
            <w:r w:rsidRPr="005930FA">
              <w:rPr>
                <w:rFonts w:ascii="Century Gothic" w:eastAsia="Times New Roman" w:hAnsi="Century Gothic" w:cs="Times New Roman"/>
                <w:b/>
                <w:bCs/>
                <w:color w:val="000000"/>
                <w:sz w:val="20"/>
                <w:szCs w:val="20"/>
                <w:lang w:val="es-CO"/>
              </w:rPr>
              <w:t>TOTAL + IVA</w:t>
            </w:r>
          </w:p>
        </w:tc>
        <w:tc>
          <w:tcPr>
            <w:tcW w:w="764" w:type="pct"/>
            <w:tcBorders>
              <w:top w:val="nil"/>
              <w:left w:val="nil"/>
              <w:bottom w:val="single" w:sz="4" w:space="0" w:color="auto"/>
              <w:right w:val="single" w:sz="4" w:space="0" w:color="auto"/>
            </w:tcBorders>
            <w:noWrap/>
            <w:vAlign w:val="center"/>
          </w:tcPr>
          <w:p w14:paraId="00E76E21" w14:textId="5A12E6A4" w:rsidR="00605B43" w:rsidRPr="005930FA" w:rsidRDefault="00605B43" w:rsidP="00E617D1">
            <w:pPr>
              <w:jc w:val="center"/>
              <w:rPr>
                <w:rFonts w:ascii="Century Gothic" w:eastAsia="Times New Roman" w:hAnsi="Century Gothic" w:cs="Times New Roman"/>
                <w:b/>
                <w:bCs/>
                <w:color w:val="000000"/>
                <w:sz w:val="20"/>
                <w:szCs w:val="20"/>
                <w:lang w:val="es-CO"/>
              </w:rPr>
            </w:pPr>
            <w:r w:rsidRPr="005930FA">
              <w:rPr>
                <w:rFonts w:ascii="Century Gothic" w:eastAsia="Times New Roman" w:hAnsi="Century Gothic" w:cs="Times New Roman"/>
                <w:b/>
                <w:bCs/>
                <w:color w:val="000000"/>
                <w:sz w:val="20"/>
                <w:szCs w:val="20"/>
                <w:lang w:val="es-CO"/>
              </w:rPr>
              <w:t xml:space="preserve">$ </w:t>
            </w:r>
          </w:p>
        </w:tc>
      </w:tr>
    </w:tbl>
    <w:p w14:paraId="18FE07FF" w14:textId="77777777" w:rsidR="00605B43" w:rsidRDefault="00605B43" w:rsidP="00172BD0">
      <w:pPr>
        <w:jc w:val="both"/>
        <w:rPr>
          <w:rFonts w:ascii="Century Gothic" w:hAnsi="Century Gothic" w:cs="Arial"/>
          <w:b/>
          <w:bCs/>
          <w:sz w:val="20"/>
          <w:szCs w:val="20"/>
          <w:lang w:val="es-ES"/>
        </w:rPr>
      </w:pPr>
    </w:p>
    <w:p w14:paraId="7B720C01" w14:textId="77777777" w:rsidR="00172BD0" w:rsidRDefault="00172BD0" w:rsidP="00172BD0">
      <w:pPr>
        <w:jc w:val="both"/>
        <w:rPr>
          <w:rFonts w:ascii="Century Gothic" w:hAnsi="Century Gothic" w:cs="Arial"/>
          <w:b/>
          <w:bCs/>
          <w:sz w:val="20"/>
          <w:szCs w:val="20"/>
          <w:lang w:val="es-ES"/>
        </w:rPr>
      </w:pPr>
    </w:p>
    <w:p w14:paraId="5DEAB523" w14:textId="77777777" w:rsidR="00605B43" w:rsidRPr="005930FA" w:rsidRDefault="00605B43" w:rsidP="00605B43">
      <w:pPr>
        <w:numPr>
          <w:ilvl w:val="1"/>
          <w:numId w:val="11"/>
        </w:numPr>
        <w:autoSpaceDE w:val="0"/>
        <w:autoSpaceDN w:val="0"/>
        <w:adjustRightInd w:val="0"/>
        <w:ind w:left="0" w:firstLine="0"/>
        <w:jc w:val="both"/>
        <w:rPr>
          <w:rFonts w:ascii="Century Gothic" w:hAnsi="Century Gothic" w:cs="Arial"/>
          <w:b/>
          <w:color w:val="000000"/>
          <w:sz w:val="20"/>
          <w:szCs w:val="20"/>
        </w:rPr>
      </w:pPr>
      <w:r w:rsidRPr="005930FA">
        <w:rPr>
          <w:rFonts w:ascii="Century Gothic" w:hAnsi="Century Gothic" w:cs="Arial"/>
          <w:b/>
          <w:color w:val="000000"/>
          <w:sz w:val="20"/>
          <w:szCs w:val="20"/>
        </w:rPr>
        <w:t>Específicas.</w:t>
      </w:r>
    </w:p>
    <w:p w14:paraId="1033F2E2" w14:textId="77777777" w:rsidR="00605B43" w:rsidRPr="005930FA" w:rsidRDefault="00605B43" w:rsidP="00605B43">
      <w:pPr>
        <w:autoSpaceDE w:val="0"/>
        <w:autoSpaceDN w:val="0"/>
        <w:adjustRightInd w:val="0"/>
        <w:jc w:val="both"/>
        <w:rPr>
          <w:rFonts w:ascii="Century Gothic" w:hAnsi="Century Gothic" w:cs="Arial"/>
          <w:sz w:val="20"/>
          <w:szCs w:val="20"/>
        </w:rPr>
      </w:pPr>
    </w:p>
    <w:p w14:paraId="33F9828C" w14:textId="77777777" w:rsidR="00605B43" w:rsidRPr="005930FA" w:rsidRDefault="00605B43" w:rsidP="00605B43">
      <w:pPr>
        <w:autoSpaceDE w:val="0"/>
        <w:autoSpaceDN w:val="0"/>
        <w:adjustRightInd w:val="0"/>
        <w:spacing w:line="276" w:lineRule="auto"/>
        <w:jc w:val="both"/>
        <w:rPr>
          <w:rFonts w:ascii="Century Gothic" w:hAnsi="Century Gothic" w:cs="Arial"/>
          <w:color w:val="000000"/>
          <w:sz w:val="20"/>
          <w:szCs w:val="20"/>
        </w:rPr>
      </w:pPr>
      <w:r w:rsidRPr="005930FA">
        <w:rPr>
          <w:rFonts w:ascii="Century Gothic" w:hAnsi="Century Gothic" w:cs="Arial"/>
          <w:color w:val="000000"/>
          <w:sz w:val="20"/>
          <w:szCs w:val="20"/>
        </w:rPr>
        <w:t>Dentro del marco del objeto jurídico del presente contrato, el contratista estará obligado a ejecutar las siguientes actividades:</w:t>
      </w:r>
    </w:p>
    <w:p w14:paraId="0612026A" w14:textId="77777777" w:rsidR="00605B43" w:rsidRPr="005930FA" w:rsidRDefault="00605B43" w:rsidP="00605B43">
      <w:pPr>
        <w:autoSpaceDE w:val="0"/>
        <w:autoSpaceDN w:val="0"/>
        <w:adjustRightInd w:val="0"/>
        <w:spacing w:line="276" w:lineRule="auto"/>
        <w:jc w:val="both"/>
        <w:rPr>
          <w:rFonts w:ascii="Century Gothic" w:hAnsi="Century Gothic" w:cs="Arial"/>
          <w:color w:val="000000"/>
          <w:sz w:val="20"/>
          <w:szCs w:val="20"/>
        </w:rPr>
      </w:pPr>
    </w:p>
    <w:p w14:paraId="7BF34FE8"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Estructurar la propuesta técnica detallada de acuerdo con las especificaciones y requerimientos técnicos definidos, adjuntando certificados de distribución si aplica.</w:t>
      </w:r>
    </w:p>
    <w:p w14:paraId="404D6859"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lastRenderedPageBreak/>
        <w:t>Entregar todos los bienes e insumos en el Municipio de Aguadas, Caldas, en un plazo de diez (10) días contados a partir de la suscripción del acta de inicio.</w:t>
      </w:r>
    </w:p>
    <w:p w14:paraId="74A8FBEA"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Entregar en la Alcaldía Municipal de Aguadas (Calle 6 No. 5-23), en la Dirección Local de Salud (segundo piso), a cuenta y riesgo propio.</w:t>
      </w:r>
    </w:p>
    <w:p w14:paraId="11D53B31"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Garantizar el perfecto estado y óptimo funcionamiento de los elementos entregados.</w:t>
      </w:r>
    </w:p>
    <w:p w14:paraId="3C4C91F4"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Cumplir con las garantías comerciales y legales de calidad exigidas.</w:t>
      </w:r>
    </w:p>
    <w:p w14:paraId="60881E99"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Asumir bajo su costo y riesgo todos los gastos de transporte, fletes, cargue y descargue.</w:t>
      </w:r>
    </w:p>
    <w:p w14:paraId="610AAF11"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Cumplir cabalmente con la propuesta económica y técnica presentada.</w:t>
      </w:r>
    </w:p>
    <w:p w14:paraId="71EB170F"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Realizar el pago de estampillas municipales, impuestos, tasas y contribuciones a que haya lugar.</w:t>
      </w:r>
    </w:p>
    <w:p w14:paraId="62E08C43"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Restituir, a su costa, los elementos defectuosos o que no correspondan a las especificaciones dentro de los cinco (5) días hábiles siguientes al requerimiento.</w:t>
      </w:r>
    </w:p>
    <w:p w14:paraId="5B71E33E" w14:textId="77777777"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Soportar la relación de entrega con las facturas y remisiones correspondientes.</w:t>
      </w:r>
    </w:p>
    <w:p w14:paraId="3B27B9DC" w14:textId="77777777" w:rsidR="00605B43"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color w:val="000000"/>
          <w:sz w:val="20"/>
          <w:szCs w:val="20"/>
        </w:rPr>
        <w:t>Acreditar garantía mínima presunta conforme al Estatuto del Consumidor (Ley 1480 de 2011).</w:t>
      </w:r>
    </w:p>
    <w:p w14:paraId="035A6907" w14:textId="60B3E61B" w:rsidR="00605B43" w:rsidRPr="005930FA" w:rsidRDefault="00605B43" w:rsidP="00605B43">
      <w:pPr>
        <w:pStyle w:val="Prrafodelista"/>
        <w:numPr>
          <w:ilvl w:val="2"/>
          <w:numId w:val="11"/>
        </w:numPr>
        <w:autoSpaceDE w:val="0"/>
        <w:autoSpaceDN w:val="0"/>
        <w:adjustRightInd w:val="0"/>
        <w:spacing w:line="276" w:lineRule="auto"/>
        <w:ind w:left="1145"/>
        <w:jc w:val="both"/>
        <w:rPr>
          <w:rFonts w:ascii="Century Gothic" w:hAnsi="Century Gothic" w:cs="Arial"/>
          <w:color w:val="000000"/>
          <w:sz w:val="20"/>
          <w:szCs w:val="20"/>
        </w:rPr>
      </w:pPr>
      <w:r w:rsidRPr="005930FA">
        <w:rPr>
          <w:rFonts w:ascii="Century Gothic" w:hAnsi="Century Gothic" w:cs="Arial"/>
          <w:sz w:val="20"/>
          <w:szCs w:val="20"/>
        </w:rPr>
        <w:t>Los insumos deben ser entregados en el almacén de la Alcaldía Municipal de Aguadas, ubicado en la dirección Calle 6 # 5 – 23 del municipio</w:t>
      </w:r>
    </w:p>
    <w:p w14:paraId="4C89049F" w14:textId="77777777" w:rsidR="00605B43" w:rsidRDefault="00605B43" w:rsidP="00172BD0">
      <w:pPr>
        <w:jc w:val="both"/>
        <w:rPr>
          <w:rFonts w:ascii="Century Gothic" w:hAnsi="Century Gothic" w:cs="Arial"/>
          <w:b/>
          <w:bCs/>
          <w:sz w:val="20"/>
          <w:szCs w:val="20"/>
          <w:lang w:val="es-ES"/>
        </w:rPr>
      </w:pPr>
    </w:p>
    <w:p w14:paraId="1DABC852" w14:textId="77777777" w:rsidR="00605B43" w:rsidRDefault="00605B43" w:rsidP="00172BD0">
      <w:pPr>
        <w:jc w:val="both"/>
        <w:rPr>
          <w:rFonts w:ascii="Century Gothic" w:hAnsi="Century Gothic" w:cs="Arial"/>
          <w:b/>
          <w:bCs/>
          <w:sz w:val="20"/>
          <w:szCs w:val="20"/>
          <w:lang w:val="es-ES"/>
        </w:rPr>
      </w:pPr>
    </w:p>
    <w:p w14:paraId="0054E6F7" w14:textId="77777777" w:rsidR="00605B43" w:rsidRDefault="00605B43" w:rsidP="00172BD0">
      <w:pPr>
        <w:jc w:val="both"/>
        <w:rPr>
          <w:rFonts w:ascii="Century Gothic" w:hAnsi="Century Gothic" w:cs="Arial"/>
          <w:b/>
          <w:bCs/>
          <w:sz w:val="20"/>
          <w:szCs w:val="20"/>
          <w:lang w:val="es-ES"/>
        </w:rPr>
      </w:pPr>
    </w:p>
    <w:p w14:paraId="240711EC" w14:textId="77777777" w:rsidR="00CA2C5C" w:rsidRPr="00B2177A" w:rsidRDefault="00CA2C5C" w:rsidP="00CA2C5C">
      <w:pPr>
        <w:shd w:val="clear" w:color="auto" w:fill="FFFFFF"/>
        <w:spacing w:line="276" w:lineRule="auto"/>
        <w:jc w:val="both"/>
        <w:rPr>
          <w:rFonts w:ascii="Century Gothic" w:hAnsi="Century Gothic" w:cs="Arial"/>
          <w:b/>
          <w:bCs/>
          <w:sz w:val="20"/>
          <w:szCs w:val="20"/>
          <w:lang w:val="es-ES"/>
        </w:rPr>
      </w:pPr>
      <w:r w:rsidRPr="00B2177A">
        <w:rPr>
          <w:rFonts w:ascii="Century Gothic" w:hAnsi="Century Gothic" w:cs="Arial"/>
          <w:b/>
          <w:bCs/>
          <w:sz w:val="20"/>
          <w:szCs w:val="20"/>
          <w:lang w:val="es-ES"/>
        </w:rPr>
        <w:t>VALOR DE LA OFERTA: _________________________ PESOS M/CTE (XX.XXX.XXX)</w:t>
      </w:r>
    </w:p>
    <w:p w14:paraId="3E4759A2" w14:textId="77777777" w:rsidR="00CA2C5C" w:rsidRPr="00B2177A" w:rsidRDefault="00CA2C5C" w:rsidP="00CA2C5C">
      <w:pPr>
        <w:spacing w:line="276" w:lineRule="auto"/>
        <w:rPr>
          <w:rFonts w:ascii="Century Gothic" w:hAnsi="Century Gothic" w:cs="Arial"/>
          <w:sz w:val="20"/>
          <w:szCs w:val="20"/>
        </w:rPr>
      </w:pPr>
    </w:p>
    <w:p w14:paraId="52467FF4" w14:textId="77777777" w:rsidR="00CA2C5C" w:rsidRPr="00B2177A" w:rsidRDefault="00CA2C5C" w:rsidP="00CA2C5C">
      <w:pPr>
        <w:tabs>
          <w:tab w:val="left" w:pos="2550"/>
        </w:tabs>
        <w:spacing w:line="276" w:lineRule="auto"/>
        <w:rPr>
          <w:rFonts w:ascii="Century Gothic" w:hAnsi="Century Gothic" w:cs="Arial"/>
          <w:sz w:val="20"/>
          <w:szCs w:val="20"/>
          <w:lang w:val="es-ES"/>
        </w:rPr>
      </w:pPr>
      <w:r w:rsidRPr="00B2177A">
        <w:rPr>
          <w:rFonts w:ascii="Century Gothic" w:hAnsi="Century Gothic" w:cs="Arial"/>
          <w:sz w:val="20"/>
          <w:szCs w:val="20"/>
          <w:lang w:val="es-ES"/>
        </w:rPr>
        <w:t>__________________________</w:t>
      </w:r>
    </w:p>
    <w:p w14:paraId="75A7A741"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Firma </w:t>
      </w:r>
    </w:p>
    <w:p w14:paraId="3BC84CDE" w14:textId="77777777" w:rsidR="00CA2C5C" w:rsidRPr="00B2177A" w:rsidRDefault="00CA2C5C" w:rsidP="00CA2C5C">
      <w:pPr>
        <w:tabs>
          <w:tab w:val="left" w:pos="2550"/>
        </w:tabs>
        <w:spacing w:line="276" w:lineRule="auto"/>
        <w:rPr>
          <w:rFonts w:ascii="Century Gothic" w:hAnsi="Century Gothic" w:cs="Arial"/>
          <w:b/>
          <w:sz w:val="20"/>
          <w:szCs w:val="20"/>
          <w:lang w:val="es-ES"/>
        </w:rPr>
      </w:pPr>
    </w:p>
    <w:p w14:paraId="0E39BBFD"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Nombre del representante legal: </w:t>
      </w:r>
    </w:p>
    <w:p w14:paraId="57ED9C7F"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Nombre o razón social:  </w:t>
      </w:r>
    </w:p>
    <w:p w14:paraId="519987D5"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NIT: </w:t>
      </w:r>
    </w:p>
    <w:p w14:paraId="09FCCC1A"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Documento de identidad: </w:t>
      </w:r>
    </w:p>
    <w:p w14:paraId="422EAD21"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Ciudad: </w:t>
      </w:r>
    </w:p>
    <w:p w14:paraId="13B4A0DC" w14:textId="77777777" w:rsidR="00CA2C5C" w:rsidRPr="00B2177A" w:rsidRDefault="00CA2C5C" w:rsidP="00CA2C5C">
      <w:pPr>
        <w:tabs>
          <w:tab w:val="left" w:pos="2550"/>
        </w:tabs>
        <w:spacing w:line="276" w:lineRule="auto"/>
        <w:rPr>
          <w:rFonts w:ascii="Century Gothic" w:hAnsi="Century Gothic" w:cs="Arial"/>
          <w:b/>
          <w:sz w:val="20"/>
          <w:szCs w:val="20"/>
          <w:lang w:val="es-ES"/>
        </w:rPr>
      </w:pPr>
      <w:r w:rsidRPr="00B2177A">
        <w:rPr>
          <w:rFonts w:ascii="Century Gothic" w:hAnsi="Century Gothic" w:cs="Arial"/>
          <w:b/>
          <w:sz w:val="20"/>
          <w:szCs w:val="20"/>
          <w:lang w:val="es-ES"/>
        </w:rPr>
        <w:t xml:space="preserve">Dirección: </w:t>
      </w:r>
    </w:p>
    <w:p w14:paraId="138BD18B" w14:textId="77777777" w:rsidR="00CA2C5C" w:rsidRPr="00B2177A" w:rsidRDefault="00CA2C5C" w:rsidP="00CA2C5C">
      <w:pPr>
        <w:tabs>
          <w:tab w:val="left" w:pos="2550"/>
        </w:tabs>
        <w:spacing w:line="276" w:lineRule="auto"/>
        <w:rPr>
          <w:rFonts w:ascii="Century Gothic" w:hAnsi="Century Gothic"/>
          <w:sz w:val="20"/>
          <w:szCs w:val="20"/>
        </w:rPr>
      </w:pPr>
      <w:r w:rsidRPr="00B2177A">
        <w:rPr>
          <w:rFonts w:ascii="Century Gothic" w:hAnsi="Century Gothic" w:cs="Arial"/>
          <w:b/>
          <w:sz w:val="20"/>
          <w:szCs w:val="20"/>
          <w:lang w:val="es-ES"/>
        </w:rPr>
        <w:t>Teléfono:</w:t>
      </w:r>
    </w:p>
    <w:p w14:paraId="6882445C" w14:textId="77777777" w:rsidR="00CA08AF" w:rsidRPr="00B2177A" w:rsidRDefault="00CA08AF" w:rsidP="00CA08AF">
      <w:pPr>
        <w:tabs>
          <w:tab w:val="left" w:pos="2550"/>
        </w:tabs>
        <w:spacing w:line="276" w:lineRule="auto"/>
        <w:rPr>
          <w:rFonts w:ascii="Century Gothic" w:hAnsi="Century Gothic" w:cs="Arial"/>
          <w:sz w:val="20"/>
          <w:szCs w:val="20"/>
        </w:rPr>
      </w:pPr>
    </w:p>
    <w:p w14:paraId="6885795A" w14:textId="77777777" w:rsidR="00CA08AF" w:rsidRPr="00B2177A" w:rsidRDefault="00CA08AF" w:rsidP="00CA08AF">
      <w:pPr>
        <w:rPr>
          <w:rFonts w:ascii="Century Gothic" w:hAnsi="Century Gothic" w:cs="Arial"/>
          <w:sz w:val="20"/>
          <w:szCs w:val="20"/>
        </w:rPr>
      </w:pPr>
    </w:p>
    <w:p w14:paraId="5FE7BE41" w14:textId="77777777" w:rsidR="00807BF6" w:rsidRPr="00B2177A" w:rsidRDefault="00807BF6">
      <w:pPr>
        <w:rPr>
          <w:sz w:val="20"/>
          <w:szCs w:val="20"/>
        </w:rPr>
      </w:pPr>
    </w:p>
    <w:sectPr w:rsidR="00807BF6" w:rsidRPr="00B2177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701BF"/>
    <w:multiLevelType w:val="multilevel"/>
    <w:tmpl w:val="6F4646EA"/>
    <w:lvl w:ilvl="0">
      <w:start w:val="1"/>
      <w:numFmt w:val="decimal"/>
      <w:lvlText w:val="%1."/>
      <w:lvlJc w:val="left"/>
      <w:pPr>
        <w:ind w:left="720" w:hanging="360"/>
      </w:pPr>
    </w:lvl>
    <w:lvl w:ilvl="1">
      <w:start w:val="2"/>
      <w:numFmt w:val="decimal"/>
      <w:isLgl/>
      <w:lvlText w:val="%1.%2"/>
      <w:lvlJc w:val="left"/>
      <w:pPr>
        <w:ind w:left="1416" w:hanging="1056"/>
      </w:pPr>
      <w:rPr>
        <w:rFonts w:hint="default"/>
        <w:b/>
      </w:rPr>
    </w:lvl>
    <w:lvl w:ilvl="2">
      <w:start w:val="5"/>
      <w:numFmt w:val="decimal"/>
      <w:isLgl/>
      <w:lvlText w:val="%1.%2.%3"/>
      <w:lvlJc w:val="left"/>
      <w:pPr>
        <w:ind w:left="1416" w:hanging="1056"/>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D753836"/>
    <w:multiLevelType w:val="hybridMultilevel"/>
    <w:tmpl w:val="F468C3CA"/>
    <w:lvl w:ilvl="0" w:tplc="FFFFFFFF">
      <w:start w:val="1"/>
      <w:numFmt w:val="upperLetter"/>
      <w:lvlText w:val="%1."/>
      <w:lvlJc w:val="left"/>
      <w:pPr>
        <w:ind w:left="720" w:hanging="360"/>
      </w:pPr>
    </w:lvl>
    <w:lvl w:ilvl="1" w:tplc="FFFFFFFF">
      <w:start w:val="1"/>
      <w:numFmt w:val="lowerLetter"/>
      <w:lvlText w:val="%2."/>
      <w:lvlJc w:val="left"/>
      <w:pPr>
        <w:ind w:left="1440" w:hanging="360"/>
      </w:pPr>
      <w:rPr>
        <w:rFonts w:cs="Calibri Light"/>
      </w:rPr>
    </w:lvl>
    <w:lvl w:ilvl="2" w:tplc="FFFFFFFF" w:tentative="1">
      <w:start w:val="1"/>
      <w:numFmt w:val="lowerRoman"/>
      <w:lvlText w:val="%3."/>
      <w:lvlJc w:val="right"/>
      <w:pPr>
        <w:ind w:left="2160" w:hanging="180"/>
      </w:pPr>
      <w:rPr>
        <w:rFonts w:cs="Calibri Light"/>
      </w:rPr>
    </w:lvl>
    <w:lvl w:ilvl="3" w:tplc="FFFFFFFF" w:tentative="1">
      <w:start w:val="1"/>
      <w:numFmt w:val="decimal"/>
      <w:lvlText w:val="%4."/>
      <w:lvlJc w:val="left"/>
      <w:pPr>
        <w:ind w:left="2880" w:hanging="360"/>
      </w:pPr>
      <w:rPr>
        <w:rFonts w:cs="Calibri Light"/>
      </w:rPr>
    </w:lvl>
    <w:lvl w:ilvl="4" w:tplc="FFFFFFFF" w:tentative="1">
      <w:start w:val="1"/>
      <w:numFmt w:val="lowerLetter"/>
      <w:lvlText w:val="%5."/>
      <w:lvlJc w:val="left"/>
      <w:pPr>
        <w:ind w:left="3600" w:hanging="360"/>
      </w:pPr>
      <w:rPr>
        <w:rFonts w:cs="Calibri Light"/>
      </w:rPr>
    </w:lvl>
    <w:lvl w:ilvl="5" w:tplc="FFFFFFFF" w:tentative="1">
      <w:start w:val="1"/>
      <w:numFmt w:val="lowerRoman"/>
      <w:lvlText w:val="%6."/>
      <w:lvlJc w:val="right"/>
      <w:pPr>
        <w:ind w:left="4320" w:hanging="180"/>
      </w:pPr>
      <w:rPr>
        <w:rFonts w:cs="Calibri Light"/>
      </w:rPr>
    </w:lvl>
    <w:lvl w:ilvl="6" w:tplc="FFFFFFFF" w:tentative="1">
      <w:start w:val="1"/>
      <w:numFmt w:val="decimal"/>
      <w:lvlText w:val="%7."/>
      <w:lvlJc w:val="left"/>
      <w:pPr>
        <w:ind w:left="5040" w:hanging="360"/>
      </w:pPr>
      <w:rPr>
        <w:rFonts w:cs="Calibri Light"/>
      </w:rPr>
    </w:lvl>
    <w:lvl w:ilvl="7" w:tplc="FFFFFFFF" w:tentative="1">
      <w:start w:val="1"/>
      <w:numFmt w:val="lowerLetter"/>
      <w:lvlText w:val="%8."/>
      <w:lvlJc w:val="left"/>
      <w:pPr>
        <w:ind w:left="5760" w:hanging="360"/>
      </w:pPr>
      <w:rPr>
        <w:rFonts w:cs="Calibri Light"/>
      </w:rPr>
    </w:lvl>
    <w:lvl w:ilvl="8" w:tplc="FFFFFFFF" w:tentative="1">
      <w:start w:val="1"/>
      <w:numFmt w:val="lowerRoman"/>
      <w:lvlText w:val="%9."/>
      <w:lvlJc w:val="right"/>
      <w:pPr>
        <w:ind w:left="6480" w:hanging="180"/>
      </w:pPr>
      <w:rPr>
        <w:rFonts w:cs="Calibri Light"/>
      </w:rPr>
    </w:lvl>
  </w:abstractNum>
  <w:abstractNum w:abstractNumId="2" w15:restartNumberingAfterBreak="0">
    <w:nsid w:val="2A146B58"/>
    <w:multiLevelType w:val="multilevel"/>
    <w:tmpl w:val="CB8AFAE4"/>
    <w:lvl w:ilvl="0">
      <w:start w:val="1"/>
      <w:numFmt w:val="decimal"/>
      <w:lvlText w:val="%1."/>
      <w:lvlJc w:val="left"/>
      <w:pPr>
        <w:ind w:left="720" w:hanging="360"/>
      </w:pPr>
    </w:lvl>
    <w:lvl w:ilvl="1">
      <w:start w:val="1"/>
      <w:numFmt w:val="decimal"/>
      <w:isLgl/>
      <w:lvlText w:val="%1.%2"/>
      <w:lvlJc w:val="left"/>
      <w:pPr>
        <w:ind w:left="1080" w:hanging="72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2B3B3E4A"/>
    <w:multiLevelType w:val="hybridMultilevel"/>
    <w:tmpl w:val="D34A5A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2CE4006"/>
    <w:multiLevelType w:val="multilevel"/>
    <w:tmpl w:val="A346374C"/>
    <w:lvl w:ilvl="0">
      <w:start w:val="1"/>
      <w:numFmt w:val="decimal"/>
      <w:lvlText w:val="%1."/>
      <w:lvlJc w:val="left"/>
      <w:pPr>
        <w:ind w:left="360" w:hanging="360"/>
      </w:pPr>
      <w:rPr>
        <w:rFonts w:hint="default"/>
        <w:b/>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5" w15:restartNumberingAfterBreak="0">
    <w:nsid w:val="41E5276A"/>
    <w:multiLevelType w:val="multilevel"/>
    <w:tmpl w:val="87625DBC"/>
    <w:lvl w:ilvl="0">
      <w:start w:val="1"/>
      <w:numFmt w:val="decimal"/>
      <w:lvlText w:val="%1."/>
      <w:lvlJc w:val="left"/>
      <w:pPr>
        <w:ind w:left="6172" w:hanging="360"/>
      </w:pPr>
      <w:rPr>
        <w:b/>
      </w:rPr>
    </w:lvl>
    <w:lvl w:ilvl="1">
      <w:start w:val="1"/>
      <w:numFmt w:val="decimal"/>
      <w:isLgl/>
      <w:lvlText w:val="%1.%2."/>
      <w:lvlJc w:val="left"/>
      <w:pPr>
        <w:ind w:left="6172" w:hanging="360"/>
      </w:pPr>
      <w:rPr>
        <w:rFonts w:hint="default"/>
      </w:rPr>
    </w:lvl>
    <w:lvl w:ilvl="2">
      <w:start w:val="1"/>
      <w:numFmt w:val="decimal"/>
      <w:isLgl/>
      <w:lvlText w:val="%1.%2.%3."/>
      <w:lvlJc w:val="left"/>
      <w:pPr>
        <w:ind w:left="6532" w:hanging="720"/>
      </w:pPr>
      <w:rPr>
        <w:rFonts w:hint="default"/>
      </w:rPr>
    </w:lvl>
    <w:lvl w:ilvl="3">
      <w:start w:val="1"/>
      <w:numFmt w:val="decimal"/>
      <w:isLgl/>
      <w:lvlText w:val="%1.%2.%3.%4."/>
      <w:lvlJc w:val="left"/>
      <w:pPr>
        <w:ind w:left="6532" w:hanging="720"/>
      </w:pPr>
      <w:rPr>
        <w:rFonts w:hint="default"/>
      </w:rPr>
    </w:lvl>
    <w:lvl w:ilvl="4">
      <w:start w:val="1"/>
      <w:numFmt w:val="decimal"/>
      <w:isLgl/>
      <w:lvlText w:val="%1.%2.%3.%4.%5."/>
      <w:lvlJc w:val="left"/>
      <w:pPr>
        <w:ind w:left="6892" w:hanging="1080"/>
      </w:pPr>
      <w:rPr>
        <w:rFonts w:hint="default"/>
      </w:rPr>
    </w:lvl>
    <w:lvl w:ilvl="5">
      <w:start w:val="1"/>
      <w:numFmt w:val="decimal"/>
      <w:isLgl/>
      <w:lvlText w:val="%1.%2.%3.%4.%5.%6."/>
      <w:lvlJc w:val="left"/>
      <w:pPr>
        <w:ind w:left="6892" w:hanging="1080"/>
      </w:pPr>
      <w:rPr>
        <w:rFonts w:hint="default"/>
      </w:rPr>
    </w:lvl>
    <w:lvl w:ilvl="6">
      <w:start w:val="1"/>
      <w:numFmt w:val="decimal"/>
      <w:isLgl/>
      <w:lvlText w:val="%1.%2.%3.%4.%5.%6.%7."/>
      <w:lvlJc w:val="left"/>
      <w:pPr>
        <w:ind w:left="7252" w:hanging="1440"/>
      </w:pPr>
      <w:rPr>
        <w:rFonts w:hint="default"/>
      </w:rPr>
    </w:lvl>
    <w:lvl w:ilvl="7">
      <w:start w:val="1"/>
      <w:numFmt w:val="decimal"/>
      <w:isLgl/>
      <w:lvlText w:val="%1.%2.%3.%4.%5.%6.%7.%8."/>
      <w:lvlJc w:val="left"/>
      <w:pPr>
        <w:ind w:left="7252" w:hanging="1440"/>
      </w:pPr>
      <w:rPr>
        <w:rFonts w:hint="default"/>
      </w:rPr>
    </w:lvl>
    <w:lvl w:ilvl="8">
      <w:start w:val="1"/>
      <w:numFmt w:val="decimal"/>
      <w:isLgl/>
      <w:lvlText w:val="%1.%2.%3.%4.%5.%6.%7.%8.%9."/>
      <w:lvlJc w:val="left"/>
      <w:pPr>
        <w:ind w:left="7612" w:hanging="1800"/>
      </w:pPr>
      <w:rPr>
        <w:rFonts w:hint="default"/>
      </w:rPr>
    </w:lvl>
  </w:abstractNum>
  <w:abstractNum w:abstractNumId="6" w15:restartNumberingAfterBreak="0">
    <w:nsid w:val="441760D5"/>
    <w:multiLevelType w:val="hybridMultilevel"/>
    <w:tmpl w:val="05BA13D8"/>
    <w:lvl w:ilvl="0" w:tplc="9B082742">
      <w:start w:val="1"/>
      <w:numFmt w:val="decimal"/>
      <w:lvlText w:val="2.%1."/>
      <w:lvlJc w:val="left"/>
      <w:pPr>
        <w:ind w:left="644" w:hanging="360"/>
      </w:pPr>
      <w:rPr>
        <w:rFonts w:hint="default"/>
        <w:b/>
        <w:bCs/>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B562B75"/>
    <w:multiLevelType w:val="hybridMultilevel"/>
    <w:tmpl w:val="9F087B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6463857"/>
    <w:multiLevelType w:val="hybridMultilevel"/>
    <w:tmpl w:val="28D27A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8105A2E"/>
    <w:multiLevelType w:val="hybridMultilevel"/>
    <w:tmpl w:val="C8AAC8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77201378">
    <w:abstractNumId w:val="4"/>
  </w:num>
  <w:num w:numId="2" w16cid:durableId="1242714298">
    <w:abstractNumId w:val="9"/>
  </w:num>
  <w:num w:numId="3" w16cid:durableId="1268389756">
    <w:abstractNumId w:val="1"/>
  </w:num>
  <w:num w:numId="4" w16cid:durableId="982392855">
    <w:abstractNumId w:val="8"/>
  </w:num>
  <w:num w:numId="5" w16cid:durableId="194739735">
    <w:abstractNumId w:val="3"/>
  </w:num>
  <w:num w:numId="6" w16cid:durableId="1485900300">
    <w:abstractNumId w:val="5"/>
  </w:num>
  <w:num w:numId="7" w16cid:durableId="1297758040">
    <w:abstractNumId w:val="6"/>
  </w:num>
  <w:num w:numId="8" w16cid:durableId="1841890724">
    <w:abstractNumId w:val="0"/>
  </w:num>
  <w:num w:numId="9" w16cid:durableId="1970164266">
    <w:abstractNumId w:val="7"/>
  </w:num>
  <w:num w:numId="10" w16cid:durableId="828520979">
    <w:abstractNumId w:val="2"/>
  </w:num>
  <w:num w:numId="11" w16cid:durableId="7542018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8AF"/>
    <w:rsid w:val="00072E2A"/>
    <w:rsid w:val="000E4355"/>
    <w:rsid w:val="000F3C30"/>
    <w:rsid w:val="001012B1"/>
    <w:rsid w:val="00106F89"/>
    <w:rsid w:val="00172BD0"/>
    <w:rsid w:val="001E3DD4"/>
    <w:rsid w:val="001F74DE"/>
    <w:rsid w:val="00285E77"/>
    <w:rsid w:val="002B207C"/>
    <w:rsid w:val="003B17E4"/>
    <w:rsid w:val="00425654"/>
    <w:rsid w:val="004547A2"/>
    <w:rsid w:val="004652F6"/>
    <w:rsid w:val="00495DEC"/>
    <w:rsid w:val="0052376B"/>
    <w:rsid w:val="005B21FB"/>
    <w:rsid w:val="00605B43"/>
    <w:rsid w:val="00691A06"/>
    <w:rsid w:val="006A02CF"/>
    <w:rsid w:val="00765966"/>
    <w:rsid w:val="0077263E"/>
    <w:rsid w:val="007B1CDE"/>
    <w:rsid w:val="00807BF6"/>
    <w:rsid w:val="008F7639"/>
    <w:rsid w:val="0091023F"/>
    <w:rsid w:val="00940AB8"/>
    <w:rsid w:val="009415AA"/>
    <w:rsid w:val="009D1F17"/>
    <w:rsid w:val="009F1BA9"/>
    <w:rsid w:val="00AB185C"/>
    <w:rsid w:val="00B2177A"/>
    <w:rsid w:val="00CA08AF"/>
    <w:rsid w:val="00CA2C5C"/>
    <w:rsid w:val="00D50ECA"/>
    <w:rsid w:val="00DA6BB1"/>
    <w:rsid w:val="00E36E78"/>
    <w:rsid w:val="00EF1455"/>
    <w:rsid w:val="00F039F9"/>
    <w:rsid w:val="00F9771C"/>
    <w:rsid w:val="00FC05A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1ACD4"/>
  <w15:chartTrackingRefBased/>
  <w15:docId w15:val="{C6A11063-F4FC-4393-B478-03965726FE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08AF"/>
    <w:pPr>
      <w:spacing w:after="0" w:line="240" w:lineRule="auto"/>
    </w:pPr>
    <w:rPr>
      <w:rFonts w:ascii="Calibri" w:eastAsia="Calibri" w:hAnsi="Calibri" w:cs="Calibri"/>
      <w:sz w:val="24"/>
      <w:szCs w:val="24"/>
      <w:lang w:val="es-ES_tradnl"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Subsection Body Text,bt,body text,body tesx,contents,TextindepT2,AvtalBrödtext,EHPT,Body Text2,ändrad,Bodytext,Body3,Body Text level 1,Response,à¹×éÍàÃ×èÍ§,body indent,AvtalBrodtext,andrad,compact,paragraph 2,bt1,body text1"/>
    <w:basedOn w:val="Normal"/>
    <w:link w:val="TextoindependienteCar"/>
    <w:qFormat/>
    <w:rsid w:val="00CA08AF"/>
    <w:pPr>
      <w:spacing w:after="120"/>
    </w:pPr>
    <w:rPr>
      <w:rFonts w:ascii="Times New Roman" w:eastAsia="Times New Roman" w:hAnsi="Times New Roman" w:cs="Times New Roman"/>
      <w:lang w:val="es-ES" w:eastAsia="es-ES"/>
    </w:rPr>
  </w:style>
  <w:style w:type="character" w:customStyle="1" w:styleId="TextoindependienteCar">
    <w:name w:val="Texto independiente Car"/>
    <w:aliases w:val="Subsection Body Text Car,bt Car,body text Car,body tesx Car,contents Car,TextindepT2 Car,AvtalBrödtext Car,EHPT Car,Body Text2 Car,ändrad Car,Bodytext Car,Body3 Car,Body Text level 1 Car,Response Car,à¹×éÍàÃ×èÍ§ Car,andrad Car"/>
    <w:basedOn w:val="Fuentedeprrafopredeter"/>
    <w:link w:val="Textoindependiente"/>
    <w:rsid w:val="00CA08AF"/>
    <w:rPr>
      <w:rFonts w:ascii="Times New Roman" w:eastAsia="Times New Roman" w:hAnsi="Times New Roman" w:cs="Times New Roman"/>
      <w:sz w:val="24"/>
      <w:szCs w:val="24"/>
      <w:lang w:val="es-ES" w:eastAsia="es-ES"/>
    </w:rPr>
  </w:style>
  <w:style w:type="paragraph" w:customStyle="1" w:styleId="c2">
    <w:name w:val="c2"/>
    <w:basedOn w:val="Normal"/>
    <w:rsid w:val="00CA08AF"/>
    <w:pPr>
      <w:widowControl w:val="0"/>
      <w:spacing w:line="240" w:lineRule="atLeast"/>
      <w:jc w:val="center"/>
    </w:pPr>
    <w:rPr>
      <w:rFonts w:ascii="Times New Roman" w:eastAsia="Times New Roman" w:hAnsi="Times New Roman" w:cs="Times New Roman"/>
      <w:szCs w:val="20"/>
      <w:lang w:val="es-ES" w:eastAsia="es-ES"/>
    </w:rPr>
  </w:style>
  <w:style w:type="paragraph" w:styleId="Prrafodelista">
    <w:name w:val="List Paragraph"/>
    <w:aliases w:val="List Paragraph,Fotografía,Bullets,titulo 3,Numbered Paragraph,HOJA,Bolita,Párrafo de lista4,BOLADEF,Párrafo de lista3,Párrafo de lista21,BOLA,Nivel 1 OS,Colorful List Accent 1,Colorful List - Accent 11,Colorful List - Accent 111,Ha"/>
    <w:basedOn w:val="Normal"/>
    <w:link w:val="PrrafodelistaCar"/>
    <w:uiPriority w:val="34"/>
    <w:qFormat/>
    <w:rsid w:val="00691A06"/>
    <w:pPr>
      <w:ind w:left="720"/>
      <w:contextualSpacing/>
    </w:pPr>
    <w:rPr>
      <w:rFonts w:asciiTheme="minorHAnsi" w:eastAsiaTheme="minorHAnsi" w:hAnsiTheme="minorHAnsi" w:cstheme="minorBidi"/>
      <w:lang w:eastAsia="en-US"/>
    </w:rPr>
  </w:style>
  <w:style w:type="character" w:customStyle="1" w:styleId="PrrafodelistaCar">
    <w:name w:val="Párrafo de lista Car"/>
    <w:aliases w:val="List Paragraph Car,Fotografía Car,Bullets Car,titulo 3 Car,Numbered Paragraph Car,HOJA Car,Bolita Car,Párrafo de lista4 Car,BOLADEF Car,Párrafo de lista3 Car,Párrafo de lista21 Car,BOLA Car,Nivel 1 OS Car,Colorful List Accent 1 Car"/>
    <w:basedOn w:val="Fuentedeprrafopredeter"/>
    <w:link w:val="Prrafodelista"/>
    <w:uiPriority w:val="34"/>
    <w:qFormat/>
    <w:rsid w:val="00691A06"/>
    <w:rPr>
      <w:sz w:val="24"/>
      <w:szCs w:val="24"/>
      <w:lang w:val="es-ES_tradnl"/>
    </w:rPr>
  </w:style>
  <w:style w:type="table" w:styleId="Tablaconcuadrcula">
    <w:name w:val="Table Grid"/>
    <w:basedOn w:val="Tablanormal"/>
    <w:qFormat/>
    <w:rsid w:val="00106F8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TRABAJO,Sin espaciado2,No Spacing,Formato,A1,Sin espaciado11,No Spacing Car Car Car,No Spacing Car Car,Medium Grid 2,Sin Espacio,Arial,SIN ESPACIO,PONAL,Sin espaciado full,Sin espaciado3"/>
    <w:link w:val="SinespaciadoCar"/>
    <w:uiPriority w:val="1"/>
    <w:qFormat/>
    <w:rsid w:val="00106F89"/>
    <w:pPr>
      <w:spacing w:after="0" w:line="240" w:lineRule="auto"/>
    </w:pPr>
  </w:style>
  <w:style w:type="character" w:customStyle="1" w:styleId="SinespaciadoCar">
    <w:name w:val="Sin espaciado Car"/>
    <w:aliases w:val="Aries Car,k Car,Sin espaciado1 Car,TRABAJO Car,Sin espaciado2 Car,No Spacing Car,Formato Car,A1 Car,Sin espaciado11 Car,No Spacing Car Car Car Car,No Spacing Car Car Car1,Medium Grid 2 Car,Sin Espacio Car,Arial Car,SIN ESPACIO Car"/>
    <w:basedOn w:val="Fuentedeprrafopredeter"/>
    <w:link w:val="Sinespaciado"/>
    <w:uiPriority w:val="1"/>
    <w:rsid w:val="00106F89"/>
  </w:style>
  <w:style w:type="paragraph" w:customStyle="1" w:styleId="Default">
    <w:name w:val="Default"/>
    <w:link w:val="DefaultCar"/>
    <w:qFormat/>
    <w:rsid w:val="00106F89"/>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106F89"/>
    <w:rPr>
      <w:rFonts w:ascii="Arial" w:hAnsi="Arial" w:cs="Arial"/>
      <w:color w:val="000000"/>
      <w:sz w:val="24"/>
      <w:szCs w:val="24"/>
    </w:rPr>
  </w:style>
  <w:style w:type="paragraph" w:styleId="NormalWeb">
    <w:name w:val="Normal (Web)"/>
    <w:basedOn w:val="Normal"/>
    <w:uiPriority w:val="99"/>
    <w:unhideWhenUsed/>
    <w:qFormat/>
    <w:rsid w:val="00CA2C5C"/>
    <w:rPr>
      <w:rFonts w:ascii="Times New Roman" w:eastAsiaTheme="minorHAnsi" w:hAnsi="Times New Roman"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15</Pages>
  <Words>3732</Words>
  <Characters>20530</Characters>
  <Application>Microsoft Office Word</Application>
  <DocSecurity>0</DocSecurity>
  <Lines>171</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alcaldia aguadas</cp:lastModifiedBy>
  <cp:revision>18</cp:revision>
  <cp:lastPrinted>2025-02-07T22:19:00Z</cp:lastPrinted>
  <dcterms:created xsi:type="dcterms:W3CDTF">2025-01-28T19:54:00Z</dcterms:created>
  <dcterms:modified xsi:type="dcterms:W3CDTF">2026-09-18T19:54:00Z</dcterms:modified>
</cp:coreProperties>
</file>