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7780"/>
        </w:tabs>
        <w:spacing w:after="0" w:line="200" w:lineRule="auto"/>
        <w:ind w:right="-20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firstLine="708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ANEXO 4 — PACTO DE TRANSPARENCIA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Este documento hace parte integral de los documentos del proceso y con la firma de la carta de presentación de la propuesta el Proponente se compromete a: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Cumplir estrictamente la Ley aplicable. 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Interpretar de buena fe las normas aplicables a los procesos de contratación de manera que siempre produzcan los efectos buscados por las mismas. 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incurrir en faltas a la verdad o adulteración en los documentos o requisitos exigidos en el proceso de contratación. 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Igualmente se acepta que, durante la evaluación de las propuestas del proceso de contratación, primen los aspectos de fondo por encima de la forma, buscando siempre favorecer la libre competencia. 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  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  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  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Enviar por escrito a la entidad todas las preguntas o inquietudes que surjan durante el proceso de contratación y no hacerlo de manera oral por ningún medio, salvo que se realicen dentro de las audiencias públicas.  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 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 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utilizar en la etapa de verificación y evaluación de las propuestas, argumentos carentes de sustento probatorio para efectos de buscar la descalificación de competidores o la dilación del Proceso de selección. 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 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 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Solicitar o remitir a la Entidad, o a sus funcionarios y contratistas, cualquier información utilizando solamente los procesos y canales previstos en el Proceso de Contratación.  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 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 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  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Entidad siempre se manifestará sobre las inquietudes relacionadas con el Proceso de selección por los canales definidos en los documentos del Proceso.  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  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  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720" w:right="0" w:hanging="36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 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ind w:firstLine="708"/>
      <w:jc w:val="center"/>
      <w:rPr>
        <w:rFonts w:ascii="Verdana" w:cs="Verdana" w:eastAsia="Verdana" w:hAnsi="Verdana"/>
        <w:b w:val="1"/>
        <w:bCs w:val="1"/>
        <w:color w:val="000000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ANEXO 4— PACTO DE TRANSPARENCIA</w:t>
    </w:r>
  </w:p>
  <w:p w:rsidR="00000000" w:rsidDel="00000000" w:rsidP="00000000" w:rsidRDefault="00000000" w:rsidRPr="00000000" w14:paraId="0000001E">
    <w:pPr>
      <w:jc w:val="center"/>
      <w:rPr>
        <w:rFonts w:ascii="Verdana" w:cs="Verdana" w:eastAsia="Verdana" w:hAnsi="Verdana"/>
        <w:sz w:val="24"/>
        <w:szCs w:val="24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sz w:val="24"/>
        <w:szCs w:val="24"/>
        <w:rtl w:val="0"/>
      </w:rPr>
      <w:t xml:space="preserve">CONSULTORÍA DE ESTUDIOS DE INGENIERÍA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9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2">
    <w:lvl w:ilvl="0">
      <w:start w:val="10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3">
    <w:lvl w:ilvl="0">
      <w:start w:val="1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4">
    <w:lvl w:ilvl="0">
      <w:start w:val="12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5">
    <w:lvl w:ilvl="0">
      <w:start w:val="13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6">
    <w:lvl w:ilvl="0">
      <w:start w:val="14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7">
    <w:lvl w:ilvl="0">
      <w:start w:val="15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8">
    <w:lvl w:ilvl="0">
      <w:start w:val="16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9">
    <w:lvl w:ilvl="0">
      <w:start w:val="17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0">
    <w:lvl w:ilvl="0">
      <w:start w:val="18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1">
    <w:lvl w:ilvl="0">
      <w:start w:val="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2">
    <w:lvl w:ilvl="0">
      <w:start w:val="19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3">
    <w:lvl w:ilvl="0">
      <w:start w:val="20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4">
    <w:lvl w:ilvl="0">
      <w:start w:val="21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5">
    <w:lvl w:ilvl="0">
      <w:start w:val="22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6">
    <w:lvl w:ilvl="0">
      <w:start w:val="2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7">
    <w:lvl w:ilvl="0">
      <w:start w:val="3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8">
    <w:lvl w:ilvl="0">
      <w:start w:val="4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19">
    <w:lvl w:ilvl="0">
      <w:start w:val="5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20">
    <w:lvl w:ilvl="0">
      <w:start w:val="6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21">
    <w:lvl w:ilvl="0">
      <w:start w:val="7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abstractNum w:abstractNumId="22">
    <w:lvl w:ilvl="0">
      <w:start w:val="8"/>
      <w:numFmt w:val="lowerRoman"/>
      <w:lvlText w:val="%1."/>
      <w:lvlJc w:val="right"/>
      <w:pPr>
        <w:ind w:left="720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360"/>
      </w:pPr>
      <w:rPr/>
    </w:lvl>
    <w:lvl w:ilvl="3">
      <w:start w:val="1"/>
      <w:numFmt w:val="lowerRoman"/>
      <w:lvlText w:val="%4."/>
      <w:lvlJc w:val="right"/>
      <w:pPr>
        <w:ind w:left="2880" w:hanging="360"/>
      </w:pPr>
      <w:rPr/>
    </w:lvl>
    <w:lvl w:ilvl="4">
      <w:start w:val="1"/>
      <w:numFmt w:val="lowerRoman"/>
      <w:lvlText w:val="%5."/>
      <w:lvlJc w:val="righ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360"/>
      </w:pPr>
      <w:rPr/>
    </w:lvl>
    <w:lvl w:ilvl="6">
      <w:start w:val="1"/>
      <w:numFmt w:val="lowerRoman"/>
      <w:lvlText w:val="%7."/>
      <w:lvlJc w:val="right"/>
      <w:pPr>
        <w:ind w:left="5040" w:hanging="360"/>
      </w:pPr>
      <w:rPr/>
    </w:lvl>
    <w:lvl w:ilvl="7">
      <w:start w:val="1"/>
      <w:numFmt w:val="lowerRoman"/>
      <w:lvlText w:val="%8."/>
      <w:lvlJc w:val="righ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