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55683BDC"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285B31CE" w:rsidRPr="1037FCA2">
        <w:rPr>
          <w:rFonts w:ascii="Verdana" w:eastAsia="Verdana" w:hAnsi="Verdana" w:cs="Verdana"/>
          <w:lang w:val="es-419"/>
        </w:rPr>
        <w:t>l sector social</w:t>
      </w:r>
      <w:r w:rsidR="60C9B6A7" w:rsidRPr="1037FCA2">
        <w:rPr>
          <w:rFonts w:ascii="Verdana" w:eastAsia="Verdana" w:hAnsi="Verdana" w:cs="Verdana"/>
          <w:color w:val="000000" w:themeColor="text1"/>
          <w:lang w:val="es-419"/>
        </w:rPr>
        <w:t xml:space="preserve"> en </w:t>
      </w:r>
      <w:r w:rsidR="60C9B6A7" w:rsidRPr="1037FCA2">
        <w:rPr>
          <w:rFonts w:ascii="Verdana" w:eastAsia="Verdana" w:hAnsi="Verdana" w:cs="Verdana"/>
          <w:color w:val="000000" w:themeColor="text1"/>
          <w:highlight w:val="lightGray"/>
          <w:lang w:val="es-419"/>
        </w:rPr>
        <w:t>INSTITUCIONAL – SEGURIDAD PÚBLICA</w:t>
      </w:r>
      <w:r w:rsidR="285B31CE" w:rsidRPr="1037FCA2">
        <w:rPr>
          <w:rFonts w:ascii="Verdana" w:eastAsia="Verdana" w:hAnsi="Verdana" w:cs="Verdana"/>
          <w:lang w:val="es-419"/>
        </w:rPr>
        <w:t>.</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21154EF0"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menos el </w:t>
      </w:r>
      <w:r w:rsidRPr="1037FCA2">
        <w:rPr>
          <w:rFonts w:ascii="Verdana" w:eastAsia="Verdana" w:hAnsi="Verdana" w:cs="Verdana"/>
          <w:color w:val="000000" w:themeColor="text1"/>
          <w:highlight w:val="lightGray"/>
          <w:lang w:val="es-CO"/>
        </w:rPr>
        <w:t>[</w:t>
      </w:r>
      <w:r w:rsidRPr="1037FCA2">
        <w:rPr>
          <w:rFonts w:ascii="Verdana" w:eastAsia="Verdana" w:hAnsi="Verdana" w:cs="Verdana"/>
          <w:highlight w:val="lightGray"/>
          <w:lang w:val="es-MX" w:bidi="en-US"/>
        </w:rPr>
        <w:t>l</w:t>
      </w:r>
      <w:r w:rsidRPr="1037FCA2">
        <w:rPr>
          <w:rFonts w:ascii="Verdana" w:eastAsia="Verdana" w:hAnsi="Verdana" w:cs="Verdana"/>
          <w:color w:val="000000" w:themeColor="text1"/>
          <w:highlight w:val="lightGray"/>
        </w:rPr>
        <w:t xml:space="preserve">a Entidad Estatal incluirá el porcentaje definido en el numeral </w:t>
      </w:r>
      <w:r w:rsidR="1ECAF4AC" w:rsidRPr="1037FCA2">
        <w:rPr>
          <w:rFonts w:ascii="Verdana" w:eastAsia="Verdana" w:hAnsi="Verdana" w:cs="Verdana"/>
          <w:color w:val="000000" w:themeColor="text1"/>
          <w:highlight w:val="lightGray"/>
        </w:rPr>
        <w:t>5.1.4.1</w:t>
      </w:r>
      <w:r w:rsidRPr="1037FCA2">
        <w:rPr>
          <w:rFonts w:ascii="Verdana" w:eastAsia="Verdana" w:hAnsi="Verdana" w:cs="Verdana"/>
          <w:color w:val="000000" w:themeColor="text1"/>
          <w:highlight w:val="lightGray"/>
        </w:rPr>
        <w:t xml:space="preserve"> de</w:t>
      </w:r>
      <w:r w:rsidR="1ECAF4AC" w:rsidRPr="1037FCA2">
        <w:rPr>
          <w:rFonts w:ascii="Verdana" w:eastAsia="Verdana" w:hAnsi="Verdana" w:cs="Verdana"/>
          <w:color w:val="000000" w:themeColor="text1"/>
          <w:highlight w:val="lightGray"/>
        </w:rPr>
        <w:t xml:space="preserve"> la invitación</w:t>
      </w:r>
      <w:r w:rsidRPr="1037FCA2">
        <w:rPr>
          <w:rFonts w:ascii="Verdana" w:eastAsia="Verdana" w:hAnsi="Verdana" w:cs="Verdana"/>
          <w:color w:val="000000" w:themeColor="text1"/>
          <w:highlight w:val="lightGray"/>
        </w:rPr>
        <w:t>]</w:t>
      </w:r>
      <w:r w:rsidRPr="1037FCA2">
        <w:rPr>
          <w:rFonts w:ascii="Verdana" w:eastAsia="Verdana" w:hAnsi="Verdana" w:cs="Verdana"/>
          <w:color w:val="000000" w:themeColor="text1"/>
        </w:rPr>
        <w:t xml:space="preserve"> </w:t>
      </w:r>
      <w:r w:rsidRPr="1037FCA2">
        <w:rPr>
          <w:rFonts w:ascii="Verdana" w:eastAsia="Verdana" w:hAnsi="Verdana" w:cs="Verdana"/>
          <w:color w:val="000000" w:themeColor="text1"/>
          <w:lang w:val="es-CO"/>
        </w:rPr>
        <w:t xml:space="preserve">del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58583E5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l sector social</w:t>
      </w:r>
      <w:r w:rsidR="6AD707EA" w:rsidRPr="1037FCA2">
        <w:rPr>
          <w:rFonts w:ascii="Verdana" w:eastAsia="Verdana" w:hAnsi="Verdana" w:cs="Verdana"/>
          <w:color w:val="000000" w:themeColor="text1"/>
          <w:lang w:val="es-419"/>
        </w:rPr>
        <w:t xml:space="preserve"> en </w:t>
      </w:r>
      <w:r w:rsidR="6AD707EA" w:rsidRPr="1037FCA2">
        <w:rPr>
          <w:rFonts w:ascii="Verdana" w:eastAsia="Verdana" w:hAnsi="Verdana" w:cs="Verdana"/>
          <w:color w:val="000000" w:themeColor="text1"/>
          <w:highlight w:val="lightGray"/>
          <w:lang w:val="es-419"/>
        </w:rPr>
        <w:t>INSTITUCIONAL – SEGURIDAD PÚBLICA</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712B5A88" w14:textId="01754193"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l sector social</w:t>
      </w:r>
      <w:r w:rsidR="48909C50" w:rsidRPr="1037FCA2">
        <w:rPr>
          <w:rFonts w:ascii="Verdana" w:eastAsia="Verdana" w:hAnsi="Verdana" w:cs="Verdana"/>
          <w:color w:val="000000" w:themeColor="text1"/>
          <w:lang w:val="es-419"/>
        </w:rPr>
        <w:t xml:space="preserve"> en </w:t>
      </w:r>
      <w:r w:rsidR="48909C50" w:rsidRPr="1037FCA2">
        <w:rPr>
          <w:rFonts w:ascii="Verdana" w:eastAsia="Verdana" w:hAnsi="Verdana" w:cs="Verdana"/>
          <w:color w:val="000000" w:themeColor="text1"/>
          <w:highlight w:val="lightGray"/>
          <w:lang w:val="es-419"/>
        </w:rPr>
        <w:t>INSTITUCIONAL – SEGURIDAD PÚBLICA</w:t>
      </w:r>
      <w:r w:rsidRPr="1037FCA2">
        <w:rPr>
          <w:rFonts w:ascii="Verdana" w:eastAsia="Verdana" w:hAnsi="Verdana" w:cs="Verdana"/>
          <w:lang w:val="es-MX"/>
        </w:rPr>
        <w:t xml:space="preserve">. </w:t>
      </w:r>
    </w:p>
    <w:p w14:paraId="273CFABC" w14:textId="77777777" w:rsidR="00EC153F" w:rsidRPr="008C30C8" w:rsidRDefault="00EC153F" w:rsidP="1037FCA2">
      <w:pPr>
        <w:spacing w:after="0" w:line="240" w:lineRule="auto"/>
        <w:jc w:val="both"/>
        <w:rPr>
          <w:rFonts w:ascii="Verdana" w:eastAsia="Verdana" w:hAnsi="Verdana" w:cs="Verdana"/>
          <w:lang w:val="es-MX"/>
        </w:rPr>
      </w:pP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2"/>
        <w:gridCol w:w="3183"/>
        <w:gridCol w:w="3181"/>
      </w:tblGrid>
      <w:tr w:rsidR="009E1A9B" w:rsidRPr="008C30C8" w14:paraId="62340968" w14:textId="77777777" w:rsidTr="007E4E92">
        <w:trPr>
          <w:trHeight w:val="290"/>
          <w:tblHeader/>
        </w:trPr>
        <w:tc>
          <w:tcPr>
            <w:tcW w:w="1471" w:type="pct"/>
            <w:vMerge w:val="restart"/>
            <w:shd w:val="clear" w:color="auto" w:fill="B8B7B7"/>
            <w:vAlign w:val="center"/>
            <w:hideMark/>
          </w:tcPr>
          <w:p w14:paraId="5EB016EB" w14:textId="2E3C42D9"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529" w:type="pct"/>
            <w:gridSpan w:val="2"/>
            <w:shd w:val="clear" w:color="auto" w:fill="B8B7B7"/>
            <w:vAlign w:val="center"/>
            <w:hideMark/>
          </w:tcPr>
          <w:p w14:paraId="246C1A27" w14:textId="00024524" w:rsidR="009E1A9B" w:rsidRPr="008C30C8" w:rsidRDefault="1DBC2931" w:rsidP="1037FCA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7E4E92">
        <w:trPr>
          <w:trHeight w:val="290"/>
          <w:tblHeader/>
        </w:trPr>
        <w:tc>
          <w:tcPr>
            <w:tcW w:w="1471" w:type="pct"/>
            <w:vMerge/>
            <w:vAlign w:val="center"/>
            <w:hideMark/>
          </w:tcPr>
          <w:p w14:paraId="0159C050" w14:textId="77777777" w:rsidR="009E1A9B" w:rsidRPr="008C30C8" w:rsidRDefault="009E1A9B" w:rsidP="009E1A9B">
            <w:pPr>
              <w:spacing w:after="0" w:line="240" w:lineRule="auto"/>
              <w:rPr>
                <w:rFonts w:ascii="Verdana" w:eastAsia="Times New Roman" w:hAnsi="Verdana" w:cs="Arial"/>
                <w:b/>
                <w:bCs/>
                <w:color w:val="000000"/>
                <w:sz w:val="18"/>
                <w:szCs w:val="18"/>
                <w:lang w:val="es-CO" w:eastAsia="es-CO"/>
              </w:rPr>
            </w:pPr>
          </w:p>
        </w:tc>
        <w:tc>
          <w:tcPr>
            <w:tcW w:w="1765" w:type="pct"/>
            <w:shd w:val="clear" w:color="auto" w:fill="B8B7B7"/>
            <w:vAlign w:val="center"/>
            <w:hideMark/>
          </w:tcPr>
          <w:p w14:paraId="11AC1FD1" w14:textId="46996799"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p w14:paraId="6B337542" w14:textId="2360CC3C" w:rsidR="009E1A9B" w:rsidRPr="008C30C8" w:rsidRDefault="29AA5A88"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1037FCA2">
              <w:rPr>
                <w:rFonts w:ascii="Verdana" w:eastAsia="Verdana" w:hAnsi="Verdana" w:cs="Verdana"/>
                <w:b/>
                <w:bCs/>
                <w:color w:val="000000" w:themeColor="text1"/>
                <w:sz w:val="20"/>
                <w:szCs w:val="20"/>
                <w:highlight w:val="lightGray"/>
              </w:rPr>
              <w:t>]</w:t>
            </w:r>
          </w:p>
        </w:tc>
        <w:tc>
          <w:tcPr>
            <w:tcW w:w="1765" w:type="pct"/>
            <w:shd w:val="clear" w:color="auto" w:fill="B8B7B7"/>
            <w:vAlign w:val="center"/>
            <w:hideMark/>
          </w:tcPr>
          <w:p w14:paraId="413EC388" w14:textId="33A1B24E" w:rsidR="009E1A9B" w:rsidRPr="008C30C8" w:rsidRDefault="1DBC2931" w:rsidP="1037FCA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p w14:paraId="302647A9" w14:textId="04ECAB65" w:rsidR="009E1A9B" w:rsidRPr="008C30C8" w:rsidRDefault="43A14067"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 xml:space="preserve">[La Entidad deberá definir los </w:t>
            </w:r>
            <w:r w:rsidR="633D80D0" w:rsidRPr="1037FCA2">
              <w:rPr>
                <w:rFonts w:ascii="Verdana" w:eastAsia="Verdana" w:hAnsi="Verdana" w:cs="Verdana"/>
                <w:b/>
                <w:bCs/>
                <w:color w:val="000000" w:themeColor="text1"/>
                <w:sz w:val="20"/>
                <w:szCs w:val="20"/>
                <w:highlight w:val="lightGray"/>
                <w:lang w:val="es-CO"/>
              </w:rPr>
              <w:t xml:space="preserve">elementos o materiales producidos </w:t>
            </w:r>
            <w:r w:rsidRPr="1037FCA2">
              <w:rPr>
                <w:rFonts w:ascii="Verdana" w:eastAsia="Verdana" w:hAnsi="Verdana" w:cs="Verdana"/>
                <w:b/>
                <w:bCs/>
                <w:color w:val="000000" w:themeColor="text1"/>
                <w:sz w:val="20"/>
                <w:szCs w:val="20"/>
                <w:highlight w:val="lightGray"/>
                <w:lang w:val="es-CO"/>
              </w:rPr>
              <w:t>necesarios para el proyecto del sector social a ejecutar</w:t>
            </w:r>
            <w:r w:rsidRPr="1037FCA2">
              <w:rPr>
                <w:rFonts w:ascii="Verdana" w:eastAsia="Verdana" w:hAnsi="Verdana" w:cs="Verdana"/>
                <w:b/>
                <w:bCs/>
                <w:color w:val="000000" w:themeColor="text1"/>
                <w:sz w:val="20"/>
                <w:szCs w:val="20"/>
                <w:highlight w:val="lightGray"/>
              </w:rPr>
              <w:t>]</w:t>
            </w:r>
          </w:p>
        </w:tc>
      </w:tr>
      <w:tr w:rsidR="009E1A9B" w:rsidRPr="008C30C8" w14:paraId="2C78D5A6" w14:textId="77777777" w:rsidTr="007E4E92">
        <w:trPr>
          <w:trHeight w:val="290"/>
        </w:trPr>
        <w:tc>
          <w:tcPr>
            <w:tcW w:w="1471" w:type="pct"/>
            <w:vMerge w:val="restart"/>
            <w:vAlign w:val="top"/>
            <w:hideMark/>
          </w:tcPr>
          <w:p>
            <w:r/>
            <w:r>
              <w:rPr>
                <w:rFonts w:ascii="Arial" w:hAnsi="Arial"/>
                <w:b w:val="0"/>
                <w:sz w:val="16"/>
              </w:rPr>
              <w:t>1. OBRAS EN PROYECTOS DE INFRAESTRUCTURA INSTITUCIONAL DE SEGURIDAD PÚBLICA</w:t>
            </w:r>
          </w:p>
        </w:tc>
        <w:tc>
          <w:tcPr>
            <w:tcW w:w="1765" w:type="pct"/>
            <w:noWrap/>
            <w:vAlign w:val="bottom"/>
            <w:hideMark/>
          </w:tcPr>
          <w:p w14:paraId="0411D2AA" w14:textId="2F69AF06" w:rsidR="009E1A9B" w:rsidRPr="008C30C8" w:rsidRDefault="4FB14A5C"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c>
          <w:tcPr>
            <w:tcW w:w="1765" w:type="pct"/>
            <w:noWrap/>
            <w:vAlign w:val="bottom"/>
            <w:hideMark/>
          </w:tcPr>
          <w:p w14:paraId="3ACB834C" w14:textId="6256CD47" w:rsidR="009E1A9B" w:rsidRPr="008C30C8" w:rsidRDefault="300703C0" w:rsidP="1037FCA2">
            <w:pPr>
              <w:spacing w:after="0" w:line="240" w:lineRule="auto"/>
              <w:jc w:val="center"/>
              <w:rPr>
                <w:rFonts w:ascii="Verdana" w:eastAsia="Verdana" w:hAnsi="Verdana" w:cs="Verdana"/>
                <w:b/>
                <w:bCs/>
                <w:color w:val="000000"/>
                <w:sz w:val="20"/>
                <w:szCs w:val="20"/>
                <w:lang w:val="es-CO"/>
              </w:rPr>
            </w:pPr>
            <w:r w:rsidRPr="1037FCA2">
              <w:rPr>
                <w:rFonts w:ascii="Verdana" w:eastAsia="Verdana" w:hAnsi="Verdana" w:cs="Verdana"/>
                <w:b/>
                <w:bCs/>
                <w:color w:val="000000" w:themeColor="text1"/>
                <w:sz w:val="20"/>
                <w:szCs w:val="20"/>
                <w:highlight w:val="lightGray"/>
                <w:lang w:val="es-CO"/>
              </w:rPr>
              <w:t>[Por ejemplo</w:t>
            </w:r>
            <w:r w:rsidRPr="1037FCA2">
              <w:rPr>
                <w:rFonts w:ascii="Verdana" w:eastAsia="Verdana" w:hAnsi="Verdana" w:cs="Verdana"/>
                <w:b/>
                <w:bCs/>
                <w:color w:val="000000" w:themeColor="text1"/>
                <w:sz w:val="20"/>
                <w:szCs w:val="20"/>
                <w:highlight w:val="lightGray"/>
              </w:rPr>
              <w:t>]</w:t>
            </w:r>
          </w:p>
        </w:tc>
      </w:tr>
      <w:tr w:rsidR="009E1A9B" w:rsidRPr="008C30C8" w14:paraId="75C00B90" w14:textId="77777777" w:rsidTr="007E4E92">
        <w:trPr>
          <w:trHeight w:val="300"/>
        </w:trPr>
        <w:tc>
          <w:tcPr>
            <w:tcW w:w="1471" w:type="pct"/>
            <w:vMerge/>
            <w:vAlign w:val="center"/>
            <w:hideMark/>
          </w:tcPr>
          <w:p w14:paraId="6C55BFEA"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0730582" w14:textId="6F33666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Cemento</w:t>
            </w:r>
          </w:p>
        </w:tc>
        <w:tc>
          <w:tcPr>
            <w:tcW w:w="1765" w:type="pct"/>
            <w:noWrap/>
            <w:vAlign w:val="bottom"/>
            <w:hideMark/>
          </w:tcPr>
          <w:p w14:paraId="356C6EC1" w14:textId="00BF3EC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hidráulico</w:t>
            </w:r>
          </w:p>
        </w:tc>
      </w:tr>
      <w:tr w:rsidR="009E1A9B" w:rsidRPr="008C30C8" w14:paraId="655A52CA" w14:textId="77777777" w:rsidTr="007E4E92">
        <w:trPr>
          <w:trHeight w:val="300"/>
        </w:trPr>
        <w:tc>
          <w:tcPr>
            <w:tcW w:w="1471" w:type="pct"/>
            <w:vMerge/>
            <w:vAlign w:val="center"/>
            <w:hideMark/>
          </w:tcPr>
          <w:p w14:paraId="63888C05"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4DDA8106" w14:textId="550CE3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fino</w:t>
            </w:r>
          </w:p>
        </w:tc>
        <w:tc>
          <w:tcPr>
            <w:tcW w:w="1765" w:type="pct"/>
            <w:noWrap/>
            <w:vAlign w:val="bottom"/>
            <w:hideMark/>
          </w:tcPr>
          <w:p w14:paraId="65C7E97B" w14:textId="0D72346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Concreto reforzado</w:t>
            </w:r>
          </w:p>
        </w:tc>
      </w:tr>
      <w:tr w:rsidR="009E1A9B" w:rsidRPr="008C30C8" w14:paraId="389F3714" w14:textId="77777777" w:rsidTr="007E4E92">
        <w:trPr>
          <w:trHeight w:val="300"/>
        </w:trPr>
        <w:tc>
          <w:tcPr>
            <w:tcW w:w="1471" w:type="pct"/>
            <w:vMerge/>
            <w:vAlign w:val="center"/>
            <w:hideMark/>
          </w:tcPr>
          <w:p w14:paraId="552708C4" w14:textId="77777777" w:rsidR="009E1A9B" w:rsidRPr="008C30C8" w:rsidRDefault="009E1A9B" w:rsidP="009E1A9B">
            <w:pPr>
              <w:spacing w:after="0" w:line="240" w:lineRule="auto"/>
              <w:rPr>
                <w:rFonts w:ascii="Verdana" w:eastAsia="Times New Roman" w:hAnsi="Verdana" w:cs="Arial"/>
                <w:b/>
                <w:bCs/>
                <w:sz w:val="18"/>
                <w:szCs w:val="18"/>
                <w:lang w:val="es-CO" w:eastAsia="es-CO"/>
              </w:rPr>
            </w:pPr>
          </w:p>
        </w:tc>
        <w:tc>
          <w:tcPr>
            <w:tcW w:w="1765" w:type="pct"/>
            <w:noWrap/>
            <w:vAlign w:val="bottom"/>
            <w:hideMark/>
          </w:tcPr>
          <w:p w14:paraId="1F36E06C" w14:textId="5E50063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w:t>
            </w:r>
          </w:p>
        </w:tc>
        <w:tc>
          <w:tcPr>
            <w:tcW w:w="1765" w:type="pct"/>
            <w:shd w:val="clear" w:color="auto" w:fill="FFFFFF" w:themeFill="background1"/>
            <w:noWrap/>
            <w:vAlign w:val="bottom"/>
            <w:hideMark/>
          </w:tcPr>
          <w:p w14:paraId="450900C7" w14:textId="629A351F"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madera</w:t>
            </w:r>
          </w:p>
        </w:tc>
      </w:tr>
      <w:tr w:rsidR="1037FCA2" w14:paraId="08EDE3C2" w14:textId="77777777" w:rsidTr="007E4E92">
        <w:trPr>
          <w:trHeight w:val="300"/>
        </w:trPr>
        <w:tc>
          <w:tcPr>
            <w:tcW w:w="2652" w:type="dxa"/>
            <w:vMerge/>
            <w:vAlign w:val="center"/>
            <w:hideMark/>
          </w:tcPr>
          <w:p w14:paraId="55113CA5" w14:textId="77777777" w:rsidR="005C0521" w:rsidRDefault="005C0521"/>
        </w:tc>
        <w:tc>
          <w:tcPr>
            <w:tcW w:w="3183" w:type="dxa"/>
            <w:noWrap/>
            <w:vAlign w:val="bottom"/>
            <w:hideMark/>
          </w:tcPr>
          <w:p w14:paraId="0882F56C" w14:textId="19531AC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río</w:t>
            </w:r>
          </w:p>
        </w:tc>
        <w:tc>
          <w:tcPr>
            <w:tcW w:w="3181" w:type="dxa"/>
            <w:shd w:val="clear" w:color="auto" w:fill="FFFFFF" w:themeFill="background1"/>
            <w:noWrap/>
            <w:vAlign w:val="bottom"/>
            <w:hideMark/>
          </w:tcPr>
          <w:p w14:paraId="00AC68F1" w14:textId="269D354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de concreto</w:t>
            </w:r>
          </w:p>
        </w:tc>
      </w:tr>
      <w:tr w:rsidR="1037FCA2" w14:paraId="1616D6D0" w14:textId="77777777" w:rsidTr="007E4E92">
        <w:trPr>
          <w:trHeight w:val="300"/>
        </w:trPr>
        <w:tc>
          <w:tcPr>
            <w:tcW w:w="2652" w:type="dxa"/>
            <w:vMerge/>
            <w:vAlign w:val="center"/>
            <w:hideMark/>
          </w:tcPr>
          <w:p w14:paraId="7F5DBFAB" w14:textId="77777777" w:rsidR="005C0521" w:rsidRDefault="005C0521"/>
        </w:tc>
        <w:tc>
          <w:tcPr>
            <w:tcW w:w="3183" w:type="dxa"/>
            <w:noWrap/>
            <w:vAlign w:val="bottom"/>
            <w:hideMark/>
          </w:tcPr>
          <w:p w14:paraId="5F0955DD" w14:textId="2C94292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Arena de peña</w:t>
            </w:r>
          </w:p>
        </w:tc>
        <w:tc>
          <w:tcPr>
            <w:tcW w:w="3181" w:type="dxa"/>
            <w:shd w:val="clear" w:color="auto" w:fill="FFFFFF" w:themeFill="background1"/>
            <w:noWrap/>
            <w:vAlign w:val="bottom"/>
            <w:hideMark/>
          </w:tcPr>
          <w:p w14:paraId="40915C60" w14:textId="6CA1979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Prefabricados metálicos</w:t>
            </w:r>
          </w:p>
        </w:tc>
      </w:tr>
      <w:tr w:rsidR="1037FCA2" w14:paraId="7E99B955" w14:textId="77777777" w:rsidTr="007E4E92">
        <w:trPr>
          <w:trHeight w:val="300"/>
        </w:trPr>
        <w:tc>
          <w:tcPr>
            <w:tcW w:w="2652" w:type="dxa"/>
            <w:vMerge/>
            <w:vAlign w:val="center"/>
            <w:hideMark/>
          </w:tcPr>
          <w:p w14:paraId="718221FF" w14:textId="77777777" w:rsidR="005C0521" w:rsidRDefault="005C0521"/>
        </w:tc>
        <w:tc>
          <w:tcPr>
            <w:tcW w:w="3183" w:type="dxa"/>
            <w:noWrap/>
            <w:vAlign w:val="bottom"/>
            <w:hideMark/>
          </w:tcPr>
          <w:p w14:paraId="6E512087" w14:textId="31A9FD7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Agregado grueso</w:t>
            </w:r>
          </w:p>
        </w:tc>
        <w:tc>
          <w:tcPr>
            <w:tcW w:w="3181" w:type="dxa"/>
            <w:shd w:val="clear" w:color="auto" w:fill="FFFFFF" w:themeFill="background1"/>
            <w:noWrap/>
            <w:vAlign w:val="bottom"/>
            <w:hideMark/>
          </w:tcPr>
          <w:p w14:paraId="599C3B95" w14:textId="7DA7DF4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Sanitarios</w:t>
            </w:r>
          </w:p>
        </w:tc>
      </w:tr>
      <w:tr w:rsidR="1037FCA2" w14:paraId="16BE2813" w14:textId="77777777" w:rsidTr="007E4E92">
        <w:trPr>
          <w:trHeight w:val="300"/>
        </w:trPr>
        <w:tc>
          <w:tcPr>
            <w:tcW w:w="2652" w:type="dxa"/>
            <w:vMerge/>
            <w:vAlign w:val="center"/>
            <w:hideMark/>
          </w:tcPr>
          <w:p w14:paraId="5BE93BC5" w14:textId="77777777" w:rsidR="005C0521" w:rsidRDefault="005C0521"/>
        </w:tc>
        <w:tc>
          <w:tcPr>
            <w:tcW w:w="3183" w:type="dxa"/>
            <w:noWrap/>
            <w:vAlign w:val="bottom"/>
            <w:hideMark/>
          </w:tcPr>
          <w:p w14:paraId="4364E7D2" w14:textId="1101259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Grava</w:t>
            </w:r>
          </w:p>
        </w:tc>
        <w:tc>
          <w:tcPr>
            <w:tcW w:w="3181" w:type="dxa"/>
            <w:shd w:val="clear" w:color="auto" w:fill="FFFFFF" w:themeFill="background1"/>
            <w:noWrap/>
            <w:vAlign w:val="bottom"/>
            <w:hideMark/>
          </w:tcPr>
          <w:p w14:paraId="09061441" w14:textId="6FA1EFA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Lavamanos</w:t>
            </w:r>
          </w:p>
        </w:tc>
      </w:tr>
      <w:tr w:rsidR="1037FCA2" w14:paraId="6673AFF8" w14:textId="77777777" w:rsidTr="007E4E92">
        <w:trPr>
          <w:trHeight w:val="300"/>
        </w:trPr>
        <w:tc>
          <w:tcPr>
            <w:tcW w:w="2652" w:type="dxa"/>
            <w:vMerge/>
            <w:vAlign w:val="center"/>
            <w:hideMark/>
          </w:tcPr>
          <w:p w14:paraId="5943EC66" w14:textId="77777777" w:rsidR="005C0521" w:rsidRDefault="005C0521"/>
        </w:tc>
        <w:tc>
          <w:tcPr>
            <w:tcW w:w="3183" w:type="dxa"/>
            <w:noWrap/>
            <w:vAlign w:val="bottom"/>
            <w:hideMark/>
          </w:tcPr>
          <w:p w14:paraId="56F5165C" w14:textId="60827BC0"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Acero</w:t>
            </w:r>
          </w:p>
        </w:tc>
        <w:tc>
          <w:tcPr>
            <w:tcW w:w="3181" w:type="dxa"/>
            <w:shd w:val="clear" w:color="auto" w:fill="FFFFFF" w:themeFill="background1"/>
            <w:noWrap/>
            <w:vAlign w:val="bottom"/>
            <w:hideMark/>
          </w:tcPr>
          <w:p w14:paraId="4B03466D" w14:textId="3004A6D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Mobiliario</w:t>
            </w:r>
          </w:p>
        </w:tc>
      </w:tr>
      <w:tr w:rsidR="1037FCA2" w14:paraId="20AAB881" w14:textId="77777777" w:rsidTr="007E4E92">
        <w:trPr>
          <w:trHeight w:val="300"/>
        </w:trPr>
        <w:tc>
          <w:tcPr>
            <w:tcW w:w="2652" w:type="dxa"/>
            <w:vMerge/>
            <w:vAlign w:val="center"/>
            <w:hideMark/>
          </w:tcPr>
          <w:p w14:paraId="3C6B8801" w14:textId="77777777" w:rsidR="005C0521" w:rsidRDefault="005C0521"/>
        </w:tc>
        <w:tc>
          <w:tcPr>
            <w:tcW w:w="3183" w:type="dxa"/>
            <w:noWrap/>
            <w:vAlign w:val="bottom"/>
            <w:hideMark/>
          </w:tcPr>
          <w:p w14:paraId="2B7857C1" w14:textId="356DBFE0"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66F17315" w14:textId="341A14E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Mampostería</w:t>
            </w:r>
          </w:p>
        </w:tc>
      </w:tr>
      <w:tr w:rsidR="1037FCA2" w14:paraId="3A93CD6C" w14:textId="77777777" w:rsidTr="007E4E92">
        <w:trPr>
          <w:trHeight w:val="300"/>
        </w:trPr>
        <w:tc>
          <w:tcPr>
            <w:tcW w:w="2652" w:type="dxa"/>
            <w:vMerge/>
            <w:vAlign w:val="center"/>
            <w:hideMark/>
          </w:tcPr>
          <w:p w14:paraId="01B05311" w14:textId="77777777" w:rsidR="005C0521" w:rsidRDefault="005C0521"/>
        </w:tc>
        <w:tc>
          <w:tcPr>
            <w:tcW w:w="3183" w:type="dxa"/>
            <w:noWrap/>
            <w:vAlign w:val="bottom"/>
            <w:hideMark/>
          </w:tcPr>
          <w:p w14:paraId="0A206E93" w14:textId="3F263978"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3644ED6" w14:textId="2EC62E1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Puertas</w:t>
            </w:r>
          </w:p>
        </w:tc>
      </w:tr>
      <w:tr w:rsidR="1037FCA2" w14:paraId="4ACE8DD2" w14:textId="77777777" w:rsidTr="007E4E92">
        <w:trPr>
          <w:trHeight w:val="300"/>
        </w:trPr>
        <w:tc>
          <w:tcPr>
            <w:tcW w:w="2652" w:type="dxa"/>
            <w:vMerge/>
            <w:vAlign w:val="center"/>
            <w:hideMark/>
          </w:tcPr>
          <w:p w14:paraId="29227BE0" w14:textId="77777777" w:rsidR="005C0521" w:rsidRDefault="005C0521"/>
        </w:tc>
        <w:tc>
          <w:tcPr>
            <w:tcW w:w="3183" w:type="dxa"/>
            <w:noWrap/>
            <w:vAlign w:val="bottom"/>
            <w:hideMark/>
          </w:tcPr>
          <w:p w14:paraId="4D6E3BDE" w14:textId="0CC45817"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061904BD" w14:textId="734E9F28" w:rsidR="25ED7318" w:rsidRDefault="25ED7318"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Baldosas / cerámicas / Tabletas</w:t>
            </w:r>
          </w:p>
        </w:tc>
      </w:tr>
      <w:tr w:rsidR="1037FCA2" w14:paraId="68BDFE70" w14:textId="77777777" w:rsidTr="007E4E92">
        <w:trPr>
          <w:trHeight w:val="300"/>
        </w:trPr>
        <w:tc>
          <w:tcPr>
            <w:tcW w:w="2652" w:type="dxa"/>
            <w:vMerge/>
            <w:vAlign w:val="center"/>
            <w:hideMark/>
          </w:tcPr>
          <w:p w14:paraId="61D5ED47" w14:textId="77777777" w:rsidR="005C0521" w:rsidRDefault="005C0521"/>
        </w:tc>
        <w:tc>
          <w:tcPr>
            <w:tcW w:w="3183" w:type="dxa"/>
            <w:noWrap/>
            <w:vAlign w:val="bottom"/>
            <w:hideMark/>
          </w:tcPr>
          <w:p w14:paraId="678E7C39" w14:textId="6F538EAD"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BE5FB11" w14:textId="56ABB29B"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 electrosoldada</w:t>
            </w:r>
          </w:p>
        </w:tc>
      </w:tr>
      <w:tr w:rsidR="1037FCA2" w14:paraId="4B588265" w14:textId="77777777" w:rsidTr="007E4E92">
        <w:trPr>
          <w:trHeight w:val="300"/>
        </w:trPr>
        <w:tc>
          <w:tcPr>
            <w:tcW w:w="2652" w:type="dxa"/>
            <w:vMerge/>
            <w:vAlign w:val="center"/>
            <w:hideMark/>
          </w:tcPr>
          <w:p w14:paraId="3FB4BBFA" w14:textId="77777777" w:rsidR="005C0521" w:rsidRDefault="005C0521"/>
        </w:tc>
        <w:tc>
          <w:tcPr>
            <w:tcW w:w="3183" w:type="dxa"/>
            <w:noWrap/>
            <w:vAlign w:val="bottom"/>
            <w:hideMark/>
          </w:tcPr>
          <w:p w14:paraId="334F60CC" w14:textId="1DF21B9F"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BD5A88A" w14:textId="11D4941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Tubería</w:t>
            </w:r>
          </w:p>
        </w:tc>
      </w:tr>
      <w:tr w:rsidR="1037FCA2" w14:paraId="1BD7BECF" w14:textId="77777777" w:rsidTr="007E4E92">
        <w:trPr>
          <w:trHeight w:val="300"/>
        </w:trPr>
        <w:tc>
          <w:tcPr>
            <w:tcW w:w="2652" w:type="dxa"/>
            <w:vMerge/>
            <w:vAlign w:val="center"/>
            <w:hideMark/>
          </w:tcPr>
          <w:p w14:paraId="41841123" w14:textId="77777777" w:rsidR="005C0521" w:rsidRDefault="005C0521"/>
        </w:tc>
        <w:tc>
          <w:tcPr>
            <w:tcW w:w="3183" w:type="dxa"/>
            <w:noWrap/>
            <w:vAlign w:val="bottom"/>
            <w:hideMark/>
          </w:tcPr>
          <w:p w14:paraId="105CCAA1" w14:textId="4A06131C"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43A4926" w14:textId="462204FC"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Pintura</w:t>
            </w:r>
          </w:p>
        </w:tc>
      </w:tr>
      <w:tr w:rsidR="1037FCA2" w14:paraId="62EDCA51" w14:textId="77777777" w:rsidTr="007E4E92">
        <w:trPr>
          <w:trHeight w:val="300"/>
        </w:trPr>
        <w:tc>
          <w:tcPr>
            <w:tcW w:w="2652" w:type="dxa"/>
            <w:vMerge/>
            <w:vAlign w:val="center"/>
            <w:hideMark/>
          </w:tcPr>
          <w:p w14:paraId="3368A37F" w14:textId="77777777" w:rsidR="005C0521" w:rsidRDefault="005C0521"/>
        </w:tc>
        <w:tc>
          <w:tcPr>
            <w:tcW w:w="3183" w:type="dxa"/>
            <w:noWrap/>
            <w:vAlign w:val="bottom"/>
            <w:hideMark/>
          </w:tcPr>
          <w:p w14:paraId="65B5C3BB" w14:textId="515DCD85" w:rsidR="1037FCA2" w:rsidRDefault="1037FCA2" w:rsidP="1037FCA2">
            <w:pPr>
              <w:spacing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34D2C75A" w14:textId="1E406338"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Ladrillo</w:t>
            </w:r>
          </w:p>
        </w:tc>
      </w:tr>
      <w:tr w:rsidR="1037FCA2" w14:paraId="5A6A9361" w14:textId="77777777" w:rsidTr="007E4E92">
        <w:trPr>
          <w:trHeight w:val="300"/>
        </w:trPr>
        <w:tc>
          <w:tcPr>
            <w:tcW w:w="2652" w:type="dxa"/>
            <w:vMerge/>
            <w:vAlign w:val="center"/>
            <w:hideMark/>
          </w:tcPr>
          <w:p w14:paraId="7D671F5A" w14:textId="77777777" w:rsidR="005C0521" w:rsidRDefault="005C0521"/>
        </w:tc>
        <w:tc>
          <w:tcPr>
            <w:tcW w:w="3183" w:type="dxa"/>
            <w:noWrap/>
            <w:vAlign w:val="bottom"/>
            <w:hideMark/>
          </w:tcPr>
          <w:p w14:paraId="4F7B3C68" w14:textId="51DCD9BD"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50D9E215" w14:textId="4D1E8AF1"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Ventanería</w:t>
            </w:r>
          </w:p>
        </w:tc>
      </w:tr>
      <w:tr w:rsidR="1037FCA2" w14:paraId="56E350B1" w14:textId="77777777" w:rsidTr="007E4E92">
        <w:trPr>
          <w:trHeight w:val="300"/>
        </w:trPr>
        <w:tc>
          <w:tcPr>
            <w:tcW w:w="2652" w:type="dxa"/>
            <w:vMerge/>
            <w:vAlign w:val="center"/>
            <w:hideMark/>
          </w:tcPr>
          <w:p w14:paraId="481B3EAF" w14:textId="77777777" w:rsidR="005C0521" w:rsidRDefault="005C0521"/>
        </w:tc>
        <w:tc>
          <w:tcPr>
            <w:tcW w:w="3183" w:type="dxa"/>
            <w:noWrap/>
            <w:vAlign w:val="bottom"/>
            <w:hideMark/>
          </w:tcPr>
          <w:p w14:paraId="04B5F93F" w14:textId="54EECA8C"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E27415" w14:textId="598AECCE"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Tejas</w:t>
            </w:r>
          </w:p>
        </w:tc>
      </w:tr>
      <w:tr w:rsidR="1037FCA2" w14:paraId="3C10AEC6" w14:textId="77777777" w:rsidTr="007E4E92">
        <w:trPr>
          <w:trHeight w:val="300"/>
        </w:trPr>
        <w:tc>
          <w:tcPr>
            <w:tcW w:w="2652" w:type="dxa"/>
            <w:vMerge/>
            <w:vAlign w:val="center"/>
            <w:hideMark/>
          </w:tcPr>
          <w:p w14:paraId="4E7D9AC9" w14:textId="77777777" w:rsidR="005C0521" w:rsidRDefault="005C0521"/>
        </w:tc>
        <w:tc>
          <w:tcPr>
            <w:tcW w:w="3183" w:type="dxa"/>
            <w:noWrap/>
            <w:vAlign w:val="bottom"/>
            <w:hideMark/>
          </w:tcPr>
          <w:p w14:paraId="2D64DCB7" w14:textId="7A7793FE" w:rsidR="1037FCA2" w:rsidRDefault="1037FCA2" w:rsidP="1037FCA2">
            <w:pPr>
              <w:spacing w:after="0" w:line="240" w:lineRule="auto"/>
              <w:rPr>
                <w:rFonts w:ascii="Verdana" w:eastAsia="Verdana" w:hAnsi="Verdana" w:cs="Verdana"/>
                <w:color w:val="000000" w:themeColor="text1"/>
                <w:highlight w:val="lightGray"/>
                <w:lang w:val="es-CO"/>
              </w:rPr>
            </w:pPr>
          </w:p>
        </w:tc>
        <w:tc>
          <w:tcPr>
            <w:tcW w:w="3181" w:type="dxa"/>
            <w:shd w:val="clear" w:color="auto" w:fill="FFFFFF" w:themeFill="background1"/>
            <w:noWrap/>
            <w:vAlign w:val="bottom"/>
            <w:hideMark/>
          </w:tcPr>
          <w:p w14:paraId="136DC7B8" w14:textId="5F7C940D"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w:t>
            </w:r>
          </w:p>
        </w:tc>
      </w:tr>
      <w:tr w:rsidR="1037FCA2" w14:paraId="327A3B23" w14:textId="77777777" w:rsidTr="007E4E92">
        <w:trPr>
          <w:trHeight w:val="300"/>
        </w:trPr>
        <w:tc>
          <w:tcPr>
            <w:tcW w:w="2652" w:type="dxa"/>
            <w:vMerge/>
            <w:vAlign w:val="center"/>
            <w:hideMark/>
          </w:tcPr>
          <w:p w14:paraId="707C0505" w14:textId="77777777" w:rsidR="005C0521" w:rsidRDefault="005C0521"/>
        </w:tc>
        <w:tc>
          <w:tcPr>
            <w:tcW w:w="3183" w:type="dxa"/>
            <w:noWrap/>
            <w:vAlign w:val="bottom"/>
            <w:hideMark/>
          </w:tcPr>
          <w:p w14:paraId="4FCCC9EF" w14:textId="5DED7082"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ACD60F" w14:textId="17FB49D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Grama sintética</w:t>
            </w:r>
          </w:p>
        </w:tc>
      </w:tr>
      <w:tr w:rsidR="1037FCA2" w14:paraId="661CE03B" w14:textId="77777777" w:rsidTr="007E4E92">
        <w:trPr>
          <w:trHeight w:val="300"/>
        </w:trPr>
        <w:tc>
          <w:tcPr>
            <w:tcW w:w="2652" w:type="dxa"/>
            <w:vMerge/>
            <w:vAlign w:val="center"/>
            <w:hideMark/>
          </w:tcPr>
          <w:p w14:paraId="7A313B48" w14:textId="77777777" w:rsidR="005C0521" w:rsidRDefault="005C0521"/>
        </w:tc>
        <w:tc>
          <w:tcPr>
            <w:tcW w:w="3183" w:type="dxa"/>
            <w:noWrap/>
            <w:vAlign w:val="bottom"/>
            <w:hideMark/>
          </w:tcPr>
          <w:p w14:paraId="3736E8CF" w14:textId="213667E0"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71F30058" w14:textId="4437CFDA"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Tableros de canchas</w:t>
            </w:r>
          </w:p>
        </w:tc>
      </w:tr>
      <w:tr w:rsidR="1037FCA2" w14:paraId="3672077D" w14:textId="77777777" w:rsidTr="007E4E92">
        <w:trPr>
          <w:trHeight w:val="300"/>
        </w:trPr>
        <w:tc>
          <w:tcPr>
            <w:tcW w:w="2652" w:type="dxa"/>
            <w:vMerge/>
            <w:vAlign w:val="center"/>
            <w:hideMark/>
          </w:tcPr>
          <w:p w14:paraId="42A6B1D7" w14:textId="77777777" w:rsidR="005C0521" w:rsidRDefault="005C0521"/>
        </w:tc>
        <w:tc>
          <w:tcPr>
            <w:tcW w:w="3183" w:type="dxa"/>
            <w:noWrap/>
            <w:vAlign w:val="bottom"/>
            <w:hideMark/>
          </w:tcPr>
          <w:p w14:paraId="2BAFE1A1" w14:textId="4797523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095FFFBD" w14:textId="6EAD4805"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Mallas de canchas</w:t>
            </w:r>
          </w:p>
        </w:tc>
      </w:tr>
      <w:tr w:rsidR="1037FCA2" w14:paraId="4D17BCEE" w14:textId="77777777" w:rsidTr="007E4E92">
        <w:trPr>
          <w:trHeight w:val="300"/>
        </w:trPr>
        <w:tc>
          <w:tcPr>
            <w:tcW w:w="2652" w:type="dxa"/>
            <w:vMerge/>
            <w:vAlign w:val="center"/>
            <w:hideMark/>
          </w:tcPr>
          <w:p w14:paraId="57E98C15" w14:textId="77777777" w:rsidR="005C0521" w:rsidRDefault="005C0521"/>
        </w:tc>
        <w:tc>
          <w:tcPr>
            <w:tcW w:w="3183" w:type="dxa"/>
            <w:noWrap/>
            <w:vAlign w:val="bottom"/>
            <w:hideMark/>
          </w:tcPr>
          <w:p w14:paraId="6230E78D" w14:textId="303E271A"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9ADA58D" w14:textId="5D795869"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Postes metálicos</w:t>
            </w:r>
          </w:p>
        </w:tc>
      </w:tr>
      <w:tr w:rsidR="1037FCA2" w14:paraId="45D0F80C" w14:textId="77777777" w:rsidTr="007E4E92">
        <w:trPr>
          <w:trHeight w:val="300"/>
        </w:trPr>
        <w:tc>
          <w:tcPr>
            <w:tcW w:w="2652" w:type="dxa"/>
            <w:vMerge/>
            <w:vAlign w:val="center"/>
            <w:hideMark/>
          </w:tcPr>
          <w:p w14:paraId="0E090947" w14:textId="77777777" w:rsidR="005C0521" w:rsidRDefault="005C0521"/>
        </w:tc>
        <w:tc>
          <w:tcPr>
            <w:tcW w:w="3183" w:type="dxa"/>
            <w:noWrap/>
            <w:vAlign w:val="bottom"/>
            <w:hideMark/>
          </w:tcPr>
          <w:p w14:paraId="35DB4D47" w14:textId="58D1160C"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2E332EEC" w14:textId="41290FA6"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Arcos metálicos</w:t>
            </w:r>
          </w:p>
        </w:tc>
      </w:tr>
      <w:tr w:rsidR="1037FCA2" w14:paraId="7E19D3E0" w14:textId="77777777" w:rsidTr="007E4E92">
        <w:trPr>
          <w:trHeight w:val="300"/>
        </w:trPr>
        <w:tc>
          <w:tcPr>
            <w:tcW w:w="2652" w:type="dxa"/>
            <w:vMerge/>
            <w:vAlign w:val="center"/>
            <w:hideMark/>
          </w:tcPr>
          <w:p w14:paraId="46FE641C" w14:textId="77777777" w:rsidR="005C0521" w:rsidRDefault="005C0521"/>
        </w:tc>
        <w:tc>
          <w:tcPr>
            <w:tcW w:w="3183" w:type="dxa"/>
            <w:noWrap/>
            <w:vAlign w:val="bottom"/>
            <w:hideMark/>
          </w:tcPr>
          <w:p w14:paraId="18349890" w14:textId="600F9753"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5B4CB62" w14:textId="691FD0C4"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Impermeabilizantes</w:t>
            </w:r>
          </w:p>
        </w:tc>
      </w:tr>
      <w:tr w:rsidR="1037FCA2" w14:paraId="3E3FF4D0" w14:textId="77777777" w:rsidTr="007E4E92">
        <w:trPr>
          <w:trHeight w:val="300"/>
        </w:trPr>
        <w:tc>
          <w:tcPr>
            <w:tcW w:w="2652" w:type="dxa"/>
            <w:vMerge/>
            <w:vAlign w:val="center"/>
            <w:hideMark/>
          </w:tcPr>
          <w:p w14:paraId="407AC0F3" w14:textId="77777777" w:rsidR="005C0521" w:rsidRDefault="005C0521"/>
        </w:tc>
        <w:tc>
          <w:tcPr>
            <w:tcW w:w="3183" w:type="dxa"/>
            <w:noWrap/>
            <w:vAlign w:val="bottom"/>
            <w:hideMark/>
          </w:tcPr>
          <w:p w14:paraId="35B4C694" w14:textId="481236C5"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4F80E05F" w14:textId="4C4D4A72" w:rsidR="1037FCA2" w:rsidRDefault="1037FCA2" w:rsidP="1037FCA2">
            <w:pPr>
              <w:spacing w:after="0" w:line="240" w:lineRule="auto"/>
              <w:rPr>
                <w:rFonts w:ascii="Verdana" w:eastAsia="Verdana" w:hAnsi="Verdana" w:cs="Verdana"/>
                <w:color w:val="000000" w:themeColor="text1"/>
                <w:highlight w:val="lightGray"/>
              </w:rPr>
            </w:pPr>
            <w:r w:rsidRPr="1037FCA2">
              <w:rPr>
                <w:rFonts w:ascii="Verdana" w:eastAsia="Verdana" w:hAnsi="Verdana" w:cs="Verdana"/>
                <w:color w:val="000000" w:themeColor="text1"/>
                <w:highlight w:val="lightGray"/>
                <w:lang w:val="es-CO"/>
              </w:rPr>
              <w:t>Elementos acústicos</w:t>
            </w:r>
          </w:p>
        </w:tc>
      </w:tr>
      <w:tr w:rsidR="1037FCA2" w14:paraId="6CD5ACB3" w14:textId="77777777" w:rsidTr="007E4E92">
        <w:trPr>
          <w:trHeight w:val="300"/>
        </w:trPr>
        <w:tc>
          <w:tcPr>
            <w:tcW w:w="2652" w:type="dxa"/>
            <w:vMerge/>
            <w:vAlign w:val="center"/>
            <w:hideMark/>
          </w:tcPr>
          <w:p w14:paraId="316635E1" w14:textId="77777777" w:rsidR="005C0521" w:rsidRDefault="005C0521"/>
        </w:tc>
        <w:tc>
          <w:tcPr>
            <w:tcW w:w="3183" w:type="dxa"/>
            <w:noWrap/>
            <w:vAlign w:val="bottom"/>
            <w:hideMark/>
          </w:tcPr>
          <w:p w14:paraId="361D5F66" w14:textId="7E57C2E9" w:rsidR="1037FCA2" w:rsidRDefault="1037FCA2" w:rsidP="1037FCA2">
            <w:pPr>
              <w:spacing w:line="240" w:lineRule="auto"/>
              <w:rPr>
                <w:rFonts w:ascii="Verdana" w:eastAsia="Verdana" w:hAnsi="Verdana" w:cs="Verdana"/>
                <w:color w:val="000000" w:themeColor="text1"/>
                <w:sz w:val="18"/>
                <w:szCs w:val="18"/>
                <w:highlight w:val="lightGray"/>
                <w:lang w:val="es-CO" w:eastAsia="es-CO"/>
              </w:rPr>
            </w:pPr>
          </w:p>
        </w:tc>
        <w:tc>
          <w:tcPr>
            <w:tcW w:w="3181" w:type="dxa"/>
            <w:shd w:val="clear" w:color="auto" w:fill="FFFFFF" w:themeFill="background1"/>
            <w:noWrap/>
            <w:vAlign w:val="bottom"/>
            <w:hideMark/>
          </w:tcPr>
          <w:p w14:paraId="38D37A5D" w14:textId="255A2C61" w:rsidR="1037FCA2" w:rsidRDefault="1037FCA2" w:rsidP="1037FCA2">
            <w:pPr>
              <w:spacing w:after="0" w:line="240" w:lineRule="auto"/>
              <w:rPr>
                <w:rFonts w:ascii="Verdana" w:eastAsia="Verdana" w:hAnsi="Verdana" w:cs="Verdana"/>
                <w:color w:val="000000" w:themeColor="text1"/>
                <w:highlight w:val="lightGray"/>
                <w:lang w:val="es-CO"/>
              </w:rPr>
            </w:pPr>
            <w:r w:rsidRPr="1037FCA2">
              <w:rPr>
                <w:rFonts w:ascii="Verdana" w:eastAsia="Verdana" w:hAnsi="Verdana" w:cs="Verdana"/>
                <w:color w:val="000000" w:themeColor="text1"/>
                <w:highlight w:val="lightGray"/>
                <w:lang w:val="es-CO"/>
              </w:rPr>
              <w:t>Luminarias</w:t>
            </w:r>
          </w:p>
        </w:tc>
      </w:tr>
    </w:tbl>
    <w:p w14:paraId="12CF1C83" w14:textId="635A4184" w:rsidR="1037FCA2" w:rsidRDefault="1037FCA2" w:rsidP="1037FCA2">
      <w:pPr>
        <w:rPr>
          <w:rFonts w:ascii="Verdana" w:eastAsia="Verdana" w:hAnsi="Verdana" w:cs="Verdana"/>
        </w:rPr>
      </w:pPr>
    </w:p>
    <w:p w14:paraId="3E186271" w14:textId="77777777" w:rsidR="009E1A9B" w:rsidRPr="008C30C8" w:rsidRDefault="009E1A9B"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p>
      <w:r>
        <w:rPr>
          <w:rFonts w:ascii="Arial" w:hAnsi="Arial"/>
          <w:b/>
          <w:sz w:val="24"/>
        </w:rPr>
        <w:t>APLICACIÓN AL PROCESO 025-MC-BASPC26-2026</w:t>
      </w:r>
    </w:p>
    <w:p>
      <w:r>
        <w:rPr>
          <w:b/>
        </w:rPr>
        <w:t xml:space="preserve">Objeto: </w:t>
      </w:r>
      <w:r>
        <w:t>Servicio de mantenimiento de bienes inmuebles con destino al BASPC26 y sus unidades centralizadas – vigencia 2026.</w:t>
      </w:r>
    </w:p>
    <w:p>
      <w:r>
        <w:rPr>
          <w:b/>
        </w:rPr>
        <w:t>Estado de aplicación: se incorporaron los APU ajustados y cantidades físicas del proceso 025. Se consolidan materiales iguales por código, unidad y costo. El mortero se desagrega en cemento, arena y agua y se excluye el recargo del 10% de producción/equipo. El cálculo preliminar de bienes y componentes asciende a $38.310.925,12. Incluye $1.515.900 de anclajes y remates cuyo material debe separarse del servicio; también deben desglosarse los kits de perfilería y herrajes. Por ello los porcentajes y candidatos no constituyen identificación definitiva de bienes nacionales relevantes.</w:t>
      </w:r>
    </w:p>
    <w:tbl>
      <w:tblPr>
        <w:tblW w:type="auto" w:w="0"/>
        <w:jc w:val="center"/>
        <w:tblLook w:firstColumn="1" w:firstRow="1" w:lastColumn="0" w:lastRow="0" w:noHBand="0" w:noVBand="1" w:val="04A0"/>
      </w:tblPr>
      <w:tblGrid>
        <w:gridCol w:w="2472"/>
        <w:gridCol w:w="2472"/>
        <w:gridCol w:w="2472"/>
        <w:gridCol w:w="2472"/>
      </w:tblGrid>
      <w:tr>
        <w:trPr>
          <w:cantSplit/>
        </w:trPr>
        <w:tc>
          <w:tcPr>
            <w:tcW w:type="dxa" w:w="2472"/>
            <w:vAlign w:val="top"/>
            <w:shd w:fill="D9EAF7"/>
          </w:tcPr>
          <w:p>
            <w:r/>
            <w:r>
              <w:rPr>
                <w:rFonts w:ascii="Arial" w:hAnsi="Arial"/>
                <w:b/>
                <w:sz w:val="14"/>
              </w:rPr>
              <w:t>Ítem(s)</w:t>
            </w:r>
          </w:p>
        </w:tc>
        <w:tc>
          <w:tcPr>
            <w:tcW w:type="dxa" w:w="2472"/>
            <w:vAlign w:val="top"/>
            <w:shd w:fill="D9EAF7"/>
          </w:tcPr>
          <w:p>
            <w:r/>
            <w:r>
              <w:rPr>
                <w:rFonts w:ascii="Arial" w:hAnsi="Arial"/>
                <w:b/>
                <w:sz w:val="14"/>
              </w:rPr>
              <w:t>Bien / insumo candidato</w:t>
            </w:r>
          </w:p>
        </w:tc>
        <w:tc>
          <w:tcPr>
            <w:tcW w:type="dxa" w:w="2472"/>
            <w:vAlign w:val="top"/>
            <w:shd w:fill="D9EAF7"/>
          </w:tcPr>
          <w:p>
            <w:r/>
            <w:r>
              <w:rPr>
                <w:rFonts w:ascii="Arial" w:hAnsi="Arial"/>
                <w:b/>
                <w:sz w:val="14"/>
              </w:rPr>
              <w:t>Estado</w:t>
            </w:r>
          </w:p>
        </w:tc>
        <w:tc>
          <w:tcPr>
            <w:tcW w:type="dxa" w:w="2472"/>
            <w:vAlign w:val="top"/>
            <w:shd w:fill="D9EAF7"/>
          </w:tcPr>
          <w:p>
            <w:r/>
            <w:r>
              <w:rPr>
                <w:rFonts w:ascii="Arial" w:hAnsi="Arial"/>
                <w:b/>
                <w:sz w:val="14"/>
              </w:rPr>
              <w:t>Dato requerido para cierre</w:t>
            </w:r>
          </w:p>
        </w:tc>
      </w:tr>
      <w:tr>
        <w:trPr>
          <w:cantSplit/>
        </w:trPr>
        <w:tc>
          <w:tcPr>
            <w:tcW w:type="dxa" w:w="2472"/>
            <w:vAlign w:val="top"/>
          </w:tcPr>
          <w:p>
            <w:r/>
            <w:r>
              <w:rPr>
                <w:rFonts w:ascii="Arial" w:hAnsi="Arial"/>
                <w:b w:val="0"/>
                <w:sz w:val="14"/>
              </w:rPr>
              <w:t>1</w:t>
            </w:r>
          </w:p>
        </w:tc>
        <w:tc>
          <w:tcPr>
            <w:tcW w:type="dxa" w:w="2472"/>
            <w:vAlign w:val="top"/>
          </w:tcPr>
          <w:p>
            <w:r>
              <w:rPr>
                <w:rFonts w:ascii="Arial" w:hAnsi="Arial"/>
                <w:b w:val="0"/>
                <w:sz w:val="14"/>
              </w:rPr>
              <w:t>Panel PVC; perfiles y fijaciones; masilla/pinturas</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r>
        <w:trPr>
          <w:cantSplit/>
        </w:trPr>
        <w:tc>
          <w:tcPr>
            <w:tcW w:type="dxa" w:w="2472"/>
            <w:vAlign w:val="top"/>
          </w:tcPr>
          <w:p>
            <w:r/>
            <w:r>
              <w:rPr>
                <w:rFonts w:ascii="Arial" w:hAnsi="Arial"/>
                <w:b w:val="0"/>
                <w:sz w:val="14"/>
              </w:rPr>
              <w:t>2–4</w:t>
            </w:r>
          </w:p>
        </w:tc>
        <w:tc>
          <w:tcPr>
            <w:tcW w:type="dxa" w:w="2472"/>
            <w:vAlign w:val="top"/>
          </w:tcPr>
          <w:p>
            <w:r>
              <w:rPr>
                <w:rFonts w:ascii="Arial" w:hAnsi="Arial"/>
                <w:b w:val="0"/>
                <w:sz w:val="14"/>
              </w:rPr>
              <w:t>Cerámica antideslizante; pegante; boquilla; Cerámica cortada a H=10 cm; pegante; boquilla; Cerámica tipo Antique/equivalente; pegante; boquilla</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r>
        <w:trPr>
          <w:cantSplit/>
        </w:trPr>
        <w:tc>
          <w:tcPr>
            <w:tcW w:type="dxa" w:w="2472"/>
            <w:vAlign w:val="top"/>
          </w:tcPr>
          <w:p>
            <w:r/>
            <w:r>
              <w:rPr>
                <w:rFonts w:ascii="Arial" w:hAnsi="Arial"/>
                <w:b w:val="0"/>
                <w:sz w:val="14"/>
              </w:rPr>
              <w:t>5</w:t>
            </w:r>
          </w:p>
        </w:tc>
        <w:tc>
          <w:tcPr>
            <w:tcW w:type="dxa" w:w="2472"/>
            <w:vAlign w:val="top"/>
          </w:tcPr>
          <w:p>
            <w:r>
              <w:rPr>
                <w:rFonts w:ascii="Arial" w:hAnsi="Arial"/>
                <w:b w:val="0"/>
                <w:sz w:val="14"/>
              </w:rPr>
              <w:t>Perfilería sistema 744; vidrio 4 mm; herrajes; empaque; silicona</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r>
        <w:trPr>
          <w:cantSplit/>
        </w:trPr>
        <w:tc>
          <w:tcPr>
            <w:tcW w:type="dxa" w:w="2472"/>
            <w:vAlign w:val="top"/>
          </w:tcPr>
          <w:p>
            <w:r/>
            <w:r>
              <w:rPr>
                <w:rFonts w:ascii="Arial" w:hAnsi="Arial"/>
                <w:b w:val="0"/>
                <w:sz w:val="14"/>
              </w:rPr>
              <w:t>8</w:t>
            </w:r>
          </w:p>
        </w:tc>
        <w:tc>
          <w:tcPr>
            <w:tcW w:type="dxa" w:w="2472"/>
            <w:vAlign w:val="top"/>
          </w:tcPr>
          <w:p>
            <w:r>
              <w:rPr>
                <w:rFonts w:ascii="Arial" w:hAnsi="Arial"/>
                <w:b w:val="0"/>
                <w:sz w:val="14"/>
              </w:rPr>
              <w:t>Ladrillo cerámico hueco; cemento/arena/agua del mortero; grafil; anclajes</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r>
        <w:trPr>
          <w:cantSplit/>
        </w:trPr>
        <w:tc>
          <w:tcPr>
            <w:tcW w:type="dxa" w:w="2472"/>
            <w:vAlign w:val="top"/>
          </w:tcPr>
          <w:p>
            <w:r/>
            <w:r>
              <w:rPr>
                <w:rFonts w:ascii="Arial" w:hAnsi="Arial"/>
                <w:b w:val="0"/>
                <w:sz w:val="14"/>
              </w:rPr>
              <w:t>11</w:t>
            </w:r>
          </w:p>
        </w:tc>
        <w:tc>
          <w:tcPr>
            <w:tcW w:type="dxa" w:w="2472"/>
            <w:vAlign w:val="top"/>
          </w:tcPr>
          <w:p>
            <w:r>
              <w:rPr>
                <w:rFonts w:ascii="Arial" w:hAnsi="Arial"/>
                <w:b w:val="0"/>
                <w:sz w:val="14"/>
              </w:rPr>
              <w:t>Teja trapezoidal; tornillos; primer; esmalte; 20 ml de remates; 4 perfiles de 6 m</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r>
        <w:trPr>
          <w:cantSplit/>
        </w:trPr>
        <w:tc>
          <w:tcPr>
            <w:tcW w:type="dxa" w:w="2472"/>
            <w:vAlign w:val="top"/>
          </w:tcPr>
          <w:p>
            <w:r/>
            <w:r>
              <w:rPr>
                <w:rFonts w:ascii="Arial" w:hAnsi="Arial"/>
                <w:b w:val="0"/>
                <w:sz w:val="14"/>
              </w:rPr>
              <w:t>12</w:t>
            </w:r>
          </w:p>
        </w:tc>
        <w:tc>
          <w:tcPr>
            <w:tcW w:type="dxa" w:w="2472"/>
            <w:vAlign w:val="top"/>
          </w:tcPr>
          <w:p>
            <w:r>
              <w:rPr>
                <w:rFonts w:ascii="Arial" w:hAnsi="Arial"/>
                <w:b w:val="0"/>
                <w:sz w:val="14"/>
              </w:rPr>
              <w:t>Conductor cobre; conduit; cajas; interruptor; fijaciones; luminaria LED 24 W</w:t>
            </w:r>
          </w:p>
        </w:tc>
        <w:tc>
          <w:tcPr>
            <w:tcW w:type="dxa" w:w="2472"/>
            <w:vAlign w:val="top"/>
          </w:tcPr>
          <w:p>
            <w:r>
              <w:rPr>
                <w:rFonts w:ascii="Arial" w:hAnsi="Arial"/>
                <w:b w:val="0"/>
                <w:sz w:val="14"/>
              </w:rPr>
              <w:t>Cuantificado en soporte; pendiente cierre/RPBN</w:t>
            </w:r>
          </w:p>
        </w:tc>
        <w:tc>
          <w:tcPr>
            <w:tcW w:type="dxa" w:w="2472"/>
            <w:vAlign w:val="top"/>
          </w:tcPr>
          <w:p>
            <w:r>
              <w:rPr>
                <w:rFonts w:ascii="Arial" w:hAnsi="Arial"/>
                <w:b w:val="0"/>
                <w:sz w:val="14"/>
              </w:rPr>
              <w:t>APU ajustados y cantidades programadas; despiece de kits/anclajes/remates cuando corresponde; aval técnico y RPBN.</w:t>
            </w:r>
          </w:p>
        </w:tc>
      </w:tr>
    </w:tbl>
    <w:p>
      <w:r>
        <w:rPr>
          <w:b/>
        </w:rPr>
        <w:t>La hoja de cálculo ordena los componentes por valor y calcula participación, acumulado hasta 80% o aproximado inferior y promedio. El escenario preliminar arroja promedio 7,8903% para diez componentes en ese tramo. Los candidatos preliminares por participación son perfil PVC de cielorraso, cerámica tipo Antique/equivalente, lámina PVC y teja trapezoidal. Tras cerrar despieces se recalculará el conjunto completo y se verificará RPBN al publicar, con vigencia posterior al cierre. Se conserva la metodología oficial; no se confunden precios integrales con precios de material.</w:t>
      </w:r>
    </w:p>
    <w:p>
      <w:r>
        <w:rPr>
          <w:b/>
        </w:rPr>
        <w:t xml:space="preserve">Archivo de cálculo asociado: </w:t>
      </w:r>
      <w:r>
        <w:t>Soporte_Calculo_Matriz_4_Bienes_Nacionales_025-MC-BASPC26-2026.xlsx.</w:t>
      </w:r>
    </w:p>
    <w:p>
      <w:r>
        <w:rPr>
          <w:b/>
        </w:rPr>
        <w:t xml:space="preserve">Control de publicación: </w:t>
      </w:r>
      <w:r>
        <w:t>No incorporar una lista definitiva de bienes nacionales relevantes en la invitación hasta finalizar el cálculo y la verificación del RPBN.</w:t>
      </w:r>
    </w:p>
    <w:sectPr w:rsidR="009E1A9B" w:rsidRPr="008C30C8" w:rsidSect="006E747C">
      <w:headerReference w:type="default" r:id="rId12"/>
      <w:footerReference w:type="default" r:id="rId13"/>
      <w:pgSz w:w="11906" w:h="16838"/>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D8C65" w14:textId="77777777" w:rsidR="00D23651" w:rsidRDefault="00D23651" w:rsidP="00EC30DA">
      <w:pPr>
        <w:spacing w:after="0" w:line="240" w:lineRule="auto"/>
      </w:pPr>
      <w:r>
        <w:separator/>
      </w:r>
    </w:p>
  </w:endnote>
  <w:endnote w:type="continuationSeparator" w:id="0">
    <w:p w14:paraId="4ADD2580" w14:textId="77777777" w:rsidR="00D23651" w:rsidRDefault="00D2365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E5039" w14:textId="77777777" w:rsidR="00D23651" w:rsidRDefault="00D23651" w:rsidP="00EC30DA">
      <w:pPr>
        <w:spacing w:after="0" w:line="240" w:lineRule="auto"/>
      </w:pPr>
      <w:r>
        <w:separator/>
      </w:r>
    </w:p>
  </w:footnote>
  <w:footnote w:type="continuationSeparator" w:id="0">
    <w:p w14:paraId="0C9F52EF" w14:textId="77777777" w:rsidR="00D23651" w:rsidRDefault="00D23651"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16837493">
    <w:abstractNumId w:val="0"/>
  </w:num>
  <w:num w:numId="2" w16cid:durableId="1402750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124A4D"/>
    <w:rsid w:val="001445B5"/>
    <w:rsid w:val="00152E47"/>
    <w:rsid w:val="00183013"/>
    <w:rsid w:val="002565AB"/>
    <w:rsid w:val="0026252D"/>
    <w:rsid w:val="002867D6"/>
    <w:rsid w:val="002A43EE"/>
    <w:rsid w:val="00344870"/>
    <w:rsid w:val="00346A69"/>
    <w:rsid w:val="003B3739"/>
    <w:rsid w:val="00440605"/>
    <w:rsid w:val="004D3C93"/>
    <w:rsid w:val="005212AB"/>
    <w:rsid w:val="00583AE8"/>
    <w:rsid w:val="00586544"/>
    <w:rsid w:val="005A77CA"/>
    <w:rsid w:val="005C0521"/>
    <w:rsid w:val="005E4DD5"/>
    <w:rsid w:val="00637767"/>
    <w:rsid w:val="0068540B"/>
    <w:rsid w:val="006E74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B16C53"/>
    <w:rsid w:val="00BB3689"/>
    <w:rsid w:val="00C54631"/>
    <w:rsid w:val="00C652C0"/>
    <w:rsid w:val="00CE23D6"/>
    <w:rsid w:val="00D05617"/>
    <w:rsid w:val="00D23651"/>
    <w:rsid w:val="00D72554"/>
    <w:rsid w:val="00D9367F"/>
    <w:rsid w:val="00DA4845"/>
    <w:rsid w:val="00EC153F"/>
    <w:rsid w:val="00EC30DA"/>
    <w:rsid w:val="00EF052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1045</Words>
  <Characters>5752</Characters>
  <Application>Microsoft Office Word</Application>
  <DocSecurity>0</DocSecurity>
  <Lines>47</Lines>
  <Paragraphs>13</Paragraphs>
  <ScaleCrop>false</ScaleCrop>
  <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Carlos Mario Castrillón Endo</cp:lastModifiedBy>
  <cp:revision>17</cp:revision>
  <cp:lastPrinted>2021-10-06T14:45:00Z</cp:lastPrinted>
  <dcterms:created xsi:type="dcterms:W3CDTF">2022-12-12T17:18:00Z</dcterms:created>
  <dcterms:modified xsi:type="dcterms:W3CDTF">2025-08-28T19:07:00Z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