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DC178" w14:textId="77777777" w:rsidR="00E904BE" w:rsidRDefault="00000000">
      <w:pPr>
        <w:spacing w:after="80"/>
        <w:jc w:val="center"/>
        <w:rPr>
          <w:b/>
          <w:bCs/>
          <w:sz w:val="32"/>
          <w:szCs w:val="32"/>
        </w:rPr>
      </w:pPr>
      <w:r>
        <w:rPr>
          <w:b/>
          <w:bCs/>
          <w:sz w:val="32"/>
          <w:szCs w:val="32"/>
        </w:rPr>
        <w:t>ANEXO TÉCNICO</w:t>
      </w:r>
    </w:p>
    <w:p w14:paraId="25101FED" w14:textId="77777777" w:rsidR="00C82312" w:rsidRDefault="00C82312">
      <w:pPr>
        <w:spacing w:after="80"/>
        <w:jc w:val="center"/>
      </w:pPr>
    </w:p>
    <w:p w14:paraId="476DC179" w14:textId="77777777" w:rsidR="00E904BE" w:rsidRDefault="00000000">
      <w:pPr>
        <w:spacing w:after="80"/>
        <w:jc w:val="center"/>
        <w:rPr>
          <w:b/>
          <w:bCs/>
        </w:rPr>
      </w:pPr>
      <w:r>
        <w:rPr>
          <w:b/>
          <w:bCs/>
        </w:rPr>
        <w:t>PRESTAR EL SERVICIO DE MANTENIMIENTO PREVENTIVO Y CORRECTIVO, CON SUMINISTRO DE REPUESTOS ORIGINALES A MONTO AGOTABLE, PARA LOS SISTEMAS DE BOMBEO DE LAS SEDES A CARGO DE LA DIRECCIÓN SECCIONAL DE ADMINISTRACIÓN JUDICIAL DE CUNDINAMARCA - AMAZONAS, INCLUYENDO EL SUMINISTRO DE INSUMOS MEDIANTE BOLSA DE REPUESTOS</w:t>
      </w:r>
    </w:p>
    <w:p w14:paraId="3EA6D44F" w14:textId="77777777" w:rsidR="00C82312" w:rsidRDefault="00C82312">
      <w:pPr>
        <w:spacing w:after="80"/>
        <w:jc w:val="center"/>
      </w:pPr>
    </w:p>
    <w:p w14:paraId="476DC17A" w14:textId="673507B2" w:rsidR="00E904BE" w:rsidRDefault="00000000">
      <w:pPr>
        <w:pBdr>
          <w:bottom w:val="single" w:sz="6" w:space="0" w:color="3B3838"/>
        </w:pBdr>
        <w:spacing w:after="320"/>
        <w:jc w:val="center"/>
        <w:rPr>
          <w:i/>
          <w:iCs/>
          <w:sz w:val="20"/>
          <w:szCs w:val="20"/>
        </w:rPr>
      </w:pPr>
      <w:r>
        <w:rPr>
          <w:i/>
          <w:iCs/>
          <w:sz w:val="20"/>
          <w:szCs w:val="20"/>
        </w:rPr>
        <w:t xml:space="preserve">Consejo Superior de la Judicatura - Dirección Seccional de Administración Judicial de Cundinamarca </w:t>
      </w:r>
      <w:r w:rsidR="00C82312">
        <w:rPr>
          <w:i/>
          <w:iCs/>
          <w:sz w:val="20"/>
          <w:szCs w:val="20"/>
        </w:rPr>
        <w:t>–</w:t>
      </w:r>
      <w:r>
        <w:rPr>
          <w:i/>
          <w:iCs/>
          <w:sz w:val="20"/>
          <w:szCs w:val="20"/>
        </w:rPr>
        <w:t xml:space="preserve"> Amazonas</w:t>
      </w:r>
    </w:p>
    <w:p w14:paraId="49C2F861" w14:textId="77777777" w:rsidR="00C82312" w:rsidRDefault="00C82312">
      <w:pPr>
        <w:pBdr>
          <w:bottom w:val="single" w:sz="6" w:space="0" w:color="3B3838"/>
        </w:pBdr>
        <w:spacing w:after="320"/>
        <w:jc w:val="center"/>
      </w:pPr>
    </w:p>
    <w:p w14:paraId="476DC17B" w14:textId="77777777" w:rsidR="00E904BE" w:rsidRDefault="00000000">
      <w:pPr>
        <w:pStyle w:val="Ttulo1"/>
        <w:spacing w:before="320" w:after="160"/>
      </w:pPr>
      <w:r>
        <w:rPr>
          <w:b/>
          <w:bCs/>
          <w:color w:val="1A1818"/>
          <w:sz w:val="26"/>
          <w:szCs w:val="26"/>
        </w:rPr>
        <w:t>1. DESCRIPCIÓN GENERAL DEL PROYECTO</w:t>
      </w:r>
    </w:p>
    <w:p w14:paraId="476DC17C" w14:textId="77777777" w:rsidR="00E904BE" w:rsidRDefault="00000000">
      <w:pPr>
        <w:spacing w:after="160"/>
        <w:jc w:val="both"/>
      </w:pPr>
      <w:r>
        <w:t>La Dirección Seccional de Administración Judicial de Cundinamarca - Amazonas tiene a su cargo la administración, sostenimiento, conservación y adecuación de la infraestructura física de múltiples sedes judiciales, abarcando sedes de alta complejidad como los Palacios de Justicia de Zipaquirá, Girardot, Soacha, Facatativá, y sedes con retos logísticos particulares como las ubicadas en Leticia, Amazonas. Estos inmuebles institucionales albergan diariamente un alto volumen de servidores judiciales, sujetos procesales y ciudadanos en general, lo que exige que las instalaciones se mantengan en condiciones óptimas de seguridad, salubridad y plena funcionalidad operativa.</w:t>
      </w:r>
    </w:p>
    <w:p w14:paraId="476DC17D" w14:textId="77777777" w:rsidR="00E904BE" w:rsidRDefault="00000000">
      <w:pPr>
        <w:spacing w:after="160"/>
        <w:jc w:val="both"/>
      </w:pPr>
      <w:r>
        <w:t>En este contexto, la continuidad en el suministro de agua potable, la correcta evacuación de aguas servidas y pluviales, y la operatividad de los sistemas de red contra incendio, se erigen como pilares fundamentales para garantizar la habitabilidad de las edificaciones. Una interrupción prolongada de estos servicios básicos o una emergencia no controlada (como una inundación o la ausencia de presurización en la red), paralizaría indefinidamente la administración de justicia, obligando al cierre temporal de las sedes, propiciando la suspensión de términos legales y vulnerando el derecho fundamental del acceso a la justicia para la ciudadanía.</w:t>
      </w:r>
    </w:p>
    <w:p w14:paraId="476DC17E" w14:textId="77777777" w:rsidR="00E904BE" w:rsidRDefault="00000000">
      <w:pPr>
        <w:spacing w:after="160"/>
        <w:jc w:val="both"/>
      </w:pPr>
      <w:r>
        <w:t>En la actualidad, las mencionadas sedes judiciales cuentan con un robusto y diverso inventario de equipos electromecánicos e infraestructura hidrosanitaria que operan bajo un régimen de exigencia continua. Dicho inventario incluye motobombas de presión constante, complejos sistemas de red contra incendio con motores de hasta 50 HP, pozos eyectores críticos para zonas de sótanos y tanques de almacenamiento de grandes volúmenes. Por su funcionamiento ininterrumpido, estos sistemas experimentan un desgaste natural y progresivo que afecta componentes vitales como sellos mecánicos, rodamientos, válvulas, tuberías y tableros eléctricos de control.</w:t>
      </w:r>
    </w:p>
    <w:p w14:paraId="476DC17F" w14:textId="77777777" w:rsidR="00E904BE" w:rsidRDefault="00000000">
      <w:pPr>
        <w:spacing w:after="160"/>
        <w:jc w:val="both"/>
      </w:pPr>
      <w:r>
        <w:t xml:space="preserve">Adicionalmente, los tanques de reserva de agua y los pozos de recolección de aguas negras tienden a acumular sedimentos, lodos y biopelículas que, de no ser removidos </w:t>
      </w:r>
      <w:r>
        <w:lastRenderedPageBreak/>
        <w:t>y desinfectados periódicamente bajo los rigores de la Norma Técnica Colombiana NTC 4576 y la normatividad de salud y seguridad en el trabajo, representan un grave riesgo de salud pública, propagación de enfermedades y exposición a atmósferas tóxicas. La ausencia de una intervención técnica especializada y preventiva expone a la Entidad a daños estructurales severos por fugas ocultas, deterioro acelerado del patrimonio arquitectónico estatal y posibles sanciones por el incumplimiento de las normativas de seguridad humana (NFPA) y salubridad pública.</w:t>
      </w:r>
    </w:p>
    <w:p w14:paraId="476DC180" w14:textId="77777777" w:rsidR="00E904BE" w:rsidRDefault="00000000">
      <w:pPr>
        <w:spacing w:after="160"/>
        <w:jc w:val="both"/>
      </w:pPr>
      <w:r>
        <w:t>En concordancia con lo expuesto, y con el propósito de dotar al presente proyecto de un sustento técnico, objetivo y verificable, la necesidad de estructurar esta contratación bajo la modalidad de precios unitarios a monto agotable se fundamenta en un análisis exhaustivo de las condiciones operativas actuales de la Seccional. A continuación, se exponen los criterios de ingeniería, los antecedentes históricos de mantenimiento de las sedes y las exigencias normativas ineludibles que justifican la pertinencia, conveniencia y diseño de este proceso:</w:t>
      </w:r>
    </w:p>
    <w:p w14:paraId="476DC181" w14:textId="77777777" w:rsidR="00E904BE" w:rsidRDefault="00000000">
      <w:pPr>
        <w:spacing w:after="160"/>
        <w:jc w:val="both"/>
      </w:pPr>
      <w:r>
        <w:t>Análisis de Criticidad y Complejidad del Inventario Electromecánico: la necesidad de este contrato se sustenta en la alta complejidad técnica del inventario de la Seccional, el cual cuenta con equipos de gran envergadura cuya falla representa un riesgo crítico para la infraestructura. Se han identificado motobombas de Red Contra Incendio (RCI) con potencias de hasta 50 HP (Sede Zipaquirá) y 40 HP (Sedes Soacha y Facatativá), las cuales operan bajo regímenes de alta presión y exigen componentes de precisión como sellos mecánicos especializados y sistemas de control con variadores de velocidad. La operatividad de estos equipos no solo es una necesidad funcional, sino un requisito legal de seguridad humana bajo la normativa NSR-10 y los estándares internacionales NFPA 20 y 25, que obligan a mantener una presurización constante para la protección de la vida de los servidores y usuarios de la justicia.</w:t>
      </w:r>
    </w:p>
    <w:p w14:paraId="476DC182" w14:textId="77777777" w:rsidR="00E904BE" w:rsidRDefault="00000000">
      <w:pPr>
        <w:spacing w:after="160"/>
        <w:jc w:val="both"/>
      </w:pPr>
      <w:r>
        <w:t>Histórico de Desgaste y Requerimientos de Materiales Especializados: información técnica recopilada de intervenciones previas confirma que el sistema de bombeo de la Seccional presenta fatiga de materiales que requiere soluciones de ingeniería superiores al estándar comercial. Evidencia verificable en mantenimientos correctivos recientes en la Sede Zipaquirá (Cotización 042-2023) demuestra la necesidad de implementar tuberías de descarga en Acero Inoxidable de 2” y 3” y Válvulas Cheque Hidro de alta resistencia, debido a que las vibraciones y el fenómeno del golpe de ariete en equipos de alta potencia han superado la capacidad de resistencia del PVC convencional. Asimismo, registros de la Sede Girardot confirman el desgaste severo en componentes internos como impulsores en bronce y ejes de transmisión, cuya reparación exige procesos de mecanizado en torno y balanceo dinámico, actividades que solo pueden ser garantizadas mediante un contrato de mantenimiento integral que disponga de mano de obra y talleres especializados.</w:t>
      </w:r>
    </w:p>
    <w:p w14:paraId="476DC183" w14:textId="77777777" w:rsidR="00E904BE" w:rsidRDefault="00000000">
      <w:pPr>
        <w:spacing w:after="160"/>
        <w:jc w:val="both"/>
      </w:pPr>
      <w:r>
        <w:t>Cumplimiento de Estándares de Salubridad y Calidad del Agua: la intervención en los tanques de reserva, que en sedes como el CAN (Juzgados Administrativos) alcanzan capacidades de 450 m³, no puede ser tratada como una limpieza superficial. La Entidad debe garantizar que el agua destinada al consumo humano cumpla con los parámetros del Decreto 1575 de 2007 y la Resolución 2115 de 2007.</w:t>
      </w:r>
    </w:p>
    <w:p w14:paraId="476DC184" w14:textId="77777777" w:rsidR="00E904BE" w:rsidRDefault="00000000">
      <w:pPr>
        <w:spacing w:after="160"/>
        <w:jc w:val="both"/>
      </w:pPr>
      <w:r>
        <w:lastRenderedPageBreak/>
        <w:t xml:space="preserve">Para ello, el procedimiento de lavado debe acogerse estrictamente a la NTC 4576, incorporando no solo la desinfección química con hipoclorito, sino también la </w:t>
      </w:r>
      <w:proofErr w:type="spellStart"/>
      <w:r>
        <w:t>desarenación</w:t>
      </w:r>
      <w:proofErr w:type="spellEnd"/>
      <w:r>
        <w:t xml:space="preserve"> de pozos eyectores (como los de 12 m³ en el CAN) para prevenir la proliferación de gases tóxicos (H2S y Metano) y la obstrucción de las bombas sumergibles de aguas negras, eventos que en el pasado han generado riesgos de inundación en las zonas de archivos y sótanos de las sedes.</w:t>
      </w:r>
    </w:p>
    <w:p w14:paraId="476DC185" w14:textId="77777777" w:rsidR="00E904BE" w:rsidRDefault="00000000">
      <w:pPr>
        <w:spacing w:after="160"/>
        <w:jc w:val="both"/>
      </w:pPr>
      <w:r>
        <w:t>Mitigación de Riesgos Financieros mediante Precios Unitarios Fijos: dada la incertidumbre técnica inherente a sistemas hidráulicos antiguos y la dispersión geográfica (incluyendo la sede Leticia con sus retos de transporte aéreo), la adopción de la modalidad de Precios Unitarios Fijos sin fórmula de reajuste es la estrategia técnica más eficiente para la Entidad.</w:t>
      </w:r>
    </w:p>
    <w:p w14:paraId="476DC186" w14:textId="77777777" w:rsidR="00E904BE" w:rsidRDefault="00000000">
      <w:pPr>
        <w:spacing w:after="160"/>
        <w:jc w:val="both"/>
      </w:pPr>
      <w:r>
        <w:t>Esta modalidad permite transferir al contratista el riesgo de las fluctuaciones de precios en insumos críticos (como el cobre para rebobinados o el acero inoxidable para redes), asegurando que el presupuesto se agote exclusivamente en función de las necesidades reales y verificadas de cada sede, optimizando así el recurso público y garantizando que cada peso invertido cuente con un respaldo de ejecución técnica medible y auditable.</w:t>
      </w:r>
    </w:p>
    <w:p w14:paraId="476DC187" w14:textId="77777777" w:rsidR="00E904BE" w:rsidRDefault="00000000">
      <w:pPr>
        <w:spacing w:after="160"/>
        <w:jc w:val="both"/>
      </w:pPr>
      <w:r>
        <w:t>Por consiguiente, surge la necesidad de suscribir el presente contrato de obra para asegurar el mantenimiento preventivo y correctivo integral de los sistemas de bombeo, redes hidrosanitarias y el lavado técnico de tanques y pozos de las sedes a cargo de la Dirección Seccional, bajo la modalidad de precios unitarios fijos sin fórmula de reajuste a monto agotable, lo que le permite a la Administración mitigar el riesgo financiero, pagando única y exclusivamente por los servicios, reparaciones y repuestos efectivamente ejecutados y recibidos a satisfacción de la supervisión.</w:t>
      </w:r>
    </w:p>
    <w:p w14:paraId="476DC188" w14:textId="77777777" w:rsidR="00E904BE" w:rsidRDefault="00000000">
      <w:pPr>
        <w:spacing w:after="160"/>
        <w:jc w:val="both"/>
      </w:pPr>
      <w:r>
        <w:t>De esta manera, la Entidad se asegura de contar con un aliado técnico que brinde respuesta inmediata frente a emergencias bajo estrictos Acuerdos de Niveles de Servicio (SLA), suministre mano de obra certificada e insumos de alta calidad, prolongando la vida útil de los activos del Estado y garantizando la prestación ininterrumpida, segura y digna del servicio público de administración de justicia. Las sedes objeto de intervención se relacionan en la tabla del numeral 1.1 y en el numeral 2.2.B (Localización) de esta invitación.</w:t>
      </w:r>
    </w:p>
    <w:p w14:paraId="476DC189" w14:textId="77777777" w:rsidR="00E904BE" w:rsidRDefault="00000000">
      <w:pPr>
        <w:pStyle w:val="Ttulo1"/>
        <w:spacing w:before="320" w:after="160"/>
      </w:pPr>
      <w:r>
        <w:rPr>
          <w:b/>
          <w:bCs/>
          <w:color w:val="1A1818"/>
          <w:sz w:val="26"/>
          <w:szCs w:val="26"/>
        </w:rPr>
        <w:t>2. DESCRIPCIÓN DE LA OBRA ACTUAL O ZONA A INTERVENIR</w:t>
      </w:r>
    </w:p>
    <w:p w14:paraId="476DC18A" w14:textId="77777777" w:rsidR="00E904BE" w:rsidRDefault="00000000">
      <w:pPr>
        <w:pStyle w:val="Ttulo2"/>
        <w:spacing w:before="240" w:after="120"/>
      </w:pPr>
      <w:r>
        <w:rPr>
          <w:b/>
          <w:bCs/>
          <w:color w:val="1A1818"/>
          <w:sz w:val="24"/>
          <w:szCs w:val="24"/>
        </w:rPr>
        <w:t>2.1. Antecedentes o Contexto General</w:t>
      </w:r>
    </w:p>
    <w:p w14:paraId="476DC18B" w14:textId="77777777" w:rsidR="00E904BE" w:rsidRDefault="00000000">
      <w:pPr>
        <w:spacing w:after="160"/>
        <w:jc w:val="both"/>
      </w:pPr>
      <w:r>
        <w:t>Las sedes judiciales objeto de este proceso presentan un inventario diverso de equipos electromecánicos e infraestructura hidrosanitaria en operación continua. Se han identificado motobombas de Red Contra Incendio (RCI) con potencias de hasta 50 HP en la sede Zipaquirá y 40 HP en las sedes Soacha y Facatativá, las cuales operan bajo regímenes de alta presión y exigen componentes de precisión como sellos mecánicos especializados y sistemas de control con variadores de velocidad.</w:t>
      </w:r>
    </w:p>
    <w:p w14:paraId="476DC18C" w14:textId="77777777" w:rsidR="00E904BE" w:rsidRDefault="00000000">
      <w:pPr>
        <w:spacing w:after="160"/>
        <w:jc w:val="both"/>
      </w:pPr>
      <w:r>
        <w:t>La operatividad de estos equipos no es solo una necesidad funcional, sino un requisito legal de seguridad humana bajo la normativa NSR-10 y los estándares internacionales NFPA 20 y 25.</w:t>
      </w:r>
    </w:p>
    <w:p w14:paraId="476DC18D" w14:textId="77777777" w:rsidR="00E904BE" w:rsidRDefault="00000000">
      <w:pPr>
        <w:spacing w:after="160"/>
        <w:jc w:val="both"/>
      </w:pPr>
      <w:r>
        <w:lastRenderedPageBreak/>
        <w:t>El desgaste natural de estos sistemas se encuentra documentado en intervenciones y mantenimientos correctivos recientes: en la sede Zipaquirá (Cotización 042-2023) se evidenció la necesidad de implementar tuberías de descarga en acero inoxidable de 2” y 3” y válvulas cheque hidro de alta resistencia, debido a que las vibraciones y el golpe de ariete en equipos de alta potencia superaron la capacidad del PVC convencional; en la sede Girardot se registró desgaste severo en componentes internos como impulsores en bronce y ejes de transmisión, cuya reparación exige procesos de mecanizado en torno y balanceo dinámico, actividades que solo pueden garantizarse mediante un contrato de mantenimiento integral con mano de obra y talleres especializados.</w:t>
      </w:r>
    </w:p>
    <w:p w14:paraId="476DC18E" w14:textId="77777777" w:rsidR="00E904BE" w:rsidRDefault="00000000">
      <w:pPr>
        <w:spacing w:after="160"/>
        <w:jc w:val="both"/>
      </w:pPr>
      <w:r>
        <w:t xml:space="preserve">En materia de salubridad, la intervención en los tanques de reserva -que en sedes como el CAN (Juzgados Administrativos) alcanzan capacidades de 450 m³- debe garantizar que el agua destinada al consumo humano cumpla los parámetros del Decreto 1575 de 2007 y la Resolución 2115 de 2007, mediante un procedimiento de lavado que se acoja estrictamente a la NTC 4576, incluyendo la </w:t>
      </w:r>
      <w:proofErr w:type="spellStart"/>
      <w:r>
        <w:t>desarenación</w:t>
      </w:r>
      <w:proofErr w:type="spellEnd"/>
      <w:r>
        <w:t xml:space="preserve"> de pozos eyectores (como los de 12 m³ en el CAN) para prevenir la proliferación de gases tóxicos (H2S y metano) y la obstrucción de las bombas sumergibles de aguas negras.</w:t>
      </w:r>
    </w:p>
    <w:p w14:paraId="476DC18F" w14:textId="77777777" w:rsidR="00E904BE" w:rsidRDefault="00000000">
      <w:pPr>
        <w:spacing w:after="160"/>
        <w:jc w:val="both"/>
      </w:pPr>
      <w:r>
        <w:t>Por su ubicación geográfica dispersa -incluida la sede de Leticia, Amazonas, con retos propios de transporte aéreo de repuestos e insumos-, el Contratista debe prever la logística necesaria para atender oportunamente cada sede dentro de los tiempos máximos de respuesta exigidos: tres (3) horas para Bogotá y Soacha; cinco (5) horas para Zipaquirá, Facatativá y Chocontá; entre cinco (5) y ocho (8) horas para Girardot; y máximo veinticuatro (24) horas para Leticia, garantizando disponibilidad operativa a través de una línea de atención 24/7.</w:t>
      </w:r>
    </w:p>
    <w:p w14:paraId="476DC190" w14:textId="77777777" w:rsidR="00E904BE" w:rsidRDefault="00000000">
      <w:pPr>
        <w:spacing w:after="160"/>
        <w:jc w:val="both"/>
      </w:pPr>
      <w:r>
        <w:t>Finalmente, dada la incertidumbre técnica inherente a sistemas hidráulicos antiguos y la dispersión geográfica de las sedes, la adopción de la modalidad de precios unitarios fijos sin fórmula de reajuste a monto agotable constituye la estrategia técnica y financiera más eficiente para la Entidad, al permitir pagar única y exclusivamente por los servicios, reparaciones y repuestos efectivamente ejecutados y recibidos a satisfacción de la supervisión.</w:t>
      </w:r>
    </w:p>
    <w:p w14:paraId="476DC191" w14:textId="77777777" w:rsidR="00E904BE" w:rsidRDefault="00000000">
      <w:pPr>
        <w:pStyle w:val="Ttulo2"/>
        <w:spacing w:before="240" w:after="120"/>
      </w:pPr>
      <w:r>
        <w:rPr>
          <w:b/>
          <w:bCs/>
          <w:color w:val="1A1818"/>
          <w:sz w:val="24"/>
          <w:szCs w:val="24"/>
        </w:rPr>
        <w:t>2.2. Localización</w:t>
      </w:r>
    </w:p>
    <w:p w14:paraId="476DC192" w14:textId="77777777" w:rsidR="00E904BE" w:rsidRDefault="00000000">
      <w:pPr>
        <w:spacing w:after="160"/>
        <w:jc w:val="both"/>
      </w:pPr>
      <w:r>
        <w:t>No se incluye mapa o figura de localización. Las sedes objeto del proyecto, conforme al numeral 3.9 del estudio previo, son las siguientes:</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3800"/>
        <w:gridCol w:w="3100"/>
      </w:tblGrid>
      <w:tr w:rsidR="00E904BE" w14:paraId="476DC196" w14:textId="77777777" w:rsidTr="00C82312">
        <w:tblPrEx>
          <w:tblCellMar>
            <w:top w:w="0" w:type="dxa"/>
            <w:bottom w:w="0" w:type="dxa"/>
          </w:tblCellMar>
        </w:tblPrEx>
        <w:trPr>
          <w:tblHeader/>
        </w:trPr>
        <w:tc>
          <w:tcPr>
            <w:tcW w:w="2400" w:type="dxa"/>
            <w:shd w:val="clear" w:color="auto" w:fill="3B3838"/>
            <w:tcMar>
              <w:top w:w="60" w:type="dxa"/>
              <w:left w:w="80" w:type="dxa"/>
              <w:bottom w:w="60" w:type="dxa"/>
              <w:right w:w="80" w:type="dxa"/>
            </w:tcMar>
            <w:vAlign w:val="center"/>
          </w:tcPr>
          <w:p w14:paraId="476DC193" w14:textId="77777777" w:rsidR="00E904BE" w:rsidRDefault="00000000">
            <w:pPr>
              <w:jc w:val="center"/>
            </w:pPr>
            <w:r>
              <w:rPr>
                <w:b/>
                <w:bCs/>
                <w:color w:val="FFFFFF"/>
                <w:sz w:val="18"/>
                <w:szCs w:val="18"/>
              </w:rPr>
              <w:t>Municipio</w:t>
            </w:r>
          </w:p>
        </w:tc>
        <w:tc>
          <w:tcPr>
            <w:tcW w:w="3800" w:type="dxa"/>
            <w:shd w:val="clear" w:color="auto" w:fill="3B3838"/>
            <w:tcMar>
              <w:top w:w="60" w:type="dxa"/>
              <w:left w:w="80" w:type="dxa"/>
              <w:bottom w:w="60" w:type="dxa"/>
              <w:right w:w="80" w:type="dxa"/>
            </w:tcMar>
            <w:vAlign w:val="center"/>
          </w:tcPr>
          <w:p w14:paraId="476DC194" w14:textId="77777777" w:rsidR="00E904BE" w:rsidRDefault="00000000">
            <w:pPr>
              <w:jc w:val="center"/>
            </w:pPr>
            <w:r>
              <w:rPr>
                <w:b/>
                <w:bCs/>
                <w:color w:val="FFFFFF"/>
                <w:sz w:val="18"/>
                <w:szCs w:val="18"/>
              </w:rPr>
              <w:t>Dirección</w:t>
            </w:r>
          </w:p>
        </w:tc>
        <w:tc>
          <w:tcPr>
            <w:tcW w:w="3100" w:type="dxa"/>
            <w:shd w:val="clear" w:color="auto" w:fill="3B3838"/>
            <w:tcMar>
              <w:top w:w="60" w:type="dxa"/>
              <w:left w:w="80" w:type="dxa"/>
              <w:bottom w:w="60" w:type="dxa"/>
              <w:right w:w="80" w:type="dxa"/>
            </w:tcMar>
            <w:vAlign w:val="center"/>
          </w:tcPr>
          <w:p w14:paraId="476DC195" w14:textId="77777777" w:rsidR="00E904BE" w:rsidRDefault="00000000">
            <w:pPr>
              <w:jc w:val="center"/>
            </w:pPr>
            <w:r>
              <w:rPr>
                <w:b/>
                <w:bCs/>
                <w:color w:val="FFFFFF"/>
                <w:sz w:val="18"/>
                <w:szCs w:val="18"/>
              </w:rPr>
              <w:t>Edificio</w:t>
            </w:r>
          </w:p>
        </w:tc>
      </w:tr>
      <w:tr w:rsidR="00E904BE" w14:paraId="476DC19A" w14:textId="77777777">
        <w:tblPrEx>
          <w:tblCellMar>
            <w:top w:w="0" w:type="dxa"/>
            <w:bottom w:w="0" w:type="dxa"/>
          </w:tblCellMar>
        </w:tblPrEx>
        <w:tc>
          <w:tcPr>
            <w:tcW w:w="2400" w:type="dxa"/>
            <w:tcMar>
              <w:top w:w="60" w:type="dxa"/>
              <w:left w:w="80" w:type="dxa"/>
              <w:bottom w:w="60" w:type="dxa"/>
              <w:right w:w="80" w:type="dxa"/>
            </w:tcMar>
            <w:vAlign w:val="center"/>
          </w:tcPr>
          <w:p w14:paraId="476DC197" w14:textId="77777777" w:rsidR="00E904BE" w:rsidRDefault="00000000">
            <w:pPr>
              <w:jc w:val="center"/>
            </w:pPr>
            <w:r>
              <w:rPr>
                <w:color w:val="000000"/>
                <w:sz w:val="18"/>
                <w:szCs w:val="18"/>
              </w:rPr>
              <w:t>Bogotá D.C.</w:t>
            </w:r>
          </w:p>
        </w:tc>
        <w:tc>
          <w:tcPr>
            <w:tcW w:w="3800" w:type="dxa"/>
            <w:tcMar>
              <w:top w:w="60" w:type="dxa"/>
              <w:left w:w="80" w:type="dxa"/>
              <w:bottom w:w="60" w:type="dxa"/>
              <w:right w:w="80" w:type="dxa"/>
            </w:tcMar>
            <w:vAlign w:val="center"/>
          </w:tcPr>
          <w:p w14:paraId="476DC198" w14:textId="77777777" w:rsidR="00E904BE" w:rsidRDefault="00000000">
            <w:pPr>
              <w:jc w:val="center"/>
            </w:pPr>
            <w:r>
              <w:rPr>
                <w:color w:val="000000"/>
                <w:sz w:val="18"/>
                <w:szCs w:val="18"/>
              </w:rPr>
              <w:t>Carrera 57 #43-91</w:t>
            </w:r>
          </w:p>
        </w:tc>
        <w:tc>
          <w:tcPr>
            <w:tcW w:w="3100" w:type="dxa"/>
            <w:tcMar>
              <w:top w:w="60" w:type="dxa"/>
              <w:left w:w="80" w:type="dxa"/>
              <w:bottom w:w="60" w:type="dxa"/>
              <w:right w:w="80" w:type="dxa"/>
            </w:tcMar>
            <w:vAlign w:val="center"/>
          </w:tcPr>
          <w:p w14:paraId="476DC199" w14:textId="77777777" w:rsidR="00E904BE" w:rsidRDefault="00000000">
            <w:pPr>
              <w:jc w:val="center"/>
            </w:pPr>
            <w:r>
              <w:rPr>
                <w:color w:val="000000"/>
                <w:sz w:val="18"/>
                <w:szCs w:val="18"/>
              </w:rPr>
              <w:t>Sede Judicial Aydee Anzola Linares CAN</w:t>
            </w:r>
          </w:p>
        </w:tc>
      </w:tr>
      <w:tr w:rsidR="00E904BE" w14:paraId="476DC19E" w14:textId="77777777">
        <w:tblPrEx>
          <w:tblCellMar>
            <w:top w:w="0" w:type="dxa"/>
            <w:bottom w:w="0" w:type="dxa"/>
          </w:tblCellMar>
        </w:tblPrEx>
        <w:tc>
          <w:tcPr>
            <w:tcW w:w="2400" w:type="dxa"/>
            <w:tcMar>
              <w:top w:w="60" w:type="dxa"/>
              <w:left w:w="80" w:type="dxa"/>
              <w:bottom w:w="60" w:type="dxa"/>
              <w:right w:w="80" w:type="dxa"/>
            </w:tcMar>
            <w:vAlign w:val="center"/>
          </w:tcPr>
          <w:p w14:paraId="476DC19B" w14:textId="77777777" w:rsidR="00E904BE" w:rsidRDefault="00000000">
            <w:pPr>
              <w:jc w:val="center"/>
            </w:pPr>
            <w:r>
              <w:rPr>
                <w:color w:val="000000"/>
                <w:sz w:val="18"/>
                <w:szCs w:val="18"/>
              </w:rPr>
              <w:t>Chocontá – Cundinamarca</w:t>
            </w:r>
          </w:p>
        </w:tc>
        <w:tc>
          <w:tcPr>
            <w:tcW w:w="3800" w:type="dxa"/>
            <w:tcMar>
              <w:top w:w="60" w:type="dxa"/>
              <w:left w:w="80" w:type="dxa"/>
              <w:bottom w:w="60" w:type="dxa"/>
              <w:right w:w="80" w:type="dxa"/>
            </w:tcMar>
            <w:vAlign w:val="center"/>
          </w:tcPr>
          <w:p w14:paraId="476DC19C" w14:textId="77777777" w:rsidR="00E904BE" w:rsidRDefault="00000000">
            <w:pPr>
              <w:jc w:val="center"/>
            </w:pPr>
            <w:r>
              <w:rPr>
                <w:color w:val="000000"/>
                <w:sz w:val="18"/>
                <w:szCs w:val="18"/>
              </w:rPr>
              <w:t>Calle 6 #3-15</w:t>
            </w:r>
          </w:p>
        </w:tc>
        <w:tc>
          <w:tcPr>
            <w:tcW w:w="3100" w:type="dxa"/>
            <w:tcMar>
              <w:top w:w="60" w:type="dxa"/>
              <w:left w:w="80" w:type="dxa"/>
              <w:bottom w:w="60" w:type="dxa"/>
              <w:right w:w="80" w:type="dxa"/>
            </w:tcMar>
            <w:vAlign w:val="center"/>
          </w:tcPr>
          <w:p w14:paraId="476DC19D" w14:textId="77777777" w:rsidR="00E904BE" w:rsidRDefault="00000000">
            <w:pPr>
              <w:jc w:val="center"/>
            </w:pPr>
            <w:r>
              <w:rPr>
                <w:color w:val="000000"/>
                <w:sz w:val="18"/>
                <w:szCs w:val="18"/>
              </w:rPr>
              <w:t>Palacio de Justicia de Chocontá</w:t>
            </w:r>
          </w:p>
        </w:tc>
      </w:tr>
      <w:tr w:rsidR="00E904BE" w14:paraId="476DC1A2" w14:textId="77777777">
        <w:tblPrEx>
          <w:tblCellMar>
            <w:top w:w="0" w:type="dxa"/>
            <w:bottom w:w="0" w:type="dxa"/>
          </w:tblCellMar>
        </w:tblPrEx>
        <w:tc>
          <w:tcPr>
            <w:tcW w:w="2400" w:type="dxa"/>
            <w:tcMar>
              <w:top w:w="60" w:type="dxa"/>
              <w:left w:w="80" w:type="dxa"/>
              <w:bottom w:w="60" w:type="dxa"/>
              <w:right w:w="80" w:type="dxa"/>
            </w:tcMar>
            <w:vAlign w:val="center"/>
          </w:tcPr>
          <w:p w14:paraId="476DC19F" w14:textId="77777777" w:rsidR="00E904BE" w:rsidRDefault="00000000">
            <w:pPr>
              <w:jc w:val="center"/>
            </w:pPr>
            <w:r>
              <w:rPr>
                <w:color w:val="000000"/>
                <w:sz w:val="18"/>
                <w:szCs w:val="18"/>
              </w:rPr>
              <w:t>Facatativá – Cundinamarca</w:t>
            </w:r>
          </w:p>
        </w:tc>
        <w:tc>
          <w:tcPr>
            <w:tcW w:w="3800" w:type="dxa"/>
            <w:tcMar>
              <w:top w:w="60" w:type="dxa"/>
              <w:left w:w="80" w:type="dxa"/>
              <w:bottom w:w="60" w:type="dxa"/>
              <w:right w:w="80" w:type="dxa"/>
            </w:tcMar>
            <w:vAlign w:val="center"/>
          </w:tcPr>
          <w:p w14:paraId="476DC1A0" w14:textId="77777777" w:rsidR="00E904BE" w:rsidRDefault="00000000">
            <w:pPr>
              <w:jc w:val="center"/>
            </w:pPr>
            <w:r>
              <w:rPr>
                <w:color w:val="000000"/>
                <w:sz w:val="18"/>
                <w:szCs w:val="18"/>
              </w:rPr>
              <w:t>Carrera 1 #1-27</w:t>
            </w:r>
          </w:p>
        </w:tc>
        <w:tc>
          <w:tcPr>
            <w:tcW w:w="3100" w:type="dxa"/>
            <w:tcMar>
              <w:top w:w="60" w:type="dxa"/>
              <w:left w:w="80" w:type="dxa"/>
              <w:bottom w:w="60" w:type="dxa"/>
              <w:right w:w="80" w:type="dxa"/>
            </w:tcMar>
            <w:vAlign w:val="center"/>
          </w:tcPr>
          <w:p w14:paraId="476DC1A1" w14:textId="77777777" w:rsidR="00E904BE" w:rsidRDefault="00000000">
            <w:pPr>
              <w:jc w:val="center"/>
            </w:pPr>
            <w:r>
              <w:rPr>
                <w:color w:val="000000"/>
                <w:sz w:val="18"/>
                <w:szCs w:val="18"/>
              </w:rPr>
              <w:t>Palacio de Justicia de Facatativá</w:t>
            </w:r>
          </w:p>
        </w:tc>
      </w:tr>
      <w:tr w:rsidR="00E904BE" w14:paraId="476DC1A6" w14:textId="77777777">
        <w:tblPrEx>
          <w:tblCellMar>
            <w:top w:w="0" w:type="dxa"/>
            <w:bottom w:w="0" w:type="dxa"/>
          </w:tblCellMar>
        </w:tblPrEx>
        <w:tc>
          <w:tcPr>
            <w:tcW w:w="2400" w:type="dxa"/>
            <w:tcMar>
              <w:top w:w="60" w:type="dxa"/>
              <w:left w:w="80" w:type="dxa"/>
              <w:bottom w:w="60" w:type="dxa"/>
              <w:right w:w="80" w:type="dxa"/>
            </w:tcMar>
            <w:vAlign w:val="center"/>
          </w:tcPr>
          <w:p w14:paraId="476DC1A3" w14:textId="77777777" w:rsidR="00E904BE" w:rsidRDefault="00000000">
            <w:pPr>
              <w:jc w:val="center"/>
            </w:pPr>
            <w:r>
              <w:rPr>
                <w:color w:val="000000"/>
                <w:sz w:val="18"/>
                <w:szCs w:val="18"/>
              </w:rPr>
              <w:t>Girardot – Cundinamarca</w:t>
            </w:r>
          </w:p>
        </w:tc>
        <w:tc>
          <w:tcPr>
            <w:tcW w:w="3800" w:type="dxa"/>
            <w:tcMar>
              <w:top w:w="60" w:type="dxa"/>
              <w:left w:w="80" w:type="dxa"/>
              <w:bottom w:w="60" w:type="dxa"/>
              <w:right w:w="80" w:type="dxa"/>
            </w:tcMar>
            <w:vAlign w:val="center"/>
          </w:tcPr>
          <w:p w14:paraId="476DC1A4" w14:textId="77777777" w:rsidR="00E904BE" w:rsidRDefault="00000000">
            <w:pPr>
              <w:jc w:val="center"/>
            </w:pPr>
            <w:r>
              <w:rPr>
                <w:color w:val="000000"/>
                <w:sz w:val="18"/>
                <w:szCs w:val="18"/>
              </w:rPr>
              <w:t>Carrera 10 #37-39 Barrio Miraflores</w:t>
            </w:r>
          </w:p>
        </w:tc>
        <w:tc>
          <w:tcPr>
            <w:tcW w:w="3100" w:type="dxa"/>
            <w:tcMar>
              <w:top w:w="60" w:type="dxa"/>
              <w:left w:w="80" w:type="dxa"/>
              <w:bottom w:w="60" w:type="dxa"/>
              <w:right w:w="80" w:type="dxa"/>
            </w:tcMar>
            <w:vAlign w:val="center"/>
          </w:tcPr>
          <w:p w14:paraId="476DC1A5" w14:textId="77777777" w:rsidR="00E904BE" w:rsidRDefault="00000000">
            <w:pPr>
              <w:jc w:val="center"/>
            </w:pPr>
            <w:r>
              <w:rPr>
                <w:color w:val="000000"/>
                <w:sz w:val="18"/>
                <w:szCs w:val="18"/>
              </w:rPr>
              <w:t>Palacio de Justicia de Girardot</w:t>
            </w:r>
          </w:p>
        </w:tc>
      </w:tr>
      <w:tr w:rsidR="00E904BE" w14:paraId="476DC1AA" w14:textId="77777777">
        <w:tblPrEx>
          <w:tblCellMar>
            <w:top w:w="0" w:type="dxa"/>
            <w:bottom w:w="0" w:type="dxa"/>
          </w:tblCellMar>
        </w:tblPrEx>
        <w:tc>
          <w:tcPr>
            <w:tcW w:w="2400" w:type="dxa"/>
            <w:tcMar>
              <w:top w:w="60" w:type="dxa"/>
              <w:left w:w="80" w:type="dxa"/>
              <w:bottom w:w="60" w:type="dxa"/>
              <w:right w:w="80" w:type="dxa"/>
            </w:tcMar>
            <w:vAlign w:val="center"/>
          </w:tcPr>
          <w:p w14:paraId="476DC1A7" w14:textId="77777777" w:rsidR="00E904BE" w:rsidRDefault="00000000">
            <w:pPr>
              <w:jc w:val="center"/>
            </w:pPr>
            <w:r>
              <w:rPr>
                <w:color w:val="000000"/>
                <w:sz w:val="18"/>
                <w:szCs w:val="18"/>
              </w:rPr>
              <w:lastRenderedPageBreak/>
              <w:t>Leticia – Amazonas</w:t>
            </w:r>
          </w:p>
        </w:tc>
        <w:tc>
          <w:tcPr>
            <w:tcW w:w="3800" w:type="dxa"/>
            <w:tcMar>
              <w:top w:w="60" w:type="dxa"/>
              <w:left w:w="80" w:type="dxa"/>
              <w:bottom w:w="60" w:type="dxa"/>
              <w:right w:w="80" w:type="dxa"/>
            </w:tcMar>
            <w:vAlign w:val="center"/>
          </w:tcPr>
          <w:p w14:paraId="476DC1A8" w14:textId="77777777" w:rsidR="00E904BE" w:rsidRDefault="00000000">
            <w:pPr>
              <w:jc w:val="center"/>
            </w:pPr>
            <w:r>
              <w:rPr>
                <w:color w:val="000000"/>
                <w:sz w:val="18"/>
                <w:szCs w:val="18"/>
              </w:rPr>
              <w:t>Avenida Internacional Carrera 6 #8-31</w:t>
            </w:r>
          </w:p>
        </w:tc>
        <w:tc>
          <w:tcPr>
            <w:tcW w:w="3100" w:type="dxa"/>
            <w:tcMar>
              <w:top w:w="60" w:type="dxa"/>
              <w:left w:w="80" w:type="dxa"/>
              <w:bottom w:w="60" w:type="dxa"/>
              <w:right w:w="80" w:type="dxa"/>
            </w:tcMar>
            <w:vAlign w:val="center"/>
          </w:tcPr>
          <w:p w14:paraId="476DC1A9" w14:textId="77777777" w:rsidR="00E904BE" w:rsidRDefault="00000000">
            <w:pPr>
              <w:jc w:val="center"/>
            </w:pPr>
            <w:r>
              <w:rPr>
                <w:color w:val="000000"/>
                <w:sz w:val="18"/>
                <w:szCs w:val="18"/>
              </w:rPr>
              <w:t>Palacio de Justicia de Leticia</w:t>
            </w:r>
          </w:p>
        </w:tc>
      </w:tr>
      <w:tr w:rsidR="00E904BE" w14:paraId="476DC1AE" w14:textId="77777777">
        <w:tblPrEx>
          <w:tblCellMar>
            <w:top w:w="0" w:type="dxa"/>
            <w:bottom w:w="0" w:type="dxa"/>
          </w:tblCellMar>
        </w:tblPrEx>
        <w:tc>
          <w:tcPr>
            <w:tcW w:w="2400" w:type="dxa"/>
            <w:tcMar>
              <w:top w:w="60" w:type="dxa"/>
              <w:left w:w="80" w:type="dxa"/>
              <w:bottom w:w="60" w:type="dxa"/>
              <w:right w:w="80" w:type="dxa"/>
            </w:tcMar>
            <w:vAlign w:val="center"/>
          </w:tcPr>
          <w:p w14:paraId="476DC1AB" w14:textId="77777777" w:rsidR="00E904BE" w:rsidRDefault="00000000">
            <w:pPr>
              <w:jc w:val="center"/>
            </w:pPr>
            <w:r>
              <w:rPr>
                <w:color w:val="000000"/>
                <w:sz w:val="18"/>
                <w:szCs w:val="18"/>
              </w:rPr>
              <w:t>Leticia – Amazonas</w:t>
            </w:r>
          </w:p>
        </w:tc>
        <w:tc>
          <w:tcPr>
            <w:tcW w:w="3800" w:type="dxa"/>
            <w:tcMar>
              <w:top w:w="60" w:type="dxa"/>
              <w:left w:w="80" w:type="dxa"/>
              <w:bottom w:w="60" w:type="dxa"/>
              <w:right w:w="80" w:type="dxa"/>
            </w:tcMar>
            <w:vAlign w:val="center"/>
          </w:tcPr>
          <w:p w14:paraId="476DC1AC" w14:textId="77777777" w:rsidR="00E904BE" w:rsidRDefault="00000000">
            <w:pPr>
              <w:jc w:val="center"/>
            </w:pPr>
            <w:r>
              <w:rPr>
                <w:color w:val="000000"/>
                <w:sz w:val="18"/>
                <w:szCs w:val="18"/>
              </w:rPr>
              <w:t>Carrera 10 #10-15</w:t>
            </w:r>
          </w:p>
        </w:tc>
        <w:tc>
          <w:tcPr>
            <w:tcW w:w="3100" w:type="dxa"/>
            <w:tcMar>
              <w:top w:w="60" w:type="dxa"/>
              <w:left w:w="80" w:type="dxa"/>
              <w:bottom w:w="60" w:type="dxa"/>
              <w:right w:w="80" w:type="dxa"/>
            </w:tcMar>
            <w:vAlign w:val="center"/>
          </w:tcPr>
          <w:p w14:paraId="476DC1AD" w14:textId="77777777" w:rsidR="00E904BE" w:rsidRDefault="00000000">
            <w:pPr>
              <w:jc w:val="center"/>
            </w:pPr>
            <w:r>
              <w:rPr>
                <w:color w:val="000000"/>
                <w:sz w:val="18"/>
                <w:szCs w:val="18"/>
              </w:rPr>
              <w:t xml:space="preserve">Sede Judicial Antiguo </w:t>
            </w:r>
            <w:proofErr w:type="spellStart"/>
            <w:r>
              <w:rPr>
                <w:color w:val="000000"/>
                <w:sz w:val="18"/>
                <w:szCs w:val="18"/>
              </w:rPr>
              <w:t>Banrepública</w:t>
            </w:r>
            <w:proofErr w:type="spellEnd"/>
            <w:r>
              <w:rPr>
                <w:color w:val="000000"/>
                <w:sz w:val="18"/>
                <w:szCs w:val="18"/>
              </w:rPr>
              <w:t xml:space="preserve"> Leticia</w:t>
            </w:r>
          </w:p>
        </w:tc>
      </w:tr>
      <w:tr w:rsidR="00E904BE" w14:paraId="476DC1B2" w14:textId="77777777">
        <w:tblPrEx>
          <w:tblCellMar>
            <w:top w:w="0" w:type="dxa"/>
            <w:bottom w:w="0" w:type="dxa"/>
          </w:tblCellMar>
        </w:tblPrEx>
        <w:tc>
          <w:tcPr>
            <w:tcW w:w="2400" w:type="dxa"/>
            <w:tcMar>
              <w:top w:w="60" w:type="dxa"/>
              <w:left w:w="80" w:type="dxa"/>
              <w:bottom w:w="60" w:type="dxa"/>
              <w:right w:w="80" w:type="dxa"/>
            </w:tcMar>
            <w:vAlign w:val="center"/>
          </w:tcPr>
          <w:p w14:paraId="476DC1AF" w14:textId="77777777" w:rsidR="00E904BE" w:rsidRDefault="00000000">
            <w:pPr>
              <w:jc w:val="center"/>
            </w:pPr>
            <w:r>
              <w:rPr>
                <w:color w:val="000000"/>
                <w:sz w:val="18"/>
                <w:szCs w:val="18"/>
              </w:rPr>
              <w:t>Soacha – Cundinamarca</w:t>
            </w:r>
          </w:p>
        </w:tc>
        <w:tc>
          <w:tcPr>
            <w:tcW w:w="3800" w:type="dxa"/>
            <w:tcMar>
              <w:top w:w="60" w:type="dxa"/>
              <w:left w:w="80" w:type="dxa"/>
              <w:bottom w:w="60" w:type="dxa"/>
              <w:right w:w="80" w:type="dxa"/>
            </w:tcMar>
            <w:vAlign w:val="center"/>
          </w:tcPr>
          <w:p w14:paraId="476DC1B0" w14:textId="77777777" w:rsidR="00E904BE" w:rsidRDefault="00000000">
            <w:pPr>
              <w:jc w:val="center"/>
            </w:pPr>
            <w:r>
              <w:rPr>
                <w:color w:val="000000"/>
                <w:sz w:val="18"/>
                <w:szCs w:val="18"/>
              </w:rPr>
              <w:t>Carrera 4 #38-66 Barrio Terreros</w:t>
            </w:r>
          </w:p>
        </w:tc>
        <w:tc>
          <w:tcPr>
            <w:tcW w:w="3100" w:type="dxa"/>
            <w:tcMar>
              <w:top w:w="60" w:type="dxa"/>
              <w:left w:w="80" w:type="dxa"/>
              <w:bottom w:w="60" w:type="dxa"/>
              <w:right w:w="80" w:type="dxa"/>
            </w:tcMar>
            <w:vAlign w:val="center"/>
          </w:tcPr>
          <w:p w14:paraId="476DC1B1" w14:textId="77777777" w:rsidR="00E904BE" w:rsidRDefault="00000000">
            <w:pPr>
              <w:jc w:val="center"/>
            </w:pPr>
            <w:r>
              <w:rPr>
                <w:color w:val="000000"/>
                <w:sz w:val="18"/>
                <w:szCs w:val="18"/>
              </w:rPr>
              <w:t>Palacio de Justicia de Soacha</w:t>
            </w:r>
          </w:p>
        </w:tc>
      </w:tr>
      <w:tr w:rsidR="00E904BE" w14:paraId="476DC1B6" w14:textId="77777777">
        <w:tblPrEx>
          <w:tblCellMar>
            <w:top w:w="0" w:type="dxa"/>
            <w:bottom w:w="0" w:type="dxa"/>
          </w:tblCellMar>
        </w:tblPrEx>
        <w:tc>
          <w:tcPr>
            <w:tcW w:w="2400" w:type="dxa"/>
            <w:tcMar>
              <w:top w:w="60" w:type="dxa"/>
              <w:left w:w="80" w:type="dxa"/>
              <w:bottom w:w="60" w:type="dxa"/>
              <w:right w:w="80" w:type="dxa"/>
            </w:tcMar>
            <w:vAlign w:val="center"/>
          </w:tcPr>
          <w:p w14:paraId="476DC1B3" w14:textId="77777777" w:rsidR="00E904BE" w:rsidRDefault="00000000">
            <w:pPr>
              <w:jc w:val="center"/>
            </w:pPr>
            <w:r>
              <w:rPr>
                <w:color w:val="000000"/>
                <w:sz w:val="18"/>
                <w:szCs w:val="18"/>
              </w:rPr>
              <w:t>Zipaquirá – Cundinamarca</w:t>
            </w:r>
          </w:p>
        </w:tc>
        <w:tc>
          <w:tcPr>
            <w:tcW w:w="3800" w:type="dxa"/>
            <w:tcMar>
              <w:top w:w="60" w:type="dxa"/>
              <w:left w:w="80" w:type="dxa"/>
              <w:bottom w:w="60" w:type="dxa"/>
              <w:right w:w="80" w:type="dxa"/>
            </w:tcMar>
            <w:vAlign w:val="center"/>
          </w:tcPr>
          <w:p w14:paraId="476DC1B4" w14:textId="77777777" w:rsidR="00E904BE" w:rsidRDefault="00000000">
            <w:pPr>
              <w:jc w:val="center"/>
            </w:pPr>
            <w:r>
              <w:rPr>
                <w:color w:val="000000"/>
                <w:sz w:val="18"/>
                <w:szCs w:val="18"/>
              </w:rPr>
              <w:t>Carrera 15 No. 1 Sur - 11 La Fraguita</w:t>
            </w:r>
          </w:p>
        </w:tc>
        <w:tc>
          <w:tcPr>
            <w:tcW w:w="3100" w:type="dxa"/>
            <w:tcMar>
              <w:top w:w="60" w:type="dxa"/>
              <w:left w:w="80" w:type="dxa"/>
              <w:bottom w:w="60" w:type="dxa"/>
              <w:right w:w="80" w:type="dxa"/>
            </w:tcMar>
            <w:vAlign w:val="center"/>
          </w:tcPr>
          <w:p w14:paraId="476DC1B5" w14:textId="77777777" w:rsidR="00E904BE" w:rsidRDefault="00000000">
            <w:pPr>
              <w:jc w:val="center"/>
            </w:pPr>
            <w:r>
              <w:rPr>
                <w:color w:val="000000"/>
                <w:sz w:val="18"/>
                <w:szCs w:val="18"/>
              </w:rPr>
              <w:t>Palacio de Justicia de Zipaquirá</w:t>
            </w:r>
          </w:p>
        </w:tc>
      </w:tr>
    </w:tbl>
    <w:p w14:paraId="476DC1B7" w14:textId="77777777" w:rsidR="00E904BE" w:rsidRDefault="00E904BE">
      <w:pPr>
        <w:spacing w:after="160"/>
      </w:pPr>
    </w:p>
    <w:p w14:paraId="476DC1B8" w14:textId="77777777" w:rsidR="00E904BE" w:rsidRDefault="00000000">
      <w:pPr>
        <w:spacing w:after="160"/>
        <w:jc w:val="both"/>
      </w:pPr>
      <w:r>
        <w:t>Para todos los efectos se entenderá como domicilio contractual la ciudad de Bogotá D.C.</w:t>
      </w:r>
    </w:p>
    <w:p w14:paraId="476DC1B9" w14:textId="77777777" w:rsidR="00E904BE" w:rsidRDefault="00000000">
      <w:pPr>
        <w:spacing w:after="160"/>
        <w:jc w:val="both"/>
      </w:pPr>
      <w:r>
        <w:t>Figura 1.1. Localización del proyecto de infraestructura social Ver relación de sedes en la tabla anterior del literal B.</w:t>
      </w:r>
    </w:p>
    <w:p w14:paraId="476DC1BA" w14:textId="77777777" w:rsidR="00E904BE" w:rsidRDefault="00000000">
      <w:pPr>
        <w:pStyle w:val="Ttulo2"/>
        <w:spacing w:before="240" w:after="120"/>
      </w:pPr>
      <w:r>
        <w:rPr>
          <w:b/>
          <w:bCs/>
          <w:color w:val="1A1818"/>
          <w:sz w:val="24"/>
          <w:szCs w:val="24"/>
        </w:rPr>
        <w:t>2.3. Estado Actual</w:t>
      </w:r>
    </w:p>
    <w:p w14:paraId="476DC1BB" w14:textId="77777777" w:rsidR="00E904BE" w:rsidRDefault="00000000">
      <w:pPr>
        <w:spacing w:after="160"/>
        <w:jc w:val="both"/>
      </w:pPr>
      <w:r>
        <w:t>Los sistemas de bombeo, redes hidrosanitarias, tanques y pozos objeto de este proceso se encuentran instalados y en funcionamiento en cada una de las sedes relacionadas en el numeral 1.1, presentando desgaste propio de su operación continua (sellos mecánicos, rodamientos, válvulas, tuberías y tableros eléctricos de control), así como acumulación de sedimentos y biopelículas en tanques y pozos que requiere lavado y desinfección periódicos conforme a la NTC 4576. El listado detallado del inventario de equipos por sede se encuentra en el numeral 3.1.4 del estudio previo.</w:t>
      </w:r>
    </w:p>
    <w:p w14:paraId="476DC1BC" w14:textId="77777777" w:rsidR="00E904BE" w:rsidRDefault="00000000">
      <w:pPr>
        <w:pStyle w:val="Ttulo1"/>
        <w:spacing w:before="320" w:after="160"/>
      </w:pPr>
      <w:r>
        <w:rPr>
          <w:b/>
          <w:bCs/>
          <w:color w:val="1A1818"/>
          <w:sz w:val="26"/>
          <w:szCs w:val="26"/>
        </w:rPr>
        <w:t>3. ACTIVIDADES POR EJECUTAR Y ALCANCE</w:t>
      </w:r>
    </w:p>
    <w:p w14:paraId="476DC1BD" w14:textId="77777777" w:rsidR="00E904BE" w:rsidRDefault="00000000">
      <w:pPr>
        <w:spacing w:after="160"/>
        <w:jc w:val="both"/>
      </w:pPr>
      <w:r>
        <w:t>Las principales actividades u obras por ejecutar son las siguientes:</w:t>
      </w:r>
    </w:p>
    <w:p w14:paraId="476DC1BE" w14:textId="77777777" w:rsidR="00E904BE" w:rsidRDefault="00000000">
      <w:pPr>
        <w:spacing w:after="160"/>
        <w:jc w:val="both"/>
      </w:pPr>
      <w:r>
        <w:t xml:space="preserve">Las actividades a ejecutar corresponden al mantenimiento preventivo y correctivo del inventario de motobombas (agua potable, red contra incendio, jockey, sumergibles y eyectoras), sus tableros eléctricos de control, y al lavado y desinfección de tanques de almacenamiento de agua potable y de red contra incendio, así como el lavado y </w:t>
      </w:r>
      <w:proofErr w:type="spellStart"/>
      <w:r>
        <w:t>desarenación</w:t>
      </w:r>
      <w:proofErr w:type="spellEnd"/>
      <w:r>
        <w:t xml:space="preserve"> de pozos de aguas negras y aguas lluvias, distribuidos en las sedes CAN (Bogotá), Soacha, Facatativá, Girardot, Chocontá, Zipaquirá y Leticia (Amazonas), conforme al inventario de equipos detallado en el numeral 3.1.4 del estudio previo.</w:t>
      </w:r>
    </w:p>
    <w:p w14:paraId="476DC1BF" w14:textId="77777777" w:rsidR="00E904BE" w:rsidRDefault="00000000">
      <w:pPr>
        <w:spacing w:after="160"/>
        <w:jc w:val="both"/>
      </w:pPr>
      <w:r>
        <w:t>Estas actividades buscan garantizar la continuidad del suministro de agua potable, la operatividad de las redes contra incendio y la evacuación de aguas servidas y pluviales en las sedes judiciales a cargo de la Dirección Seccional:</w:t>
      </w:r>
    </w:p>
    <w:tbl>
      <w:tblPr>
        <w:tblW w:w="10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00"/>
        <w:gridCol w:w="6800"/>
        <w:gridCol w:w="2380"/>
      </w:tblGrid>
      <w:tr w:rsidR="00E904BE" w14:paraId="476DC1C3" w14:textId="77777777" w:rsidTr="00C82312">
        <w:tblPrEx>
          <w:tblCellMar>
            <w:top w:w="0" w:type="dxa"/>
            <w:bottom w:w="0" w:type="dxa"/>
          </w:tblCellMar>
        </w:tblPrEx>
        <w:trPr>
          <w:tblHeader/>
        </w:trPr>
        <w:tc>
          <w:tcPr>
            <w:tcW w:w="1200" w:type="dxa"/>
            <w:shd w:val="clear" w:color="auto" w:fill="3B3838"/>
            <w:tcMar>
              <w:top w:w="60" w:type="dxa"/>
              <w:left w:w="80" w:type="dxa"/>
              <w:bottom w:w="60" w:type="dxa"/>
              <w:right w:w="80" w:type="dxa"/>
            </w:tcMar>
            <w:vAlign w:val="center"/>
          </w:tcPr>
          <w:p w14:paraId="476DC1C0" w14:textId="77777777" w:rsidR="00E904BE" w:rsidRDefault="00000000">
            <w:pPr>
              <w:jc w:val="center"/>
            </w:pPr>
            <w:r>
              <w:rPr>
                <w:b/>
                <w:bCs/>
                <w:color w:val="FFFFFF"/>
                <w:sz w:val="18"/>
                <w:szCs w:val="18"/>
              </w:rPr>
              <w:t>Ítem</w:t>
            </w:r>
          </w:p>
        </w:tc>
        <w:tc>
          <w:tcPr>
            <w:tcW w:w="6800" w:type="dxa"/>
            <w:shd w:val="clear" w:color="auto" w:fill="3B3838"/>
            <w:tcMar>
              <w:top w:w="60" w:type="dxa"/>
              <w:left w:w="80" w:type="dxa"/>
              <w:bottom w:w="60" w:type="dxa"/>
              <w:right w:w="80" w:type="dxa"/>
            </w:tcMar>
            <w:vAlign w:val="center"/>
          </w:tcPr>
          <w:p w14:paraId="476DC1C1" w14:textId="77777777" w:rsidR="00E904BE" w:rsidRDefault="00000000">
            <w:pPr>
              <w:jc w:val="center"/>
            </w:pPr>
            <w:r>
              <w:rPr>
                <w:b/>
                <w:bCs/>
                <w:color w:val="FFFFFF"/>
                <w:sz w:val="18"/>
                <w:szCs w:val="18"/>
              </w:rPr>
              <w:t>Detalle</w:t>
            </w:r>
          </w:p>
        </w:tc>
        <w:tc>
          <w:tcPr>
            <w:tcW w:w="2380" w:type="dxa"/>
            <w:shd w:val="clear" w:color="auto" w:fill="3B3838"/>
            <w:tcMar>
              <w:top w:w="60" w:type="dxa"/>
              <w:left w:w="80" w:type="dxa"/>
              <w:bottom w:w="60" w:type="dxa"/>
              <w:right w:w="80" w:type="dxa"/>
            </w:tcMar>
            <w:vAlign w:val="center"/>
          </w:tcPr>
          <w:p w14:paraId="476DC1C2" w14:textId="77777777" w:rsidR="00E904BE" w:rsidRDefault="00000000">
            <w:pPr>
              <w:jc w:val="center"/>
            </w:pPr>
            <w:r>
              <w:rPr>
                <w:b/>
                <w:bCs/>
                <w:color w:val="FFFFFF"/>
                <w:sz w:val="18"/>
                <w:szCs w:val="18"/>
              </w:rPr>
              <w:t>Cantidad Mantenimientos</w:t>
            </w:r>
          </w:p>
        </w:tc>
      </w:tr>
      <w:tr w:rsidR="00E904BE" w14:paraId="476DC1C7" w14:textId="77777777">
        <w:tblPrEx>
          <w:tblCellMar>
            <w:top w:w="0" w:type="dxa"/>
            <w:bottom w:w="0" w:type="dxa"/>
          </w:tblCellMar>
        </w:tblPrEx>
        <w:tc>
          <w:tcPr>
            <w:tcW w:w="1200" w:type="dxa"/>
            <w:tcMar>
              <w:top w:w="60" w:type="dxa"/>
              <w:left w:w="80" w:type="dxa"/>
              <w:bottom w:w="60" w:type="dxa"/>
              <w:right w:w="80" w:type="dxa"/>
            </w:tcMar>
            <w:vAlign w:val="center"/>
          </w:tcPr>
          <w:p w14:paraId="476DC1C4" w14:textId="77777777" w:rsidR="00E904BE" w:rsidRDefault="00000000">
            <w:pPr>
              <w:jc w:val="center"/>
            </w:pPr>
            <w:r>
              <w:rPr>
                <w:color w:val="000000"/>
                <w:sz w:val="18"/>
                <w:szCs w:val="18"/>
              </w:rPr>
              <w:t>1</w:t>
            </w:r>
          </w:p>
        </w:tc>
        <w:tc>
          <w:tcPr>
            <w:tcW w:w="6800" w:type="dxa"/>
            <w:tcMar>
              <w:top w:w="60" w:type="dxa"/>
              <w:left w:w="80" w:type="dxa"/>
              <w:bottom w:w="60" w:type="dxa"/>
              <w:right w:w="80" w:type="dxa"/>
            </w:tcMar>
            <w:vAlign w:val="center"/>
          </w:tcPr>
          <w:p w14:paraId="476DC1C5" w14:textId="77777777" w:rsidR="00E904BE" w:rsidRDefault="00000000">
            <w:pPr>
              <w:jc w:val="center"/>
            </w:pPr>
            <w:r>
              <w:rPr>
                <w:color w:val="000000"/>
                <w:sz w:val="18"/>
                <w:szCs w:val="18"/>
              </w:rPr>
              <w:t>Juzgados Administrativos de Cundinamarca - CAN</w:t>
            </w:r>
          </w:p>
        </w:tc>
        <w:tc>
          <w:tcPr>
            <w:tcW w:w="2380" w:type="dxa"/>
            <w:tcMar>
              <w:top w:w="60" w:type="dxa"/>
              <w:left w:w="80" w:type="dxa"/>
              <w:bottom w:w="60" w:type="dxa"/>
              <w:right w:w="80" w:type="dxa"/>
            </w:tcMar>
            <w:vAlign w:val="center"/>
          </w:tcPr>
          <w:p w14:paraId="476DC1C6" w14:textId="77777777" w:rsidR="00E904BE" w:rsidRDefault="00E904BE">
            <w:pPr>
              <w:jc w:val="center"/>
            </w:pPr>
          </w:p>
        </w:tc>
      </w:tr>
      <w:tr w:rsidR="00E904BE" w14:paraId="476DC1CB" w14:textId="77777777">
        <w:tblPrEx>
          <w:tblCellMar>
            <w:top w:w="0" w:type="dxa"/>
            <w:bottom w:w="0" w:type="dxa"/>
          </w:tblCellMar>
        </w:tblPrEx>
        <w:tc>
          <w:tcPr>
            <w:tcW w:w="1200" w:type="dxa"/>
            <w:tcMar>
              <w:top w:w="60" w:type="dxa"/>
              <w:left w:w="80" w:type="dxa"/>
              <w:bottom w:w="60" w:type="dxa"/>
              <w:right w:w="80" w:type="dxa"/>
            </w:tcMar>
            <w:vAlign w:val="center"/>
          </w:tcPr>
          <w:p w14:paraId="476DC1C8" w14:textId="77777777" w:rsidR="00E904BE" w:rsidRDefault="00000000">
            <w:pPr>
              <w:jc w:val="center"/>
            </w:pPr>
            <w:r>
              <w:rPr>
                <w:color w:val="000000"/>
                <w:sz w:val="18"/>
                <w:szCs w:val="18"/>
              </w:rPr>
              <w:t>1.1</w:t>
            </w:r>
          </w:p>
        </w:tc>
        <w:tc>
          <w:tcPr>
            <w:tcW w:w="6800" w:type="dxa"/>
            <w:tcMar>
              <w:top w:w="60" w:type="dxa"/>
              <w:left w:w="80" w:type="dxa"/>
              <w:bottom w:w="60" w:type="dxa"/>
              <w:right w:w="80" w:type="dxa"/>
            </w:tcMar>
            <w:vAlign w:val="center"/>
          </w:tcPr>
          <w:p w14:paraId="476DC1C9" w14:textId="77777777" w:rsidR="00E904BE" w:rsidRDefault="00000000">
            <w:pPr>
              <w:jc w:val="center"/>
            </w:pPr>
            <w:r>
              <w:rPr>
                <w:color w:val="000000"/>
                <w:sz w:val="18"/>
                <w:szCs w:val="18"/>
              </w:rPr>
              <w:t>Bomba de 7.5 HP, 220 v agua potable, incluye los tableros eléctricos</w:t>
            </w:r>
          </w:p>
        </w:tc>
        <w:tc>
          <w:tcPr>
            <w:tcW w:w="2380" w:type="dxa"/>
            <w:tcMar>
              <w:top w:w="60" w:type="dxa"/>
              <w:left w:w="80" w:type="dxa"/>
              <w:bottom w:w="60" w:type="dxa"/>
              <w:right w:w="80" w:type="dxa"/>
            </w:tcMar>
            <w:vAlign w:val="center"/>
          </w:tcPr>
          <w:p w14:paraId="476DC1CA" w14:textId="77777777" w:rsidR="00E904BE" w:rsidRDefault="00000000">
            <w:pPr>
              <w:jc w:val="center"/>
            </w:pPr>
            <w:r>
              <w:rPr>
                <w:color w:val="000000"/>
                <w:sz w:val="18"/>
                <w:szCs w:val="18"/>
              </w:rPr>
              <w:t>1</w:t>
            </w:r>
          </w:p>
        </w:tc>
      </w:tr>
      <w:tr w:rsidR="00E904BE" w14:paraId="476DC1CF" w14:textId="77777777">
        <w:tblPrEx>
          <w:tblCellMar>
            <w:top w:w="0" w:type="dxa"/>
            <w:bottom w:w="0" w:type="dxa"/>
          </w:tblCellMar>
        </w:tblPrEx>
        <w:tc>
          <w:tcPr>
            <w:tcW w:w="1200" w:type="dxa"/>
            <w:tcMar>
              <w:top w:w="60" w:type="dxa"/>
              <w:left w:w="80" w:type="dxa"/>
              <w:bottom w:w="60" w:type="dxa"/>
              <w:right w:w="80" w:type="dxa"/>
            </w:tcMar>
            <w:vAlign w:val="center"/>
          </w:tcPr>
          <w:p w14:paraId="476DC1CC" w14:textId="77777777" w:rsidR="00E904BE" w:rsidRDefault="00000000">
            <w:pPr>
              <w:jc w:val="center"/>
            </w:pPr>
            <w:r>
              <w:rPr>
                <w:color w:val="000000"/>
                <w:sz w:val="18"/>
                <w:szCs w:val="18"/>
              </w:rPr>
              <w:t>1.2</w:t>
            </w:r>
          </w:p>
        </w:tc>
        <w:tc>
          <w:tcPr>
            <w:tcW w:w="6800" w:type="dxa"/>
            <w:tcMar>
              <w:top w:w="60" w:type="dxa"/>
              <w:left w:w="80" w:type="dxa"/>
              <w:bottom w:w="60" w:type="dxa"/>
              <w:right w:w="80" w:type="dxa"/>
            </w:tcMar>
            <w:vAlign w:val="center"/>
          </w:tcPr>
          <w:p w14:paraId="476DC1CD" w14:textId="77777777" w:rsidR="00E904BE" w:rsidRDefault="00000000">
            <w:pPr>
              <w:jc w:val="center"/>
            </w:pPr>
            <w:r>
              <w:rPr>
                <w:color w:val="000000"/>
                <w:sz w:val="18"/>
                <w:szCs w:val="18"/>
              </w:rPr>
              <w:t>Bombas red contraincendios 30,6 HP, incluye los tableros eléctricos</w:t>
            </w:r>
          </w:p>
        </w:tc>
        <w:tc>
          <w:tcPr>
            <w:tcW w:w="2380" w:type="dxa"/>
            <w:tcMar>
              <w:top w:w="60" w:type="dxa"/>
              <w:left w:w="80" w:type="dxa"/>
              <w:bottom w:w="60" w:type="dxa"/>
              <w:right w:w="80" w:type="dxa"/>
            </w:tcMar>
            <w:vAlign w:val="center"/>
          </w:tcPr>
          <w:p w14:paraId="476DC1CE" w14:textId="77777777" w:rsidR="00E904BE" w:rsidRDefault="00000000">
            <w:pPr>
              <w:jc w:val="center"/>
            </w:pPr>
            <w:r>
              <w:rPr>
                <w:color w:val="000000"/>
                <w:sz w:val="18"/>
                <w:szCs w:val="18"/>
              </w:rPr>
              <w:t>1</w:t>
            </w:r>
          </w:p>
        </w:tc>
      </w:tr>
      <w:tr w:rsidR="00E904BE" w14:paraId="476DC1D3" w14:textId="77777777">
        <w:tblPrEx>
          <w:tblCellMar>
            <w:top w:w="0" w:type="dxa"/>
            <w:bottom w:w="0" w:type="dxa"/>
          </w:tblCellMar>
        </w:tblPrEx>
        <w:tc>
          <w:tcPr>
            <w:tcW w:w="1200" w:type="dxa"/>
            <w:tcMar>
              <w:top w:w="60" w:type="dxa"/>
              <w:left w:w="80" w:type="dxa"/>
              <w:bottom w:w="60" w:type="dxa"/>
              <w:right w:w="80" w:type="dxa"/>
            </w:tcMar>
            <w:vAlign w:val="center"/>
          </w:tcPr>
          <w:p w14:paraId="476DC1D0" w14:textId="77777777" w:rsidR="00E904BE" w:rsidRDefault="00000000">
            <w:pPr>
              <w:jc w:val="center"/>
            </w:pPr>
            <w:r>
              <w:rPr>
                <w:color w:val="000000"/>
                <w:sz w:val="18"/>
                <w:szCs w:val="18"/>
              </w:rPr>
              <w:t>1.3</w:t>
            </w:r>
          </w:p>
        </w:tc>
        <w:tc>
          <w:tcPr>
            <w:tcW w:w="6800" w:type="dxa"/>
            <w:tcMar>
              <w:top w:w="60" w:type="dxa"/>
              <w:left w:w="80" w:type="dxa"/>
              <w:bottom w:w="60" w:type="dxa"/>
              <w:right w:w="80" w:type="dxa"/>
            </w:tcMar>
            <w:vAlign w:val="center"/>
          </w:tcPr>
          <w:p w14:paraId="476DC1D1" w14:textId="77777777" w:rsidR="00E904BE" w:rsidRDefault="00000000">
            <w:pPr>
              <w:jc w:val="center"/>
            </w:pPr>
            <w:r>
              <w:rPr>
                <w:color w:val="000000"/>
                <w:sz w:val="18"/>
                <w:szCs w:val="18"/>
              </w:rPr>
              <w:t>Bomba jockey de 5 HP, incluye los tableros eléctricos</w:t>
            </w:r>
          </w:p>
        </w:tc>
        <w:tc>
          <w:tcPr>
            <w:tcW w:w="2380" w:type="dxa"/>
            <w:tcMar>
              <w:top w:w="60" w:type="dxa"/>
              <w:left w:w="80" w:type="dxa"/>
              <w:bottom w:w="60" w:type="dxa"/>
              <w:right w:w="80" w:type="dxa"/>
            </w:tcMar>
            <w:vAlign w:val="center"/>
          </w:tcPr>
          <w:p w14:paraId="476DC1D2" w14:textId="77777777" w:rsidR="00E904BE" w:rsidRDefault="00000000">
            <w:pPr>
              <w:jc w:val="center"/>
            </w:pPr>
            <w:r>
              <w:rPr>
                <w:color w:val="000000"/>
                <w:sz w:val="18"/>
                <w:szCs w:val="18"/>
              </w:rPr>
              <w:t>1</w:t>
            </w:r>
          </w:p>
        </w:tc>
      </w:tr>
      <w:tr w:rsidR="00E904BE" w14:paraId="476DC1D7" w14:textId="77777777">
        <w:tblPrEx>
          <w:tblCellMar>
            <w:top w:w="0" w:type="dxa"/>
            <w:bottom w:w="0" w:type="dxa"/>
          </w:tblCellMar>
        </w:tblPrEx>
        <w:tc>
          <w:tcPr>
            <w:tcW w:w="1200" w:type="dxa"/>
            <w:tcMar>
              <w:top w:w="60" w:type="dxa"/>
              <w:left w:w="80" w:type="dxa"/>
              <w:bottom w:w="60" w:type="dxa"/>
              <w:right w:w="80" w:type="dxa"/>
            </w:tcMar>
            <w:vAlign w:val="center"/>
          </w:tcPr>
          <w:p w14:paraId="476DC1D4" w14:textId="77777777" w:rsidR="00E904BE" w:rsidRDefault="00000000">
            <w:pPr>
              <w:jc w:val="center"/>
            </w:pPr>
            <w:r>
              <w:rPr>
                <w:color w:val="000000"/>
                <w:sz w:val="18"/>
                <w:szCs w:val="18"/>
              </w:rPr>
              <w:lastRenderedPageBreak/>
              <w:t>1.4</w:t>
            </w:r>
          </w:p>
        </w:tc>
        <w:tc>
          <w:tcPr>
            <w:tcW w:w="6800" w:type="dxa"/>
            <w:tcMar>
              <w:top w:w="60" w:type="dxa"/>
              <w:left w:w="80" w:type="dxa"/>
              <w:bottom w:w="60" w:type="dxa"/>
              <w:right w:w="80" w:type="dxa"/>
            </w:tcMar>
            <w:vAlign w:val="center"/>
          </w:tcPr>
          <w:p w14:paraId="476DC1D5" w14:textId="77777777" w:rsidR="00E904BE" w:rsidRDefault="00000000">
            <w:pPr>
              <w:jc w:val="center"/>
            </w:pPr>
            <w:r>
              <w:rPr>
                <w:color w:val="000000"/>
                <w:sz w:val="18"/>
                <w:szCs w:val="18"/>
              </w:rPr>
              <w:t>Bombas sumergibles trifásica de 2 HP, incluye los tableros eléctricos</w:t>
            </w:r>
          </w:p>
        </w:tc>
        <w:tc>
          <w:tcPr>
            <w:tcW w:w="2380" w:type="dxa"/>
            <w:tcMar>
              <w:top w:w="60" w:type="dxa"/>
              <w:left w:w="80" w:type="dxa"/>
              <w:bottom w:w="60" w:type="dxa"/>
              <w:right w:w="80" w:type="dxa"/>
            </w:tcMar>
            <w:vAlign w:val="center"/>
          </w:tcPr>
          <w:p w14:paraId="476DC1D6" w14:textId="77777777" w:rsidR="00E904BE" w:rsidRDefault="00000000">
            <w:pPr>
              <w:jc w:val="center"/>
            </w:pPr>
            <w:r>
              <w:rPr>
                <w:color w:val="000000"/>
                <w:sz w:val="18"/>
                <w:szCs w:val="18"/>
              </w:rPr>
              <w:t>1</w:t>
            </w:r>
          </w:p>
        </w:tc>
      </w:tr>
      <w:tr w:rsidR="00E904BE" w14:paraId="476DC1DB" w14:textId="77777777">
        <w:tblPrEx>
          <w:tblCellMar>
            <w:top w:w="0" w:type="dxa"/>
            <w:bottom w:w="0" w:type="dxa"/>
          </w:tblCellMar>
        </w:tblPrEx>
        <w:tc>
          <w:tcPr>
            <w:tcW w:w="1200" w:type="dxa"/>
            <w:tcMar>
              <w:top w:w="60" w:type="dxa"/>
              <w:left w:w="80" w:type="dxa"/>
              <w:bottom w:w="60" w:type="dxa"/>
              <w:right w:w="80" w:type="dxa"/>
            </w:tcMar>
            <w:vAlign w:val="center"/>
          </w:tcPr>
          <w:p w14:paraId="476DC1D8" w14:textId="77777777" w:rsidR="00E904BE" w:rsidRDefault="00000000">
            <w:pPr>
              <w:jc w:val="center"/>
            </w:pPr>
            <w:r>
              <w:rPr>
                <w:color w:val="000000"/>
                <w:sz w:val="18"/>
                <w:szCs w:val="18"/>
              </w:rPr>
              <w:t>1.5</w:t>
            </w:r>
          </w:p>
        </w:tc>
        <w:tc>
          <w:tcPr>
            <w:tcW w:w="6800" w:type="dxa"/>
            <w:tcMar>
              <w:top w:w="60" w:type="dxa"/>
              <w:left w:w="80" w:type="dxa"/>
              <w:bottom w:w="60" w:type="dxa"/>
              <w:right w:w="80" w:type="dxa"/>
            </w:tcMar>
            <w:vAlign w:val="center"/>
          </w:tcPr>
          <w:p w14:paraId="476DC1D9" w14:textId="77777777" w:rsidR="00E904BE" w:rsidRDefault="00000000">
            <w:pPr>
              <w:jc w:val="center"/>
            </w:pPr>
            <w:r>
              <w:rPr>
                <w:color w:val="000000"/>
                <w:sz w:val="18"/>
                <w:szCs w:val="18"/>
              </w:rPr>
              <w:t>Lavado y desinfección tanque de agua potable, capacidad 450 m3</w:t>
            </w:r>
          </w:p>
        </w:tc>
        <w:tc>
          <w:tcPr>
            <w:tcW w:w="2380" w:type="dxa"/>
            <w:tcMar>
              <w:top w:w="60" w:type="dxa"/>
              <w:left w:w="80" w:type="dxa"/>
              <w:bottom w:w="60" w:type="dxa"/>
              <w:right w:w="80" w:type="dxa"/>
            </w:tcMar>
            <w:vAlign w:val="center"/>
          </w:tcPr>
          <w:p w14:paraId="476DC1DA" w14:textId="77777777" w:rsidR="00E904BE" w:rsidRDefault="00000000">
            <w:pPr>
              <w:jc w:val="center"/>
            </w:pPr>
            <w:r>
              <w:rPr>
                <w:color w:val="000000"/>
                <w:sz w:val="18"/>
                <w:szCs w:val="18"/>
              </w:rPr>
              <w:t>1</w:t>
            </w:r>
          </w:p>
        </w:tc>
      </w:tr>
      <w:tr w:rsidR="00E904BE" w14:paraId="476DC1DF" w14:textId="77777777">
        <w:tblPrEx>
          <w:tblCellMar>
            <w:top w:w="0" w:type="dxa"/>
            <w:bottom w:w="0" w:type="dxa"/>
          </w:tblCellMar>
        </w:tblPrEx>
        <w:tc>
          <w:tcPr>
            <w:tcW w:w="1200" w:type="dxa"/>
            <w:tcMar>
              <w:top w:w="60" w:type="dxa"/>
              <w:left w:w="80" w:type="dxa"/>
              <w:bottom w:w="60" w:type="dxa"/>
              <w:right w:w="80" w:type="dxa"/>
            </w:tcMar>
            <w:vAlign w:val="center"/>
          </w:tcPr>
          <w:p w14:paraId="476DC1DC" w14:textId="77777777" w:rsidR="00E904BE" w:rsidRDefault="00000000">
            <w:pPr>
              <w:jc w:val="center"/>
            </w:pPr>
            <w:r>
              <w:rPr>
                <w:color w:val="000000"/>
                <w:sz w:val="18"/>
                <w:szCs w:val="18"/>
              </w:rPr>
              <w:t>1.6</w:t>
            </w:r>
          </w:p>
        </w:tc>
        <w:tc>
          <w:tcPr>
            <w:tcW w:w="6800" w:type="dxa"/>
            <w:tcMar>
              <w:top w:w="60" w:type="dxa"/>
              <w:left w:w="80" w:type="dxa"/>
              <w:bottom w:w="60" w:type="dxa"/>
              <w:right w:w="80" w:type="dxa"/>
            </w:tcMar>
            <w:vAlign w:val="center"/>
          </w:tcPr>
          <w:p w14:paraId="476DC1DD" w14:textId="77777777" w:rsidR="00E904BE" w:rsidRDefault="00000000">
            <w:pPr>
              <w:jc w:val="center"/>
            </w:pPr>
            <w:r>
              <w:rPr>
                <w:color w:val="000000"/>
                <w:sz w:val="18"/>
                <w:szCs w:val="18"/>
              </w:rPr>
              <w:t xml:space="preserve">Lavado y </w:t>
            </w:r>
            <w:proofErr w:type="spellStart"/>
            <w:r>
              <w:rPr>
                <w:color w:val="000000"/>
                <w:sz w:val="18"/>
                <w:szCs w:val="18"/>
              </w:rPr>
              <w:t>desarenación</w:t>
            </w:r>
            <w:proofErr w:type="spellEnd"/>
            <w:r>
              <w:rPr>
                <w:color w:val="000000"/>
                <w:sz w:val="18"/>
                <w:szCs w:val="18"/>
              </w:rPr>
              <w:t xml:space="preserve"> pozo de aguas negras y lavado de cajas (12 m3)</w:t>
            </w:r>
          </w:p>
        </w:tc>
        <w:tc>
          <w:tcPr>
            <w:tcW w:w="2380" w:type="dxa"/>
            <w:tcMar>
              <w:top w:w="60" w:type="dxa"/>
              <w:left w:w="80" w:type="dxa"/>
              <w:bottom w:w="60" w:type="dxa"/>
              <w:right w:w="80" w:type="dxa"/>
            </w:tcMar>
            <w:vAlign w:val="center"/>
          </w:tcPr>
          <w:p w14:paraId="476DC1DE" w14:textId="77777777" w:rsidR="00E904BE" w:rsidRDefault="00000000">
            <w:pPr>
              <w:jc w:val="center"/>
            </w:pPr>
            <w:r>
              <w:rPr>
                <w:color w:val="000000"/>
                <w:sz w:val="18"/>
                <w:szCs w:val="18"/>
              </w:rPr>
              <w:t>1</w:t>
            </w:r>
          </w:p>
        </w:tc>
      </w:tr>
      <w:tr w:rsidR="00E904BE" w14:paraId="476DC1E3" w14:textId="77777777">
        <w:tblPrEx>
          <w:tblCellMar>
            <w:top w:w="0" w:type="dxa"/>
            <w:bottom w:w="0" w:type="dxa"/>
          </w:tblCellMar>
        </w:tblPrEx>
        <w:tc>
          <w:tcPr>
            <w:tcW w:w="1200" w:type="dxa"/>
            <w:tcMar>
              <w:top w:w="60" w:type="dxa"/>
              <w:left w:w="80" w:type="dxa"/>
              <w:bottom w:w="60" w:type="dxa"/>
              <w:right w:w="80" w:type="dxa"/>
            </w:tcMar>
            <w:vAlign w:val="center"/>
          </w:tcPr>
          <w:p w14:paraId="476DC1E0" w14:textId="77777777" w:rsidR="00E904BE" w:rsidRDefault="00000000">
            <w:pPr>
              <w:jc w:val="center"/>
            </w:pPr>
            <w:r>
              <w:rPr>
                <w:color w:val="000000"/>
                <w:sz w:val="18"/>
                <w:szCs w:val="18"/>
              </w:rPr>
              <w:t>2</w:t>
            </w:r>
          </w:p>
        </w:tc>
        <w:tc>
          <w:tcPr>
            <w:tcW w:w="6800" w:type="dxa"/>
            <w:tcMar>
              <w:top w:w="60" w:type="dxa"/>
              <w:left w:w="80" w:type="dxa"/>
              <w:bottom w:w="60" w:type="dxa"/>
              <w:right w:w="80" w:type="dxa"/>
            </w:tcMar>
            <w:vAlign w:val="center"/>
          </w:tcPr>
          <w:p w14:paraId="476DC1E1" w14:textId="77777777" w:rsidR="00E904BE" w:rsidRDefault="00000000">
            <w:pPr>
              <w:jc w:val="center"/>
            </w:pPr>
            <w:r>
              <w:rPr>
                <w:color w:val="000000"/>
                <w:sz w:val="18"/>
                <w:szCs w:val="18"/>
              </w:rPr>
              <w:t>Palacio de Justicia de Soacha</w:t>
            </w:r>
          </w:p>
        </w:tc>
        <w:tc>
          <w:tcPr>
            <w:tcW w:w="2380" w:type="dxa"/>
            <w:tcMar>
              <w:top w:w="60" w:type="dxa"/>
              <w:left w:w="80" w:type="dxa"/>
              <w:bottom w:w="60" w:type="dxa"/>
              <w:right w:w="80" w:type="dxa"/>
            </w:tcMar>
            <w:vAlign w:val="center"/>
          </w:tcPr>
          <w:p w14:paraId="476DC1E2" w14:textId="77777777" w:rsidR="00E904BE" w:rsidRDefault="00E904BE">
            <w:pPr>
              <w:jc w:val="center"/>
            </w:pPr>
          </w:p>
        </w:tc>
      </w:tr>
      <w:tr w:rsidR="00E904BE" w14:paraId="476DC1E7" w14:textId="77777777">
        <w:tblPrEx>
          <w:tblCellMar>
            <w:top w:w="0" w:type="dxa"/>
            <w:bottom w:w="0" w:type="dxa"/>
          </w:tblCellMar>
        </w:tblPrEx>
        <w:tc>
          <w:tcPr>
            <w:tcW w:w="1200" w:type="dxa"/>
            <w:tcMar>
              <w:top w:w="60" w:type="dxa"/>
              <w:left w:w="80" w:type="dxa"/>
              <w:bottom w:w="60" w:type="dxa"/>
              <w:right w:w="80" w:type="dxa"/>
            </w:tcMar>
            <w:vAlign w:val="center"/>
          </w:tcPr>
          <w:p w14:paraId="476DC1E4" w14:textId="77777777" w:rsidR="00E904BE" w:rsidRDefault="00000000">
            <w:pPr>
              <w:jc w:val="center"/>
            </w:pPr>
            <w:r>
              <w:rPr>
                <w:color w:val="000000"/>
                <w:sz w:val="18"/>
                <w:szCs w:val="18"/>
              </w:rPr>
              <w:t>2.1</w:t>
            </w:r>
          </w:p>
        </w:tc>
        <w:tc>
          <w:tcPr>
            <w:tcW w:w="6800" w:type="dxa"/>
            <w:tcMar>
              <w:top w:w="60" w:type="dxa"/>
              <w:left w:w="80" w:type="dxa"/>
              <w:bottom w:w="60" w:type="dxa"/>
              <w:right w:w="80" w:type="dxa"/>
            </w:tcMar>
            <w:vAlign w:val="center"/>
          </w:tcPr>
          <w:p w14:paraId="476DC1E5" w14:textId="77777777" w:rsidR="00E904BE" w:rsidRDefault="00000000">
            <w:pPr>
              <w:jc w:val="center"/>
            </w:pPr>
            <w:r>
              <w:rPr>
                <w:color w:val="000000"/>
                <w:sz w:val="18"/>
                <w:szCs w:val="18"/>
              </w:rPr>
              <w:t>Bomba Centrifuga 1SH-STW, 5 HP agua potable, con medidor de presión Danfoss, incluye los tableros eléctricos</w:t>
            </w:r>
          </w:p>
        </w:tc>
        <w:tc>
          <w:tcPr>
            <w:tcW w:w="2380" w:type="dxa"/>
            <w:tcMar>
              <w:top w:w="60" w:type="dxa"/>
              <w:left w:w="80" w:type="dxa"/>
              <w:bottom w:w="60" w:type="dxa"/>
              <w:right w:w="80" w:type="dxa"/>
            </w:tcMar>
            <w:vAlign w:val="center"/>
          </w:tcPr>
          <w:p w14:paraId="476DC1E6" w14:textId="77777777" w:rsidR="00E904BE" w:rsidRDefault="00000000">
            <w:pPr>
              <w:jc w:val="center"/>
            </w:pPr>
            <w:r>
              <w:rPr>
                <w:color w:val="000000"/>
                <w:sz w:val="18"/>
                <w:szCs w:val="18"/>
              </w:rPr>
              <w:t>1</w:t>
            </w:r>
          </w:p>
        </w:tc>
      </w:tr>
      <w:tr w:rsidR="00E904BE" w14:paraId="476DC1EB" w14:textId="77777777">
        <w:tblPrEx>
          <w:tblCellMar>
            <w:top w:w="0" w:type="dxa"/>
            <w:bottom w:w="0" w:type="dxa"/>
          </w:tblCellMar>
        </w:tblPrEx>
        <w:tc>
          <w:tcPr>
            <w:tcW w:w="1200" w:type="dxa"/>
            <w:tcMar>
              <w:top w:w="60" w:type="dxa"/>
              <w:left w:w="80" w:type="dxa"/>
              <w:bottom w:w="60" w:type="dxa"/>
              <w:right w:w="80" w:type="dxa"/>
            </w:tcMar>
            <w:vAlign w:val="center"/>
          </w:tcPr>
          <w:p w14:paraId="476DC1E8" w14:textId="77777777" w:rsidR="00E904BE" w:rsidRDefault="00000000">
            <w:pPr>
              <w:jc w:val="center"/>
            </w:pPr>
            <w:r>
              <w:rPr>
                <w:color w:val="000000"/>
                <w:sz w:val="18"/>
                <w:szCs w:val="18"/>
              </w:rPr>
              <w:t>2.2</w:t>
            </w:r>
          </w:p>
        </w:tc>
        <w:tc>
          <w:tcPr>
            <w:tcW w:w="6800" w:type="dxa"/>
            <w:tcMar>
              <w:top w:w="60" w:type="dxa"/>
              <w:left w:w="80" w:type="dxa"/>
              <w:bottom w:w="60" w:type="dxa"/>
              <w:right w:w="80" w:type="dxa"/>
            </w:tcMar>
            <w:vAlign w:val="center"/>
          </w:tcPr>
          <w:p w14:paraId="476DC1E9" w14:textId="77777777" w:rsidR="00E904BE" w:rsidRDefault="00000000">
            <w:pPr>
              <w:jc w:val="center"/>
            </w:pPr>
            <w:r>
              <w:rPr>
                <w:color w:val="000000"/>
                <w:sz w:val="18"/>
                <w:szCs w:val="18"/>
              </w:rPr>
              <w:t xml:space="preserve">Tanque </w:t>
            </w:r>
            <w:proofErr w:type="spellStart"/>
            <w:r>
              <w:rPr>
                <w:color w:val="000000"/>
                <w:sz w:val="18"/>
                <w:szCs w:val="18"/>
              </w:rPr>
              <w:t>hidroflo</w:t>
            </w:r>
            <w:proofErr w:type="spellEnd"/>
            <w:r>
              <w:rPr>
                <w:color w:val="000000"/>
                <w:sz w:val="18"/>
                <w:szCs w:val="18"/>
              </w:rPr>
              <w:t xml:space="preserve"> modelo La500 presión de trabajo 150 psi, capacidad de 500 L incluye cambio de membrana de ser necesario</w:t>
            </w:r>
          </w:p>
        </w:tc>
        <w:tc>
          <w:tcPr>
            <w:tcW w:w="2380" w:type="dxa"/>
            <w:tcMar>
              <w:top w:w="60" w:type="dxa"/>
              <w:left w:w="80" w:type="dxa"/>
              <w:bottom w:w="60" w:type="dxa"/>
              <w:right w:w="80" w:type="dxa"/>
            </w:tcMar>
            <w:vAlign w:val="center"/>
          </w:tcPr>
          <w:p w14:paraId="476DC1EA" w14:textId="77777777" w:rsidR="00E904BE" w:rsidRDefault="00000000">
            <w:pPr>
              <w:jc w:val="center"/>
            </w:pPr>
            <w:r>
              <w:rPr>
                <w:color w:val="000000"/>
                <w:sz w:val="18"/>
                <w:szCs w:val="18"/>
              </w:rPr>
              <w:t>1</w:t>
            </w:r>
          </w:p>
        </w:tc>
      </w:tr>
      <w:tr w:rsidR="00E904BE" w14:paraId="476DC1EF" w14:textId="77777777">
        <w:tblPrEx>
          <w:tblCellMar>
            <w:top w:w="0" w:type="dxa"/>
            <w:bottom w:w="0" w:type="dxa"/>
          </w:tblCellMar>
        </w:tblPrEx>
        <w:tc>
          <w:tcPr>
            <w:tcW w:w="1200" w:type="dxa"/>
            <w:tcMar>
              <w:top w:w="60" w:type="dxa"/>
              <w:left w:w="80" w:type="dxa"/>
              <w:bottom w:w="60" w:type="dxa"/>
              <w:right w:w="80" w:type="dxa"/>
            </w:tcMar>
            <w:vAlign w:val="center"/>
          </w:tcPr>
          <w:p w14:paraId="476DC1EC" w14:textId="77777777" w:rsidR="00E904BE" w:rsidRDefault="00000000">
            <w:pPr>
              <w:jc w:val="center"/>
            </w:pPr>
            <w:r>
              <w:rPr>
                <w:color w:val="000000"/>
                <w:sz w:val="18"/>
                <w:szCs w:val="18"/>
              </w:rPr>
              <w:t>2.3</w:t>
            </w:r>
          </w:p>
        </w:tc>
        <w:tc>
          <w:tcPr>
            <w:tcW w:w="6800" w:type="dxa"/>
            <w:tcMar>
              <w:top w:w="60" w:type="dxa"/>
              <w:left w:w="80" w:type="dxa"/>
              <w:bottom w:w="60" w:type="dxa"/>
              <w:right w:w="80" w:type="dxa"/>
            </w:tcMar>
            <w:vAlign w:val="center"/>
          </w:tcPr>
          <w:p w14:paraId="476DC1ED" w14:textId="77777777" w:rsidR="00E904BE" w:rsidRDefault="00000000">
            <w:pPr>
              <w:jc w:val="center"/>
            </w:pPr>
            <w:r>
              <w:rPr>
                <w:color w:val="000000"/>
                <w:sz w:val="18"/>
                <w:szCs w:val="18"/>
              </w:rPr>
              <w:t>Bombas red contraincendios 40 HP, incluye los tableros eléctricos</w:t>
            </w:r>
          </w:p>
        </w:tc>
        <w:tc>
          <w:tcPr>
            <w:tcW w:w="2380" w:type="dxa"/>
            <w:tcMar>
              <w:top w:w="60" w:type="dxa"/>
              <w:left w:w="80" w:type="dxa"/>
              <w:bottom w:w="60" w:type="dxa"/>
              <w:right w:w="80" w:type="dxa"/>
            </w:tcMar>
            <w:vAlign w:val="center"/>
          </w:tcPr>
          <w:p w14:paraId="476DC1EE" w14:textId="77777777" w:rsidR="00E904BE" w:rsidRDefault="00000000">
            <w:pPr>
              <w:jc w:val="center"/>
            </w:pPr>
            <w:r>
              <w:rPr>
                <w:color w:val="000000"/>
                <w:sz w:val="18"/>
                <w:szCs w:val="18"/>
              </w:rPr>
              <w:t>1</w:t>
            </w:r>
          </w:p>
        </w:tc>
      </w:tr>
      <w:tr w:rsidR="00E904BE" w14:paraId="476DC1F3" w14:textId="77777777">
        <w:tblPrEx>
          <w:tblCellMar>
            <w:top w:w="0" w:type="dxa"/>
            <w:bottom w:w="0" w:type="dxa"/>
          </w:tblCellMar>
        </w:tblPrEx>
        <w:tc>
          <w:tcPr>
            <w:tcW w:w="1200" w:type="dxa"/>
            <w:tcMar>
              <w:top w:w="60" w:type="dxa"/>
              <w:left w:w="80" w:type="dxa"/>
              <w:bottom w:w="60" w:type="dxa"/>
              <w:right w:w="80" w:type="dxa"/>
            </w:tcMar>
            <w:vAlign w:val="center"/>
          </w:tcPr>
          <w:p w14:paraId="476DC1F0" w14:textId="77777777" w:rsidR="00E904BE" w:rsidRDefault="00000000">
            <w:pPr>
              <w:jc w:val="center"/>
            </w:pPr>
            <w:r>
              <w:rPr>
                <w:color w:val="000000"/>
                <w:sz w:val="18"/>
                <w:szCs w:val="18"/>
              </w:rPr>
              <w:t>2.4</w:t>
            </w:r>
          </w:p>
        </w:tc>
        <w:tc>
          <w:tcPr>
            <w:tcW w:w="6800" w:type="dxa"/>
            <w:tcMar>
              <w:top w:w="60" w:type="dxa"/>
              <w:left w:w="80" w:type="dxa"/>
              <w:bottom w:w="60" w:type="dxa"/>
              <w:right w:w="80" w:type="dxa"/>
            </w:tcMar>
            <w:vAlign w:val="center"/>
          </w:tcPr>
          <w:p w14:paraId="476DC1F1" w14:textId="77777777" w:rsidR="00E904BE" w:rsidRDefault="00000000">
            <w:pPr>
              <w:jc w:val="center"/>
            </w:pPr>
            <w:r>
              <w:rPr>
                <w:color w:val="000000"/>
                <w:sz w:val="18"/>
                <w:szCs w:val="18"/>
              </w:rPr>
              <w:t>Bomba jockey de 5 HP, incluye los tableros eléctricos</w:t>
            </w:r>
          </w:p>
        </w:tc>
        <w:tc>
          <w:tcPr>
            <w:tcW w:w="2380" w:type="dxa"/>
            <w:tcMar>
              <w:top w:w="60" w:type="dxa"/>
              <w:left w:w="80" w:type="dxa"/>
              <w:bottom w:w="60" w:type="dxa"/>
              <w:right w:w="80" w:type="dxa"/>
            </w:tcMar>
            <w:vAlign w:val="center"/>
          </w:tcPr>
          <w:p w14:paraId="476DC1F2" w14:textId="77777777" w:rsidR="00E904BE" w:rsidRDefault="00000000">
            <w:pPr>
              <w:jc w:val="center"/>
            </w:pPr>
            <w:r>
              <w:rPr>
                <w:color w:val="000000"/>
                <w:sz w:val="18"/>
                <w:szCs w:val="18"/>
              </w:rPr>
              <w:t>1</w:t>
            </w:r>
          </w:p>
        </w:tc>
      </w:tr>
      <w:tr w:rsidR="00E904BE" w14:paraId="476DC1F7" w14:textId="77777777">
        <w:tblPrEx>
          <w:tblCellMar>
            <w:top w:w="0" w:type="dxa"/>
            <w:bottom w:w="0" w:type="dxa"/>
          </w:tblCellMar>
        </w:tblPrEx>
        <w:tc>
          <w:tcPr>
            <w:tcW w:w="1200" w:type="dxa"/>
            <w:tcMar>
              <w:top w:w="60" w:type="dxa"/>
              <w:left w:w="80" w:type="dxa"/>
              <w:bottom w:w="60" w:type="dxa"/>
              <w:right w:w="80" w:type="dxa"/>
            </w:tcMar>
            <w:vAlign w:val="center"/>
          </w:tcPr>
          <w:p w14:paraId="476DC1F4" w14:textId="77777777" w:rsidR="00E904BE" w:rsidRDefault="00000000">
            <w:pPr>
              <w:jc w:val="center"/>
            </w:pPr>
            <w:r>
              <w:rPr>
                <w:color w:val="000000"/>
                <w:sz w:val="18"/>
                <w:szCs w:val="18"/>
              </w:rPr>
              <w:t>2.6</w:t>
            </w:r>
          </w:p>
        </w:tc>
        <w:tc>
          <w:tcPr>
            <w:tcW w:w="6800" w:type="dxa"/>
            <w:tcMar>
              <w:top w:w="60" w:type="dxa"/>
              <w:left w:w="80" w:type="dxa"/>
              <w:bottom w:w="60" w:type="dxa"/>
              <w:right w:w="80" w:type="dxa"/>
            </w:tcMar>
            <w:vAlign w:val="center"/>
          </w:tcPr>
          <w:p w14:paraId="476DC1F5" w14:textId="77777777" w:rsidR="00E904BE" w:rsidRDefault="00000000">
            <w:pPr>
              <w:jc w:val="center"/>
            </w:pPr>
            <w:r>
              <w:rPr>
                <w:color w:val="000000"/>
                <w:sz w:val="18"/>
                <w:szCs w:val="18"/>
              </w:rPr>
              <w:t>Bomba eyectora de 0,15 Hp con arrancadores y tablero de control</w:t>
            </w:r>
          </w:p>
        </w:tc>
        <w:tc>
          <w:tcPr>
            <w:tcW w:w="2380" w:type="dxa"/>
            <w:tcMar>
              <w:top w:w="60" w:type="dxa"/>
              <w:left w:w="80" w:type="dxa"/>
              <w:bottom w:w="60" w:type="dxa"/>
              <w:right w:w="80" w:type="dxa"/>
            </w:tcMar>
            <w:vAlign w:val="center"/>
          </w:tcPr>
          <w:p w14:paraId="476DC1F6" w14:textId="77777777" w:rsidR="00E904BE" w:rsidRDefault="00000000">
            <w:pPr>
              <w:jc w:val="center"/>
            </w:pPr>
            <w:r>
              <w:rPr>
                <w:color w:val="000000"/>
                <w:sz w:val="18"/>
                <w:szCs w:val="18"/>
              </w:rPr>
              <w:t>1</w:t>
            </w:r>
          </w:p>
        </w:tc>
      </w:tr>
      <w:tr w:rsidR="00E904BE" w14:paraId="476DC1FB" w14:textId="77777777">
        <w:tblPrEx>
          <w:tblCellMar>
            <w:top w:w="0" w:type="dxa"/>
            <w:bottom w:w="0" w:type="dxa"/>
          </w:tblCellMar>
        </w:tblPrEx>
        <w:tc>
          <w:tcPr>
            <w:tcW w:w="1200" w:type="dxa"/>
            <w:tcMar>
              <w:top w:w="60" w:type="dxa"/>
              <w:left w:w="80" w:type="dxa"/>
              <w:bottom w:w="60" w:type="dxa"/>
              <w:right w:w="80" w:type="dxa"/>
            </w:tcMar>
            <w:vAlign w:val="center"/>
          </w:tcPr>
          <w:p w14:paraId="476DC1F8" w14:textId="77777777" w:rsidR="00E904BE" w:rsidRDefault="00000000">
            <w:pPr>
              <w:jc w:val="center"/>
            </w:pPr>
            <w:r>
              <w:rPr>
                <w:color w:val="000000"/>
                <w:sz w:val="18"/>
                <w:szCs w:val="18"/>
              </w:rPr>
              <w:t>2.5</w:t>
            </w:r>
          </w:p>
        </w:tc>
        <w:tc>
          <w:tcPr>
            <w:tcW w:w="6800" w:type="dxa"/>
            <w:tcMar>
              <w:top w:w="60" w:type="dxa"/>
              <w:left w:w="80" w:type="dxa"/>
              <w:bottom w:w="60" w:type="dxa"/>
              <w:right w:w="80" w:type="dxa"/>
            </w:tcMar>
            <w:vAlign w:val="center"/>
          </w:tcPr>
          <w:p w14:paraId="476DC1F9" w14:textId="77777777" w:rsidR="00E904BE" w:rsidRDefault="00000000">
            <w:pPr>
              <w:jc w:val="center"/>
            </w:pPr>
            <w:r>
              <w:rPr>
                <w:color w:val="000000"/>
                <w:sz w:val="18"/>
                <w:szCs w:val="18"/>
              </w:rPr>
              <w:t>Lavado y desinfección Tanque de agua potable volumen 57,80 m3</w:t>
            </w:r>
          </w:p>
        </w:tc>
        <w:tc>
          <w:tcPr>
            <w:tcW w:w="2380" w:type="dxa"/>
            <w:tcMar>
              <w:top w:w="60" w:type="dxa"/>
              <w:left w:w="80" w:type="dxa"/>
              <w:bottom w:w="60" w:type="dxa"/>
              <w:right w:w="80" w:type="dxa"/>
            </w:tcMar>
            <w:vAlign w:val="center"/>
          </w:tcPr>
          <w:p w14:paraId="476DC1FA" w14:textId="77777777" w:rsidR="00E904BE" w:rsidRDefault="00000000">
            <w:pPr>
              <w:jc w:val="center"/>
            </w:pPr>
            <w:r>
              <w:rPr>
                <w:color w:val="000000"/>
                <w:sz w:val="18"/>
                <w:szCs w:val="18"/>
              </w:rPr>
              <w:t>1</w:t>
            </w:r>
          </w:p>
        </w:tc>
      </w:tr>
      <w:tr w:rsidR="00E904BE" w14:paraId="476DC1FF" w14:textId="77777777">
        <w:tblPrEx>
          <w:tblCellMar>
            <w:top w:w="0" w:type="dxa"/>
            <w:bottom w:w="0" w:type="dxa"/>
          </w:tblCellMar>
        </w:tblPrEx>
        <w:tc>
          <w:tcPr>
            <w:tcW w:w="1200" w:type="dxa"/>
            <w:tcMar>
              <w:top w:w="60" w:type="dxa"/>
              <w:left w:w="80" w:type="dxa"/>
              <w:bottom w:w="60" w:type="dxa"/>
              <w:right w:w="80" w:type="dxa"/>
            </w:tcMar>
            <w:vAlign w:val="center"/>
          </w:tcPr>
          <w:p w14:paraId="476DC1FC" w14:textId="77777777" w:rsidR="00E904BE" w:rsidRDefault="00000000">
            <w:pPr>
              <w:jc w:val="center"/>
            </w:pPr>
            <w:r>
              <w:rPr>
                <w:color w:val="000000"/>
                <w:sz w:val="18"/>
                <w:szCs w:val="18"/>
              </w:rPr>
              <w:t>3</w:t>
            </w:r>
          </w:p>
        </w:tc>
        <w:tc>
          <w:tcPr>
            <w:tcW w:w="6800" w:type="dxa"/>
            <w:tcMar>
              <w:top w:w="60" w:type="dxa"/>
              <w:left w:w="80" w:type="dxa"/>
              <w:bottom w:w="60" w:type="dxa"/>
              <w:right w:w="80" w:type="dxa"/>
            </w:tcMar>
            <w:vAlign w:val="center"/>
          </w:tcPr>
          <w:p w14:paraId="476DC1FD" w14:textId="77777777" w:rsidR="00E904BE" w:rsidRDefault="00000000">
            <w:pPr>
              <w:jc w:val="center"/>
            </w:pPr>
            <w:r>
              <w:rPr>
                <w:color w:val="000000"/>
                <w:sz w:val="18"/>
                <w:szCs w:val="18"/>
              </w:rPr>
              <w:t>Palacio de Justicia de Facatativá</w:t>
            </w:r>
          </w:p>
        </w:tc>
        <w:tc>
          <w:tcPr>
            <w:tcW w:w="2380" w:type="dxa"/>
            <w:tcMar>
              <w:top w:w="60" w:type="dxa"/>
              <w:left w:w="80" w:type="dxa"/>
              <w:bottom w:w="60" w:type="dxa"/>
              <w:right w:w="80" w:type="dxa"/>
            </w:tcMar>
            <w:vAlign w:val="center"/>
          </w:tcPr>
          <w:p w14:paraId="476DC1FE" w14:textId="77777777" w:rsidR="00E904BE" w:rsidRDefault="00E904BE">
            <w:pPr>
              <w:jc w:val="center"/>
            </w:pPr>
          </w:p>
        </w:tc>
      </w:tr>
      <w:tr w:rsidR="00E904BE" w14:paraId="476DC203" w14:textId="77777777">
        <w:tblPrEx>
          <w:tblCellMar>
            <w:top w:w="0" w:type="dxa"/>
            <w:bottom w:w="0" w:type="dxa"/>
          </w:tblCellMar>
        </w:tblPrEx>
        <w:tc>
          <w:tcPr>
            <w:tcW w:w="1200" w:type="dxa"/>
            <w:tcMar>
              <w:top w:w="60" w:type="dxa"/>
              <w:left w:w="80" w:type="dxa"/>
              <w:bottom w:w="60" w:type="dxa"/>
              <w:right w:w="80" w:type="dxa"/>
            </w:tcMar>
            <w:vAlign w:val="center"/>
          </w:tcPr>
          <w:p w14:paraId="476DC200" w14:textId="77777777" w:rsidR="00E904BE" w:rsidRDefault="00000000">
            <w:pPr>
              <w:jc w:val="center"/>
            </w:pPr>
            <w:r>
              <w:rPr>
                <w:color w:val="000000"/>
                <w:sz w:val="18"/>
                <w:szCs w:val="18"/>
              </w:rPr>
              <w:t>3.1</w:t>
            </w:r>
          </w:p>
        </w:tc>
        <w:tc>
          <w:tcPr>
            <w:tcW w:w="6800" w:type="dxa"/>
            <w:tcMar>
              <w:top w:w="60" w:type="dxa"/>
              <w:left w:w="80" w:type="dxa"/>
              <w:bottom w:w="60" w:type="dxa"/>
              <w:right w:w="80" w:type="dxa"/>
            </w:tcMar>
            <w:vAlign w:val="center"/>
          </w:tcPr>
          <w:p w14:paraId="476DC201" w14:textId="77777777" w:rsidR="00E904BE" w:rsidRDefault="00000000">
            <w:pPr>
              <w:jc w:val="center"/>
            </w:pPr>
            <w:r>
              <w:rPr>
                <w:color w:val="000000"/>
                <w:sz w:val="18"/>
                <w:szCs w:val="18"/>
              </w:rPr>
              <w:t>Bombas de agua potable suministro de 3 HP, rpm, 220 voltios</w:t>
            </w:r>
          </w:p>
        </w:tc>
        <w:tc>
          <w:tcPr>
            <w:tcW w:w="2380" w:type="dxa"/>
            <w:tcMar>
              <w:top w:w="60" w:type="dxa"/>
              <w:left w:w="80" w:type="dxa"/>
              <w:bottom w:w="60" w:type="dxa"/>
              <w:right w:w="80" w:type="dxa"/>
            </w:tcMar>
            <w:vAlign w:val="center"/>
          </w:tcPr>
          <w:p w14:paraId="476DC202" w14:textId="77777777" w:rsidR="00E904BE" w:rsidRDefault="00000000">
            <w:pPr>
              <w:jc w:val="center"/>
            </w:pPr>
            <w:r>
              <w:rPr>
                <w:color w:val="000000"/>
                <w:sz w:val="18"/>
                <w:szCs w:val="18"/>
              </w:rPr>
              <w:t>1</w:t>
            </w:r>
          </w:p>
        </w:tc>
      </w:tr>
      <w:tr w:rsidR="00E904BE" w14:paraId="476DC207" w14:textId="77777777">
        <w:tblPrEx>
          <w:tblCellMar>
            <w:top w:w="0" w:type="dxa"/>
            <w:bottom w:w="0" w:type="dxa"/>
          </w:tblCellMar>
        </w:tblPrEx>
        <w:tc>
          <w:tcPr>
            <w:tcW w:w="1200" w:type="dxa"/>
            <w:tcMar>
              <w:top w:w="60" w:type="dxa"/>
              <w:left w:w="80" w:type="dxa"/>
              <w:bottom w:w="60" w:type="dxa"/>
              <w:right w:w="80" w:type="dxa"/>
            </w:tcMar>
            <w:vAlign w:val="center"/>
          </w:tcPr>
          <w:p w14:paraId="476DC204" w14:textId="77777777" w:rsidR="00E904BE" w:rsidRDefault="00000000">
            <w:pPr>
              <w:jc w:val="center"/>
            </w:pPr>
            <w:r>
              <w:rPr>
                <w:color w:val="000000"/>
                <w:sz w:val="18"/>
                <w:szCs w:val="18"/>
              </w:rPr>
              <w:t>3.2</w:t>
            </w:r>
          </w:p>
        </w:tc>
        <w:tc>
          <w:tcPr>
            <w:tcW w:w="6800" w:type="dxa"/>
            <w:tcMar>
              <w:top w:w="60" w:type="dxa"/>
              <w:left w:w="80" w:type="dxa"/>
              <w:bottom w:w="60" w:type="dxa"/>
              <w:right w:w="80" w:type="dxa"/>
            </w:tcMar>
            <w:vAlign w:val="center"/>
          </w:tcPr>
          <w:p w14:paraId="476DC205" w14:textId="77777777" w:rsidR="00E904BE" w:rsidRDefault="00000000">
            <w:pPr>
              <w:jc w:val="center"/>
            </w:pPr>
            <w:r>
              <w:rPr>
                <w:color w:val="000000"/>
                <w:sz w:val="18"/>
                <w:szCs w:val="18"/>
              </w:rPr>
              <w:t>Monobloque (</w:t>
            </w:r>
            <w:proofErr w:type="spellStart"/>
            <w:r>
              <w:rPr>
                <w:color w:val="000000"/>
                <w:sz w:val="18"/>
                <w:szCs w:val="18"/>
              </w:rPr>
              <w:t>hidroacumulador</w:t>
            </w:r>
            <w:proofErr w:type="spellEnd"/>
            <w:r>
              <w:rPr>
                <w:color w:val="000000"/>
                <w:sz w:val="18"/>
                <w:szCs w:val="18"/>
              </w:rPr>
              <w:t>) Modelo VSE 5 16 50 Ref. 1G0179, Potencia 5,00 HP 3 Fases, 3600 RPM Marca BARNES</w:t>
            </w:r>
          </w:p>
        </w:tc>
        <w:tc>
          <w:tcPr>
            <w:tcW w:w="2380" w:type="dxa"/>
            <w:tcMar>
              <w:top w:w="60" w:type="dxa"/>
              <w:left w:w="80" w:type="dxa"/>
              <w:bottom w:w="60" w:type="dxa"/>
              <w:right w:w="80" w:type="dxa"/>
            </w:tcMar>
            <w:vAlign w:val="center"/>
          </w:tcPr>
          <w:p w14:paraId="476DC206" w14:textId="77777777" w:rsidR="00E904BE" w:rsidRDefault="00000000">
            <w:pPr>
              <w:jc w:val="center"/>
            </w:pPr>
            <w:r>
              <w:rPr>
                <w:color w:val="000000"/>
                <w:sz w:val="18"/>
                <w:szCs w:val="18"/>
              </w:rPr>
              <w:t>1</w:t>
            </w:r>
          </w:p>
        </w:tc>
      </w:tr>
      <w:tr w:rsidR="00E904BE" w14:paraId="476DC20B" w14:textId="77777777">
        <w:tblPrEx>
          <w:tblCellMar>
            <w:top w:w="0" w:type="dxa"/>
            <w:bottom w:w="0" w:type="dxa"/>
          </w:tblCellMar>
        </w:tblPrEx>
        <w:tc>
          <w:tcPr>
            <w:tcW w:w="1200" w:type="dxa"/>
            <w:tcMar>
              <w:top w:w="60" w:type="dxa"/>
              <w:left w:w="80" w:type="dxa"/>
              <w:bottom w:w="60" w:type="dxa"/>
              <w:right w:w="80" w:type="dxa"/>
            </w:tcMar>
            <w:vAlign w:val="center"/>
          </w:tcPr>
          <w:p w14:paraId="476DC208" w14:textId="77777777" w:rsidR="00E904BE" w:rsidRDefault="00000000">
            <w:pPr>
              <w:jc w:val="center"/>
            </w:pPr>
            <w:r>
              <w:rPr>
                <w:color w:val="000000"/>
                <w:sz w:val="18"/>
                <w:szCs w:val="18"/>
              </w:rPr>
              <w:t>3.3</w:t>
            </w:r>
          </w:p>
        </w:tc>
        <w:tc>
          <w:tcPr>
            <w:tcW w:w="6800" w:type="dxa"/>
            <w:tcMar>
              <w:top w:w="60" w:type="dxa"/>
              <w:left w:w="80" w:type="dxa"/>
              <w:bottom w:w="60" w:type="dxa"/>
              <w:right w:w="80" w:type="dxa"/>
            </w:tcMar>
            <w:vAlign w:val="center"/>
          </w:tcPr>
          <w:p w14:paraId="476DC209" w14:textId="77777777" w:rsidR="00E904BE" w:rsidRDefault="00000000">
            <w:pPr>
              <w:jc w:val="center"/>
            </w:pPr>
            <w:r>
              <w:rPr>
                <w:color w:val="000000"/>
                <w:sz w:val="18"/>
                <w:szCs w:val="18"/>
              </w:rPr>
              <w:t>Bomba RCI con Motor eléctrico Modelo GE 2,5C-400 Ref. 1B0031, Potencia 40 HP 3 Fases, 3600 RPM Marca BARNES</w:t>
            </w:r>
          </w:p>
        </w:tc>
        <w:tc>
          <w:tcPr>
            <w:tcW w:w="2380" w:type="dxa"/>
            <w:tcMar>
              <w:top w:w="60" w:type="dxa"/>
              <w:left w:w="80" w:type="dxa"/>
              <w:bottom w:w="60" w:type="dxa"/>
              <w:right w:w="80" w:type="dxa"/>
            </w:tcMar>
            <w:vAlign w:val="center"/>
          </w:tcPr>
          <w:p w14:paraId="476DC20A" w14:textId="77777777" w:rsidR="00E904BE" w:rsidRDefault="00000000">
            <w:pPr>
              <w:jc w:val="center"/>
            </w:pPr>
            <w:r>
              <w:rPr>
                <w:color w:val="000000"/>
                <w:sz w:val="18"/>
                <w:szCs w:val="18"/>
              </w:rPr>
              <w:t>1</w:t>
            </w:r>
          </w:p>
        </w:tc>
      </w:tr>
      <w:tr w:rsidR="00E904BE" w14:paraId="476DC20F" w14:textId="77777777">
        <w:tblPrEx>
          <w:tblCellMar>
            <w:top w:w="0" w:type="dxa"/>
            <w:bottom w:w="0" w:type="dxa"/>
          </w:tblCellMar>
        </w:tblPrEx>
        <w:tc>
          <w:tcPr>
            <w:tcW w:w="1200" w:type="dxa"/>
            <w:tcMar>
              <w:top w:w="60" w:type="dxa"/>
              <w:left w:w="80" w:type="dxa"/>
              <w:bottom w:w="60" w:type="dxa"/>
              <w:right w:w="80" w:type="dxa"/>
            </w:tcMar>
            <w:vAlign w:val="center"/>
          </w:tcPr>
          <w:p w14:paraId="476DC20C" w14:textId="77777777" w:rsidR="00E904BE" w:rsidRDefault="00000000">
            <w:pPr>
              <w:jc w:val="center"/>
            </w:pPr>
            <w:r>
              <w:rPr>
                <w:color w:val="000000"/>
                <w:sz w:val="18"/>
                <w:szCs w:val="18"/>
              </w:rPr>
              <w:t>3.4</w:t>
            </w:r>
          </w:p>
        </w:tc>
        <w:tc>
          <w:tcPr>
            <w:tcW w:w="6800" w:type="dxa"/>
            <w:tcMar>
              <w:top w:w="60" w:type="dxa"/>
              <w:left w:w="80" w:type="dxa"/>
              <w:bottom w:w="60" w:type="dxa"/>
              <w:right w:w="80" w:type="dxa"/>
            </w:tcMar>
            <w:vAlign w:val="center"/>
          </w:tcPr>
          <w:p w14:paraId="476DC20D" w14:textId="77777777" w:rsidR="00E904BE" w:rsidRDefault="00000000">
            <w:pPr>
              <w:jc w:val="center"/>
            </w:pPr>
            <w:r>
              <w:rPr>
                <w:color w:val="000000"/>
                <w:sz w:val="18"/>
                <w:szCs w:val="18"/>
              </w:rPr>
              <w:t>Bomba sumergible para el pozo de aguas lluvias de 2 HP con succión y descarguen de 1 ½”, incluye los tableros eléctricos</w:t>
            </w:r>
          </w:p>
        </w:tc>
        <w:tc>
          <w:tcPr>
            <w:tcW w:w="2380" w:type="dxa"/>
            <w:tcMar>
              <w:top w:w="60" w:type="dxa"/>
              <w:left w:w="80" w:type="dxa"/>
              <w:bottom w:w="60" w:type="dxa"/>
              <w:right w:w="80" w:type="dxa"/>
            </w:tcMar>
            <w:vAlign w:val="center"/>
          </w:tcPr>
          <w:p w14:paraId="476DC20E" w14:textId="77777777" w:rsidR="00E904BE" w:rsidRDefault="00000000">
            <w:pPr>
              <w:jc w:val="center"/>
            </w:pPr>
            <w:r>
              <w:rPr>
                <w:color w:val="000000"/>
                <w:sz w:val="18"/>
                <w:szCs w:val="18"/>
              </w:rPr>
              <w:t>1</w:t>
            </w:r>
          </w:p>
        </w:tc>
      </w:tr>
      <w:tr w:rsidR="00E904BE" w14:paraId="476DC213" w14:textId="77777777">
        <w:tblPrEx>
          <w:tblCellMar>
            <w:top w:w="0" w:type="dxa"/>
            <w:bottom w:w="0" w:type="dxa"/>
          </w:tblCellMar>
        </w:tblPrEx>
        <w:tc>
          <w:tcPr>
            <w:tcW w:w="1200" w:type="dxa"/>
            <w:tcMar>
              <w:top w:w="60" w:type="dxa"/>
              <w:left w:w="80" w:type="dxa"/>
              <w:bottom w:w="60" w:type="dxa"/>
              <w:right w:w="80" w:type="dxa"/>
            </w:tcMar>
            <w:vAlign w:val="center"/>
          </w:tcPr>
          <w:p w14:paraId="476DC210" w14:textId="77777777" w:rsidR="00E904BE" w:rsidRDefault="00000000">
            <w:pPr>
              <w:jc w:val="center"/>
            </w:pPr>
            <w:r>
              <w:rPr>
                <w:color w:val="000000"/>
                <w:sz w:val="18"/>
                <w:szCs w:val="18"/>
              </w:rPr>
              <w:t>3.5</w:t>
            </w:r>
          </w:p>
        </w:tc>
        <w:tc>
          <w:tcPr>
            <w:tcW w:w="6800" w:type="dxa"/>
            <w:tcMar>
              <w:top w:w="60" w:type="dxa"/>
              <w:left w:w="80" w:type="dxa"/>
              <w:bottom w:w="60" w:type="dxa"/>
              <w:right w:w="80" w:type="dxa"/>
            </w:tcMar>
            <w:vAlign w:val="center"/>
          </w:tcPr>
          <w:p w14:paraId="476DC211" w14:textId="77777777" w:rsidR="00E904BE" w:rsidRDefault="00000000">
            <w:pPr>
              <w:jc w:val="center"/>
            </w:pPr>
            <w:r>
              <w:rPr>
                <w:color w:val="000000"/>
                <w:sz w:val="18"/>
                <w:szCs w:val="18"/>
              </w:rPr>
              <w:t>Lavado y desinfección de tanques en fibra de vidrio PRFV con capacidad de 24000 litros cada uno según norma ASTM D4097 C 582, Icontec 2890 volumen neto red de incendio 45 m3, volumen neto tanque</w:t>
            </w:r>
          </w:p>
        </w:tc>
        <w:tc>
          <w:tcPr>
            <w:tcW w:w="2380" w:type="dxa"/>
            <w:tcMar>
              <w:top w:w="60" w:type="dxa"/>
              <w:left w:w="80" w:type="dxa"/>
              <w:bottom w:w="60" w:type="dxa"/>
              <w:right w:w="80" w:type="dxa"/>
            </w:tcMar>
            <w:vAlign w:val="center"/>
          </w:tcPr>
          <w:p w14:paraId="476DC212" w14:textId="77777777" w:rsidR="00E904BE" w:rsidRDefault="00000000">
            <w:pPr>
              <w:jc w:val="center"/>
            </w:pPr>
            <w:r>
              <w:rPr>
                <w:color w:val="000000"/>
                <w:sz w:val="18"/>
                <w:szCs w:val="18"/>
              </w:rPr>
              <w:t>1</w:t>
            </w:r>
          </w:p>
        </w:tc>
      </w:tr>
      <w:tr w:rsidR="00E904BE" w14:paraId="476DC217" w14:textId="77777777">
        <w:tblPrEx>
          <w:tblCellMar>
            <w:top w:w="0" w:type="dxa"/>
            <w:bottom w:w="0" w:type="dxa"/>
          </w:tblCellMar>
        </w:tblPrEx>
        <w:tc>
          <w:tcPr>
            <w:tcW w:w="1200" w:type="dxa"/>
            <w:tcMar>
              <w:top w:w="60" w:type="dxa"/>
              <w:left w:w="80" w:type="dxa"/>
              <w:bottom w:w="60" w:type="dxa"/>
              <w:right w:w="80" w:type="dxa"/>
            </w:tcMar>
            <w:vAlign w:val="center"/>
          </w:tcPr>
          <w:p w14:paraId="476DC214" w14:textId="77777777" w:rsidR="00E904BE" w:rsidRDefault="00000000">
            <w:pPr>
              <w:jc w:val="center"/>
            </w:pPr>
            <w:r>
              <w:rPr>
                <w:color w:val="000000"/>
                <w:sz w:val="18"/>
                <w:szCs w:val="18"/>
              </w:rPr>
              <w:t>3.6</w:t>
            </w:r>
          </w:p>
        </w:tc>
        <w:tc>
          <w:tcPr>
            <w:tcW w:w="6800" w:type="dxa"/>
            <w:tcMar>
              <w:top w:w="60" w:type="dxa"/>
              <w:left w:w="80" w:type="dxa"/>
              <w:bottom w:w="60" w:type="dxa"/>
              <w:right w:w="80" w:type="dxa"/>
            </w:tcMar>
            <w:vAlign w:val="center"/>
          </w:tcPr>
          <w:p w14:paraId="476DC215" w14:textId="77777777" w:rsidR="00E904BE" w:rsidRDefault="00000000">
            <w:pPr>
              <w:jc w:val="center"/>
            </w:pPr>
            <w:r>
              <w:rPr>
                <w:color w:val="000000"/>
                <w:sz w:val="18"/>
                <w:szCs w:val="18"/>
              </w:rPr>
              <w:t xml:space="preserve">Lavado y </w:t>
            </w:r>
            <w:proofErr w:type="spellStart"/>
            <w:r>
              <w:rPr>
                <w:color w:val="000000"/>
                <w:sz w:val="18"/>
                <w:szCs w:val="18"/>
              </w:rPr>
              <w:t>desarenación</w:t>
            </w:r>
            <w:proofErr w:type="spellEnd"/>
            <w:r>
              <w:rPr>
                <w:color w:val="000000"/>
                <w:sz w:val="18"/>
                <w:szCs w:val="18"/>
              </w:rPr>
              <w:t xml:space="preserve"> de los pozos de aguas negras y aguas lluvias (dos aguas lluvias y uno aguas negras, 4m3)</w:t>
            </w:r>
          </w:p>
        </w:tc>
        <w:tc>
          <w:tcPr>
            <w:tcW w:w="2380" w:type="dxa"/>
            <w:tcMar>
              <w:top w:w="60" w:type="dxa"/>
              <w:left w:w="80" w:type="dxa"/>
              <w:bottom w:w="60" w:type="dxa"/>
              <w:right w:w="80" w:type="dxa"/>
            </w:tcMar>
            <w:vAlign w:val="center"/>
          </w:tcPr>
          <w:p w14:paraId="476DC216" w14:textId="77777777" w:rsidR="00E904BE" w:rsidRDefault="00000000">
            <w:pPr>
              <w:jc w:val="center"/>
            </w:pPr>
            <w:r>
              <w:rPr>
                <w:color w:val="000000"/>
                <w:sz w:val="18"/>
                <w:szCs w:val="18"/>
              </w:rPr>
              <w:t>1</w:t>
            </w:r>
          </w:p>
        </w:tc>
      </w:tr>
      <w:tr w:rsidR="00E904BE" w14:paraId="476DC21B" w14:textId="77777777">
        <w:tblPrEx>
          <w:tblCellMar>
            <w:top w:w="0" w:type="dxa"/>
            <w:bottom w:w="0" w:type="dxa"/>
          </w:tblCellMar>
        </w:tblPrEx>
        <w:tc>
          <w:tcPr>
            <w:tcW w:w="1200" w:type="dxa"/>
            <w:tcMar>
              <w:top w:w="60" w:type="dxa"/>
              <w:left w:w="80" w:type="dxa"/>
              <w:bottom w:w="60" w:type="dxa"/>
              <w:right w:w="80" w:type="dxa"/>
            </w:tcMar>
            <w:vAlign w:val="center"/>
          </w:tcPr>
          <w:p w14:paraId="476DC218" w14:textId="77777777" w:rsidR="00E904BE" w:rsidRDefault="00000000">
            <w:pPr>
              <w:jc w:val="center"/>
            </w:pPr>
            <w:r>
              <w:rPr>
                <w:color w:val="000000"/>
                <w:sz w:val="18"/>
                <w:szCs w:val="18"/>
              </w:rPr>
              <w:t>4</w:t>
            </w:r>
          </w:p>
        </w:tc>
        <w:tc>
          <w:tcPr>
            <w:tcW w:w="6800" w:type="dxa"/>
            <w:tcMar>
              <w:top w:w="60" w:type="dxa"/>
              <w:left w:w="80" w:type="dxa"/>
              <w:bottom w:w="60" w:type="dxa"/>
              <w:right w:w="80" w:type="dxa"/>
            </w:tcMar>
            <w:vAlign w:val="center"/>
          </w:tcPr>
          <w:p w14:paraId="476DC219" w14:textId="77777777" w:rsidR="00E904BE" w:rsidRDefault="00000000">
            <w:pPr>
              <w:jc w:val="center"/>
            </w:pPr>
            <w:r>
              <w:rPr>
                <w:color w:val="000000"/>
                <w:sz w:val="18"/>
                <w:szCs w:val="18"/>
              </w:rPr>
              <w:t>Palacio de Justicia de Girardot</w:t>
            </w:r>
          </w:p>
        </w:tc>
        <w:tc>
          <w:tcPr>
            <w:tcW w:w="2380" w:type="dxa"/>
            <w:tcMar>
              <w:top w:w="60" w:type="dxa"/>
              <w:left w:w="80" w:type="dxa"/>
              <w:bottom w:w="60" w:type="dxa"/>
              <w:right w:w="80" w:type="dxa"/>
            </w:tcMar>
            <w:vAlign w:val="center"/>
          </w:tcPr>
          <w:p w14:paraId="476DC21A" w14:textId="77777777" w:rsidR="00E904BE" w:rsidRDefault="00E904BE">
            <w:pPr>
              <w:jc w:val="center"/>
            </w:pPr>
          </w:p>
        </w:tc>
      </w:tr>
      <w:tr w:rsidR="00E904BE" w14:paraId="476DC21F" w14:textId="77777777">
        <w:tblPrEx>
          <w:tblCellMar>
            <w:top w:w="0" w:type="dxa"/>
            <w:bottom w:w="0" w:type="dxa"/>
          </w:tblCellMar>
        </w:tblPrEx>
        <w:tc>
          <w:tcPr>
            <w:tcW w:w="1200" w:type="dxa"/>
            <w:tcMar>
              <w:top w:w="60" w:type="dxa"/>
              <w:left w:w="80" w:type="dxa"/>
              <w:bottom w:w="60" w:type="dxa"/>
              <w:right w:w="80" w:type="dxa"/>
            </w:tcMar>
            <w:vAlign w:val="center"/>
          </w:tcPr>
          <w:p w14:paraId="476DC21C" w14:textId="77777777" w:rsidR="00E904BE" w:rsidRDefault="00000000">
            <w:pPr>
              <w:jc w:val="center"/>
            </w:pPr>
            <w:r>
              <w:rPr>
                <w:color w:val="000000"/>
                <w:sz w:val="18"/>
                <w:szCs w:val="18"/>
              </w:rPr>
              <w:t>4.1</w:t>
            </w:r>
          </w:p>
        </w:tc>
        <w:tc>
          <w:tcPr>
            <w:tcW w:w="6800" w:type="dxa"/>
            <w:tcMar>
              <w:top w:w="60" w:type="dxa"/>
              <w:left w:w="80" w:type="dxa"/>
              <w:bottom w:w="60" w:type="dxa"/>
              <w:right w:w="80" w:type="dxa"/>
            </w:tcMar>
            <w:vAlign w:val="center"/>
          </w:tcPr>
          <w:p w14:paraId="476DC21D" w14:textId="77777777" w:rsidR="00E904BE" w:rsidRDefault="00000000">
            <w:pPr>
              <w:jc w:val="center"/>
            </w:pPr>
            <w:r>
              <w:rPr>
                <w:color w:val="000000"/>
                <w:sz w:val="18"/>
                <w:szCs w:val="18"/>
              </w:rPr>
              <w:t>Bomba de agua potable suministro de 3 HP, rpm, 220 voltios, incluye los tableros eléctricos</w:t>
            </w:r>
          </w:p>
        </w:tc>
        <w:tc>
          <w:tcPr>
            <w:tcW w:w="2380" w:type="dxa"/>
            <w:tcMar>
              <w:top w:w="60" w:type="dxa"/>
              <w:left w:w="80" w:type="dxa"/>
              <w:bottom w:w="60" w:type="dxa"/>
              <w:right w:w="80" w:type="dxa"/>
            </w:tcMar>
            <w:vAlign w:val="center"/>
          </w:tcPr>
          <w:p w14:paraId="476DC21E" w14:textId="77777777" w:rsidR="00E904BE" w:rsidRDefault="00000000">
            <w:pPr>
              <w:jc w:val="center"/>
            </w:pPr>
            <w:r>
              <w:rPr>
                <w:color w:val="000000"/>
                <w:sz w:val="18"/>
                <w:szCs w:val="18"/>
              </w:rPr>
              <w:t>1</w:t>
            </w:r>
          </w:p>
        </w:tc>
      </w:tr>
      <w:tr w:rsidR="00E904BE" w14:paraId="476DC223" w14:textId="77777777">
        <w:tblPrEx>
          <w:tblCellMar>
            <w:top w:w="0" w:type="dxa"/>
            <w:bottom w:w="0" w:type="dxa"/>
          </w:tblCellMar>
        </w:tblPrEx>
        <w:tc>
          <w:tcPr>
            <w:tcW w:w="1200" w:type="dxa"/>
            <w:tcMar>
              <w:top w:w="60" w:type="dxa"/>
              <w:left w:w="80" w:type="dxa"/>
              <w:bottom w:w="60" w:type="dxa"/>
              <w:right w:w="80" w:type="dxa"/>
            </w:tcMar>
            <w:vAlign w:val="center"/>
          </w:tcPr>
          <w:p w14:paraId="476DC220" w14:textId="77777777" w:rsidR="00E904BE" w:rsidRDefault="00000000">
            <w:pPr>
              <w:jc w:val="center"/>
            </w:pPr>
            <w:r>
              <w:rPr>
                <w:color w:val="000000"/>
                <w:sz w:val="18"/>
                <w:szCs w:val="18"/>
              </w:rPr>
              <w:t>4.2</w:t>
            </w:r>
          </w:p>
        </w:tc>
        <w:tc>
          <w:tcPr>
            <w:tcW w:w="6800" w:type="dxa"/>
            <w:tcMar>
              <w:top w:w="60" w:type="dxa"/>
              <w:left w:w="80" w:type="dxa"/>
              <w:bottom w:w="60" w:type="dxa"/>
              <w:right w:w="80" w:type="dxa"/>
            </w:tcMar>
            <w:vAlign w:val="center"/>
          </w:tcPr>
          <w:p w14:paraId="476DC221" w14:textId="77777777" w:rsidR="00E904BE" w:rsidRDefault="00000000">
            <w:pPr>
              <w:jc w:val="center"/>
            </w:pPr>
            <w:r>
              <w:rPr>
                <w:color w:val="000000"/>
                <w:sz w:val="18"/>
                <w:szCs w:val="18"/>
              </w:rPr>
              <w:t>Bomba RCI de 25 HP, incluye los tableros eléctricos</w:t>
            </w:r>
          </w:p>
        </w:tc>
        <w:tc>
          <w:tcPr>
            <w:tcW w:w="2380" w:type="dxa"/>
            <w:tcMar>
              <w:top w:w="60" w:type="dxa"/>
              <w:left w:w="80" w:type="dxa"/>
              <w:bottom w:w="60" w:type="dxa"/>
              <w:right w:w="80" w:type="dxa"/>
            </w:tcMar>
            <w:vAlign w:val="center"/>
          </w:tcPr>
          <w:p w14:paraId="476DC222" w14:textId="77777777" w:rsidR="00E904BE" w:rsidRDefault="00000000">
            <w:pPr>
              <w:jc w:val="center"/>
            </w:pPr>
            <w:r>
              <w:rPr>
                <w:color w:val="000000"/>
                <w:sz w:val="18"/>
                <w:szCs w:val="18"/>
              </w:rPr>
              <w:t>1</w:t>
            </w:r>
          </w:p>
        </w:tc>
      </w:tr>
      <w:tr w:rsidR="00E904BE" w14:paraId="476DC227" w14:textId="77777777">
        <w:tblPrEx>
          <w:tblCellMar>
            <w:top w:w="0" w:type="dxa"/>
            <w:bottom w:w="0" w:type="dxa"/>
          </w:tblCellMar>
        </w:tblPrEx>
        <w:tc>
          <w:tcPr>
            <w:tcW w:w="1200" w:type="dxa"/>
            <w:tcMar>
              <w:top w:w="60" w:type="dxa"/>
              <w:left w:w="80" w:type="dxa"/>
              <w:bottom w:w="60" w:type="dxa"/>
              <w:right w:w="80" w:type="dxa"/>
            </w:tcMar>
            <w:vAlign w:val="center"/>
          </w:tcPr>
          <w:p w14:paraId="476DC224" w14:textId="77777777" w:rsidR="00E904BE" w:rsidRDefault="00000000">
            <w:pPr>
              <w:jc w:val="center"/>
            </w:pPr>
            <w:r>
              <w:rPr>
                <w:color w:val="000000"/>
                <w:sz w:val="18"/>
                <w:szCs w:val="18"/>
              </w:rPr>
              <w:t>4.3</w:t>
            </w:r>
          </w:p>
        </w:tc>
        <w:tc>
          <w:tcPr>
            <w:tcW w:w="6800" w:type="dxa"/>
            <w:tcMar>
              <w:top w:w="60" w:type="dxa"/>
              <w:left w:w="80" w:type="dxa"/>
              <w:bottom w:w="60" w:type="dxa"/>
              <w:right w:w="80" w:type="dxa"/>
            </w:tcMar>
            <w:vAlign w:val="center"/>
          </w:tcPr>
          <w:p w14:paraId="476DC225" w14:textId="77777777" w:rsidR="00E904BE" w:rsidRDefault="00000000">
            <w:pPr>
              <w:jc w:val="center"/>
            </w:pPr>
            <w:r>
              <w:rPr>
                <w:color w:val="000000"/>
                <w:sz w:val="18"/>
                <w:szCs w:val="18"/>
              </w:rPr>
              <w:t>Bomba jockey de 2 HP</w:t>
            </w:r>
          </w:p>
        </w:tc>
        <w:tc>
          <w:tcPr>
            <w:tcW w:w="2380" w:type="dxa"/>
            <w:tcMar>
              <w:top w:w="60" w:type="dxa"/>
              <w:left w:w="80" w:type="dxa"/>
              <w:bottom w:w="60" w:type="dxa"/>
              <w:right w:w="80" w:type="dxa"/>
            </w:tcMar>
            <w:vAlign w:val="center"/>
          </w:tcPr>
          <w:p w14:paraId="476DC226" w14:textId="77777777" w:rsidR="00E904BE" w:rsidRDefault="00000000">
            <w:pPr>
              <w:jc w:val="center"/>
            </w:pPr>
            <w:r>
              <w:rPr>
                <w:color w:val="000000"/>
                <w:sz w:val="18"/>
                <w:szCs w:val="18"/>
              </w:rPr>
              <w:t>1</w:t>
            </w:r>
          </w:p>
        </w:tc>
      </w:tr>
      <w:tr w:rsidR="00E904BE" w14:paraId="476DC22B" w14:textId="77777777">
        <w:tblPrEx>
          <w:tblCellMar>
            <w:top w:w="0" w:type="dxa"/>
            <w:bottom w:w="0" w:type="dxa"/>
          </w:tblCellMar>
        </w:tblPrEx>
        <w:tc>
          <w:tcPr>
            <w:tcW w:w="1200" w:type="dxa"/>
            <w:tcMar>
              <w:top w:w="60" w:type="dxa"/>
              <w:left w:w="80" w:type="dxa"/>
              <w:bottom w:w="60" w:type="dxa"/>
              <w:right w:w="80" w:type="dxa"/>
            </w:tcMar>
            <w:vAlign w:val="center"/>
          </w:tcPr>
          <w:p w14:paraId="476DC228" w14:textId="77777777" w:rsidR="00E904BE" w:rsidRDefault="00000000">
            <w:pPr>
              <w:jc w:val="center"/>
            </w:pPr>
            <w:r>
              <w:rPr>
                <w:color w:val="000000"/>
                <w:sz w:val="18"/>
                <w:szCs w:val="18"/>
              </w:rPr>
              <w:t>4.4</w:t>
            </w:r>
          </w:p>
        </w:tc>
        <w:tc>
          <w:tcPr>
            <w:tcW w:w="6800" w:type="dxa"/>
            <w:tcMar>
              <w:top w:w="60" w:type="dxa"/>
              <w:left w:w="80" w:type="dxa"/>
              <w:bottom w:w="60" w:type="dxa"/>
              <w:right w:w="80" w:type="dxa"/>
            </w:tcMar>
            <w:vAlign w:val="center"/>
          </w:tcPr>
          <w:p w14:paraId="476DC229" w14:textId="77777777" w:rsidR="00E904BE" w:rsidRDefault="00000000">
            <w:pPr>
              <w:jc w:val="center"/>
            </w:pPr>
            <w:r>
              <w:rPr>
                <w:color w:val="000000"/>
                <w:sz w:val="18"/>
                <w:szCs w:val="18"/>
              </w:rPr>
              <w:t>Bombas jockey de 5 HP, presión 116 PSI</w:t>
            </w:r>
          </w:p>
        </w:tc>
        <w:tc>
          <w:tcPr>
            <w:tcW w:w="2380" w:type="dxa"/>
            <w:tcMar>
              <w:top w:w="60" w:type="dxa"/>
              <w:left w:w="80" w:type="dxa"/>
              <w:bottom w:w="60" w:type="dxa"/>
              <w:right w:w="80" w:type="dxa"/>
            </w:tcMar>
            <w:vAlign w:val="center"/>
          </w:tcPr>
          <w:p w14:paraId="476DC22A" w14:textId="77777777" w:rsidR="00E904BE" w:rsidRDefault="00000000">
            <w:pPr>
              <w:jc w:val="center"/>
            </w:pPr>
            <w:r>
              <w:rPr>
                <w:color w:val="000000"/>
                <w:sz w:val="18"/>
                <w:szCs w:val="18"/>
              </w:rPr>
              <w:t>1</w:t>
            </w:r>
          </w:p>
        </w:tc>
      </w:tr>
      <w:tr w:rsidR="00E904BE" w14:paraId="476DC22F" w14:textId="77777777">
        <w:tblPrEx>
          <w:tblCellMar>
            <w:top w:w="0" w:type="dxa"/>
            <w:bottom w:w="0" w:type="dxa"/>
          </w:tblCellMar>
        </w:tblPrEx>
        <w:tc>
          <w:tcPr>
            <w:tcW w:w="1200" w:type="dxa"/>
            <w:tcMar>
              <w:top w:w="60" w:type="dxa"/>
              <w:left w:w="80" w:type="dxa"/>
              <w:bottom w:w="60" w:type="dxa"/>
              <w:right w:w="80" w:type="dxa"/>
            </w:tcMar>
            <w:vAlign w:val="center"/>
          </w:tcPr>
          <w:p w14:paraId="476DC22C" w14:textId="77777777" w:rsidR="00E904BE" w:rsidRDefault="00000000">
            <w:pPr>
              <w:jc w:val="center"/>
            </w:pPr>
            <w:r>
              <w:rPr>
                <w:color w:val="000000"/>
                <w:sz w:val="18"/>
                <w:szCs w:val="18"/>
              </w:rPr>
              <w:t>4.5</w:t>
            </w:r>
          </w:p>
        </w:tc>
        <w:tc>
          <w:tcPr>
            <w:tcW w:w="6800" w:type="dxa"/>
            <w:tcMar>
              <w:top w:w="60" w:type="dxa"/>
              <w:left w:w="80" w:type="dxa"/>
              <w:bottom w:w="60" w:type="dxa"/>
              <w:right w:w="80" w:type="dxa"/>
            </w:tcMar>
            <w:vAlign w:val="center"/>
          </w:tcPr>
          <w:p w14:paraId="476DC22D" w14:textId="77777777" w:rsidR="00E904BE" w:rsidRDefault="00000000">
            <w:pPr>
              <w:jc w:val="center"/>
            </w:pPr>
            <w:r>
              <w:rPr>
                <w:color w:val="000000"/>
                <w:sz w:val="18"/>
                <w:szCs w:val="18"/>
              </w:rPr>
              <w:t>Lavado y desinfección de tanque de agua potable, volumen 60 m3</w:t>
            </w:r>
          </w:p>
        </w:tc>
        <w:tc>
          <w:tcPr>
            <w:tcW w:w="2380" w:type="dxa"/>
            <w:tcMar>
              <w:top w:w="60" w:type="dxa"/>
              <w:left w:w="80" w:type="dxa"/>
              <w:bottom w:w="60" w:type="dxa"/>
              <w:right w:w="80" w:type="dxa"/>
            </w:tcMar>
            <w:vAlign w:val="center"/>
          </w:tcPr>
          <w:p w14:paraId="476DC22E" w14:textId="77777777" w:rsidR="00E904BE" w:rsidRDefault="00000000">
            <w:pPr>
              <w:jc w:val="center"/>
            </w:pPr>
            <w:r>
              <w:rPr>
                <w:color w:val="000000"/>
                <w:sz w:val="18"/>
                <w:szCs w:val="18"/>
              </w:rPr>
              <w:t>1</w:t>
            </w:r>
          </w:p>
        </w:tc>
      </w:tr>
      <w:tr w:rsidR="00E904BE" w14:paraId="476DC233" w14:textId="77777777">
        <w:tblPrEx>
          <w:tblCellMar>
            <w:top w:w="0" w:type="dxa"/>
            <w:bottom w:w="0" w:type="dxa"/>
          </w:tblCellMar>
        </w:tblPrEx>
        <w:tc>
          <w:tcPr>
            <w:tcW w:w="1200" w:type="dxa"/>
            <w:tcMar>
              <w:top w:w="60" w:type="dxa"/>
              <w:left w:w="80" w:type="dxa"/>
              <w:bottom w:w="60" w:type="dxa"/>
              <w:right w:w="80" w:type="dxa"/>
            </w:tcMar>
            <w:vAlign w:val="center"/>
          </w:tcPr>
          <w:p w14:paraId="476DC230" w14:textId="77777777" w:rsidR="00E904BE" w:rsidRDefault="00000000">
            <w:pPr>
              <w:jc w:val="center"/>
            </w:pPr>
            <w:r>
              <w:rPr>
                <w:color w:val="000000"/>
                <w:sz w:val="18"/>
                <w:szCs w:val="18"/>
              </w:rPr>
              <w:t>5</w:t>
            </w:r>
          </w:p>
        </w:tc>
        <w:tc>
          <w:tcPr>
            <w:tcW w:w="6800" w:type="dxa"/>
            <w:tcMar>
              <w:top w:w="60" w:type="dxa"/>
              <w:left w:w="80" w:type="dxa"/>
              <w:bottom w:w="60" w:type="dxa"/>
              <w:right w:w="80" w:type="dxa"/>
            </w:tcMar>
            <w:vAlign w:val="center"/>
          </w:tcPr>
          <w:p w14:paraId="476DC231" w14:textId="77777777" w:rsidR="00E904BE" w:rsidRDefault="00000000">
            <w:pPr>
              <w:jc w:val="center"/>
            </w:pPr>
            <w:r>
              <w:rPr>
                <w:color w:val="000000"/>
                <w:sz w:val="18"/>
                <w:szCs w:val="18"/>
              </w:rPr>
              <w:t>Palacio de Justicia de Chocontá</w:t>
            </w:r>
          </w:p>
        </w:tc>
        <w:tc>
          <w:tcPr>
            <w:tcW w:w="2380" w:type="dxa"/>
            <w:tcMar>
              <w:top w:w="60" w:type="dxa"/>
              <w:left w:w="80" w:type="dxa"/>
              <w:bottom w:w="60" w:type="dxa"/>
              <w:right w:w="80" w:type="dxa"/>
            </w:tcMar>
            <w:vAlign w:val="center"/>
          </w:tcPr>
          <w:p w14:paraId="476DC232" w14:textId="77777777" w:rsidR="00E904BE" w:rsidRDefault="00E904BE">
            <w:pPr>
              <w:jc w:val="center"/>
            </w:pPr>
          </w:p>
        </w:tc>
      </w:tr>
      <w:tr w:rsidR="00E904BE" w14:paraId="476DC237" w14:textId="77777777">
        <w:tblPrEx>
          <w:tblCellMar>
            <w:top w:w="0" w:type="dxa"/>
            <w:bottom w:w="0" w:type="dxa"/>
          </w:tblCellMar>
        </w:tblPrEx>
        <w:tc>
          <w:tcPr>
            <w:tcW w:w="1200" w:type="dxa"/>
            <w:tcMar>
              <w:top w:w="60" w:type="dxa"/>
              <w:left w:w="80" w:type="dxa"/>
              <w:bottom w:w="60" w:type="dxa"/>
              <w:right w:w="80" w:type="dxa"/>
            </w:tcMar>
            <w:vAlign w:val="center"/>
          </w:tcPr>
          <w:p w14:paraId="476DC234" w14:textId="77777777" w:rsidR="00E904BE" w:rsidRDefault="00000000">
            <w:pPr>
              <w:jc w:val="center"/>
            </w:pPr>
            <w:r>
              <w:rPr>
                <w:color w:val="000000"/>
                <w:sz w:val="18"/>
                <w:szCs w:val="18"/>
              </w:rPr>
              <w:t>5.1</w:t>
            </w:r>
          </w:p>
        </w:tc>
        <w:tc>
          <w:tcPr>
            <w:tcW w:w="6800" w:type="dxa"/>
            <w:tcMar>
              <w:top w:w="60" w:type="dxa"/>
              <w:left w:w="80" w:type="dxa"/>
              <w:bottom w:w="60" w:type="dxa"/>
              <w:right w:w="80" w:type="dxa"/>
            </w:tcMar>
            <w:vAlign w:val="center"/>
          </w:tcPr>
          <w:p w14:paraId="476DC235" w14:textId="77777777" w:rsidR="00E904BE" w:rsidRDefault="00000000">
            <w:pPr>
              <w:jc w:val="center"/>
            </w:pPr>
            <w:r>
              <w:rPr>
                <w:color w:val="000000"/>
                <w:sz w:val="18"/>
                <w:szCs w:val="18"/>
              </w:rPr>
              <w:t xml:space="preserve">Bombas Centrífugas de 3.6 Hp, caudal 174,6 </w:t>
            </w:r>
            <w:proofErr w:type="spellStart"/>
            <w:r>
              <w:rPr>
                <w:color w:val="000000"/>
                <w:sz w:val="18"/>
                <w:szCs w:val="18"/>
              </w:rPr>
              <w:t>Lt</w:t>
            </w:r>
            <w:proofErr w:type="spellEnd"/>
            <w:r>
              <w:rPr>
                <w:color w:val="000000"/>
                <w:sz w:val="18"/>
                <w:szCs w:val="18"/>
              </w:rPr>
              <w:t>/min, variador de velocidad y tablero de control</w:t>
            </w:r>
          </w:p>
        </w:tc>
        <w:tc>
          <w:tcPr>
            <w:tcW w:w="2380" w:type="dxa"/>
            <w:tcMar>
              <w:top w:w="60" w:type="dxa"/>
              <w:left w:w="80" w:type="dxa"/>
              <w:bottom w:w="60" w:type="dxa"/>
              <w:right w:w="80" w:type="dxa"/>
            </w:tcMar>
            <w:vAlign w:val="center"/>
          </w:tcPr>
          <w:p w14:paraId="476DC236" w14:textId="77777777" w:rsidR="00E904BE" w:rsidRDefault="00000000">
            <w:pPr>
              <w:jc w:val="center"/>
            </w:pPr>
            <w:r>
              <w:rPr>
                <w:color w:val="000000"/>
                <w:sz w:val="18"/>
                <w:szCs w:val="18"/>
              </w:rPr>
              <w:t>1</w:t>
            </w:r>
          </w:p>
        </w:tc>
      </w:tr>
      <w:tr w:rsidR="00E904BE" w14:paraId="476DC23B" w14:textId="77777777">
        <w:tblPrEx>
          <w:tblCellMar>
            <w:top w:w="0" w:type="dxa"/>
            <w:bottom w:w="0" w:type="dxa"/>
          </w:tblCellMar>
        </w:tblPrEx>
        <w:tc>
          <w:tcPr>
            <w:tcW w:w="1200" w:type="dxa"/>
            <w:tcMar>
              <w:top w:w="60" w:type="dxa"/>
              <w:left w:w="80" w:type="dxa"/>
              <w:bottom w:w="60" w:type="dxa"/>
              <w:right w:w="80" w:type="dxa"/>
            </w:tcMar>
            <w:vAlign w:val="center"/>
          </w:tcPr>
          <w:p w14:paraId="476DC238" w14:textId="77777777" w:rsidR="00E904BE" w:rsidRDefault="00000000">
            <w:pPr>
              <w:jc w:val="center"/>
            </w:pPr>
            <w:r>
              <w:rPr>
                <w:color w:val="000000"/>
                <w:sz w:val="18"/>
                <w:szCs w:val="18"/>
              </w:rPr>
              <w:t>5.2</w:t>
            </w:r>
          </w:p>
        </w:tc>
        <w:tc>
          <w:tcPr>
            <w:tcW w:w="6800" w:type="dxa"/>
            <w:tcMar>
              <w:top w:w="60" w:type="dxa"/>
              <w:left w:w="80" w:type="dxa"/>
              <w:bottom w:w="60" w:type="dxa"/>
              <w:right w:w="80" w:type="dxa"/>
            </w:tcMar>
            <w:vAlign w:val="center"/>
          </w:tcPr>
          <w:p w14:paraId="476DC239" w14:textId="77777777" w:rsidR="00E904BE" w:rsidRDefault="00000000">
            <w:pPr>
              <w:jc w:val="center"/>
            </w:pPr>
            <w:r>
              <w:rPr>
                <w:color w:val="000000"/>
                <w:sz w:val="18"/>
                <w:szCs w:val="18"/>
              </w:rPr>
              <w:t xml:space="preserve">Bomba de sistema contraincendios de 21,74 HP, caudal de 1024,2 </w:t>
            </w:r>
            <w:proofErr w:type="spellStart"/>
            <w:r>
              <w:rPr>
                <w:color w:val="000000"/>
                <w:sz w:val="18"/>
                <w:szCs w:val="18"/>
              </w:rPr>
              <w:t>Lt</w:t>
            </w:r>
            <w:proofErr w:type="spellEnd"/>
            <w:r>
              <w:rPr>
                <w:color w:val="000000"/>
                <w:sz w:val="18"/>
                <w:szCs w:val="18"/>
              </w:rPr>
              <w:t>/min con tablero de control</w:t>
            </w:r>
          </w:p>
        </w:tc>
        <w:tc>
          <w:tcPr>
            <w:tcW w:w="2380" w:type="dxa"/>
            <w:tcMar>
              <w:top w:w="60" w:type="dxa"/>
              <w:left w:w="80" w:type="dxa"/>
              <w:bottom w:w="60" w:type="dxa"/>
              <w:right w:w="80" w:type="dxa"/>
            </w:tcMar>
            <w:vAlign w:val="center"/>
          </w:tcPr>
          <w:p w14:paraId="476DC23A" w14:textId="77777777" w:rsidR="00E904BE" w:rsidRDefault="00000000">
            <w:pPr>
              <w:jc w:val="center"/>
            </w:pPr>
            <w:r>
              <w:rPr>
                <w:color w:val="000000"/>
                <w:sz w:val="18"/>
                <w:szCs w:val="18"/>
              </w:rPr>
              <w:t>1</w:t>
            </w:r>
          </w:p>
        </w:tc>
      </w:tr>
      <w:tr w:rsidR="00E904BE" w14:paraId="476DC23F" w14:textId="77777777">
        <w:tblPrEx>
          <w:tblCellMar>
            <w:top w:w="0" w:type="dxa"/>
            <w:bottom w:w="0" w:type="dxa"/>
          </w:tblCellMar>
        </w:tblPrEx>
        <w:tc>
          <w:tcPr>
            <w:tcW w:w="1200" w:type="dxa"/>
            <w:tcMar>
              <w:top w:w="60" w:type="dxa"/>
              <w:left w:w="80" w:type="dxa"/>
              <w:bottom w:w="60" w:type="dxa"/>
              <w:right w:w="80" w:type="dxa"/>
            </w:tcMar>
            <w:vAlign w:val="center"/>
          </w:tcPr>
          <w:p w14:paraId="476DC23C" w14:textId="77777777" w:rsidR="00E904BE" w:rsidRDefault="00000000">
            <w:pPr>
              <w:jc w:val="center"/>
            </w:pPr>
            <w:r>
              <w:rPr>
                <w:color w:val="000000"/>
                <w:sz w:val="18"/>
                <w:szCs w:val="18"/>
              </w:rPr>
              <w:t>5.3</w:t>
            </w:r>
          </w:p>
        </w:tc>
        <w:tc>
          <w:tcPr>
            <w:tcW w:w="6800" w:type="dxa"/>
            <w:tcMar>
              <w:top w:w="60" w:type="dxa"/>
              <w:left w:w="80" w:type="dxa"/>
              <w:bottom w:w="60" w:type="dxa"/>
              <w:right w:w="80" w:type="dxa"/>
            </w:tcMar>
            <w:vAlign w:val="center"/>
          </w:tcPr>
          <w:p w14:paraId="476DC23D" w14:textId="77777777" w:rsidR="00E904BE" w:rsidRDefault="00000000">
            <w:pPr>
              <w:jc w:val="center"/>
            </w:pPr>
            <w:r>
              <w:rPr>
                <w:color w:val="000000"/>
                <w:sz w:val="18"/>
                <w:szCs w:val="18"/>
              </w:rPr>
              <w:t xml:space="preserve">Bomba Jockey de 1,18 Hp y caudal 51,21 </w:t>
            </w:r>
            <w:proofErr w:type="spellStart"/>
            <w:r>
              <w:rPr>
                <w:color w:val="000000"/>
                <w:sz w:val="18"/>
                <w:szCs w:val="18"/>
              </w:rPr>
              <w:t>Lt</w:t>
            </w:r>
            <w:proofErr w:type="spellEnd"/>
            <w:r>
              <w:rPr>
                <w:color w:val="000000"/>
                <w:sz w:val="18"/>
                <w:szCs w:val="18"/>
              </w:rPr>
              <w:t>/min</w:t>
            </w:r>
          </w:p>
        </w:tc>
        <w:tc>
          <w:tcPr>
            <w:tcW w:w="2380" w:type="dxa"/>
            <w:tcMar>
              <w:top w:w="60" w:type="dxa"/>
              <w:left w:w="80" w:type="dxa"/>
              <w:bottom w:w="60" w:type="dxa"/>
              <w:right w:w="80" w:type="dxa"/>
            </w:tcMar>
            <w:vAlign w:val="center"/>
          </w:tcPr>
          <w:p w14:paraId="476DC23E" w14:textId="77777777" w:rsidR="00E904BE" w:rsidRDefault="00000000">
            <w:pPr>
              <w:jc w:val="center"/>
            </w:pPr>
            <w:r>
              <w:rPr>
                <w:color w:val="000000"/>
                <w:sz w:val="18"/>
                <w:szCs w:val="18"/>
              </w:rPr>
              <w:t>1</w:t>
            </w:r>
          </w:p>
        </w:tc>
      </w:tr>
      <w:tr w:rsidR="00E904BE" w14:paraId="476DC243" w14:textId="77777777">
        <w:tblPrEx>
          <w:tblCellMar>
            <w:top w:w="0" w:type="dxa"/>
            <w:bottom w:w="0" w:type="dxa"/>
          </w:tblCellMar>
        </w:tblPrEx>
        <w:tc>
          <w:tcPr>
            <w:tcW w:w="1200" w:type="dxa"/>
            <w:tcMar>
              <w:top w:w="60" w:type="dxa"/>
              <w:left w:w="80" w:type="dxa"/>
              <w:bottom w:w="60" w:type="dxa"/>
              <w:right w:w="80" w:type="dxa"/>
            </w:tcMar>
            <w:vAlign w:val="center"/>
          </w:tcPr>
          <w:p w14:paraId="476DC240" w14:textId="77777777" w:rsidR="00E904BE" w:rsidRDefault="00000000">
            <w:pPr>
              <w:jc w:val="center"/>
            </w:pPr>
            <w:r>
              <w:rPr>
                <w:color w:val="000000"/>
                <w:sz w:val="18"/>
                <w:szCs w:val="18"/>
              </w:rPr>
              <w:t>5.4</w:t>
            </w:r>
          </w:p>
        </w:tc>
        <w:tc>
          <w:tcPr>
            <w:tcW w:w="6800" w:type="dxa"/>
            <w:tcMar>
              <w:top w:w="60" w:type="dxa"/>
              <w:left w:w="80" w:type="dxa"/>
              <w:bottom w:w="60" w:type="dxa"/>
              <w:right w:w="80" w:type="dxa"/>
            </w:tcMar>
            <w:vAlign w:val="center"/>
          </w:tcPr>
          <w:p w14:paraId="476DC241" w14:textId="77777777" w:rsidR="00E904BE" w:rsidRDefault="00000000">
            <w:pPr>
              <w:jc w:val="center"/>
            </w:pPr>
            <w:r>
              <w:rPr>
                <w:color w:val="000000"/>
                <w:sz w:val="18"/>
                <w:szCs w:val="18"/>
              </w:rPr>
              <w:t>Bomba eyectora de 0,15 Hp con arrancadores y tablero de control</w:t>
            </w:r>
          </w:p>
        </w:tc>
        <w:tc>
          <w:tcPr>
            <w:tcW w:w="2380" w:type="dxa"/>
            <w:tcMar>
              <w:top w:w="60" w:type="dxa"/>
              <w:left w:w="80" w:type="dxa"/>
              <w:bottom w:w="60" w:type="dxa"/>
              <w:right w:w="80" w:type="dxa"/>
            </w:tcMar>
            <w:vAlign w:val="center"/>
          </w:tcPr>
          <w:p w14:paraId="476DC242" w14:textId="77777777" w:rsidR="00E904BE" w:rsidRDefault="00000000">
            <w:pPr>
              <w:jc w:val="center"/>
            </w:pPr>
            <w:r>
              <w:rPr>
                <w:color w:val="000000"/>
                <w:sz w:val="18"/>
                <w:szCs w:val="18"/>
              </w:rPr>
              <w:t>1</w:t>
            </w:r>
          </w:p>
        </w:tc>
      </w:tr>
      <w:tr w:rsidR="00E904BE" w14:paraId="476DC247" w14:textId="77777777">
        <w:tblPrEx>
          <w:tblCellMar>
            <w:top w:w="0" w:type="dxa"/>
            <w:bottom w:w="0" w:type="dxa"/>
          </w:tblCellMar>
        </w:tblPrEx>
        <w:tc>
          <w:tcPr>
            <w:tcW w:w="1200" w:type="dxa"/>
            <w:tcMar>
              <w:top w:w="60" w:type="dxa"/>
              <w:left w:w="80" w:type="dxa"/>
              <w:bottom w:w="60" w:type="dxa"/>
              <w:right w:w="80" w:type="dxa"/>
            </w:tcMar>
            <w:vAlign w:val="center"/>
          </w:tcPr>
          <w:p w14:paraId="476DC244" w14:textId="77777777" w:rsidR="00E904BE" w:rsidRDefault="00000000">
            <w:pPr>
              <w:jc w:val="center"/>
            </w:pPr>
            <w:r>
              <w:rPr>
                <w:color w:val="000000"/>
                <w:sz w:val="18"/>
                <w:szCs w:val="18"/>
              </w:rPr>
              <w:lastRenderedPageBreak/>
              <w:t>5.5</w:t>
            </w:r>
          </w:p>
        </w:tc>
        <w:tc>
          <w:tcPr>
            <w:tcW w:w="6800" w:type="dxa"/>
            <w:tcMar>
              <w:top w:w="60" w:type="dxa"/>
              <w:left w:w="80" w:type="dxa"/>
              <w:bottom w:w="60" w:type="dxa"/>
              <w:right w:w="80" w:type="dxa"/>
            </w:tcMar>
            <w:vAlign w:val="center"/>
          </w:tcPr>
          <w:p w14:paraId="476DC245" w14:textId="77777777" w:rsidR="00E904BE" w:rsidRDefault="00000000">
            <w:pPr>
              <w:jc w:val="center"/>
            </w:pPr>
            <w:r>
              <w:rPr>
                <w:color w:val="000000"/>
                <w:sz w:val="18"/>
                <w:szCs w:val="18"/>
              </w:rPr>
              <w:t>Bomba eyectora de 1,77 Hp con arrancadores y tablero de control</w:t>
            </w:r>
          </w:p>
        </w:tc>
        <w:tc>
          <w:tcPr>
            <w:tcW w:w="2380" w:type="dxa"/>
            <w:tcMar>
              <w:top w:w="60" w:type="dxa"/>
              <w:left w:w="80" w:type="dxa"/>
              <w:bottom w:w="60" w:type="dxa"/>
              <w:right w:w="80" w:type="dxa"/>
            </w:tcMar>
            <w:vAlign w:val="center"/>
          </w:tcPr>
          <w:p w14:paraId="476DC246" w14:textId="77777777" w:rsidR="00E904BE" w:rsidRDefault="00000000">
            <w:pPr>
              <w:jc w:val="center"/>
            </w:pPr>
            <w:r>
              <w:rPr>
                <w:color w:val="000000"/>
                <w:sz w:val="18"/>
                <w:szCs w:val="18"/>
              </w:rPr>
              <w:t>1</w:t>
            </w:r>
          </w:p>
        </w:tc>
      </w:tr>
      <w:tr w:rsidR="00E904BE" w14:paraId="476DC24B" w14:textId="77777777">
        <w:tblPrEx>
          <w:tblCellMar>
            <w:top w:w="0" w:type="dxa"/>
            <w:bottom w:w="0" w:type="dxa"/>
          </w:tblCellMar>
        </w:tblPrEx>
        <w:tc>
          <w:tcPr>
            <w:tcW w:w="1200" w:type="dxa"/>
            <w:tcMar>
              <w:top w:w="60" w:type="dxa"/>
              <w:left w:w="80" w:type="dxa"/>
              <w:bottom w:w="60" w:type="dxa"/>
              <w:right w:w="80" w:type="dxa"/>
            </w:tcMar>
            <w:vAlign w:val="center"/>
          </w:tcPr>
          <w:p w14:paraId="476DC248" w14:textId="77777777" w:rsidR="00E904BE" w:rsidRDefault="00000000">
            <w:pPr>
              <w:jc w:val="center"/>
            </w:pPr>
            <w:r>
              <w:rPr>
                <w:color w:val="000000"/>
                <w:sz w:val="18"/>
                <w:szCs w:val="18"/>
              </w:rPr>
              <w:t>5.6</w:t>
            </w:r>
          </w:p>
        </w:tc>
        <w:tc>
          <w:tcPr>
            <w:tcW w:w="6800" w:type="dxa"/>
            <w:tcMar>
              <w:top w:w="60" w:type="dxa"/>
              <w:left w:w="80" w:type="dxa"/>
              <w:bottom w:w="60" w:type="dxa"/>
              <w:right w:w="80" w:type="dxa"/>
            </w:tcMar>
            <w:vAlign w:val="center"/>
          </w:tcPr>
          <w:p w14:paraId="476DC249" w14:textId="77777777" w:rsidR="00E904BE" w:rsidRDefault="00000000">
            <w:pPr>
              <w:jc w:val="center"/>
            </w:pPr>
            <w:r>
              <w:rPr>
                <w:color w:val="000000"/>
                <w:sz w:val="18"/>
                <w:szCs w:val="18"/>
              </w:rPr>
              <w:t>Lavado y desinfección de tanque de agua potable, volumen 30 m3</w:t>
            </w:r>
          </w:p>
        </w:tc>
        <w:tc>
          <w:tcPr>
            <w:tcW w:w="2380" w:type="dxa"/>
            <w:tcMar>
              <w:top w:w="60" w:type="dxa"/>
              <w:left w:w="80" w:type="dxa"/>
              <w:bottom w:w="60" w:type="dxa"/>
              <w:right w:w="80" w:type="dxa"/>
            </w:tcMar>
            <w:vAlign w:val="center"/>
          </w:tcPr>
          <w:p w14:paraId="476DC24A" w14:textId="77777777" w:rsidR="00E904BE" w:rsidRDefault="00000000">
            <w:pPr>
              <w:jc w:val="center"/>
            </w:pPr>
            <w:r>
              <w:rPr>
                <w:color w:val="000000"/>
                <w:sz w:val="18"/>
                <w:szCs w:val="18"/>
              </w:rPr>
              <w:t>1</w:t>
            </w:r>
          </w:p>
        </w:tc>
      </w:tr>
      <w:tr w:rsidR="00E904BE" w14:paraId="476DC24F" w14:textId="77777777">
        <w:tblPrEx>
          <w:tblCellMar>
            <w:top w:w="0" w:type="dxa"/>
            <w:bottom w:w="0" w:type="dxa"/>
          </w:tblCellMar>
        </w:tblPrEx>
        <w:tc>
          <w:tcPr>
            <w:tcW w:w="1200" w:type="dxa"/>
            <w:tcMar>
              <w:top w:w="60" w:type="dxa"/>
              <w:left w:w="80" w:type="dxa"/>
              <w:bottom w:w="60" w:type="dxa"/>
              <w:right w:w="80" w:type="dxa"/>
            </w:tcMar>
            <w:vAlign w:val="center"/>
          </w:tcPr>
          <w:p w14:paraId="476DC24C" w14:textId="77777777" w:rsidR="00E904BE" w:rsidRDefault="00000000">
            <w:pPr>
              <w:jc w:val="center"/>
            </w:pPr>
            <w:r>
              <w:rPr>
                <w:color w:val="000000"/>
                <w:sz w:val="18"/>
                <w:szCs w:val="18"/>
              </w:rPr>
              <w:t>6</w:t>
            </w:r>
          </w:p>
        </w:tc>
        <w:tc>
          <w:tcPr>
            <w:tcW w:w="6800" w:type="dxa"/>
            <w:tcMar>
              <w:top w:w="60" w:type="dxa"/>
              <w:left w:w="80" w:type="dxa"/>
              <w:bottom w:w="60" w:type="dxa"/>
              <w:right w:w="80" w:type="dxa"/>
            </w:tcMar>
            <w:vAlign w:val="center"/>
          </w:tcPr>
          <w:p w14:paraId="476DC24D" w14:textId="77777777" w:rsidR="00E904BE" w:rsidRDefault="00000000">
            <w:pPr>
              <w:jc w:val="center"/>
            </w:pPr>
            <w:r>
              <w:rPr>
                <w:color w:val="000000"/>
                <w:sz w:val="18"/>
                <w:szCs w:val="18"/>
              </w:rPr>
              <w:t>Palacio de Justicia de Zipaquirá</w:t>
            </w:r>
          </w:p>
        </w:tc>
        <w:tc>
          <w:tcPr>
            <w:tcW w:w="2380" w:type="dxa"/>
            <w:tcMar>
              <w:top w:w="60" w:type="dxa"/>
              <w:left w:w="80" w:type="dxa"/>
              <w:bottom w:w="60" w:type="dxa"/>
              <w:right w:w="80" w:type="dxa"/>
            </w:tcMar>
            <w:vAlign w:val="center"/>
          </w:tcPr>
          <w:p w14:paraId="476DC24E" w14:textId="77777777" w:rsidR="00E904BE" w:rsidRDefault="00E904BE">
            <w:pPr>
              <w:jc w:val="center"/>
            </w:pPr>
          </w:p>
        </w:tc>
      </w:tr>
      <w:tr w:rsidR="00E904BE" w14:paraId="476DC253" w14:textId="77777777">
        <w:tblPrEx>
          <w:tblCellMar>
            <w:top w:w="0" w:type="dxa"/>
            <w:bottom w:w="0" w:type="dxa"/>
          </w:tblCellMar>
        </w:tblPrEx>
        <w:tc>
          <w:tcPr>
            <w:tcW w:w="1200" w:type="dxa"/>
            <w:tcMar>
              <w:top w:w="60" w:type="dxa"/>
              <w:left w:w="80" w:type="dxa"/>
              <w:bottom w:w="60" w:type="dxa"/>
              <w:right w:w="80" w:type="dxa"/>
            </w:tcMar>
            <w:vAlign w:val="center"/>
          </w:tcPr>
          <w:p w14:paraId="476DC250" w14:textId="77777777" w:rsidR="00E904BE" w:rsidRDefault="00000000">
            <w:pPr>
              <w:jc w:val="center"/>
            </w:pPr>
            <w:r>
              <w:rPr>
                <w:color w:val="000000"/>
                <w:sz w:val="18"/>
                <w:szCs w:val="18"/>
              </w:rPr>
              <w:t>6.1</w:t>
            </w:r>
          </w:p>
        </w:tc>
        <w:tc>
          <w:tcPr>
            <w:tcW w:w="6800" w:type="dxa"/>
            <w:tcMar>
              <w:top w:w="60" w:type="dxa"/>
              <w:left w:w="80" w:type="dxa"/>
              <w:bottom w:w="60" w:type="dxa"/>
              <w:right w:w="80" w:type="dxa"/>
            </w:tcMar>
            <w:vAlign w:val="center"/>
          </w:tcPr>
          <w:p w14:paraId="476DC251" w14:textId="77777777" w:rsidR="00E904BE" w:rsidRDefault="00000000">
            <w:pPr>
              <w:jc w:val="center"/>
            </w:pPr>
            <w:r>
              <w:rPr>
                <w:color w:val="000000"/>
                <w:sz w:val="18"/>
                <w:szCs w:val="18"/>
              </w:rPr>
              <w:t>Bomba de agua potable 5hp BARNES S.A.S Modelo 1A1-1/2-5-2, serie B38217. con tablero de control</w:t>
            </w:r>
          </w:p>
        </w:tc>
        <w:tc>
          <w:tcPr>
            <w:tcW w:w="2380" w:type="dxa"/>
            <w:tcMar>
              <w:top w:w="60" w:type="dxa"/>
              <w:left w:w="80" w:type="dxa"/>
              <w:bottom w:w="60" w:type="dxa"/>
              <w:right w:w="80" w:type="dxa"/>
            </w:tcMar>
            <w:vAlign w:val="center"/>
          </w:tcPr>
          <w:p w14:paraId="476DC252" w14:textId="77777777" w:rsidR="00E904BE" w:rsidRDefault="00000000">
            <w:pPr>
              <w:jc w:val="center"/>
            </w:pPr>
            <w:r>
              <w:rPr>
                <w:color w:val="000000"/>
                <w:sz w:val="18"/>
                <w:szCs w:val="18"/>
              </w:rPr>
              <w:t>1</w:t>
            </w:r>
          </w:p>
        </w:tc>
      </w:tr>
      <w:tr w:rsidR="00E904BE" w14:paraId="476DC257" w14:textId="77777777">
        <w:tblPrEx>
          <w:tblCellMar>
            <w:top w:w="0" w:type="dxa"/>
            <w:bottom w:w="0" w:type="dxa"/>
          </w:tblCellMar>
        </w:tblPrEx>
        <w:tc>
          <w:tcPr>
            <w:tcW w:w="1200" w:type="dxa"/>
            <w:tcMar>
              <w:top w:w="60" w:type="dxa"/>
              <w:left w:w="80" w:type="dxa"/>
              <w:bottom w:w="60" w:type="dxa"/>
              <w:right w:w="80" w:type="dxa"/>
            </w:tcMar>
            <w:vAlign w:val="center"/>
          </w:tcPr>
          <w:p w14:paraId="476DC254" w14:textId="77777777" w:rsidR="00E904BE" w:rsidRDefault="00000000">
            <w:pPr>
              <w:jc w:val="center"/>
            </w:pPr>
            <w:r>
              <w:rPr>
                <w:color w:val="000000"/>
                <w:sz w:val="18"/>
                <w:szCs w:val="18"/>
              </w:rPr>
              <w:t>6.2</w:t>
            </w:r>
          </w:p>
        </w:tc>
        <w:tc>
          <w:tcPr>
            <w:tcW w:w="6800" w:type="dxa"/>
            <w:tcMar>
              <w:top w:w="60" w:type="dxa"/>
              <w:left w:w="80" w:type="dxa"/>
              <w:bottom w:w="60" w:type="dxa"/>
              <w:right w:w="80" w:type="dxa"/>
            </w:tcMar>
            <w:vAlign w:val="center"/>
          </w:tcPr>
          <w:p w14:paraId="476DC255" w14:textId="77777777" w:rsidR="00E904BE" w:rsidRDefault="00000000">
            <w:pPr>
              <w:jc w:val="center"/>
            </w:pPr>
            <w:r>
              <w:rPr>
                <w:color w:val="000000"/>
                <w:sz w:val="18"/>
                <w:szCs w:val="18"/>
              </w:rPr>
              <w:t xml:space="preserve">Bomba Jockey Marca: DIACOL Modelo BLT 2-11 Caudal de 33 </w:t>
            </w:r>
            <w:proofErr w:type="spellStart"/>
            <w:r>
              <w:rPr>
                <w:color w:val="000000"/>
                <w:sz w:val="18"/>
                <w:szCs w:val="18"/>
              </w:rPr>
              <w:t>lpm</w:t>
            </w:r>
            <w:proofErr w:type="spellEnd"/>
            <w:r>
              <w:rPr>
                <w:color w:val="000000"/>
                <w:sz w:val="18"/>
                <w:szCs w:val="18"/>
              </w:rPr>
              <w:t xml:space="preserve"> (litros por minuto) Potencia de 2,2 KW (2,68 hp) con tablero principal</w:t>
            </w:r>
          </w:p>
        </w:tc>
        <w:tc>
          <w:tcPr>
            <w:tcW w:w="2380" w:type="dxa"/>
            <w:tcMar>
              <w:top w:w="60" w:type="dxa"/>
              <w:left w:w="80" w:type="dxa"/>
              <w:bottom w:w="60" w:type="dxa"/>
              <w:right w:w="80" w:type="dxa"/>
            </w:tcMar>
            <w:vAlign w:val="center"/>
          </w:tcPr>
          <w:p w14:paraId="476DC256" w14:textId="77777777" w:rsidR="00E904BE" w:rsidRDefault="00000000">
            <w:pPr>
              <w:jc w:val="center"/>
            </w:pPr>
            <w:r>
              <w:rPr>
                <w:color w:val="000000"/>
                <w:sz w:val="18"/>
                <w:szCs w:val="18"/>
              </w:rPr>
              <w:t>1</w:t>
            </w:r>
          </w:p>
        </w:tc>
      </w:tr>
      <w:tr w:rsidR="00E904BE" w14:paraId="476DC25B" w14:textId="77777777">
        <w:tblPrEx>
          <w:tblCellMar>
            <w:top w:w="0" w:type="dxa"/>
            <w:bottom w:w="0" w:type="dxa"/>
          </w:tblCellMar>
        </w:tblPrEx>
        <w:tc>
          <w:tcPr>
            <w:tcW w:w="1200" w:type="dxa"/>
            <w:tcMar>
              <w:top w:w="60" w:type="dxa"/>
              <w:left w:w="80" w:type="dxa"/>
              <w:bottom w:w="60" w:type="dxa"/>
              <w:right w:w="80" w:type="dxa"/>
            </w:tcMar>
            <w:vAlign w:val="center"/>
          </w:tcPr>
          <w:p w14:paraId="476DC258" w14:textId="77777777" w:rsidR="00E904BE" w:rsidRDefault="00000000">
            <w:pPr>
              <w:jc w:val="center"/>
            </w:pPr>
            <w:r>
              <w:rPr>
                <w:color w:val="000000"/>
                <w:sz w:val="18"/>
                <w:szCs w:val="18"/>
              </w:rPr>
              <w:t>6.3</w:t>
            </w:r>
          </w:p>
        </w:tc>
        <w:tc>
          <w:tcPr>
            <w:tcW w:w="6800" w:type="dxa"/>
            <w:tcMar>
              <w:top w:w="60" w:type="dxa"/>
              <w:left w:w="80" w:type="dxa"/>
              <w:bottom w:w="60" w:type="dxa"/>
              <w:right w:w="80" w:type="dxa"/>
            </w:tcMar>
            <w:vAlign w:val="center"/>
          </w:tcPr>
          <w:p w14:paraId="476DC259" w14:textId="77777777" w:rsidR="00E904BE" w:rsidRDefault="00000000">
            <w:pPr>
              <w:jc w:val="center"/>
            </w:pPr>
            <w:r>
              <w:rPr>
                <w:color w:val="000000"/>
                <w:sz w:val="18"/>
                <w:szCs w:val="18"/>
              </w:rPr>
              <w:t>Motobomba principal red contra incendios 50 HP con tablero principal</w:t>
            </w:r>
          </w:p>
        </w:tc>
        <w:tc>
          <w:tcPr>
            <w:tcW w:w="2380" w:type="dxa"/>
            <w:tcMar>
              <w:top w:w="60" w:type="dxa"/>
              <w:left w:w="80" w:type="dxa"/>
              <w:bottom w:w="60" w:type="dxa"/>
              <w:right w:w="80" w:type="dxa"/>
            </w:tcMar>
            <w:vAlign w:val="center"/>
          </w:tcPr>
          <w:p w14:paraId="476DC25A" w14:textId="77777777" w:rsidR="00E904BE" w:rsidRDefault="00000000">
            <w:pPr>
              <w:jc w:val="center"/>
            </w:pPr>
            <w:r>
              <w:rPr>
                <w:color w:val="000000"/>
                <w:sz w:val="18"/>
                <w:szCs w:val="18"/>
              </w:rPr>
              <w:t>1</w:t>
            </w:r>
          </w:p>
        </w:tc>
      </w:tr>
      <w:tr w:rsidR="00E904BE" w14:paraId="476DC25F" w14:textId="77777777">
        <w:tblPrEx>
          <w:tblCellMar>
            <w:top w:w="0" w:type="dxa"/>
            <w:bottom w:w="0" w:type="dxa"/>
          </w:tblCellMar>
        </w:tblPrEx>
        <w:tc>
          <w:tcPr>
            <w:tcW w:w="1200" w:type="dxa"/>
            <w:tcMar>
              <w:top w:w="60" w:type="dxa"/>
              <w:left w:w="80" w:type="dxa"/>
              <w:bottom w:w="60" w:type="dxa"/>
              <w:right w:w="80" w:type="dxa"/>
            </w:tcMar>
            <w:vAlign w:val="center"/>
          </w:tcPr>
          <w:p w14:paraId="476DC25C" w14:textId="77777777" w:rsidR="00E904BE" w:rsidRDefault="00000000">
            <w:pPr>
              <w:jc w:val="center"/>
            </w:pPr>
            <w:r>
              <w:rPr>
                <w:color w:val="000000"/>
                <w:sz w:val="18"/>
                <w:szCs w:val="18"/>
              </w:rPr>
              <w:t>6.4</w:t>
            </w:r>
          </w:p>
        </w:tc>
        <w:tc>
          <w:tcPr>
            <w:tcW w:w="6800" w:type="dxa"/>
            <w:tcMar>
              <w:top w:w="60" w:type="dxa"/>
              <w:left w:w="80" w:type="dxa"/>
              <w:bottom w:w="60" w:type="dxa"/>
              <w:right w:w="80" w:type="dxa"/>
            </w:tcMar>
            <w:vAlign w:val="center"/>
          </w:tcPr>
          <w:p w14:paraId="476DC25D" w14:textId="77777777" w:rsidR="00E904BE" w:rsidRDefault="00000000">
            <w:pPr>
              <w:jc w:val="center"/>
            </w:pPr>
            <w:r>
              <w:rPr>
                <w:color w:val="000000"/>
                <w:sz w:val="18"/>
                <w:szCs w:val="18"/>
              </w:rPr>
              <w:t>Bombas sumergibles aguas negras 2 HP con tablero de control</w:t>
            </w:r>
          </w:p>
        </w:tc>
        <w:tc>
          <w:tcPr>
            <w:tcW w:w="2380" w:type="dxa"/>
            <w:tcMar>
              <w:top w:w="60" w:type="dxa"/>
              <w:left w:w="80" w:type="dxa"/>
              <w:bottom w:w="60" w:type="dxa"/>
              <w:right w:w="80" w:type="dxa"/>
            </w:tcMar>
            <w:vAlign w:val="center"/>
          </w:tcPr>
          <w:p w14:paraId="476DC25E" w14:textId="77777777" w:rsidR="00E904BE" w:rsidRDefault="00000000">
            <w:pPr>
              <w:jc w:val="center"/>
            </w:pPr>
            <w:r>
              <w:rPr>
                <w:color w:val="000000"/>
                <w:sz w:val="18"/>
                <w:szCs w:val="18"/>
              </w:rPr>
              <w:t>1</w:t>
            </w:r>
          </w:p>
        </w:tc>
      </w:tr>
      <w:tr w:rsidR="00E904BE" w14:paraId="476DC263" w14:textId="77777777">
        <w:tblPrEx>
          <w:tblCellMar>
            <w:top w:w="0" w:type="dxa"/>
            <w:bottom w:w="0" w:type="dxa"/>
          </w:tblCellMar>
        </w:tblPrEx>
        <w:tc>
          <w:tcPr>
            <w:tcW w:w="1200" w:type="dxa"/>
            <w:tcMar>
              <w:top w:w="60" w:type="dxa"/>
              <w:left w:w="80" w:type="dxa"/>
              <w:bottom w:w="60" w:type="dxa"/>
              <w:right w:w="80" w:type="dxa"/>
            </w:tcMar>
            <w:vAlign w:val="center"/>
          </w:tcPr>
          <w:p w14:paraId="476DC260" w14:textId="77777777" w:rsidR="00E904BE" w:rsidRDefault="00000000">
            <w:pPr>
              <w:jc w:val="center"/>
            </w:pPr>
            <w:r>
              <w:rPr>
                <w:color w:val="000000"/>
                <w:sz w:val="18"/>
                <w:szCs w:val="18"/>
              </w:rPr>
              <w:t>6.5</w:t>
            </w:r>
          </w:p>
        </w:tc>
        <w:tc>
          <w:tcPr>
            <w:tcW w:w="6800" w:type="dxa"/>
            <w:tcMar>
              <w:top w:w="60" w:type="dxa"/>
              <w:left w:w="80" w:type="dxa"/>
              <w:bottom w:w="60" w:type="dxa"/>
              <w:right w:w="80" w:type="dxa"/>
            </w:tcMar>
            <w:vAlign w:val="center"/>
          </w:tcPr>
          <w:p w14:paraId="476DC261" w14:textId="77777777" w:rsidR="00E904BE" w:rsidRDefault="00000000">
            <w:pPr>
              <w:jc w:val="center"/>
            </w:pPr>
            <w:r>
              <w:rPr>
                <w:color w:val="000000"/>
                <w:sz w:val="18"/>
                <w:szCs w:val="18"/>
              </w:rPr>
              <w:t xml:space="preserve">Tanque </w:t>
            </w:r>
            <w:proofErr w:type="spellStart"/>
            <w:r>
              <w:rPr>
                <w:color w:val="000000"/>
                <w:sz w:val="18"/>
                <w:szCs w:val="18"/>
              </w:rPr>
              <w:t>hidroflo</w:t>
            </w:r>
            <w:proofErr w:type="spellEnd"/>
            <w:r>
              <w:rPr>
                <w:color w:val="000000"/>
                <w:sz w:val="18"/>
                <w:szCs w:val="18"/>
              </w:rPr>
              <w:t xml:space="preserve"> 300L incluye cambio de membrana si es necesario</w:t>
            </w:r>
          </w:p>
        </w:tc>
        <w:tc>
          <w:tcPr>
            <w:tcW w:w="2380" w:type="dxa"/>
            <w:tcMar>
              <w:top w:w="60" w:type="dxa"/>
              <w:left w:w="80" w:type="dxa"/>
              <w:bottom w:w="60" w:type="dxa"/>
              <w:right w:w="80" w:type="dxa"/>
            </w:tcMar>
            <w:vAlign w:val="center"/>
          </w:tcPr>
          <w:p w14:paraId="476DC262" w14:textId="77777777" w:rsidR="00E904BE" w:rsidRDefault="00000000">
            <w:pPr>
              <w:jc w:val="center"/>
            </w:pPr>
            <w:r>
              <w:rPr>
                <w:color w:val="000000"/>
                <w:sz w:val="18"/>
                <w:szCs w:val="18"/>
              </w:rPr>
              <w:t>1</w:t>
            </w:r>
          </w:p>
        </w:tc>
      </w:tr>
      <w:tr w:rsidR="00E904BE" w14:paraId="476DC267" w14:textId="77777777">
        <w:tblPrEx>
          <w:tblCellMar>
            <w:top w:w="0" w:type="dxa"/>
            <w:bottom w:w="0" w:type="dxa"/>
          </w:tblCellMar>
        </w:tblPrEx>
        <w:tc>
          <w:tcPr>
            <w:tcW w:w="1200" w:type="dxa"/>
            <w:tcMar>
              <w:top w:w="60" w:type="dxa"/>
              <w:left w:w="80" w:type="dxa"/>
              <w:bottom w:w="60" w:type="dxa"/>
              <w:right w:w="80" w:type="dxa"/>
            </w:tcMar>
            <w:vAlign w:val="center"/>
          </w:tcPr>
          <w:p w14:paraId="476DC264" w14:textId="77777777" w:rsidR="00E904BE" w:rsidRDefault="00000000">
            <w:pPr>
              <w:jc w:val="center"/>
            </w:pPr>
            <w:r>
              <w:rPr>
                <w:color w:val="000000"/>
                <w:sz w:val="18"/>
                <w:szCs w:val="18"/>
              </w:rPr>
              <w:t>6.6</w:t>
            </w:r>
          </w:p>
        </w:tc>
        <w:tc>
          <w:tcPr>
            <w:tcW w:w="6800" w:type="dxa"/>
            <w:tcMar>
              <w:top w:w="60" w:type="dxa"/>
              <w:left w:w="80" w:type="dxa"/>
              <w:bottom w:w="60" w:type="dxa"/>
              <w:right w:w="80" w:type="dxa"/>
            </w:tcMar>
            <w:vAlign w:val="center"/>
          </w:tcPr>
          <w:p w14:paraId="476DC265" w14:textId="77777777" w:rsidR="00E904BE" w:rsidRDefault="00000000">
            <w:pPr>
              <w:jc w:val="center"/>
            </w:pPr>
            <w:r>
              <w:rPr>
                <w:color w:val="000000"/>
                <w:sz w:val="18"/>
                <w:szCs w:val="18"/>
              </w:rPr>
              <w:t>Lavado y desinfección tanque agua potable 25 m3</w:t>
            </w:r>
          </w:p>
        </w:tc>
        <w:tc>
          <w:tcPr>
            <w:tcW w:w="2380" w:type="dxa"/>
            <w:tcMar>
              <w:top w:w="60" w:type="dxa"/>
              <w:left w:w="80" w:type="dxa"/>
              <w:bottom w:w="60" w:type="dxa"/>
              <w:right w:w="80" w:type="dxa"/>
            </w:tcMar>
            <w:vAlign w:val="center"/>
          </w:tcPr>
          <w:p w14:paraId="476DC266" w14:textId="77777777" w:rsidR="00E904BE" w:rsidRDefault="00000000">
            <w:pPr>
              <w:jc w:val="center"/>
            </w:pPr>
            <w:r>
              <w:rPr>
                <w:color w:val="000000"/>
                <w:sz w:val="18"/>
                <w:szCs w:val="18"/>
              </w:rPr>
              <w:t>1</w:t>
            </w:r>
          </w:p>
        </w:tc>
      </w:tr>
      <w:tr w:rsidR="00E904BE" w14:paraId="476DC26B" w14:textId="77777777">
        <w:tblPrEx>
          <w:tblCellMar>
            <w:top w:w="0" w:type="dxa"/>
            <w:bottom w:w="0" w:type="dxa"/>
          </w:tblCellMar>
        </w:tblPrEx>
        <w:tc>
          <w:tcPr>
            <w:tcW w:w="1200" w:type="dxa"/>
            <w:tcMar>
              <w:top w:w="60" w:type="dxa"/>
              <w:left w:w="80" w:type="dxa"/>
              <w:bottom w:w="60" w:type="dxa"/>
              <w:right w:w="80" w:type="dxa"/>
            </w:tcMar>
            <w:vAlign w:val="center"/>
          </w:tcPr>
          <w:p w14:paraId="476DC268" w14:textId="77777777" w:rsidR="00E904BE" w:rsidRDefault="00000000">
            <w:pPr>
              <w:jc w:val="center"/>
            </w:pPr>
            <w:r>
              <w:rPr>
                <w:color w:val="000000"/>
                <w:sz w:val="18"/>
                <w:szCs w:val="18"/>
              </w:rPr>
              <w:t>6.7</w:t>
            </w:r>
          </w:p>
        </w:tc>
        <w:tc>
          <w:tcPr>
            <w:tcW w:w="6800" w:type="dxa"/>
            <w:tcMar>
              <w:top w:w="60" w:type="dxa"/>
              <w:left w:w="80" w:type="dxa"/>
              <w:bottom w:w="60" w:type="dxa"/>
              <w:right w:w="80" w:type="dxa"/>
            </w:tcMar>
            <w:vAlign w:val="center"/>
          </w:tcPr>
          <w:p w14:paraId="476DC269" w14:textId="77777777" w:rsidR="00E904BE" w:rsidRDefault="00000000">
            <w:pPr>
              <w:jc w:val="center"/>
            </w:pPr>
            <w:r>
              <w:rPr>
                <w:color w:val="000000"/>
                <w:sz w:val="18"/>
                <w:szCs w:val="18"/>
              </w:rPr>
              <w:t>Lavado y desinfección tanque red contraincendios 108 m3</w:t>
            </w:r>
          </w:p>
        </w:tc>
        <w:tc>
          <w:tcPr>
            <w:tcW w:w="2380" w:type="dxa"/>
            <w:tcMar>
              <w:top w:w="60" w:type="dxa"/>
              <w:left w:w="80" w:type="dxa"/>
              <w:bottom w:w="60" w:type="dxa"/>
              <w:right w:w="80" w:type="dxa"/>
            </w:tcMar>
            <w:vAlign w:val="center"/>
          </w:tcPr>
          <w:p w14:paraId="476DC26A" w14:textId="77777777" w:rsidR="00E904BE" w:rsidRDefault="00000000">
            <w:pPr>
              <w:jc w:val="center"/>
            </w:pPr>
            <w:r>
              <w:rPr>
                <w:color w:val="000000"/>
                <w:sz w:val="18"/>
                <w:szCs w:val="18"/>
              </w:rPr>
              <w:t>1</w:t>
            </w:r>
          </w:p>
        </w:tc>
      </w:tr>
      <w:tr w:rsidR="00E904BE" w14:paraId="476DC26F" w14:textId="77777777">
        <w:tblPrEx>
          <w:tblCellMar>
            <w:top w:w="0" w:type="dxa"/>
            <w:bottom w:w="0" w:type="dxa"/>
          </w:tblCellMar>
        </w:tblPrEx>
        <w:tc>
          <w:tcPr>
            <w:tcW w:w="1200" w:type="dxa"/>
            <w:tcMar>
              <w:top w:w="60" w:type="dxa"/>
              <w:left w:w="80" w:type="dxa"/>
              <w:bottom w:w="60" w:type="dxa"/>
              <w:right w:w="80" w:type="dxa"/>
            </w:tcMar>
            <w:vAlign w:val="center"/>
          </w:tcPr>
          <w:p w14:paraId="476DC26C" w14:textId="77777777" w:rsidR="00E904BE" w:rsidRDefault="00000000">
            <w:pPr>
              <w:jc w:val="center"/>
            </w:pPr>
            <w:r>
              <w:rPr>
                <w:color w:val="000000"/>
                <w:sz w:val="18"/>
                <w:szCs w:val="18"/>
              </w:rPr>
              <w:t>7</w:t>
            </w:r>
          </w:p>
        </w:tc>
        <w:tc>
          <w:tcPr>
            <w:tcW w:w="6800" w:type="dxa"/>
            <w:tcMar>
              <w:top w:w="60" w:type="dxa"/>
              <w:left w:w="80" w:type="dxa"/>
              <w:bottom w:w="60" w:type="dxa"/>
              <w:right w:w="80" w:type="dxa"/>
            </w:tcMar>
            <w:vAlign w:val="center"/>
          </w:tcPr>
          <w:p w14:paraId="476DC26D" w14:textId="77777777" w:rsidR="00E904BE" w:rsidRDefault="00000000">
            <w:pPr>
              <w:jc w:val="center"/>
            </w:pPr>
            <w:r>
              <w:rPr>
                <w:color w:val="000000"/>
                <w:sz w:val="18"/>
                <w:szCs w:val="18"/>
              </w:rPr>
              <w:t>Palacio de Justicia de Leticia - Amazonas</w:t>
            </w:r>
          </w:p>
        </w:tc>
        <w:tc>
          <w:tcPr>
            <w:tcW w:w="2380" w:type="dxa"/>
            <w:tcMar>
              <w:top w:w="60" w:type="dxa"/>
              <w:left w:w="80" w:type="dxa"/>
              <w:bottom w:w="60" w:type="dxa"/>
              <w:right w:w="80" w:type="dxa"/>
            </w:tcMar>
            <w:vAlign w:val="center"/>
          </w:tcPr>
          <w:p w14:paraId="476DC26E" w14:textId="77777777" w:rsidR="00E904BE" w:rsidRDefault="00E904BE">
            <w:pPr>
              <w:jc w:val="center"/>
            </w:pPr>
          </w:p>
        </w:tc>
      </w:tr>
      <w:tr w:rsidR="00E904BE" w14:paraId="476DC273" w14:textId="77777777">
        <w:tblPrEx>
          <w:tblCellMar>
            <w:top w:w="0" w:type="dxa"/>
            <w:bottom w:w="0" w:type="dxa"/>
          </w:tblCellMar>
        </w:tblPrEx>
        <w:tc>
          <w:tcPr>
            <w:tcW w:w="1200" w:type="dxa"/>
            <w:tcMar>
              <w:top w:w="60" w:type="dxa"/>
              <w:left w:w="80" w:type="dxa"/>
              <w:bottom w:w="60" w:type="dxa"/>
              <w:right w:w="80" w:type="dxa"/>
            </w:tcMar>
            <w:vAlign w:val="center"/>
          </w:tcPr>
          <w:p w14:paraId="476DC270" w14:textId="77777777" w:rsidR="00E904BE" w:rsidRDefault="00000000">
            <w:pPr>
              <w:jc w:val="center"/>
            </w:pPr>
            <w:r>
              <w:rPr>
                <w:color w:val="000000"/>
                <w:sz w:val="18"/>
                <w:szCs w:val="18"/>
              </w:rPr>
              <w:t>7.1</w:t>
            </w:r>
          </w:p>
        </w:tc>
        <w:tc>
          <w:tcPr>
            <w:tcW w:w="6800" w:type="dxa"/>
            <w:tcMar>
              <w:top w:w="60" w:type="dxa"/>
              <w:left w:w="80" w:type="dxa"/>
              <w:bottom w:w="60" w:type="dxa"/>
              <w:right w:w="80" w:type="dxa"/>
            </w:tcMar>
            <w:vAlign w:val="center"/>
          </w:tcPr>
          <w:p w14:paraId="476DC271" w14:textId="77777777" w:rsidR="00E904BE" w:rsidRDefault="00000000">
            <w:pPr>
              <w:jc w:val="center"/>
            </w:pPr>
            <w:r>
              <w:rPr>
                <w:color w:val="000000"/>
                <w:sz w:val="18"/>
                <w:szCs w:val="18"/>
              </w:rPr>
              <w:t>Mantenimiento preventivo y correctivo de Bomba de 2.5 HP,220 v</w:t>
            </w:r>
          </w:p>
        </w:tc>
        <w:tc>
          <w:tcPr>
            <w:tcW w:w="2380" w:type="dxa"/>
            <w:tcMar>
              <w:top w:w="60" w:type="dxa"/>
              <w:left w:w="80" w:type="dxa"/>
              <w:bottom w:w="60" w:type="dxa"/>
              <w:right w:w="80" w:type="dxa"/>
            </w:tcMar>
            <w:vAlign w:val="center"/>
          </w:tcPr>
          <w:p w14:paraId="476DC272" w14:textId="77777777" w:rsidR="00E904BE" w:rsidRDefault="00000000">
            <w:pPr>
              <w:jc w:val="center"/>
            </w:pPr>
            <w:r>
              <w:rPr>
                <w:color w:val="000000"/>
                <w:sz w:val="18"/>
                <w:szCs w:val="18"/>
              </w:rPr>
              <w:t>1</w:t>
            </w:r>
          </w:p>
        </w:tc>
      </w:tr>
      <w:tr w:rsidR="00E904BE" w14:paraId="476DC277" w14:textId="77777777">
        <w:tblPrEx>
          <w:tblCellMar>
            <w:top w:w="0" w:type="dxa"/>
            <w:bottom w:w="0" w:type="dxa"/>
          </w:tblCellMar>
        </w:tblPrEx>
        <w:tc>
          <w:tcPr>
            <w:tcW w:w="1200" w:type="dxa"/>
            <w:tcMar>
              <w:top w:w="60" w:type="dxa"/>
              <w:left w:w="80" w:type="dxa"/>
              <w:bottom w:w="60" w:type="dxa"/>
              <w:right w:w="80" w:type="dxa"/>
            </w:tcMar>
            <w:vAlign w:val="center"/>
          </w:tcPr>
          <w:p w14:paraId="476DC274" w14:textId="77777777" w:rsidR="00E904BE" w:rsidRDefault="00000000">
            <w:pPr>
              <w:jc w:val="center"/>
            </w:pPr>
            <w:r>
              <w:rPr>
                <w:color w:val="000000"/>
                <w:sz w:val="18"/>
                <w:szCs w:val="18"/>
              </w:rPr>
              <w:t>7.2</w:t>
            </w:r>
          </w:p>
        </w:tc>
        <w:tc>
          <w:tcPr>
            <w:tcW w:w="6800" w:type="dxa"/>
            <w:tcMar>
              <w:top w:w="60" w:type="dxa"/>
              <w:left w:w="80" w:type="dxa"/>
              <w:bottom w:w="60" w:type="dxa"/>
              <w:right w:w="80" w:type="dxa"/>
            </w:tcMar>
            <w:vAlign w:val="center"/>
          </w:tcPr>
          <w:p w14:paraId="476DC275" w14:textId="77777777" w:rsidR="00E904BE" w:rsidRDefault="00000000">
            <w:pPr>
              <w:jc w:val="center"/>
            </w:pPr>
            <w:r>
              <w:rPr>
                <w:color w:val="000000"/>
                <w:sz w:val="18"/>
                <w:szCs w:val="18"/>
              </w:rPr>
              <w:t>Lavado y desinfección de tanque elevado de agua potable, volumen 30 m3</w:t>
            </w:r>
          </w:p>
        </w:tc>
        <w:tc>
          <w:tcPr>
            <w:tcW w:w="2380" w:type="dxa"/>
            <w:tcMar>
              <w:top w:w="60" w:type="dxa"/>
              <w:left w:w="80" w:type="dxa"/>
              <w:bottom w:w="60" w:type="dxa"/>
              <w:right w:w="80" w:type="dxa"/>
            </w:tcMar>
            <w:vAlign w:val="center"/>
          </w:tcPr>
          <w:p w14:paraId="476DC276" w14:textId="77777777" w:rsidR="00E904BE" w:rsidRDefault="00000000">
            <w:pPr>
              <w:jc w:val="center"/>
            </w:pPr>
            <w:r>
              <w:rPr>
                <w:color w:val="000000"/>
                <w:sz w:val="18"/>
                <w:szCs w:val="18"/>
              </w:rPr>
              <w:t>1</w:t>
            </w:r>
          </w:p>
        </w:tc>
      </w:tr>
      <w:tr w:rsidR="00E904BE" w14:paraId="476DC27B" w14:textId="77777777">
        <w:tblPrEx>
          <w:tblCellMar>
            <w:top w:w="0" w:type="dxa"/>
            <w:bottom w:w="0" w:type="dxa"/>
          </w:tblCellMar>
        </w:tblPrEx>
        <w:tc>
          <w:tcPr>
            <w:tcW w:w="1200" w:type="dxa"/>
            <w:tcMar>
              <w:top w:w="60" w:type="dxa"/>
              <w:left w:w="80" w:type="dxa"/>
              <w:bottom w:w="60" w:type="dxa"/>
              <w:right w:w="80" w:type="dxa"/>
            </w:tcMar>
            <w:vAlign w:val="center"/>
          </w:tcPr>
          <w:p w14:paraId="476DC278" w14:textId="77777777" w:rsidR="00E904BE" w:rsidRDefault="00000000">
            <w:pPr>
              <w:jc w:val="center"/>
            </w:pPr>
            <w:r>
              <w:rPr>
                <w:color w:val="000000"/>
                <w:sz w:val="18"/>
                <w:szCs w:val="18"/>
              </w:rPr>
              <w:t>8</w:t>
            </w:r>
          </w:p>
        </w:tc>
        <w:tc>
          <w:tcPr>
            <w:tcW w:w="6800" w:type="dxa"/>
            <w:tcMar>
              <w:top w:w="60" w:type="dxa"/>
              <w:left w:w="80" w:type="dxa"/>
              <w:bottom w:w="60" w:type="dxa"/>
              <w:right w:w="80" w:type="dxa"/>
            </w:tcMar>
            <w:vAlign w:val="center"/>
          </w:tcPr>
          <w:p w14:paraId="476DC279" w14:textId="77777777" w:rsidR="00E904BE" w:rsidRDefault="00000000">
            <w:pPr>
              <w:jc w:val="center"/>
            </w:pPr>
            <w:r>
              <w:rPr>
                <w:color w:val="000000"/>
                <w:sz w:val="18"/>
                <w:szCs w:val="18"/>
              </w:rPr>
              <w:t xml:space="preserve">Sede </w:t>
            </w:r>
            <w:proofErr w:type="spellStart"/>
            <w:r>
              <w:rPr>
                <w:color w:val="000000"/>
                <w:sz w:val="18"/>
                <w:szCs w:val="18"/>
              </w:rPr>
              <w:t>banrepublica</w:t>
            </w:r>
            <w:proofErr w:type="spellEnd"/>
            <w:r>
              <w:rPr>
                <w:color w:val="000000"/>
                <w:sz w:val="18"/>
                <w:szCs w:val="18"/>
              </w:rPr>
              <w:t xml:space="preserve"> Leticia - Amazonas</w:t>
            </w:r>
          </w:p>
        </w:tc>
        <w:tc>
          <w:tcPr>
            <w:tcW w:w="2380" w:type="dxa"/>
            <w:tcMar>
              <w:top w:w="60" w:type="dxa"/>
              <w:left w:w="80" w:type="dxa"/>
              <w:bottom w:w="60" w:type="dxa"/>
              <w:right w:w="80" w:type="dxa"/>
            </w:tcMar>
            <w:vAlign w:val="center"/>
          </w:tcPr>
          <w:p w14:paraId="476DC27A" w14:textId="77777777" w:rsidR="00E904BE" w:rsidRDefault="00E904BE">
            <w:pPr>
              <w:jc w:val="center"/>
            </w:pPr>
          </w:p>
        </w:tc>
      </w:tr>
      <w:tr w:rsidR="00E904BE" w14:paraId="476DC27F" w14:textId="77777777">
        <w:tblPrEx>
          <w:tblCellMar>
            <w:top w:w="0" w:type="dxa"/>
            <w:bottom w:w="0" w:type="dxa"/>
          </w:tblCellMar>
        </w:tblPrEx>
        <w:tc>
          <w:tcPr>
            <w:tcW w:w="1200" w:type="dxa"/>
            <w:tcMar>
              <w:top w:w="60" w:type="dxa"/>
              <w:left w:w="80" w:type="dxa"/>
              <w:bottom w:w="60" w:type="dxa"/>
              <w:right w:w="80" w:type="dxa"/>
            </w:tcMar>
            <w:vAlign w:val="center"/>
          </w:tcPr>
          <w:p w14:paraId="476DC27C" w14:textId="77777777" w:rsidR="00E904BE" w:rsidRDefault="00000000">
            <w:pPr>
              <w:jc w:val="center"/>
            </w:pPr>
            <w:r>
              <w:rPr>
                <w:color w:val="000000"/>
                <w:sz w:val="18"/>
                <w:szCs w:val="18"/>
              </w:rPr>
              <w:t>8.1</w:t>
            </w:r>
          </w:p>
        </w:tc>
        <w:tc>
          <w:tcPr>
            <w:tcW w:w="6800" w:type="dxa"/>
            <w:tcMar>
              <w:top w:w="60" w:type="dxa"/>
              <w:left w:w="80" w:type="dxa"/>
              <w:bottom w:w="60" w:type="dxa"/>
              <w:right w:w="80" w:type="dxa"/>
            </w:tcMar>
            <w:vAlign w:val="center"/>
          </w:tcPr>
          <w:p w14:paraId="476DC27D" w14:textId="77777777" w:rsidR="00E904BE" w:rsidRDefault="00000000">
            <w:pPr>
              <w:jc w:val="center"/>
            </w:pPr>
            <w:r>
              <w:rPr>
                <w:color w:val="000000"/>
                <w:sz w:val="18"/>
                <w:szCs w:val="18"/>
              </w:rPr>
              <w:t xml:space="preserve">Bomba </w:t>
            </w:r>
            <w:proofErr w:type="spellStart"/>
            <w:r>
              <w:rPr>
                <w:color w:val="000000"/>
                <w:sz w:val="18"/>
                <w:szCs w:val="18"/>
              </w:rPr>
              <w:t>cenjtrifuga</w:t>
            </w:r>
            <w:proofErr w:type="spellEnd"/>
            <w:r>
              <w:rPr>
                <w:color w:val="000000"/>
                <w:sz w:val="18"/>
                <w:szCs w:val="18"/>
              </w:rPr>
              <w:t xml:space="preserve"> </w:t>
            </w:r>
            <w:proofErr w:type="spellStart"/>
            <w:r>
              <w:rPr>
                <w:color w:val="000000"/>
                <w:sz w:val="18"/>
                <w:szCs w:val="18"/>
              </w:rPr>
              <w:t>goulds</w:t>
            </w:r>
            <w:proofErr w:type="spellEnd"/>
            <w:r>
              <w:rPr>
                <w:color w:val="000000"/>
                <w:sz w:val="18"/>
                <w:szCs w:val="18"/>
              </w:rPr>
              <w:t xml:space="preserve"> </w:t>
            </w:r>
            <w:proofErr w:type="spellStart"/>
            <w:r>
              <w:rPr>
                <w:color w:val="000000"/>
                <w:sz w:val="18"/>
                <w:szCs w:val="18"/>
              </w:rPr>
              <w:t>pumps</w:t>
            </w:r>
            <w:proofErr w:type="spellEnd"/>
            <w:r>
              <w:rPr>
                <w:color w:val="000000"/>
                <w:sz w:val="18"/>
                <w:szCs w:val="18"/>
              </w:rPr>
              <w:t xml:space="preserve"> modelo </w:t>
            </w:r>
            <w:proofErr w:type="spellStart"/>
            <w:r>
              <w:rPr>
                <w:color w:val="000000"/>
                <w:sz w:val="18"/>
                <w:szCs w:val="18"/>
              </w:rPr>
              <w:t>npe</w:t>
            </w:r>
            <w:proofErr w:type="spellEnd"/>
            <w:r>
              <w:rPr>
                <w:color w:val="000000"/>
                <w:sz w:val="18"/>
                <w:szCs w:val="18"/>
              </w:rPr>
              <w:t xml:space="preserve"> / 1st trifásica 220 v de 1 HP para agua potable, incluye tablero eléctrico</w:t>
            </w:r>
          </w:p>
        </w:tc>
        <w:tc>
          <w:tcPr>
            <w:tcW w:w="2380" w:type="dxa"/>
            <w:tcMar>
              <w:top w:w="60" w:type="dxa"/>
              <w:left w:w="80" w:type="dxa"/>
              <w:bottom w:w="60" w:type="dxa"/>
              <w:right w:w="80" w:type="dxa"/>
            </w:tcMar>
            <w:vAlign w:val="center"/>
          </w:tcPr>
          <w:p w14:paraId="476DC27E" w14:textId="77777777" w:rsidR="00E904BE" w:rsidRDefault="00000000">
            <w:pPr>
              <w:jc w:val="center"/>
            </w:pPr>
            <w:r>
              <w:rPr>
                <w:color w:val="000000"/>
                <w:sz w:val="18"/>
                <w:szCs w:val="18"/>
              </w:rPr>
              <w:t>1</w:t>
            </w:r>
          </w:p>
        </w:tc>
      </w:tr>
      <w:tr w:rsidR="00E904BE" w14:paraId="476DC283" w14:textId="77777777">
        <w:tblPrEx>
          <w:tblCellMar>
            <w:top w:w="0" w:type="dxa"/>
            <w:bottom w:w="0" w:type="dxa"/>
          </w:tblCellMar>
        </w:tblPrEx>
        <w:tc>
          <w:tcPr>
            <w:tcW w:w="1200" w:type="dxa"/>
            <w:tcMar>
              <w:top w:w="60" w:type="dxa"/>
              <w:left w:w="80" w:type="dxa"/>
              <w:bottom w:w="60" w:type="dxa"/>
              <w:right w:w="80" w:type="dxa"/>
            </w:tcMar>
            <w:vAlign w:val="center"/>
          </w:tcPr>
          <w:p w14:paraId="476DC280" w14:textId="77777777" w:rsidR="00E904BE" w:rsidRDefault="00000000">
            <w:pPr>
              <w:jc w:val="center"/>
            </w:pPr>
            <w:r>
              <w:rPr>
                <w:color w:val="000000"/>
                <w:sz w:val="18"/>
                <w:szCs w:val="18"/>
              </w:rPr>
              <w:t>8.2</w:t>
            </w:r>
          </w:p>
        </w:tc>
        <w:tc>
          <w:tcPr>
            <w:tcW w:w="6800" w:type="dxa"/>
            <w:tcMar>
              <w:top w:w="60" w:type="dxa"/>
              <w:left w:w="80" w:type="dxa"/>
              <w:bottom w:w="60" w:type="dxa"/>
              <w:right w:w="80" w:type="dxa"/>
            </w:tcMar>
            <w:vAlign w:val="center"/>
          </w:tcPr>
          <w:p w14:paraId="476DC281" w14:textId="77777777" w:rsidR="00E904BE" w:rsidRDefault="00000000">
            <w:pPr>
              <w:jc w:val="center"/>
            </w:pPr>
            <w:r>
              <w:rPr>
                <w:color w:val="000000"/>
                <w:sz w:val="18"/>
                <w:szCs w:val="18"/>
              </w:rPr>
              <w:t xml:space="preserve">Tanque </w:t>
            </w:r>
            <w:proofErr w:type="spellStart"/>
            <w:r>
              <w:rPr>
                <w:color w:val="000000"/>
                <w:sz w:val="18"/>
                <w:szCs w:val="18"/>
              </w:rPr>
              <w:t>hidroflo</w:t>
            </w:r>
            <w:proofErr w:type="spellEnd"/>
            <w:r>
              <w:rPr>
                <w:color w:val="000000"/>
                <w:sz w:val="18"/>
                <w:szCs w:val="18"/>
              </w:rPr>
              <w:t xml:space="preserve"> global </w:t>
            </w:r>
            <w:proofErr w:type="spellStart"/>
            <w:r>
              <w:rPr>
                <w:color w:val="000000"/>
                <w:sz w:val="18"/>
                <w:szCs w:val="18"/>
              </w:rPr>
              <w:t>water</w:t>
            </w:r>
            <w:proofErr w:type="spellEnd"/>
            <w:r>
              <w:rPr>
                <w:color w:val="000000"/>
                <w:sz w:val="18"/>
                <w:szCs w:val="18"/>
              </w:rPr>
              <w:t xml:space="preserve"> modelo </w:t>
            </w:r>
            <w:proofErr w:type="spellStart"/>
            <w:r>
              <w:rPr>
                <w:color w:val="000000"/>
                <w:sz w:val="18"/>
                <w:szCs w:val="18"/>
              </w:rPr>
              <w:t>gbl</w:t>
            </w:r>
            <w:proofErr w:type="spellEnd"/>
            <w:r>
              <w:rPr>
                <w:color w:val="000000"/>
                <w:sz w:val="18"/>
                <w:szCs w:val="18"/>
              </w:rPr>
              <w:t xml:space="preserve"> 60-244 presión de trabajo 150 psi, capacidad de 300L incluye cambio de membrana si es necesario</w:t>
            </w:r>
          </w:p>
        </w:tc>
        <w:tc>
          <w:tcPr>
            <w:tcW w:w="2380" w:type="dxa"/>
            <w:tcMar>
              <w:top w:w="60" w:type="dxa"/>
              <w:left w:w="80" w:type="dxa"/>
              <w:bottom w:w="60" w:type="dxa"/>
              <w:right w:w="80" w:type="dxa"/>
            </w:tcMar>
            <w:vAlign w:val="center"/>
          </w:tcPr>
          <w:p w14:paraId="476DC282" w14:textId="77777777" w:rsidR="00E904BE" w:rsidRDefault="00000000">
            <w:pPr>
              <w:jc w:val="center"/>
            </w:pPr>
            <w:r>
              <w:rPr>
                <w:color w:val="000000"/>
                <w:sz w:val="18"/>
                <w:szCs w:val="18"/>
              </w:rPr>
              <w:t>1</w:t>
            </w:r>
          </w:p>
        </w:tc>
      </w:tr>
      <w:tr w:rsidR="00E904BE" w14:paraId="476DC287" w14:textId="77777777">
        <w:tblPrEx>
          <w:tblCellMar>
            <w:top w:w="0" w:type="dxa"/>
            <w:bottom w:w="0" w:type="dxa"/>
          </w:tblCellMar>
        </w:tblPrEx>
        <w:tc>
          <w:tcPr>
            <w:tcW w:w="1200" w:type="dxa"/>
            <w:tcMar>
              <w:top w:w="60" w:type="dxa"/>
              <w:left w:w="80" w:type="dxa"/>
              <w:bottom w:w="60" w:type="dxa"/>
              <w:right w:w="80" w:type="dxa"/>
            </w:tcMar>
            <w:vAlign w:val="center"/>
          </w:tcPr>
          <w:p w14:paraId="476DC284" w14:textId="77777777" w:rsidR="00E904BE" w:rsidRDefault="00000000">
            <w:pPr>
              <w:jc w:val="center"/>
            </w:pPr>
            <w:r>
              <w:rPr>
                <w:color w:val="000000"/>
                <w:sz w:val="18"/>
                <w:szCs w:val="18"/>
              </w:rPr>
              <w:t>8.3</w:t>
            </w:r>
          </w:p>
        </w:tc>
        <w:tc>
          <w:tcPr>
            <w:tcW w:w="6800" w:type="dxa"/>
            <w:tcMar>
              <w:top w:w="60" w:type="dxa"/>
              <w:left w:w="80" w:type="dxa"/>
              <w:bottom w:w="60" w:type="dxa"/>
              <w:right w:w="80" w:type="dxa"/>
            </w:tcMar>
            <w:vAlign w:val="center"/>
          </w:tcPr>
          <w:p w14:paraId="476DC285" w14:textId="77777777" w:rsidR="00E904BE" w:rsidRDefault="00000000">
            <w:pPr>
              <w:jc w:val="center"/>
            </w:pPr>
            <w:r>
              <w:rPr>
                <w:color w:val="000000"/>
                <w:sz w:val="18"/>
                <w:szCs w:val="18"/>
              </w:rPr>
              <w:t xml:space="preserve">Bombas red contraincendios multietapas marca </w:t>
            </w:r>
            <w:proofErr w:type="spellStart"/>
            <w:r>
              <w:rPr>
                <w:color w:val="000000"/>
                <w:sz w:val="18"/>
                <w:szCs w:val="18"/>
              </w:rPr>
              <w:t>poulds</w:t>
            </w:r>
            <w:proofErr w:type="spellEnd"/>
            <w:r>
              <w:rPr>
                <w:color w:val="000000"/>
                <w:sz w:val="18"/>
                <w:szCs w:val="18"/>
              </w:rPr>
              <w:t xml:space="preserve"> </w:t>
            </w:r>
            <w:proofErr w:type="spellStart"/>
            <w:r>
              <w:rPr>
                <w:color w:val="000000"/>
                <w:sz w:val="18"/>
                <w:szCs w:val="18"/>
              </w:rPr>
              <w:t>water</w:t>
            </w:r>
            <w:proofErr w:type="spellEnd"/>
            <w:r>
              <w:rPr>
                <w:color w:val="000000"/>
                <w:sz w:val="18"/>
                <w:szCs w:val="18"/>
              </w:rPr>
              <w:t xml:space="preserve"> de 10 HP, incluye los tableros eléctricos</w:t>
            </w:r>
          </w:p>
        </w:tc>
        <w:tc>
          <w:tcPr>
            <w:tcW w:w="2380" w:type="dxa"/>
            <w:tcMar>
              <w:top w:w="60" w:type="dxa"/>
              <w:left w:w="80" w:type="dxa"/>
              <w:bottom w:w="60" w:type="dxa"/>
              <w:right w:w="80" w:type="dxa"/>
            </w:tcMar>
            <w:vAlign w:val="center"/>
          </w:tcPr>
          <w:p w14:paraId="476DC286" w14:textId="77777777" w:rsidR="00E904BE" w:rsidRDefault="00000000">
            <w:pPr>
              <w:jc w:val="center"/>
            </w:pPr>
            <w:r>
              <w:rPr>
                <w:color w:val="000000"/>
                <w:sz w:val="18"/>
                <w:szCs w:val="18"/>
              </w:rPr>
              <w:t>1</w:t>
            </w:r>
          </w:p>
        </w:tc>
      </w:tr>
      <w:tr w:rsidR="00E904BE" w14:paraId="476DC28B" w14:textId="77777777">
        <w:tblPrEx>
          <w:tblCellMar>
            <w:top w:w="0" w:type="dxa"/>
            <w:bottom w:w="0" w:type="dxa"/>
          </w:tblCellMar>
        </w:tblPrEx>
        <w:tc>
          <w:tcPr>
            <w:tcW w:w="1200" w:type="dxa"/>
            <w:tcMar>
              <w:top w:w="60" w:type="dxa"/>
              <w:left w:w="80" w:type="dxa"/>
              <w:bottom w:w="60" w:type="dxa"/>
              <w:right w:w="80" w:type="dxa"/>
            </w:tcMar>
            <w:vAlign w:val="center"/>
          </w:tcPr>
          <w:p w14:paraId="476DC288" w14:textId="77777777" w:rsidR="00E904BE" w:rsidRDefault="00000000">
            <w:pPr>
              <w:jc w:val="center"/>
            </w:pPr>
            <w:r>
              <w:rPr>
                <w:color w:val="000000"/>
                <w:sz w:val="18"/>
                <w:szCs w:val="18"/>
              </w:rPr>
              <w:t>8.4</w:t>
            </w:r>
          </w:p>
        </w:tc>
        <w:tc>
          <w:tcPr>
            <w:tcW w:w="6800" w:type="dxa"/>
            <w:tcMar>
              <w:top w:w="60" w:type="dxa"/>
              <w:left w:w="80" w:type="dxa"/>
              <w:bottom w:w="60" w:type="dxa"/>
              <w:right w:w="80" w:type="dxa"/>
            </w:tcMar>
            <w:vAlign w:val="center"/>
          </w:tcPr>
          <w:p w14:paraId="476DC289" w14:textId="77777777" w:rsidR="00E904BE" w:rsidRDefault="00000000">
            <w:pPr>
              <w:jc w:val="center"/>
            </w:pPr>
            <w:r>
              <w:rPr>
                <w:color w:val="000000"/>
                <w:sz w:val="18"/>
                <w:szCs w:val="18"/>
              </w:rPr>
              <w:t xml:space="preserve">Bomba jockey multietapas marca </w:t>
            </w:r>
            <w:proofErr w:type="spellStart"/>
            <w:r>
              <w:rPr>
                <w:color w:val="000000"/>
                <w:sz w:val="18"/>
                <w:szCs w:val="18"/>
              </w:rPr>
              <w:t>poulds</w:t>
            </w:r>
            <w:proofErr w:type="spellEnd"/>
            <w:r>
              <w:rPr>
                <w:color w:val="000000"/>
                <w:sz w:val="18"/>
                <w:szCs w:val="18"/>
              </w:rPr>
              <w:t xml:space="preserve"> </w:t>
            </w:r>
            <w:proofErr w:type="spellStart"/>
            <w:r>
              <w:rPr>
                <w:color w:val="000000"/>
                <w:sz w:val="18"/>
                <w:szCs w:val="18"/>
              </w:rPr>
              <w:t>water</w:t>
            </w:r>
            <w:proofErr w:type="spellEnd"/>
            <w:r>
              <w:rPr>
                <w:color w:val="000000"/>
                <w:sz w:val="18"/>
                <w:szCs w:val="18"/>
              </w:rPr>
              <w:t xml:space="preserve"> de 2 HP, incluye los tableros eléctricos</w:t>
            </w:r>
          </w:p>
        </w:tc>
        <w:tc>
          <w:tcPr>
            <w:tcW w:w="2380" w:type="dxa"/>
            <w:tcMar>
              <w:top w:w="60" w:type="dxa"/>
              <w:left w:w="80" w:type="dxa"/>
              <w:bottom w:w="60" w:type="dxa"/>
              <w:right w:w="80" w:type="dxa"/>
            </w:tcMar>
            <w:vAlign w:val="center"/>
          </w:tcPr>
          <w:p w14:paraId="476DC28A" w14:textId="77777777" w:rsidR="00E904BE" w:rsidRDefault="00000000">
            <w:pPr>
              <w:jc w:val="center"/>
            </w:pPr>
            <w:r>
              <w:rPr>
                <w:color w:val="000000"/>
                <w:sz w:val="18"/>
                <w:szCs w:val="18"/>
              </w:rPr>
              <w:t>1</w:t>
            </w:r>
          </w:p>
        </w:tc>
      </w:tr>
      <w:tr w:rsidR="00E904BE" w14:paraId="476DC28F" w14:textId="77777777">
        <w:tblPrEx>
          <w:tblCellMar>
            <w:top w:w="0" w:type="dxa"/>
            <w:bottom w:w="0" w:type="dxa"/>
          </w:tblCellMar>
        </w:tblPrEx>
        <w:tc>
          <w:tcPr>
            <w:tcW w:w="1200" w:type="dxa"/>
            <w:tcMar>
              <w:top w:w="60" w:type="dxa"/>
              <w:left w:w="80" w:type="dxa"/>
              <w:bottom w:w="60" w:type="dxa"/>
              <w:right w:w="80" w:type="dxa"/>
            </w:tcMar>
            <w:vAlign w:val="center"/>
          </w:tcPr>
          <w:p w14:paraId="476DC28C" w14:textId="77777777" w:rsidR="00E904BE" w:rsidRDefault="00000000">
            <w:pPr>
              <w:jc w:val="center"/>
            </w:pPr>
            <w:r>
              <w:rPr>
                <w:color w:val="000000"/>
                <w:sz w:val="18"/>
                <w:szCs w:val="18"/>
              </w:rPr>
              <w:t>8.5</w:t>
            </w:r>
          </w:p>
        </w:tc>
        <w:tc>
          <w:tcPr>
            <w:tcW w:w="6800" w:type="dxa"/>
            <w:tcMar>
              <w:top w:w="60" w:type="dxa"/>
              <w:left w:w="80" w:type="dxa"/>
              <w:bottom w:w="60" w:type="dxa"/>
              <w:right w:w="80" w:type="dxa"/>
            </w:tcMar>
            <w:vAlign w:val="center"/>
          </w:tcPr>
          <w:p w14:paraId="476DC28D" w14:textId="77777777" w:rsidR="00E904BE" w:rsidRDefault="00000000">
            <w:pPr>
              <w:jc w:val="center"/>
            </w:pPr>
            <w:r>
              <w:rPr>
                <w:color w:val="000000"/>
                <w:sz w:val="18"/>
                <w:szCs w:val="18"/>
              </w:rPr>
              <w:t xml:space="preserve">Bomba sumergible tipo lapicero marca franklin </w:t>
            </w:r>
            <w:proofErr w:type="spellStart"/>
            <w:r>
              <w:rPr>
                <w:color w:val="000000"/>
                <w:sz w:val="18"/>
                <w:szCs w:val="18"/>
              </w:rPr>
              <w:t>electric</w:t>
            </w:r>
            <w:proofErr w:type="spellEnd"/>
            <w:r>
              <w:rPr>
                <w:color w:val="000000"/>
                <w:sz w:val="18"/>
                <w:szCs w:val="18"/>
              </w:rPr>
              <w:t xml:space="preserve"> de 1 1/5 hp modelo 2828006110 230v incluye tablero eléctrico.</w:t>
            </w:r>
          </w:p>
        </w:tc>
        <w:tc>
          <w:tcPr>
            <w:tcW w:w="2380" w:type="dxa"/>
            <w:tcMar>
              <w:top w:w="60" w:type="dxa"/>
              <w:left w:w="80" w:type="dxa"/>
              <w:bottom w:w="60" w:type="dxa"/>
              <w:right w:w="80" w:type="dxa"/>
            </w:tcMar>
            <w:vAlign w:val="center"/>
          </w:tcPr>
          <w:p w14:paraId="476DC28E" w14:textId="77777777" w:rsidR="00E904BE" w:rsidRDefault="00000000">
            <w:pPr>
              <w:jc w:val="center"/>
            </w:pPr>
            <w:r>
              <w:rPr>
                <w:color w:val="000000"/>
                <w:sz w:val="18"/>
                <w:szCs w:val="18"/>
              </w:rPr>
              <w:t>1</w:t>
            </w:r>
          </w:p>
        </w:tc>
      </w:tr>
      <w:tr w:rsidR="00E904BE" w14:paraId="476DC293" w14:textId="77777777">
        <w:tblPrEx>
          <w:tblCellMar>
            <w:top w:w="0" w:type="dxa"/>
            <w:bottom w:w="0" w:type="dxa"/>
          </w:tblCellMar>
        </w:tblPrEx>
        <w:tc>
          <w:tcPr>
            <w:tcW w:w="1200" w:type="dxa"/>
            <w:tcMar>
              <w:top w:w="60" w:type="dxa"/>
              <w:left w:w="80" w:type="dxa"/>
              <w:bottom w:w="60" w:type="dxa"/>
              <w:right w:w="80" w:type="dxa"/>
            </w:tcMar>
            <w:vAlign w:val="center"/>
          </w:tcPr>
          <w:p w14:paraId="476DC290" w14:textId="77777777" w:rsidR="00E904BE" w:rsidRDefault="00000000">
            <w:pPr>
              <w:jc w:val="center"/>
            </w:pPr>
            <w:r>
              <w:rPr>
                <w:color w:val="000000"/>
                <w:sz w:val="18"/>
                <w:szCs w:val="18"/>
              </w:rPr>
              <w:t>8.6</w:t>
            </w:r>
          </w:p>
        </w:tc>
        <w:tc>
          <w:tcPr>
            <w:tcW w:w="6800" w:type="dxa"/>
            <w:tcMar>
              <w:top w:w="60" w:type="dxa"/>
              <w:left w:w="80" w:type="dxa"/>
              <w:bottom w:w="60" w:type="dxa"/>
              <w:right w:w="80" w:type="dxa"/>
            </w:tcMar>
            <w:vAlign w:val="center"/>
          </w:tcPr>
          <w:p w14:paraId="476DC291" w14:textId="77777777" w:rsidR="00E904BE" w:rsidRDefault="00000000">
            <w:pPr>
              <w:jc w:val="center"/>
            </w:pPr>
            <w:r>
              <w:rPr>
                <w:color w:val="000000"/>
                <w:sz w:val="18"/>
                <w:szCs w:val="18"/>
              </w:rPr>
              <w:t>Lavado y desinfección de tanque de agua potable, volumen 30 m3</w:t>
            </w:r>
          </w:p>
        </w:tc>
        <w:tc>
          <w:tcPr>
            <w:tcW w:w="2380" w:type="dxa"/>
            <w:tcMar>
              <w:top w:w="60" w:type="dxa"/>
              <w:left w:w="80" w:type="dxa"/>
              <w:bottom w:w="60" w:type="dxa"/>
              <w:right w:w="80" w:type="dxa"/>
            </w:tcMar>
            <w:vAlign w:val="center"/>
          </w:tcPr>
          <w:p w14:paraId="476DC292" w14:textId="77777777" w:rsidR="00E904BE" w:rsidRDefault="00000000">
            <w:pPr>
              <w:jc w:val="center"/>
            </w:pPr>
            <w:r>
              <w:rPr>
                <w:color w:val="000000"/>
                <w:sz w:val="18"/>
                <w:szCs w:val="18"/>
              </w:rPr>
              <w:t>1</w:t>
            </w:r>
          </w:p>
        </w:tc>
      </w:tr>
    </w:tbl>
    <w:p w14:paraId="476DC294" w14:textId="77777777" w:rsidR="00E904BE" w:rsidRDefault="00E904BE">
      <w:pPr>
        <w:spacing w:after="160"/>
      </w:pPr>
    </w:p>
    <w:p w14:paraId="476DC295" w14:textId="77777777" w:rsidR="00E904BE" w:rsidRDefault="00000000">
      <w:pPr>
        <w:pStyle w:val="Prrafodelista"/>
        <w:numPr>
          <w:ilvl w:val="0"/>
          <w:numId w:val="1"/>
        </w:numPr>
        <w:spacing w:after="100"/>
        <w:jc w:val="both"/>
      </w:pPr>
      <w:r>
        <w:t>Ítems de pago</w:t>
      </w:r>
    </w:p>
    <w:p w14:paraId="476DC296" w14:textId="77777777" w:rsidR="00E904BE" w:rsidRDefault="00000000">
      <w:pPr>
        <w:spacing w:after="160"/>
        <w:jc w:val="both"/>
      </w:pPr>
      <w:r>
        <w:t>Los ítems de pago corresponden a los servicios de mantenimiento clasificados bajo los códigos UNSPSC relacionados en el numeral 1.4 de esta invitación, valorados a precios unitarios fijos según el Formulario 1 - Formulario de Presupuesto Oficial, y liquidados conforme a las actividades efectivamente ejecutadas y los repuestos autorizados por la supervisión.</w:t>
      </w:r>
    </w:p>
    <w:p w14:paraId="476DC297" w14:textId="77777777" w:rsidR="00E904BE" w:rsidRDefault="00000000">
      <w:pPr>
        <w:pStyle w:val="Prrafodelista"/>
        <w:numPr>
          <w:ilvl w:val="0"/>
          <w:numId w:val="1"/>
        </w:numPr>
        <w:spacing w:after="100"/>
        <w:jc w:val="both"/>
      </w:pPr>
      <w:r>
        <w:t>Nuevas tecnologías</w:t>
      </w:r>
    </w:p>
    <w:p w14:paraId="476DC298" w14:textId="77777777" w:rsidR="00E904BE" w:rsidRDefault="00000000">
      <w:pPr>
        <w:spacing w:after="160"/>
        <w:jc w:val="both"/>
      </w:pPr>
      <w:r>
        <w:t xml:space="preserve">No aplica. El objeto contractual no contempla la implementación de nuevas tecnologías ni tramos de prueba; el mantenimiento se realizará conforme a los </w:t>
      </w:r>
      <w:r>
        <w:lastRenderedPageBreak/>
        <w:t xml:space="preserve">estándares de los fabricantes originales de los equipos existentes (Barnes, IHM, </w:t>
      </w:r>
      <w:proofErr w:type="spellStart"/>
      <w:r>
        <w:t>Goulds</w:t>
      </w:r>
      <w:proofErr w:type="spellEnd"/>
      <w:r>
        <w:t>, Grundfos, entre otros).</w:t>
      </w:r>
    </w:p>
    <w:p w14:paraId="476DC299" w14:textId="77777777" w:rsidR="00E904BE" w:rsidRDefault="00000000">
      <w:pPr>
        <w:pStyle w:val="Ttulo1"/>
        <w:spacing w:before="320" w:after="160"/>
      </w:pPr>
      <w:r>
        <w:rPr>
          <w:b/>
          <w:bCs/>
          <w:color w:val="1A1818"/>
          <w:sz w:val="26"/>
          <w:szCs w:val="26"/>
        </w:rPr>
        <w:t>4. OBLIGACIONES TÉCNICAS ESPECÍFICAS DEL CONTRATISTA</w:t>
      </w:r>
    </w:p>
    <w:p w14:paraId="476DC29A" w14:textId="77777777" w:rsidR="00E904BE" w:rsidRDefault="00000000">
      <w:pPr>
        <w:spacing w:after="160"/>
        <w:jc w:val="both"/>
      </w:pPr>
      <w:r>
        <w:t>Intervención Técnica Central: Ejecutar el mantenimiento preventivo y correctivo de los sistemas de bombeo (presión, red contra incendio y eyectoras), garantizando el cumplimiento de los estándares de los fabricantes originales y la normativa técnica nacional (NFPA 20/25, RETIE, NSR-10) y conforme a las recomendaciones técnicas de los fabricantes.</w:t>
      </w:r>
    </w:p>
    <w:p w14:paraId="476DC29B" w14:textId="77777777" w:rsidR="00E904BE" w:rsidRDefault="00000000">
      <w:pPr>
        <w:spacing w:after="160"/>
        <w:jc w:val="both"/>
      </w:pPr>
      <w:r>
        <w:t>Niveles de servicio e intervención: Atender los llamados de mantenimiento preventivo extraordinario, correctivo y de emergencias dentro de los tiempos máximos de respuesta establecidos en las especificaciones técnicas, así: 3 horas para Bogotá/Soacha, 5 horas para Zipaquirá/Facatativá/Chocontá, 5 a 8 horas para Girardot y máximo 24 horas para Leticia, garantizando disponibilidad operativa a través de una línea de atención 24/7.</w:t>
      </w:r>
    </w:p>
    <w:p w14:paraId="476DC29C" w14:textId="77777777" w:rsidR="00E904BE" w:rsidRDefault="00000000">
      <w:pPr>
        <w:spacing w:after="160"/>
        <w:jc w:val="both"/>
      </w:pPr>
      <w:r>
        <w:t>Calidad de Repuestos: Suministrar e instalar única y exclusivamente repuestos e insumos nuevos, de primera calidad, originales o equivalentes avalados por el fabricante. Todo componente eléctrico o de automatización deberá contar con su respectivo certificado de conformidad RETIE. Los repuestos deberán conservar la garantía del fabricante.</w:t>
      </w:r>
    </w:p>
    <w:p w14:paraId="476DC29D" w14:textId="77777777" w:rsidR="00E904BE" w:rsidRDefault="00000000">
      <w:pPr>
        <w:spacing w:after="160"/>
        <w:jc w:val="both"/>
      </w:pPr>
      <w:r>
        <w:t xml:space="preserve">Protocolo de Lavado de Tanques y Pozos: Realizar el lavado, </w:t>
      </w:r>
      <w:proofErr w:type="spellStart"/>
      <w:r>
        <w:t>desarenación</w:t>
      </w:r>
      <w:proofErr w:type="spellEnd"/>
      <w:r>
        <w:t xml:space="preserve"> y desinfección de tanques de agua potable y pozos eyectores bajo los estrictos lineamientos de la Norma Técnica Colombiana NTC 4576 y la Resolución 2115 de 2007.</w:t>
      </w:r>
    </w:p>
    <w:p w14:paraId="476DC29E" w14:textId="77777777" w:rsidR="00E904BE" w:rsidRDefault="00000000">
      <w:pPr>
        <w:spacing w:after="160"/>
        <w:jc w:val="both"/>
      </w:pPr>
      <w:r>
        <w:t>Pruebas de Laboratorio: Entregar, por cada tanque de agua potable lavado, los resultados de los análisis fisicoquímicos y microbiológicos expedidos por un laboratorio debidamente acreditado por el Organismo Nacional de Acreditación de Colombia (ONAC), garantizando que el agua cumple con los parámetros del Decreto 1575 de 2007.</w:t>
      </w:r>
    </w:p>
    <w:p w14:paraId="476DC29F" w14:textId="77777777" w:rsidR="00E904BE" w:rsidRDefault="00000000">
      <w:pPr>
        <w:spacing w:after="160"/>
        <w:jc w:val="both"/>
      </w:pPr>
      <w:r>
        <w:t>Garantía Funcional: Garantizar la calidad de los repuestos suministrados por un término mínimo de un (1) año y la mano de obra por un término de seis (6) meses, contados a partir de la firma del acta de recibo a satisfacción de la respectiva intervención, lo anterior sin perjuicio de las garantías otorgadas por el fabricante cuando sean superiores.</w:t>
      </w:r>
    </w:p>
    <w:p w14:paraId="476DC2A0" w14:textId="77777777" w:rsidR="00E904BE" w:rsidRDefault="00000000">
      <w:pPr>
        <w:spacing w:after="160"/>
        <w:jc w:val="both"/>
      </w:pPr>
      <w:r>
        <w:t>Cobro a Precios Unitarios: Facturar única y exclusivamente las intervenciones, mantenimientos y repuestos que hayan sido efectivamente ejecutados, instalados y recibidos a entera satisfacción, liquidándolos con base en los precios unitarios fijos ofertados, hasta agotar el presupuesto del contrato.</w:t>
      </w:r>
    </w:p>
    <w:p w14:paraId="476DC2A1" w14:textId="77777777" w:rsidR="00E904BE" w:rsidRDefault="00000000">
      <w:pPr>
        <w:spacing w:after="160"/>
        <w:jc w:val="both"/>
      </w:pPr>
      <w:r>
        <w:t>Autorización Previa: Abstenerse de instalar cualquier repuesto, ejecutar reparaciones correctivas o realizar mantenimientos extraordinarios sin contar con el diagnóstico técnico previo y la autorización expresa (escrita o por correo electrónico) del supervisor designado por la Dirección Seccional.</w:t>
      </w:r>
    </w:p>
    <w:p w14:paraId="476DC2A2" w14:textId="77777777" w:rsidR="00E904BE" w:rsidRDefault="00000000">
      <w:pPr>
        <w:spacing w:after="160"/>
        <w:jc w:val="both"/>
      </w:pPr>
      <w:r>
        <w:lastRenderedPageBreak/>
        <w:t>Informes de Ejecución: Presentar con cada cuenta de cobro un informe técnico detallado que incluya: relación de las actividades ejecutadas, las sedes intervenidas, las hojas de vida de los equipos actualizadas, el registro fotográfico (antes, durante y después de la intervención), y las cotizaciones de mercado cuando se trate de repuestos no previstos en el listado inicial.</w:t>
      </w:r>
    </w:p>
    <w:p w14:paraId="476DC2A3" w14:textId="77777777" w:rsidR="00E904BE" w:rsidRDefault="00000000">
      <w:pPr>
        <w:spacing w:after="160"/>
        <w:jc w:val="both"/>
      </w:pPr>
      <w:r>
        <w:t>Parágrafo 1: En caso que entre el contratista de obra y la Supervisión no haya acuerdo para la fijación de los precios de los repuestos no previstos en el listado inicial, El contratista  por su parte debe conseguir al menos 3 cotizaciones comparables adicionales u otras fuentes de información que le permitan verificar los análisis de precios unitarios nuevamente validados, esta información deberá ser remitida junto con los análisis de precios unitarios elaborados por el contratista acompañados del respectivo estudio de mercado plenamente justificado y sustentado desde el punto de vista técnico y económico, al supervisor del contrato quien emitirá el concepto técnico correspondiente y lo remitirá a la Dirección Seccional para que adopte la decisión administrativa que corresponda, de conformidad con las competencias previstas en la Ley 80 de 1993 y el Manual de Contratación de la Entidad.</w:t>
      </w:r>
    </w:p>
    <w:p w14:paraId="476DC2A4" w14:textId="77777777" w:rsidR="00E904BE" w:rsidRDefault="00000000">
      <w:pPr>
        <w:spacing w:after="160"/>
        <w:jc w:val="both"/>
      </w:pPr>
      <w:r>
        <w:t xml:space="preserve">Parágrafo 2: La aprobación de los repuestos no previstos en el listado inicial se formalizará mediante la suscripción entre la supervisión y contratista de obra de un acta de fijación de precios, acompañada de los precios unitarios aprobados por la supervisión. Una vez aprobados los repuestos no previstos, el Contratista deberá justificar por escrito la necesidad de la inclusión de </w:t>
      </w:r>
      <w:proofErr w:type="gramStart"/>
      <w:r>
        <w:t>los mismos</w:t>
      </w:r>
      <w:proofErr w:type="gramEnd"/>
      <w:r>
        <w:t xml:space="preserve"> dentro del contrato, haciendo una descripción de las consideraciones y causales que dan soporte al trámite ante la entidad para la elaboración y suscripción del modificatorio del contrato de obra.</w:t>
      </w:r>
    </w:p>
    <w:p w14:paraId="476DC2A5" w14:textId="77777777" w:rsidR="00E904BE" w:rsidRDefault="00000000">
      <w:pPr>
        <w:spacing w:after="160"/>
        <w:jc w:val="both"/>
      </w:pPr>
      <w:r>
        <w:t>Reintegro de Elementos: Entregar a la administración de cada sede judicial todas las piezas, repuestos defectuosos y componentes que hayan sido reemplazados, para su respectiva validación y posterior baja del inventario de la Entidad.</w:t>
      </w:r>
    </w:p>
    <w:p w14:paraId="476DC2A6" w14:textId="77777777" w:rsidR="00E904BE" w:rsidRDefault="00000000">
      <w:pPr>
        <w:spacing w:after="160"/>
        <w:jc w:val="both"/>
      </w:pPr>
      <w:r>
        <w:t>Actualización de Inventarios y Hojas de Vida de los Equipos: Elaborar, actualizar y mantener al día el inventario técnico y las hojas de vida individuales de todos los equipos, motores y componentes que integran los sistemas de bombeo de las sedes judiciales a cargo de la Dirección Seccional, indicando fecha de mantenimiento, horas de operación cuando aplique, repuestos instalados y recomendaciones técnicas.</w:t>
      </w:r>
    </w:p>
    <w:p w14:paraId="476DC2A7" w14:textId="77777777" w:rsidR="00E904BE" w:rsidRDefault="00000000">
      <w:pPr>
        <w:spacing w:after="160"/>
        <w:jc w:val="both"/>
      </w:pPr>
      <w:r>
        <w:t>Gestión de Riesgos Críticos: Garantizar que todo el personal empleado para la cuente con las certificaciones vigentes, los permisos diligenciados y los Equipos de Protección Personal (EPP) necesarios para el Trabajo Seguro en Alturas (Resolución 4272 de 2021) y el Trabajo en Espacios Confinados (Resolución 0491 de 2020), asumiendo total responsabilidad sobre la seguridad de sus trabajadores.</w:t>
      </w:r>
    </w:p>
    <w:p w14:paraId="476DC2A8" w14:textId="77777777" w:rsidR="00E904BE" w:rsidRDefault="00000000">
      <w:pPr>
        <w:spacing w:after="160"/>
        <w:jc w:val="both"/>
      </w:pPr>
      <w:r>
        <w:t>Disposición de Residuos Ambientales: Realizar el manejo, transporte y disposición final de los residuos sólidos, lodos pesados y residuos peligrosos (RESPEL) generados durante las intervenciones (aceites usados, piezas contaminadas) a través de gestores ambientales autorizados, entregando los respectivos certificados de disposición final a la Entidad.</w:t>
      </w:r>
    </w:p>
    <w:p w14:paraId="476DC2A9" w14:textId="77777777" w:rsidR="00E904BE" w:rsidRDefault="00000000">
      <w:pPr>
        <w:spacing w:after="160"/>
        <w:jc w:val="both"/>
      </w:pPr>
      <w:r>
        <w:lastRenderedPageBreak/>
        <w:t>Implementar durante toda la ejecución del contrato las medidas necesarias para prevenir derrames de aceites, grasas, combustibles u otras sustancias contaminantes, adoptando acciones inmediatas de contención, limpieza y disposición adecuada cuando se presente cualquier incidente ambiental. Los costos derivados de la atención de estos eventos serán asumidos por el Contratista cuando sean imputables a su actuación.</w:t>
      </w:r>
    </w:p>
    <w:p w14:paraId="476DC2AA" w14:textId="77777777" w:rsidR="00E904BE" w:rsidRDefault="00000000">
      <w:pPr>
        <w:spacing w:after="160"/>
        <w:jc w:val="both"/>
      </w:pPr>
      <w:r>
        <w:t>Clasificar, almacenar temporalmente y disponer los residuos ordinarios, reciclables y aprovechables conforme al Plan de Gestión Integral de Residuos Sólidos (PGIRS) de la Entidad y a la normatividad ambiental vigente.</w:t>
      </w:r>
    </w:p>
    <w:p w14:paraId="476DC2AB" w14:textId="77777777" w:rsidR="00E904BE" w:rsidRDefault="00000000">
      <w:pPr>
        <w:spacing w:after="160"/>
        <w:jc w:val="both"/>
      </w:pPr>
      <w:r>
        <w:t>Adoptar las medidas necesarias para evitar la contaminación del agua potable durante la ejecución de las actividades de mantenimiento, lavado y desinfección de tanques, garantizando que los productos utilizados sean aptos para este tipo de intervenciones y evitando vertimientos no autorizados.</w:t>
      </w:r>
    </w:p>
    <w:p w14:paraId="476DC2AC" w14:textId="77777777" w:rsidR="00E904BE" w:rsidRDefault="00000000">
      <w:pPr>
        <w:spacing w:after="160"/>
        <w:jc w:val="both"/>
      </w:pPr>
      <w:r>
        <w:t>Mantener disponibles durante toda la ejecución las Hojas de Datos de Seguridad (SDS/MSDS) de los productos químicos utilizados y garantizar su almacenamiento, transporte y manipulación conforme a las recomendaciones del fabricante y la normativa vigente.</w:t>
      </w:r>
    </w:p>
    <w:p w14:paraId="476DC2AD" w14:textId="77777777" w:rsidR="00E904BE" w:rsidRDefault="00000000">
      <w:pPr>
        <w:spacing w:after="160"/>
        <w:jc w:val="both"/>
      </w:pPr>
      <w:r>
        <w:t>Informar inmediatamente al Supervisor cualquier incidente o emergencia ambiental ocurrida durante la ejecución del contrato y adoptar las medidas de mitigación necesarias para controlar sus efectos.</w:t>
      </w:r>
    </w:p>
    <w:p w14:paraId="476DC2AE" w14:textId="77777777" w:rsidR="00E904BE" w:rsidRDefault="00000000">
      <w:pPr>
        <w:spacing w:after="160"/>
        <w:jc w:val="both"/>
      </w:pPr>
      <w:r>
        <w:t>Optimizar el consumo de agua durante las actividades de lavado y desinfección, utilizando procedimientos que minimicen el desperdicio del recurso hídrico sin afectar la calidad técnica del servicio.</w:t>
      </w:r>
    </w:p>
    <w:p w14:paraId="476DC2AF" w14:textId="77777777" w:rsidR="00E904BE" w:rsidRDefault="00000000">
      <w:pPr>
        <w:spacing w:after="160"/>
        <w:jc w:val="both"/>
      </w:pPr>
      <w:r>
        <w:t>Prestar soporte técnico presencial y la mano de obra necesaria durante las visitas de auditoría o inspecciones técnicas que la Dirección Seccional determine para verificar el estado de los equipos.</w:t>
      </w:r>
    </w:p>
    <w:p w14:paraId="476DC2B0" w14:textId="77777777" w:rsidR="00E904BE" w:rsidRDefault="00000000">
      <w:pPr>
        <w:spacing w:after="160"/>
        <w:jc w:val="both"/>
      </w:pPr>
      <w:r>
        <w:t>Efectuar pruebas de funcionamiento de los equipos intervenidos una vez realizada cada intervención, en presencia del supervisor o del funcionario designado por la Entidad, dejando constancia de los parámetros verificados y del correcto funcionamiento del sistema.</w:t>
      </w:r>
    </w:p>
    <w:p w14:paraId="476DC2B1" w14:textId="77777777" w:rsidR="00E904BE" w:rsidRDefault="00000000">
      <w:pPr>
        <w:spacing w:after="160"/>
        <w:jc w:val="both"/>
      </w:pPr>
      <w:r>
        <w:t>Mantener durante toda la ejecución contractual la documentación técnica, ambiental, de seguridad industrial, certificaciones del personal y soportes de disposición final de residuos a disposición del supervisor cuando sean requeridos.</w:t>
      </w:r>
    </w:p>
    <w:p w14:paraId="476DC2B2" w14:textId="77777777" w:rsidR="00E904BE" w:rsidRDefault="00000000">
      <w:pPr>
        <w:spacing w:after="160"/>
        <w:jc w:val="both"/>
      </w:pPr>
      <w:r>
        <w:t>Atender cualquier falla atribuible a la calidad de los repuestos suministrados dentro de los mismos tiempos de respuesta establecidos para las emergencias, sin costo adicional para la Entidad, durante el tiempo de garantía.</w:t>
      </w:r>
    </w:p>
    <w:p w14:paraId="476DC2B3" w14:textId="77777777" w:rsidR="00E904BE" w:rsidRDefault="00000000">
      <w:pPr>
        <w:spacing w:after="160"/>
        <w:jc w:val="both"/>
      </w:pPr>
      <w:r>
        <w:t>Realizar los correctivos de obra, durante la vigencia de la Garantía de Cumplimiento en el amparo de Estabilidad y Calidad de la Obra o cuando se requiera por parte del Consejo Superior de la Judicatura – Dirección Seccional de Administración Judicial de Cundinamarca - Amazonas, estos trabajos no generan costos para la Entidad.</w:t>
      </w:r>
    </w:p>
    <w:p w14:paraId="476DC2B4" w14:textId="77777777" w:rsidR="00E904BE" w:rsidRDefault="00000000">
      <w:pPr>
        <w:pStyle w:val="Prrafodelista"/>
        <w:numPr>
          <w:ilvl w:val="0"/>
          <w:numId w:val="1"/>
        </w:numPr>
        <w:spacing w:after="100"/>
        <w:jc w:val="both"/>
      </w:pPr>
      <w:r>
        <w:lastRenderedPageBreak/>
        <w:t>Parágrafo: Las correcciones a que se hace referencia corresponden a ajustes, alineamientos, reparaciones, calibraciones o reposición de todas aquellas actividades ejecutadas en el contrato que presenten deficiencias de calidad o de instalación o de funcionamiento por causa imputable al contratista, de los cuales el contratista deberá genera un informe detallado y registro fotográfico de las intervenciones realizadas.</w:t>
      </w:r>
    </w:p>
    <w:p w14:paraId="476DC2B5" w14:textId="77777777" w:rsidR="00E904BE" w:rsidRDefault="00000000">
      <w:pPr>
        <w:spacing w:after="160"/>
        <w:jc w:val="both"/>
      </w:pPr>
      <w:r>
        <w:t>Las demás obligaciones establecidas en el Manual del Supervisor y en la “Guía para el ejercicio de las funciones de Supervisión e Interventoría de los contratos del Estado” de Colombia Compra Eficiente</w:t>
      </w:r>
    </w:p>
    <w:p w14:paraId="476DC2B6" w14:textId="77777777" w:rsidR="00E904BE" w:rsidRDefault="00000000">
      <w:pPr>
        <w:pStyle w:val="Ttulo1"/>
        <w:spacing w:before="320" w:after="160"/>
      </w:pPr>
      <w:r>
        <w:rPr>
          <w:b/>
          <w:bCs/>
          <w:color w:val="1A1818"/>
          <w:sz w:val="26"/>
          <w:szCs w:val="26"/>
        </w:rPr>
        <w:t>5. CONDICIONES PARTICULARES DEL PROYECTO</w:t>
      </w:r>
    </w:p>
    <w:p w14:paraId="476DC2B7" w14:textId="77777777" w:rsidR="00E904BE" w:rsidRDefault="00000000">
      <w:pPr>
        <w:pStyle w:val="Ttulo2"/>
        <w:spacing w:before="240" w:after="120"/>
      </w:pPr>
      <w:r>
        <w:rPr>
          <w:b/>
          <w:bCs/>
          <w:color w:val="1A1818"/>
          <w:sz w:val="24"/>
          <w:szCs w:val="24"/>
        </w:rPr>
        <w:t>5.1. Materiales</w:t>
      </w:r>
    </w:p>
    <w:p w14:paraId="476DC2B8" w14:textId="77777777" w:rsidR="00E904BE" w:rsidRDefault="00000000">
      <w:pPr>
        <w:spacing w:after="160"/>
        <w:jc w:val="both"/>
      </w:pPr>
      <w:r>
        <w:t>Los repuestos e insumos suministrados e instalados deben ser única y exclusivamente nuevos, de primera calidad, originales o equivalentes avalados por el fabricante; todo componente eléctrico o de automatización debe contar con certificado de conformidad RETIE. Los repuestos deben conservar la garantía del fabricante, sin perjuicio de la garantía funcional mínima a cargo del Contratista de un (1) año para repuestos y seis (6) meses para mano de obra, contados a partir del acta de recibo a satisfacción de cada intervención.</w:t>
      </w:r>
    </w:p>
    <w:p w14:paraId="476DC2B9" w14:textId="77777777" w:rsidR="00E904BE" w:rsidRDefault="00000000">
      <w:pPr>
        <w:spacing w:after="160"/>
        <w:jc w:val="both"/>
      </w:pPr>
      <w:r>
        <w:t>El Contratista debe disponer de las herramientas, equipos y talleres especializados requeridos para procesos como mecanizado en torno y balanceo dinámico de impulsores y ejes de transmisión, así como para la fabricación e instalación de tuberías de descarga en acero inoxidable y válvulas cheque hidro de alta resistencia, cuando las condiciones técnicas de los equipos así lo exijan, conforme al numeral 3.1.1 del estudio previo.</w:t>
      </w:r>
    </w:p>
    <w:p w14:paraId="476DC2BA" w14:textId="77777777" w:rsidR="00E904BE" w:rsidRDefault="00000000">
      <w:pPr>
        <w:pStyle w:val="Ttulo2"/>
        <w:spacing w:before="240" w:after="120"/>
      </w:pPr>
      <w:r>
        <w:rPr>
          <w:b/>
          <w:bCs/>
          <w:color w:val="1A1818"/>
          <w:sz w:val="24"/>
          <w:szCs w:val="24"/>
        </w:rPr>
        <w:t>5.2. Herramientas</w:t>
      </w:r>
    </w:p>
    <w:p w14:paraId="476DC2BB" w14:textId="77777777" w:rsidR="00E904BE" w:rsidRDefault="00000000">
      <w:pPr>
        <w:spacing w:after="160"/>
        <w:jc w:val="both"/>
      </w:pPr>
      <w:r>
        <w:t>Herramientas:</w:t>
      </w:r>
    </w:p>
    <w:p w14:paraId="476DC2BC" w14:textId="77777777" w:rsidR="00E904BE" w:rsidRDefault="00000000">
      <w:pPr>
        <w:spacing w:after="160"/>
        <w:jc w:val="both"/>
      </w:pPr>
      <w:r>
        <w:t>• Herramienta manual: juegos de llaves fijas, mixtas y de tubo (</w:t>
      </w:r>
      <w:proofErr w:type="spellStart"/>
      <w:r>
        <w:t>stillson</w:t>
      </w:r>
      <w:proofErr w:type="spellEnd"/>
      <w:r>
        <w:t>), llave de torque (torquímetro), destornilladores, alicates, extractores de rodamientos y de poleas, prensas y calibradores.</w:t>
      </w:r>
    </w:p>
    <w:p w14:paraId="476DC2BD" w14:textId="77777777" w:rsidR="00E904BE" w:rsidRDefault="00000000">
      <w:pPr>
        <w:spacing w:after="160"/>
        <w:jc w:val="both"/>
      </w:pPr>
      <w:r>
        <w:t>• Herramienta eléctrica y de taller: taladro percutor, esmeril angular, equipo de soldadura eléctrica, equipo de corte y roscado de tubería, y equipo de mecanizado en torno y balanceo dinámico para la reparación de impulsores y ejes de transmisión.</w:t>
      </w:r>
    </w:p>
    <w:p w14:paraId="476DC2BE" w14:textId="77777777" w:rsidR="00E904BE" w:rsidRDefault="00000000">
      <w:pPr>
        <w:spacing w:after="160"/>
        <w:jc w:val="both"/>
      </w:pPr>
      <w:r>
        <w:t>• Instrumentos de medición y diagnóstico: multímetro, pinza amperimétrica, manómetros de presión, tacómetro, termómetro infrarrojo y medidor de vibraciones.</w:t>
      </w:r>
    </w:p>
    <w:p w14:paraId="476DC2BF" w14:textId="77777777" w:rsidR="00E904BE" w:rsidRDefault="00000000">
      <w:pPr>
        <w:spacing w:after="160"/>
        <w:jc w:val="both"/>
      </w:pPr>
      <w:r>
        <w:t xml:space="preserve">• Equipos para lavado y desinfección de tanques y pozos: </w:t>
      </w:r>
      <w:proofErr w:type="spellStart"/>
      <w:r>
        <w:t>hidrolavadora</w:t>
      </w:r>
      <w:proofErr w:type="spellEnd"/>
      <w:r>
        <w:t xml:space="preserve"> de alta presión, motobomba portátil de achique, dosificadores para desinfección con hipoclorito, equipo de ventilación forzada/extracción y detector </w:t>
      </w:r>
      <w:proofErr w:type="spellStart"/>
      <w:r>
        <w:t>multigás</w:t>
      </w:r>
      <w:proofErr w:type="spellEnd"/>
      <w:r>
        <w:t xml:space="preserve"> (H2S, metano y oxígeno) para trabajo en espacios confinados.</w:t>
      </w:r>
    </w:p>
    <w:p w14:paraId="476DC2C0" w14:textId="77777777" w:rsidR="00E904BE" w:rsidRDefault="00000000">
      <w:pPr>
        <w:spacing w:after="160"/>
        <w:jc w:val="both"/>
      </w:pPr>
      <w:r>
        <w:t xml:space="preserve">• Elementos de protección personal y seguridad: equipos para trabajo en alturas (arnés y línea de vida) y para espacios confinados (trípode y sistema de rescate), </w:t>
      </w:r>
      <w:r>
        <w:lastRenderedPageBreak/>
        <w:t>conforme a las Resoluciones 4272 de 2021 y 0491 de 2020, además de guantes, gafas, botas dieléctricas y demás EPP requeridos.</w:t>
      </w:r>
    </w:p>
    <w:p w14:paraId="476DC2C1" w14:textId="77777777" w:rsidR="00E904BE" w:rsidRDefault="00000000">
      <w:pPr>
        <w:spacing w:after="160"/>
        <w:jc w:val="both"/>
      </w:pPr>
      <w:r>
        <w:t xml:space="preserve">• Equipo de </w:t>
      </w:r>
      <w:proofErr w:type="spellStart"/>
      <w:r>
        <w:t>izaje</w:t>
      </w:r>
      <w:proofErr w:type="spellEnd"/>
      <w:r>
        <w:t xml:space="preserve"> y transporte menor: polipasto o aparejo manual y carretilla, para el manejo de motobombas y componentes pesados.</w:t>
      </w:r>
    </w:p>
    <w:p w14:paraId="476DC2C2" w14:textId="77777777" w:rsidR="00E904BE" w:rsidRDefault="00000000">
      <w:pPr>
        <w:spacing w:after="160"/>
        <w:jc w:val="both"/>
      </w:pPr>
      <w:r>
        <w:t>El anterior es un listado básico y no taxativo; el Contratista debe disponer de todas las herramientas y equipos idóneos, en buen estado y calibrados, que resulten necesarios para la correcta ejecución del mantenimiento preventivo y correctivo objeto del contrato.</w:t>
      </w:r>
    </w:p>
    <w:p w14:paraId="476DC2C3" w14:textId="77777777" w:rsidR="00E904BE" w:rsidRDefault="00000000">
      <w:pPr>
        <w:pStyle w:val="Ttulo2"/>
        <w:spacing w:before="240" w:after="120"/>
      </w:pPr>
      <w:r>
        <w:rPr>
          <w:b/>
          <w:bCs/>
          <w:color w:val="1A1818"/>
          <w:sz w:val="24"/>
          <w:szCs w:val="24"/>
        </w:rPr>
        <w:t>5.3. Documentos que Debe Entregar el Contratista</w:t>
      </w:r>
    </w:p>
    <w:p w14:paraId="476DC2C4" w14:textId="77777777" w:rsidR="00E904BE" w:rsidRDefault="00000000">
      <w:pPr>
        <w:spacing w:after="160"/>
        <w:jc w:val="both"/>
      </w:pPr>
      <w:r>
        <w:t>Para efectos del control de la ejecución del contrato, el Contratista debe elaborar y remitir a la supervisión, entre otros, los siguientes documentos: (i) el formato de reporte de mantenimiento o acta de servicio, diligenciado y firmado por cada intervención realizada; (</w:t>
      </w:r>
      <w:proofErr w:type="spellStart"/>
      <w:r>
        <w:t>ii</w:t>
      </w:r>
      <w:proofErr w:type="spellEnd"/>
      <w:r>
        <w:t>) el inventario técnico de equipos actualizado; (</w:t>
      </w:r>
      <w:proofErr w:type="spellStart"/>
      <w:r>
        <w:t>iii</w:t>
      </w:r>
      <w:proofErr w:type="spellEnd"/>
      <w:r>
        <w:t>) las hojas de vida individuales de los equipos, indicando fecha de mantenimiento, horas de operación cuando aplique, repuestos instalados y recomendaciones técnicas; (</w:t>
      </w:r>
      <w:proofErr w:type="spellStart"/>
      <w:r>
        <w:t>iv</w:t>
      </w:r>
      <w:proofErr w:type="spellEnd"/>
      <w:r>
        <w:t>) un mínimo de tres (3) cotizaciones de mercado vigentes o la lista oficial de precios del fabricante, cuando se requiera el suministro de repuestos, insumos o servicios no previstos en el listado inicial para efectos del mantenimiento correctivo; y (v) el informe de ejecución de actividades, que debe presentarse junto con cada cuenta de cobro o factura como requisito para el trámite de pago, conforme al numeral 2.8 de esta invitación.</w:t>
      </w:r>
    </w:p>
    <w:p w14:paraId="476DC2C5" w14:textId="77777777" w:rsidR="00E904BE" w:rsidRDefault="00000000">
      <w:pPr>
        <w:pStyle w:val="Ttulo1"/>
        <w:spacing w:before="320" w:after="160"/>
      </w:pPr>
      <w:r>
        <w:rPr>
          <w:b/>
          <w:bCs/>
          <w:color w:val="1A1818"/>
          <w:sz w:val="26"/>
          <w:szCs w:val="26"/>
        </w:rPr>
        <w:t>6. PERSONAL MÍNIMO REQUERIDO</w:t>
      </w:r>
    </w:p>
    <w:p w14:paraId="476DC2C6" w14:textId="77777777" w:rsidR="00E904BE" w:rsidRDefault="00000000">
      <w:pPr>
        <w:spacing w:after="160"/>
        <w:jc w:val="both"/>
      </w:pPr>
      <w:r>
        <w:t>Para efectos del análisis de la información del personal, se tendrán en cuenta las siguientes consideraciones:</w:t>
      </w:r>
    </w:p>
    <w:p w14:paraId="476DC2C7" w14:textId="77777777" w:rsidR="00E904BE" w:rsidRDefault="00000000">
      <w:pPr>
        <w:spacing w:after="160"/>
        <w:jc w:val="both"/>
      </w:pPr>
      <w:r>
        <w:t>Las hojas de vida y soportes del personal vinculado al proyecto serán verificadas una vez se acepte la oferta y no podrán ser pedidas durante la selección del contratista para efectos de otorgar puntaje o como criterio habilitante.</w:t>
      </w:r>
    </w:p>
    <w:p w14:paraId="476DC2C8" w14:textId="77777777" w:rsidR="00E904BE" w:rsidRDefault="00000000">
      <w:pPr>
        <w:spacing w:after="160"/>
        <w:jc w:val="both"/>
      </w:pPr>
      <w:r>
        <w:t>Si el Contratista ofrece dos (2) o más profesionales para realizar actividades de un mismo cargo, cada uno de ellos deberá cumplir los requisitos exigidos en la invitación para el respectivo cargo. Un profesional no puede ser ofrecido para dos (2) o más cargos diferentes en los cuales supere el cien por ciento (100 %) de la dedicación establecida.</w:t>
      </w:r>
    </w:p>
    <w:p w14:paraId="476DC2C9" w14:textId="77777777" w:rsidR="00E904BE" w:rsidRDefault="00000000">
      <w:pPr>
        <w:spacing w:after="160"/>
        <w:jc w:val="both"/>
      </w:pPr>
      <w:r>
        <w:t>El Contratista debe informar la fecha a partir de la cual los profesionales ofrecidos ejercen legalmente la profesión, y en los casos en los cuales pueda ser corroborado a través de la matrícula o tarjeta profesional, se hará según las disposiciones aplicables.</w:t>
      </w:r>
    </w:p>
    <w:p w14:paraId="476DC2CA" w14:textId="77777777" w:rsidR="00E904BE" w:rsidRDefault="00000000">
      <w:pPr>
        <w:spacing w:after="160"/>
        <w:jc w:val="both"/>
      </w:pPr>
      <w:r>
        <w:t>Las certificaciones de experiencia de los profesionales deben ser expedidas por la persona natural o jurídica con quien se haya establecido previamente la relación laboral o de prestación de servicios.</w:t>
      </w:r>
    </w:p>
    <w:p w14:paraId="476DC2CB" w14:textId="77777777" w:rsidR="00E904BE" w:rsidRDefault="00000000">
      <w:pPr>
        <w:spacing w:after="160"/>
        <w:jc w:val="both"/>
      </w:pPr>
      <w:r>
        <w:lastRenderedPageBreak/>
        <w:t>El Contratista es responsable de verificar que los profesionales propuestos tengan la disponibilidad física y real para la cual se vinculan al proyecto. De comprobarse dedicación inferior a la aprobada se aplicarán las sanciones a que haya lugar.</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72"/>
        <w:gridCol w:w="1523"/>
        <w:gridCol w:w="1294"/>
        <w:gridCol w:w="1476"/>
        <w:gridCol w:w="1476"/>
        <w:gridCol w:w="2059"/>
      </w:tblGrid>
      <w:tr w:rsidR="00E904BE" w14:paraId="476DC2D2" w14:textId="77777777">
        <w:tblPrEx>
          <w:tblCellMar>
            <w:top w:w="0" w:type="dxa"/>
            <w:bottom w:w="0" w:type="dxa"/>
          </w:tblCellMar>
        </w:tblPrEx>
        <w:tc>
          <w:tcPr>
            <w:tcW w:w="1700" w:type="dxa"/>
            <w:shd w:val="clear" w:color="auto" w:fill="3B3838"/>
            <w:tcMar>
              <w:top w:w="60" w:type="dxa"/>
              <w:left w:w="80" w:type="dxa"/>
              <w:bottom w:w="60" w:type="dxa"/>
              <w:right w:w="80" w:type="dxa"/>
            </w:tcMar>
            <w:vAlign w:val="center"/>
          </w:tcPr>
          <w:p w14:paraId="476DC2CC" w14:textId="77777777" w:rsidR="00E904BE" w:rsidRDefault="00000000">
            <w:pPr>
              <w:jc w:val="center"/>
            </w:pPr>
            <w:r>
              <w:rPr>
                <w:b/>
                <w:bCs/>
                <w:color w:val="FFFFFF"/>
                <w:sz w:val="18"/>
                <w:szCs w:val="18"/>
              </w:rPr>
              <w:t>Profesional Ofrecido para el Cargo</w:t>
            </w:r>
          </w:p>
        </w:tc>
        <w:tc>
          <w:tcPr>
            <w:tcW w:w="1300" w:type="dxa"/>
            <w:shd w:val="clear" w:color="auto" w:fill="3B3838"/>
            <w:tcMar>
              <w:top w:w="60" w:type="dxa"/>
              <w:left w:w="80" w:type="dxa"/>
              <w:bottom w:w="60" w:type="dxa"/>
              <w:right w:w="80" w:type="dxa"/>
            </w:tcMar>
            <w:vAlign w:val="center"/>
          </w:tcPr>
          <w:p w14:paraId="476DC2CD" w14:textId="77777777" w:rsidR="00E904BE" w:rsidRDefault="00000000">
            <w:pPr>
              <w:jc w:val="center"/>
            </w:pPr>
            <w:r>
              <w:rPr>
                <w:b/>
                <w:bCs/>
                <w:color w:val="FFFFFF"/>
                <w:sz w:val="18"/>
                <w:szCs w:val="18"/>
              </w:rPr>
              <w:t>Cantidad de profesionales requeridos</w:t>
            </w:r>
          </w:p>
        </w:tc>
        <w:tc>
          <w:tcPr>
            <w:tcW w:w="1300" w:type="dxa"/>
            <w:shd w:val="clear" w:color="auto" w:fill="3B3838"/>
            <w:tcMar>
              <w:top w:w="60" w:type="dxa"/>
              <w:left w:w="80" w:type="dxa"/>
              <w:bottom w:w="60" w:type="dxa"/>
              <w:right w:w="80" w:type="dxa"/>
            </w:tcMar>
            <w:vAlign w:val="center"/>
          </w:tcPr>
          <w:p w14:paraId="476DC2CE" w14:textId="77777777" w:rsidR="00E904BE" w:rsidRDefault="00000000">
            <w:pPr>
              <w:jc w:val="center"/>
            </w:pPr>
            <w:r>
              <w:rPr>
                <w:b/>
                <w:bCs/>
                <w:color w:val="FFFFFF"/>
                <w:sz w:val="18"/>
                <w:szCs w:val="18"/>
              </w:rPr>
              <w:t>% Dedicación</w:t>
            </w:r>
          </w:p>
        </w:tc>
        <w:tc>
          <w:tcPr>
            <w:tcW w:w="1500" w:type="dxa"/>
            <w:shd w:val="clear" w:color="auto" w:fill="3B3838"/>
            <w:tcMar>
              <w:top w:w="60" w:type="dxa"/>
              <w:left w:w="80" w:type="dxa"/>
              <w:bottom w:w="60" w:type="dxa"/>
              <w:right w:w="80" w:type="dxa"/>
            </w:tcMar>
            <w:vAlign w:val="center"/>
          </w:tcPr>
          <w:p w14:paraId="476DC2CF" w14:textId="77777777" w:rsidR="00E904BE" w:rsidRDefault="00000000">
            <w:pPr>
              <w:jc w:val="center"/>
            </w:pPr>
            <w:r>
              <w:rPr>
                <w:b/>
                <w:bCs/>
                <w:color w:val="FFFFFF"/>
                <w:sz w:val="18"/>
                <w:szCs w:val="18"/>
              </w:rPr>
              <w:t>Requisitos de Experiencia General</w:t>
            </w:r>
          </w:p>
        </w:tc>
        <w:tc>
          <w:tcPr>
            <w:tcW w:w="1500" w:type="dxa"/>
            <w:shd w:val="clear" w:color="auto" w:fill="3B3838"/>
            <w:tcMar>
              <w:top w:w="60" w:type="dxa"/>
              <w:left w:w="80" w:type="dxa"/>
              <w:bottom w:w="60" w:type="dxa"/>
              <w:right w:w="80" w:type="dxa"/>
            </w:tcMar>
            <w:vAlign w:val="center"/>
          </w:tcPr>
          <w:p w14:paraId="476DC2D0" w14:textId="77777777" w:rsidR="00E904BE" w:rsidRDefault="00000000">
            <w:pPr>
              <w:jc w:val="center"/>
            </w:pPr>
            <w:r>
              <w:rPr>
                <w:b/>
                <w:bCs/>
                <w:color w:val="FFFFFF"/>
                <w:sz w:val="18"/>
                <w:szCs w:val="18"/>
              </w:rPr>
              <w:t>Requisitos de Experiencia Específica</w:t>
            </w:r>
          </w:p>
        </w:tc>
        <w:tc>
          <w:tcPr>
            <w:tcW w:w="2200" w:type="dxa"/>
            <w:shd w:val="clear" w:color="auto" w:fill="3B3838"/>
            <w:tcMar>
              <w:top w:w="60" w:type="dxa"/>
              <w:left w:w="80" w:type="dxa"/>
              <w:bottom w:w="60" w:type="dxa"/>
              <w:right w:w="80" w:type="dxa"/>
            </w:tcMar>
            <w:vAlign w:val="center"/>
          </w:tcPr>
          <w:p w14:paraId="476DC2D1" w14:textId="77777777" w:rsidR="00E904BE" w:rsidRDefault="00000000">
            <w:pPr>
              <w:jc w:val="center"/>
            </w:pPr>
            <w:r>
              <w:rPr>
                <w:b/>
                <w:bCs/>
                <w:color w:val="FFFFFF"/>
                <w:sz w:val="18"/>
                <w:szCs w:val="18"/>
              </w:rPr>
              <w:t>Formación académica</w:t>
            </w:r>
          </w:p>
        </w:tc>
      </w:tr>
      <w:tr w:rsidR="00E904BE" w14:paraId="476DC2D9" w14:textId="77777777">
        <w:tblPrEx>
          <w:tblCellMar>
            <w:top w:w="0" w:type="dxa"/>
            <w:bottom w:w="0" w:type="dxa"/>
          </w:tblCellMar>
        </w:tblPrEx>
        <w:tc>
          <w:tcPr>
            <w:tcW w:w="1700" w:type="dxa"/>
            <w:tcMar>
              <w:top w:w="60" w:type="dxa"/>
              <w:left w:w="80" w:type="dxa"/>
              <w:bottom w:w="60" w:type="dxa"/>
              <w:right w:w="80" w:type="dxa"/>
            </w:tcMar>
            <w:vAlign w:val="center"/>
          </w:tcPr>
          <w:p w14:paraId="476DC2D3" w14:textId="77777777" w:rsidR="00E904BE" w:rsidRDefault="00000000">
            <w:pPr>
              <w:jc w:val="center"/>
            </w:pPr>
            <w:r>
              <w:rPr>
                <w:color w:val="000000"/>
                <w:sz w:val="18"/>
                <w:szCs w:val="18"/>
              </w:rPr>
              <w:t>Coordinador del Proyecto o Contrato</w:t>
            </w:r>
          </w:p>
        </w:tc>
        <w:tc>
          <w:tcPr>
            <w:tcW w:w="1300" w:type="dxa"/>
            <w:tcMar>
              <w:top w:w="60" w:type="dxa"/>
              <w:left w:w="80" w:type="dxa"/>
              <w:bottom w:w="60" w:type="dxa"/>
              <w:right w:w="80" w:type="dxa"/>
            </w:tcMar>
            <w:vAlign w:val="center"/>
          </w:tcPr>
          <w:p w14:paraId="476DC2D4" w14:textId="77777777" w:rsidR="00E904BE" w:rsidRDefault="00000000">
            <w:pPr>
              <w:jc w:val="center"/>
            </w:pPr>
            <w:r>
              <w:rPr>
                <w:color w:val="000000"/>
                <w:sz w:val="18"/>
                <w:szCs w:val="18"/>
              </w:rPr>
              <w:t>1 (uno)</w:t>
            </w:r>
          </w:p>
        </w:tc>
        <w:tc>
          <w:tcPr>
            <w:tcW w:w="1300" w:type="dxa"/>
            <w:tcMar>
              <w:top w:w="60" w:type="dxa"/>
              <w:left w:w="80" w:type="dxa"/>
              <w:bottom w:w="60" w:type="dxa"/>
              <w:right w:w="80" w:type="dxa"/>
            </w:tcMar>
            <w:vAlign w:val="center"/>
          </w:tcPr>
          <w:p w14:paraId="476DC2D5" w14:textId="77777777" w:rsidR="00E904BE" w:rsidRDefault="00000000">
            <w:pPr>
              <w:jc w:val="center"/>
            </w:pPr>
            <w:r>
              <w:rPr>
                <w:color w:val="000000"/>
                <w:sz w:val="18"/>
                <w:szCs w:val="18"/>
              </w:rPr>
              <w:t>100%</w:t>
            </w:r>
          </w:p>
        </w:tc>
        <w:tc>
          <w:tcPr>
            <w:tcW w:w="1500" w:type="dxa"/>
            <w:tcMar>
              <w:top w:w="60" w:type="dxa"/>
              <w:left w:w="80" w:type="dxa"/>
              <w:bottom w:w="60" w:type="dxa"/>
              <w:right w:w="80" w:type="dxa"/>
            </w:tcMar>
            <w:vAlign w:val="center"/>
          </w:tcPr>
          <w:p w14:paraId="476DC2D6" w14:textId="77777777" w:rsidR="00E904BE" w:rsidRDefault="00000000">
            <w:pPr>
              <w:jc w:val="center"/>
            </w:pPr>
            <w:r>
              <w:rPr>
                <w:color w:val="000000"/>
                <w:sz w:val="18"/>
                <w:szCs w:val="18"/>
              </w:rPr>
              <w:t>Doce (12) meses</w:t>
            </w:r>
          </w:p>
        </w:tc>
        <w:tc>
          <w:tcPr>
            <w:tcW w:w="1500" w:type="dxa"/>
            <w:tcMar>
              <w:top w:w="60" w:type="dxa"/>
              <w:left w:w="80" w:type="dxa"/>
              <w:bottom w:w="60" w:type="dxa"/>
              <w:right w:w="80" w:type="dxa"/>
            </w:tcMar>
            <w:vAlign w:val="center"/>
          </w:tcPr>
          <w:p w14:paraId="476DC2D7" w14:textId="77777777" w:rsidR="00E904BE" w:rsidRDefault="00000000">
            <w:pPr>
              <w:jc w:val="center"/>
            </w:pPr>
            <w:r>
              <w:rPr>
                <w:color w:val="000000"/>
                <w:sz w:val="18"/>
                <w:szCs w:val="18"/>
              </w:rPr>
              <w:t>Doce (12) meses</w:t>
            </w:r>
          </w:p>
        </w:tc>
        <w:tc>
          <w:tcPr>
            <w:tcW w:w="2200" w:type="dxa"/>
            <w:tcMar>
              <w:top w:w="60" w:type="dxa"/>
              <w:left w:w="80" w:type="dxa"/>
              <w:bottom w:w="60" w:type="dxa"/>
              <w:right w:w="80" w:type="dxa"/>
            </w:tcMar>
            <w:vAlign w:val="center"/>
          </w:tcPr>
          <w:p w14:paraId="476DC2D8" w14:textId="77777777" w:rsidR="00E904BE" w:rsidRDefault="00000000">
            <w:pPr>
              <w:jc w:val="center"/>
            </w:pPr>
            <w:r>
              <w:rPr>
                <w:color w:val="000000"/>
                <w:sz w:val="18"/>
                <w:szCs w:val="18"/>
              </w:rPr>
              <w:t>Título profesional en Ingeniería Industrial o Ingeniería Mecánica</w:t>
            </w:r>
          </w:p>
        </w:tc>
      </w:tr>
      <w:tr w:rsidR="00E904BE" w14:paraId="476DC2E0" w14:textId="77777777">
        <w:tblPrEx>
          <w:tblCellMar>
            <w:top w:w="0" w:type="dxa"/>
            <w:bottom w:w="0" w:type="dxa"/>
          </w:tblCellMar>
        </w:tblPrEx>
        <w:tc>
          <w:tcPr>
            <w:tcW w:w="1700" w:type="dxa"/>
            <w:tcMar>
              <w:top w:w="60" w:type="dxa"/>
              <w:left w:w="80" w:type="dxa"/>
              <w:bottom w:w="60" w:type="dxa"/>
              <w:right w:w="80" w:type="dxa"/>
            </w:tcMar>
            <w:vAlign w:val="center"/>
          </w:tcPr>
          <w:p w14:paraId="476DC2DA" w14:textId="77777777" w:rsidR="00E904BE" w:rsidRDefault="00000000">
            <w:pPr>
              <w:jc w:val="center"/>
            </w:pPr>
            <w:r>
              <w:rPr>
                <w:color w:val="000000"/>
                <w:sz w:val="18"/>
                <w:szCs w:val="18"/>
              </w:rPr>
              <w:t>Auxiliar de Mantenimiento</w:t>
            </w:r>
          </w:p>
        </w:tc>
        <w:tc>
          <w:tcPr>
            <w:tcW w:w="1300" w:type="dxa"/>
            <w:tcMar>
              <w:top w:w="60" w:type="dxa"/>
              <w:left w:w="80" w:type="dxa"/>
              <w:bottom w:w="60" w:type="dxa"/>
              <w:right w:w="80" w:type="dxa"/>
            </w:tcMar>
            <w:vAlign w:val="center"/>
          </w:tcPr>
          <w:p w14:paraId="476DC2DB" w14:textId="77777777" w:rsidR="00E904BE" w:rsidRDefault="00000000">
            <w:pPr>
              <w:jc w:val="center"/>
            </w:pPr>
            <w:r>
              <w:rPr>
                <w:color w:val="000000"/>
                <w:sz w:val="18"/>
                <w:szCs w:val="18"/>
              </w:rPr>
              <w:t>1 (uno)</w:t>
            </w:r>
          </w:p>
        </w:tc>
        <w:tc>
          <w:tcPr>
            <w:tcW w:w="1300" w:type="dxa"/>
            <w:tcMar>
              <w:top w:w="60" w:type="dxa"/>
              <w:left w:w="80" w:type="dxa"/>
              <w:bottom w:w="60" w:type="dxa"/>
              <w:right w:w="80" w:type="dxa"/>
            </w:tcMar>
            <w:vAlign w:val="center"/>
          </w:tcPr>
          <w:p w14:paraId="476DC2DC" w14:textId="77777777" w:rsidR="00E904BE" w:rsidRDefault="00000000">
            <w:pPr>
              <w:jc w:val="center"/>
            </w:pPr>
            <w:r>
              <w:rPr>
                <w:color w:val="000000"/>
                <w:sz w:val="18"/>
                <w:szCs w:val="18"/>
              </w:rPr>
              <w:t>100%</w:t>
            </w:r>
          </w:p>
        </w:tc>
        <w:tc>
          <w:tcPr>
            <w:tcW w:w="1500" w:type="dxa"/>
            <w:tcMar>
              <w:top w:w="60" w:type="dxa"/>
              <w:left w:w="80" w:type="dxa"/>
              <w:bottom w:w="60" w:type="dxa"/>
              <w:right w:w="80" w:type="dxa"/>
            </w:tcMar>
            <w:vAlign w:val="center"/>
          </w:tcPr>
          <w:p w14:paraId="476DC2DD" w14:textId="77777777" w:rsidR="00E904BE" w:rsidRDefault="00000000">
            <w:pPr>
              <w:jc w:val="center"/>
            </w:pPr>
            <w:r>
              <w:rPr>
                <w:color w:val="000000"/>
                <w:sz w:val="18"/>
                <w:szCs w:val="18"/>
              </w:rPr>
              <w:t>Doce (12) meses</w:t>
            </w:r>
          </w:p>
        </w:tc>
        <w:tc>
          <w:tcPr>
            <w:tcW w:w="1500" w:type="dxa"/>
            <w:tcMar>
              <w:top w:w="60" w:type="dxa"/>
              <w:left w:w="80" w:type="dxa"/>
              <w:bottom w:w="60" w:type="dxa"/>
              <w:right w:w="80" w:type="dxa"/>
            </w:tcMar>
            <w:vAlign w:val="center"/>
          </w:tcPr>
          <w:p w14:paraId="476DC2DE" w14:textId="77777777" w:rsidR="00E904BE" w:rsidRDefault="00000000">
            <w:pPr>
              <w:jc w:val="center"/>
            </w:pPr>
            <w:r>
              <w:rPr>
                <w:color w:val="000000"/>
                <w:sz w:val="18"/>
                <w:szCs w:val="18"/>
              </w:rPr>
              <w:t>Doce (12) meses</w:t>
            </w:r>
          </w:p>
        </w:tc>
        <w:tc>
          <w:tcPr>
            <w:tcW w:w="2200" w:type="dxa"/>
            <w:tcMar>
              <w:top w:w="60" w:type="dxa"/>
              <w:left w:w="80" w:type="dxa"/>
              <w:bottom w:w="60" w:type="dxa"/>
              <w:right w:w="80" w:type="dxa"/>
            </w:tcMar>
            <w:vAlign w:val="center"/>
          </w:tcPr>
          <w:p w14:paraId="476DC2DF" w14:textId="77777777" w:rsidR="00E904BE" w:rsidRDefault="00000000">
            <w:pPr>
              <w:jc w:val="center"/>
            </w:pPr>
            <w:r>
              <w:rPr>
                <w:color w:val="000000"/>
                <w:sz w:val="18"/>
                <w:szCs w:val="18"/>
              </w:rPr>
              <w:t>Bachiller</w:t>
            </w:r>
          </w:p>
        </w:tc>
      </w:tr>
    </w:tbl>
    <w:p w14:paraId="476DC2E1" w14:textId="77777777" w:rsidR="00E904BE" w:rsidRDefault="00000000">
      <w:pPr>
        <w:pStyle w:val="Ttulo1"/>
        <w:spacing w:before="320" w:after="160"/>
      </w:pPr>
      <w:r>
        <w:rPr>
          <w:b/>
          <w:bCs/>
          <w:color w:val="1A1818"/>
          <w:sz w:val="26"/>
          <w:szCs w:val="26"/>
        </w:rPr>
        <w:t>7. MAQUINARIA MÍNIMA DEL PROYECTO</w:t>
      </w:r>
    </w:p>
    <w:p w14:paraId="476DC2E2" w14:textId="77777777" w:rsidR="00E904BE" w:rsidRDefault="00000000">
      <w:pPr>
        <w:spacing w:after="160"/>
        <w:jc w:val="both"/>
      </w:pPr>
      <w:r>
        <w:t>La maquinaria mínima requerida es la siguiente:</w:t>
      </w:r>
    </w:p>
    <w:p w14:paraId="476DC2E3" w14:textId="77777777" w:rsidR="00E904BE" w:rsidRDefault="00000000">
      <w:pPr>
        <w:pStyle w:val="Prrafodelista"/>
        <w:numPr>
          <w:ilvl w:val="0"/>
          <w:numId w:val="1"/>
        </w:numPr>
        <w:spacing w:after="100"/>
        <w:jc w:val="both"/>
      </w:pPr>
      <w:r>
        <w:t xml:space="preserve">1. </w:t>
      </w:r>
      <w:proofErr w:type="spellStart"/>
      <w:r>
        <w:t>Hidrolavadora</w:t>
      </w:r>
      <w:proofErr w:type="spellEnd"/>
      <w:r>
        <w:t xml:space="preserve"> de alta presión, para el lavado y desinfección de tanques y pozos.</w:t>
      </w:r>
    </w:p>
    <w:p w14:paraId="476DC2E4" w14:textId="77777777" w:rsidR="00E904BE" w:rsidRDefault="00000000">
      <w:pPr>
        <w:pStyle w:val="Prrafodelista"/>
        <w:numPr>
          <w:ilvl w:val="0"/>
          <w:numId w:val="1"/>
        </w:numPr>
        <w:spacing w:after="100"/>
        <w:jc w:val="both"/>
      </w:pPr>
      <w:r>
        <w:t>2. Motobomba portátil de achique, para el vaciado y control de nivel de tanques y pozos durante las intervenciones.</w:t>
      </w:r>
    </w:p>
    <w:p w14:paraId="476DC2E5" w14:textId="77777777" w:rsidR="00E904BE" w:rsidRDefault="00000000">
      <w:pPr>
        <w:pStyle w:val="Prrafodelista"/>
        <w:numPr>
          <w:ilvl w:val="0"/>
          <w:numId w:val="1"/>
        </w:numPr>
        <w:spacing w:after="100"/>
        <w:jc w:val="both"/>
      </w:pPr>
      <w:r>
        <w:t xml:space="preserve">3. Equipo de soldadura eléctrica portátil, para reparaciones e instalación de tuberías y </w:t>
      </w:r>
      <w:proofErr w:type="spellStart"/>
      <w:r>
        <w:t>soportería</w:t>
      </w:r>
      <w:proofErr w:type="spellEnd"/>
      <w:r>
        <w:t>.</w:t>
      </w:r>
    </w:p>
    <w:p w14:paraId="476DC2E6" w14:textId="77777777" w:rsidR="00E904BE" w:rsidRDefault="00000000">
      <w:pPr>
        <w:pStyle w:val="Prrafodelista"/>
        <w:numPr>
          <w:ilvl w:val="0"/>
          <w:numId w:val="1"/>
        </w:numPr>
        <w:spacing w:after="100"/>
        <w:jc w:val="both"/>
      </w:pPr>
      <w:r>
        <w:t>4. Servicio de torno mecánico y horno de secado/horneado técnico, para la reconstrucción de ejes, el balanceo dinámico de impulsores y el rebobinado de motores.</w:t>
      </w:r>
    </w:p>
    <w:p w14:paraId="476DC2E7" w14:textId="77777777" w:rsidR="00E904BE" w:rsidRDefault="00000000">
      <w:pPr>
        <w:pStyle w:val="Prrafodelista"/>
        <w:numPr>
          <w:ilvl w:val="0"/>
          <w:numId w:val="1"/>
        </w:numPr>
        <w:spacing w:after="100"/>
        <w:jc w:val="both"/>
      </w:pPr>
      <w:r>
        <w:t>5. Equipo de ventilación forzada/extracción portátil, para el trabajo en espacios confinados (pozos y fosos eyectores).</w:t>
      </w:r>
    </w:p>
    <w:p w14:paraId="476DC2E8" w14:textId="77777777" w:rsidR="00E904BE" w:rsidRDefault="00000000">
      <w:pPr>
        <w:pStyle w:val="Prrafodelista"/>
        <w:numPr>
          <w:ilvl w:val="0"/>
          <w:numId w:val="1"/>
        </w:numPr>
        <w:spacing w:after="100"/>
        <w:jc w:val="both"/>
      </w:pPr>
      <w:r>
        <w:t>6. Vehículo tipo camioneta o utilitario, para el transporte de personal, herramientas, repuestos e insumos a cada una de las sedes.</w:t>
      </w:r>
    </w:p>
    <w:p w14:paraId="476DC2E9" w14:textId="77777777" w:rsidR="00E904BE" w:rsidRDefault="00000000">
      <w:pPr>
        <w:spacing w:after="160"/>
        <w:jc w:val="both"/>
      </w:pPr>
      <w:r>
        <w:t>La maquinaria mínima requerida se verificará una vez se acepte la oferta seleccionada y no podrá ser pedida durante la selección del contratista para efectos de otorgar puntaje o como criterio habilitante alguno.</w:t>
      </w:r>
    </w:p>
    <w:p w14:paraId="476DC2EA" w14:textId="77777777" w:rsidR="00E904BE" w:rsidRDefault="00000000">
      <w:pPr>
        <w:pStyle w:val="Ttulo1"/>
        <w:spacing w:before="320" w:after="160"/>
      </w:pPr>
      <w:r>
        <w:rPr>
          <w:b/>
          <w:bCs/>
          <w:color w:val="1A1818"/>
          <w:sz w:val="26"/>
          <w:szCs w:val="26"/>
        </w:rPr>
        <w:t>8. POSIBLES FUENTES DE MATERIALES PARA EL PROYECTO</w:t>
      </w:r>
    </w:p>
    <w:p w14:paraId="476DC2EB" w14:textId="77777777" w:rsidR="00E904BE" w:rsidRDefault="00000000">
      <w:pPr>
        <w:spacing w:after="160"/>
        <w:jc w:val="both"/>
      </w:pPr>
      <w:r>
        <w:t>Las posibles fuentes de materiales serán las que determine el Proponente seleccionado y las cuales cumplan con la calidad requerida en las normas de ensayo y especificaciones generales y/o particulares vigentes.</w:t>
      </w:r>
    </w:p>
    <w:p w14:paraId="476DC2EC" w14:textId="77777777" w:rsidR="00E904BE" w:rsidRDefault="00000000">
      <w:pPr>
        <w:spacing w:after="160"/>
        <w:jc w:val="both"/>
      </w:pPr>
      <w:r>
        <w:t>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w:t>
      </w:r>
    </w:p>
    <w:p w14:paraId="476DC2ED" w14:textId="77777777" w:rsidR="00E904BE" w:rsidRDefault="00000000">
      <w:pPr>
        <w:spacing w:after="160"/>
        <w:jc w:val="both"/>
      </w:pPr>
      <w:r>
        <w:lastRenderedPageBreak/>
        <w:t>Las fuentes seleccionadas por el Contratista deben ser previamente autorizadas por el respectivo supervisor o la interventoría, en los casos que se requiera, antes del inicio de las obras. El Contratista se obliga a realizar la explotación respetando las recomendaciones técnicas establecidas para evitar impactos ambientales; igualmente se obliga a cumplir la normativa ambiental y minera aplicable a la obra.</w:t>
      </w:r>
    </w:p>
    <w:p w14:paraId="476DC2EE" w14:textId="77777777" w:rsidR="00E904BE" w:rsidRDefault="00000000">
      <w:pPr>
        <w:spacing w:after="160"/>
        <w:jc w:val="both"/>
      </w:pPr>
      <w:r>
        <w:t>El Proponente debe verificar, previo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su empleo para el proyecto. En consecuencia, las distancias de acarreo correspondientes deberán ser consideradas por el Proponente en los análisis de Precios Unitarios de la propuesta a presentar y serán de su responsabilidad.</w:t>
      </w:r>
    </w:p>
    <w:p w14:paraId="476DC2EF" w14:textId="77777777" w:rsidR="00E904BE" w:rsidRDefault="00000000">
      <w:pPr>
        <w:spacing w:after="160"/>
        <w:jc w:val="both"/>
      </w:pPr>
      <w:r>
        <w:t>Previo al inicio de las obras, los materiales que la Entidad identifique como indispensables en la ejecución del proyecto deben ser sometidos a ensayos para la aceptación o el rechazo por parte del supervisor o de la interventoría, según la normativa aplicable. Los permisos de explotación deben ser tramitados por cuenta del Contratista antes del comienzo de las obras. De igual manera, las fuentes seleccionadas por el Contratista deben ser previamente autorizadas por el respectivo supervisor o la interventoría, en los casos que se exija, antes del inicio de las obras.</w:t>
      </w:r>
    </w:p>
    <w:p w14:paraId="476DC2F0" w14:textId="77777777" w:rsidR="00E904BE" w:rsidRDefault="00000000">
      <w:pPr>
        <w:pStyle w:val="Ttulo1"/>
        <w:spacing w:before="320" w:after="160"/>
      </w:pPr>
      <w:r>
        <w:rPr>
          <w:b/>
          <w:bCs/>
          <w:color w:val="1A1818"/>
          <w:sz w:val="26"/>
          <w:szCs w:val="26"/>
        </w:rPr>
        <w:t>9. OBRAS PROVISIONALES</w:t>
      </w:r>
    </w:p>
    <w:p w14:paraId="476DC2F1" w14:textId="77777777" w:rsidR="00E904BE" w:rsidRDefault="00000000">
      <w:pPr>
        <w:spacing w:after="160"/>
        <w:jc w:val="both"/>
      </w:pPr>
      <w:r>
        <w:t>Dado que el objeto contractual corresponde a mantenimiento preventivo y correctivo de infraestructura existente y no a obra nueva, esta sección NO aplica en lo relativo a vías provisionales, vías industriales, explotación de fuentes de materiales, campamentos ni edificaciones provisionales. Únicamente aplica, cuando el Contratista lo requiera para el desarrollo de sus actividades, el uso temporal de zonas de acopio de herramientas, repuestos e insumos dentro de las instalaciones de cada sede, previa autorización del supervisor, sin que ello genere costos adicionales para la Entidad.</w:t>
      </w:r>
    </w:p>
    <w:p w14:paraId="476DC2F2" w14:textId="77777777" w:rsidR="00E904BE" w:rsidRDefault="00000000">
      <w:pPr>
        <w:spacing w:after="160"/>
        <w:jc w:val="both"/>
      </w:pPr>
      <w:r>
        <w:t>Durante su permanencia en la obra serán a cargo del Contratista la construcción, mejoramiento y conservación de las obras provisionales o temporales que no forman parte integrante del proyecto, tales como vías provisionales, vías industriales, vías de acceso y vías internas de explotación a las fuentes de materiales así como: las obras necesarias para la recuperación morfológica, cuando se haya explotado por el Contratista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las labores tendientes al cumplimiento del objeto contractual.</w:t>
      </w:r>
    </w:p>
    <w:p w14:paraId="476DC2F3" w14:textId="77777777" w:rsidR="00E904BE" w:rsidRDefault="00000000">
      <w:pPr>
        <w:spacing w:after="160"/>
        <w:jc w:val="both"/>
      </w:pPr>
      <w:r>
        <w:t>En caso de que sea necesario el Proponente dispondrá de las zonas previstas para ejecutar la obra y la obtención de lotes o zonas necesarias para construir sus instalaciones, las cuales estarán bajo su responsabilidad.</w:t>
      </w:r>
    </w:p>
    <w:p w14:paraId="476DC2F4" w14:textId="77777777" w:rsidR="00E904BE" w:rsidRDefault="00000000">
      <w:pPr>
        <w:spacing w:after="160"/>
        <w:jc w:val="both"/>
      </w:pPr>
      <w:r>
        <w:lastRenderedPageBreak/>
        <w:t>Adicionalmente, correrán por su cuenta y riesgo los trabajos necesarios para no interrumpir el servicio en las vías públicas usadas por él o en las vías de acceso cuyo uso comparta con otros Contratistas.</w:t>
      </w:r>
    </w:p>
    <w:p w14:paraId="476DC2F5" w14:textId="77777777" w:rsidR="00E904BE" w:rsidRDefault="00000000">
      <w:pPr>
        <w:spacing w:after="160"/>
        <w:jc w:val="both"/>
      </w:pPr>
      <w: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supervisor o el interventor, en los casos que se requiera. Para lo anterior deberá tramitar la correspondiente aprobación de los precios no previstos del proyecto ante el ordenador del gasto, y en los casos que se requiera el permiso ante la autoridad competente.</w:t>
      </w:r>
    </w:p>
    <w:p w14:paraId="476DC2F6" w14:textId="77777777" w:rsidR="00E904BE" w:rsidRDefault="00000000">
      <w:pPr>
        <w:spacing w:after="160"/>
        <w:jc w:val="both"/>
      </w:pPr>
      <w:r>
        <w:t>A menos que se efectúen otros acuerdos, el Contratista deberá retirar todas las obras provisionales a la terminación de los trabajos y dejar las zonas en el mismo estado de limpieza y orden en que las encontró. Así mismo, será responsable de desocupar todas las zonas que le fueron suministradas para las obras provisionales y permanentes.</w:t>
      </w:r>
    </w:p>
    <w:p w14:paraId="476DC2F7" w14:textId="77777777" w:rsidR="00E904BE" w:rsidRDefault="00000000">
      <w:pPr>
        <w:pStyle w:val="Ttulo1"/>
        <w:spacing w:before="320" w:after="160"/>
      </w:pPr>
      <w:r>
        <w:rPr>
          <w:b/>
          <w:bCs/>
          <w:color w:val="1A1818"/>
          <w:sz w:val="26"/>
          <w:szCs w:val="26"/>
        </w:rPr>
        <w:t>10. SEÑALIZACIÓN</w:t>
      </w:r>
    </w:p>
    <w:p w14:paraId="476DC2F8" w14:textId="77777777" w:rsidR="00E904BE" w:rsidRDefault="00000000">
      <w:pPr>
        <w:spacing w:after="160"/>
        <w:jc w:val="both"/>
      </w:pPr>
      <w:r>
        <w:t>Dado que el objeto contractual corresponde a mantenimiento preventivo y correctivo y no a obra nueva, esta sección aplica únicamente en lo relativo a la señalización de seguridad temporal (cintas, conos, avisos de "zona en mantenimiento" o similares) que el Contratista debe instalar y mantener en las áreas técnicas intervenidas (cuartos de bombas, tanques y pozos) durante la ejecución de cada actividad, con el fin de proteger a los servidores judiciales, usuarios y visitantes de las sedes. No aplica lo relacionado con señalización vial, vallas informativas de obra o iluminación de vías, al no tratarse de intervenciones en espacio público o infraestructura vial.</w:t>
      </w:r>
    </w:p>
    <w:p w14:paraId="476DC2F9" w14:textId="77777777" w:rsidR="00E904BE" w:rsidRDefault="00000000">
      <w:pPr>
        <w:spacing w:after="160"/>
        <w:jc w:val="both"/>
      </w:pPr>
      <w:r>
        <w:t>De ser necesario, según los estudios previos, son de cargo del Contratista todos los costos requeridos para instalar y mantener la señalización de la obra y las vallas informativas, la iluminación nocturna y demás dispositivos de seguridad y de comunicación y coordinación en los términos definidos por las autoridades competentes.</w:t>
      </w:r>
    </w:p>
    <w:p w14:paraId="476DC2FA" w14:textId="77777777" w:rsidR="00E904BE" w:rsidRDefault="00000000">
      <w:pPr>
        <w:spacing w:after="160"/>
        <w:jc w:val="both"/>
      </w:pPr>
      <w:r>
        <w:t>Sin perjuicio de lo anterior, la Entidad deberá definir puntualmente cuales son los costos directos e indirectos incluidos dentro del Presupuesto Oficial dependiendo del proyecto a ejecutar.</w:t>
      </w:r>
    </w:p>
    <w:p w14:paraId="476DC2FB" w14:textId="77777777" w:rsidR="00E904BE" w:rsidRDefault="00000000">
      <w:pPr>
        <w:spacing w:after="160"/>
        <w:jc w:val="both"/>
      </w:pPr>
      <w:r>
        <w:t>La Entidad deberá tener en cuenta lo establecido en el artículo 115 de la Ley 769 de 2002 o la norma que la modifique, relacionado con la obligatoriedad de demarcación para los proyectos de infraestructura social como parte de su labor de planeación y presupuestación.</w:t>
      </w:r>
    </w:p>
    <w:p w14:paraId="476DC2FC" w14:textId="77777777" w:rsidR="00E904BE" w:rsidRDefault="00000000">
      <w:pPr>
        <w:pStyle w:val="Ttulo1"/>
        <w:spacing w:before="320" w:after="160"/>
      </w:pPr>
      <w:r>
        <w:rPr>
          <w:b/>
          <w:bCs/>
          <w:color w:val="1A1818"/>
          <w:sz w:val="26"/>
          <w:szCs w:val="26"/>
        </w:rPr>
        <w:t>11. PERMISOS, LICENCIAS Y AUTORIZACIONES</w:t>
      </w:r>
    </w:p>
    <w:p w14:paraId="476DC2FD" w14:textId="77777777" w:rsidR="00E904BE" w:rsidRDefault="00000000">
      <w:pPr>
        <w:spacing w:after="160"/>
        <w:jc w:val="both"/>
      </w:pPr>
      <w:r>
        <w:t xml:space="preserve">Teniendo en cuenta que el objeto contractual corresponde a una obra pública para asegurar el mantenimiento electromecánico preventivo y correctivo y lavado de </w:t>
      </w:r>
      <w:r>
        <w:lastRenderedPageBreak/>
        <w:t>tanques, no se requiere la expedición de licencias de construcción, intervención u ocupación de espacio público ni trámites de licenciamiento urbanístico,  por parte de Curadurías Urbanas o Secretarías de Planeación, toda vez que las actividades previstas corresponden a obras de mantenimiento rutinario de bienes inmuebles por adhesión que están unidos de forma física a las infraestructuras, las cuales no afectan la “estructura portante, su distribución interior, sus características funcionales, formales y/o volumétricas” de las sedes judiciales a cargo de la Dirección Seccional de Administración Judicial de Cundinamarca - Amazonas, de conformidad con lo previsto en el artículo 2.2.6.1.1.10 del Decreto 1077 de 2015.</w:t>
      </w:r>
    </w:p>
    <w:p w14:paraId="476DC2FE" w14:textId="77777777" w:rsidR="00E904BE" w:rsidRDefault="00000000">
      <w:pPr>
        <w:pStyle w:val="Ttulo1"/>
        <w:spacing w:before="320" w:after="160"/>
      </w:pPr>
      <w:r>
        <w:rPr>
          <w:b/>
          <w:bCs/>
          <w:color w:val="1A1818"/>
          <w:sz w:val="26"/>
          <w:szCs w:val="26"/>
        </w:rPr>
        <w:t>12. NOTAS TÉCNICAS ESPECÍFICAS PARA EL PROYECTO</w:t>
      </w:r>
    </w:p>
    <w:p w14:paraId="476DC2FF" w14:textId="77777777" w:rsidR="00E904BE" w:rsidRDefault="00000000">
      <w:pPr>
        <w:spacing w:after="160"/>
        <w:jc w:val="both"/>
      </w:pPr>
      <w:r>
        <w:t>No aplican las Especificaciones Generales de Construcción del INVÍAS, por tratarse de mantenimiento electromecánico e hidrosanitario y no de obras viales. Las directrices técnicas aplicables al proyecto son las siguientes:</w:t>
      </w:r>
    </w:p>
    <w:p w14:paraId="476DC300" w14:textId="77777777" w:rsidR="00E904BE" w:rsidRDefault="00000000">
      <w:pPr>
        <w:pStyle w:val="Prrafodelista"/>
        <w:numPr>
          <w:ilvl w:val="0"/>
          <w:numId w:val="1"/>
        </w:numPr>
        <w:spacing w:after="100"/>
        <w:jc w:val="both"/>
      </w:pPr>
      <w:r>
        <w:t>Norma Técnica Colombiana NTC 4576, para el lavado y desinfección de tanques de almacenamiento de agua potable.</w:t>
      </w:r>
    </w:p>
    <w:p w14:paraId="476DC301" w14:textId="77777777" w:rsidR="00E904BE" w:rsidRDefault="00000000">
      <w:pPr>
        <w:pStyle w:val="Prrafodelista"/>
        <w:numPr>
          <w:ilvl w:val="0"/>
          <w:numId w:val="1"/>
        </w:numPr>
        <w:spacing w:after="100"/>
        <w:jc w:val="both"/>
      </w:pPr>
      <w:r>
        <w:t>Decreto 1575 de 2007 y Resolución 2115 de 2007, sobre la calidad del agua para consumo humano.</w:t>
      </w:r>
    </w:p>
    <w:p w14:paraId="476DC302" w14:textId="77777777" w:rsidR="00E904BE" w:rsidRDefault="00000000">
      <w:pPr>
        <w:pStyle w:val="Prrafodelista"/>
        <w:numPr>
          <w:ilvl w:val="0"/>
          <w:numId w:val="1"/>
        </w:numPr>
        <w:spacing w:after="100"/>
        <w:jc w:val="both"/>
      </w:pPr>
      <w:r>
        <w:t>Reglamento Colombiano de Construcción Sismo Resistente NSR-10 y estándares NFPA 20 y NFPA 25, para los sistemas de red contra incendio.</w:t>
      </w:r>
    </w:p>
    <w:p w14:paraId="476DC303" w14:textId="77777777" w:rsidR="00E904BE" w:rsidRDefault="00000000">
      <w:pPr>
        <w:pStyle w:val="Ttulo1"/>
        <w:spacing w:before="320" w:after="160"/>
      </w:pPr>
      <w:r>
        <w:rPr>
          <w:b/>
          <w:bCs/>
          <w:color w:val="1A1818"/>
          <w:sz w:val="26"/>
          <w:szCs w:val="26"/>
        </w:rPr>
        <w:t>13. DOCUMENTOS TÉCNICOS ADICIONALES</w:t>
      </w:r>
    </w:p>
    <w:p w14:paraId="476DC304" w14:textId="77777777" w:rsidR="00E904BE" w:rsidRDefault="00000000">
      <w:pPr>
        <w:spacing w:after="160"/>
        <w:jc w:val="both"/>
      </w:pPr>
      <w:r>
        <w:t xml:space="preserve">Para efectos informativos, y sin que constituya requisito de verificación durante la evaluación de las ofertas, los Proponentes deben tener en cuenta el inventario de equipos y sedes contenido en el numeral 3.1.4 del estudio previo, así como las fichas técnicas y recomendaciones de los fabricantes originales de los equipos instalados (Barnes, IHM, </w:t>
      </w:r>
      <w:proofErr w:type="spellStart"/>
      <w:r>
        <w:t>Goulds</w:t>
      </w:r>
      <w:proofErr w:type="spellEnd"/>
      <w:r>
        <w:t>, Grundfos, entre otros).</w:t>
      </w:r>
    </w:p>
    <w:sectPr w:rsidR="00E904BE">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A322A9"/>
    <w:multiLevelType w:val="hybridMultilevel"/>
    <w:tmpl w:val="DA14E9FA"/>
    <w:lvl w:ilvl="0" w:tplc="DC0C49D2">
      <w:start w:val="1"/>
      <w:numFmt w:val="bullet"/>
      <w:lvlText w:val="●"/>
      <w:lvlJc w:val="left"/>
      <w:pPr>
        <w:ind w:left="720" w:hanging="360"/>
      </w:pPr>
    </w:lvl>
    <w:lvl w:ilvl="1" w:tplc="7D186AE8">
      <w:start w:val="1"/>
      <w:numFmt w:val="bullet"/>
      <w:lvlText w:val="○"/>
      <w:lvlJc w:val="left"/>
      <w:pPr>
        <w:ind w:left="1440" w:hanging="360"/>
      </w:pPr>
    </w:lvl>
    <w:lvl w:ilvl="2" w:tplc="9CE46AC2">
      <w:start w:val="1"/>
      <w:numFmt w:val="bullet"/>
      <w:lvlText w:val="■"/>
      <w:lvlJc w:val="left"/>
      <w:pPr>
        <w:ind w:left="2160" w:hanging="360"/>
      </w:pPr>
    </w:lvl>
    <w:lvl w:ilvl="3" w:tplc="34E0C99C">
      <w:start w:val="1"/>
      <w:numFmt w:val="bullet"/>
      <w:lvlText w:val="●"/>
      <w:lvlJc w:val="left"/>
      <w:pPr>
        <w:ind w:left="2880" w:hanging="360"/>
      </w:pPr>
    </w:lvl>
    <w:lvl w:ilvl="4" w:tplc="121E84F0">
      <w:start w:val="1"/>
      <w:numFmt w:val="bullet"/>
      <w:lvlText w:val="○"/>
      <w:lvlJc w:val="left"/>
      <w:pPr>
        <w:ind w:left="3600" w:hanging="360"/>
      </w:pPr>
    </w:lvl>
    <w:lvl w:ilvl="5" w:tplc="674AF596">
      <w:start w:val="1"/>
      <w:numFmt w:val="bullet"/>
      <w:lvlText w:val="■"/>
      <w:lvlJc w:val="left"/>
      <w:pPr>
        <w:ind w:left="4320" w:hanging="360"/>
      </w:pPr>
    </w:lvl>
    <w:lvl w:ilvl="6" w:tplc="1604F458">
      <w:start w:val="1"/>
      <w:numFmt w:val="bullet"/>
      <w:lvlText w:val="●"/>
      <w:lvlJc w:val="left"/>
      <w:pPr>
        <w:ind w:left="5040" w:hanging="360"/>
      </w:pPr>
    </w:lvl>
    <w:lvl w:ilvl="7" w:tplc="80BAC5C2">
      <w:start w:val="1"/>
      <w:numFmt w:val="bullet"/>
      <w:lvlText w:val="●"/>
      <w:lvlJc w:val="left"/>
      <w:pPr>
        <w:ind w:left="5760" w:hanging="360"/>
      </w:pPr>
    </w:lvl>
    <w:lvl w:ilvl="8" w:tplc="2578C1B8">
      <w:start w:val="1"/>
      <w:numFmt w:val="bullet"/>
      <w:lvlText w:val="●"/>
      <w:lvlJc w:val="left"/>
      <w:pPr>
        <w:ind w:left="6480" w:hanging="360"/>
      </w:pPr>
    </w:lvl>
  </w:abstractNum>
  <w:num w:numId="1" w16cid:durableId="112029757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4BE"/>
    <w:rsid w:val="00001642"/>
    <w:rsid w:val="00C82312"/>
    <w:rsid w:val="00E904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DC178"/>
  <w15:docId w15:val="{2B47837A-BCA4-4E9C-AD11-A7FEF379A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2"/>
        <w:szCs w:val="22"/>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Fuerte1">
    <w:name w:val="Fuerte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85986F040CDB540A8ACABDEA705E12E" ma:contentTypeVersion="15" ma:contentTypeDescription="Crear nuevo documento." ma:contentTypeScope="" ma:versionID="07a8bb9fe902f35eef69e497a1bbf9e4">
  <xsd:schema xmlns:xsd="http://www.w3.org/2001/XMLSchema" xmlns:xs="http://www.w3.org/2001/XMLSchema" xmlns:p="http://schemas.microsoft.com/office/2006/metadata/properties" xmlns:ns2="85e3ecd6-0e77-4a3c-8e5e-12d77c2a4cee" xmlns:ns3="1c44ea2b-37a5-49a4-b488-933a940bcb46" targetNamespace="http://schemas.microsoft.com/office/2006/metadata/properties" ma:root="true" ma:fieldsID="733f9adba5ef7dd1c52313dd6946aec5" ns2:_="" ns3:_="">
    <xsd:import namespace="85e3ecd6-0e77-4a3c-8e5e-12d77c2a4cee"/>
    <xsd:import namespace="1c44ea2b-37a5-49a4-b488-933a940bcb4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e3ecd6-0e77-4a3c-8e5e-12d77c2a4c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e31b1466-370e-4680-8e95-6fcae1d3fa8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c44ea2b-37a5-49a4-b488-933a940bcb4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dff9730-c640-4c46-9f0f-4096398e1200}" ma:internalName="TaxCatchAll" ma:showField="CatchAllData" ma:web="1c44ea2b-37a5-49a4-b488-933a940bcb4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5e3ecd6-0e77-4a3c-8e5e-12d77c2a4cee">
      <Terms xmlns="http://schemas.microsoft.com/office/infopath/2007/PartnerControls"/>
    </lcf76f155ced4ddcb4097134ff3c332f>
    <TaxCatchAll xmlns="1c44ea2b-37a5-49a4-b488-933a940bcb46" xsi:nil="true"/>
  </documentManagement>
</p:properties>
</file>

<file path=customXml/itemProps1.xml><?xml version="1.0" encoding="utf-8"?>
<ds:datastoreItem xmlns:ds="http://schemas.openxmlformats.org/officeDocument/2006/customXml" ds:itemID="{70038AD3-3EFE-4FC4-A841-F4F2F04AA45D}"/>
</file>

<file path=customXml/itemProps2.xml><?xml version="1.0" encoding="utf-8"?>
<ds:datastoreItem xmlns:ds="http://schemas.openxmlformats.org/officeDocument/2006/customXml" ds:itemID="{ECA46E69-3857-4C13-97AC-E0CFE99BBB36}"/>
</file>

<file path=customXml/itemProps3.xml><?xml version="1.0" encoding="utf-8"?>
<ds:datastoreItem xmlns:ds="http://schemas.openxmlformats.org/officeDocument/2006/customXml" ds:itemID="{D2ACCF23-1AE0-4FEF-B879-8EB12FBC8632}"/>
</file>

<file path=docProps/app.xml><?xml version="1.0" encoding="utf-8"?>
<Properties xmlns="http://schemas.openxmlformats.org/officeDocument/2006/extended-properties" xmlns:vt="http://schemas.openxmlformats.org/officeDocument/2006/docPropsVTypes">
  <Template>Normal</Template>
  <TotalTime>1</TotalTime>
  <Pages>16</Pages>
  <Words>6696</Words>
  <Characters>36832</Characters>
  <Application>Microsoft Office Word</Application>
  <DocSecurity>0</DocSecurity>
  <Lines>306</Lines>
  <Paragraphs>86</Paragraphs>
  <ScaleCrop>false</ScaleCrop>
  <Company/>
  <LinksUpToDate>false</LinksUpToDate>
  <CharactersWithSpaces>43442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Kevin Rafael Florez Arrieta</cp:lastModifiedBy>
  <cp:revision>2</cp:revision>
  <dcterms:created xsi:type="dcterms:W3CDTF">2026-09-21T15:57:00Z</dcterms:created>
  <dcterms:modified xsi:type="dcterms:W3CDTF">2026-09-21T16:02:00Z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0x010100E85986F040CDB540A8ACABDEA705E12E</vt:lpwstr>
  </property>
</Properties>
</file>